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Washington, D.C. 20549</w:t>
      </w:r>
    </w:p>
    <w:p>
      <w:pPr>
        <w:spacing w:after="0" w:line="161" w:lineRule="exact"/>
        <w:rPr>
          <w:sz w:val="24"/>
          <w:szCs w:val="24"/>
          <w:color w:val="auto"/>
        </w:rPr>
      </w:pPr>
    </w:p>
    <w:p>
      <w:pPr>
        <w:jc w:val="center"/>
        <w:ind w:right="-360"/>
        <w:spacing w:after="0"/>
        <w:rPr>
          <w:sz w:val="20"/>
          <w:szCs w:val="20"/>
          <w:color w:val="auto"/>
        </w:rPr>
      </w:pPr>
      <w:r>
        <w:rPr>
          <w:rFonts w:ascii="Arial" w:cs="Arial" w:eastAsia="Arial" w:hAnsi="Arial"/>
          <w:sz w:val="29"/>
          <w:szCs w:val="29"/>
          <w:b w:val="1"/>
          <w:bCs w:val="1"/>
          <w:color w:val="auto"/>
        </w:rPr>
        <w:t>SCHEDULE 14A</w:t>
      </w:r>
    </w:p>
    <w:p>
      <w:pPr>
        <w:spacing w:after="0" w:line="130" w:lineRule="exact"/>
        <w:rPr>
          <w:sz w:val="24"/>
          <w:szCs w:val="24"/>
          <w:color w:val="auto"/>
        </w:rPr>
      </w:pPr>
    </w:p>
    <w:p>
      <w:pPr>
        <w:jc w:val="right"/>
        <w:ind w:right="153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221" w:lineRule="exact"/>
        <w:rPr>
          <w:sz w:val="24"/>
          <w:szCs w:val="24"/>
          <w:color w:val="auto"/>
        </w:rPr>
      </w:pPr>
    </w:p>
    <w:p>
      <w:pPr>
        <w:spacing w:after="0" w:line="207" w:lineRule="exact"/>
        <w:rPr>
          <w:sz w:val="20"/>
          <w:szCs w:val="20"/>
          <w:color w:val="auto"/>
        </w:rPr>
      </w:pPr>
      <w:r>
        <w:rPr>
          <w:rFonts w:ascii="Arial" w:cs="Arial" w:eastAsia="Arial" w:hAnsi="Arial"/>
          <w:sz w:val="18"/>
          <w:szCs w:val="18"/>
          <w:color w:val="0E2A35"/>
        </w:rPr>
        <w:t xml:space="preserve">Filed by the Registrant </w:t>
      </w:r>
      <w:r>
        <w:rPr>
          <w:rFonts w:ascii="MS PGothic" w:cs="MS PGothic" w:eastAsia="MS PGothic" w:hAnsi="MS PGothic"/>
          <w:sz w:val="18"/>
          <w:szCs w:val="18"/>
          <w:color w:val="0E2A35"/>
        </w:rPr>
        <w:t>☒</w:t>
      </w:r>
    </w:p>
    <w:p>
      <w:pPr>
        <w:spacing w:after="0" w:line="185" w:lineRule="exact"/>
        <w:rPr>
          <w:sz w:val="24"/>
          <w:szCs w:val="24"/>
          <w:color w:val="auto"/>
        </w:rPr>
      </w:pPr>
    </w:p>
    <w:p>
      <w:pPr>
        <w:spacing w:after="0" w:line="207" w:lineRule="exact"/>
        <w:rPr>
          <w:sz w:val="20"/>
          <w:szCs w:val="20"/>
          <w:color w:val="auto"/>
        </w:rPr>
      </w:pPr>
      <w:r>
        <w:rPr>
          <w:rFonts w:ascii="Arial" w:cs="Arial" w:eastAsia="Arial" w:hAnsi="Arial"/>
          <w:sz w:val="18"/>
          <w:szCs w:val="18"/>
          <w:color w:val="0E2A35"/>
        </w:rPr>
        <w:t xml:space="preserve">Filed by party other than the Registrant </w:t>
      </w:r>
      <w:r>
        <w:rPr>
          <w:rFonts w:ascii="MS PGothic" w:cs="MS PGothic" w:eastAsia="MS PGothic" w:hAnsi="MS PGothic"/>
          <w:sz w:val="18"/>
          <w:szCs w:val="18"/>
          <w:color w:val="0E2A35"/>
        </w:rPr>
        <w: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0E2A35"/>
        </w:rPr>
        <w:t>Check the appropriate box:</w:t>
      </w:r>
    </w:p>
    <w:p>
      <w:pPr>
        <w:spacing w:after="0" w:line="185"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0E2A35"/>
        </w:rPr>
      </w:pPr>
      <w:r>
        <w:rPr>
          <w:rFonts w:ascii="Arial" w:cs="Arial" w:eastAsia="Arial" w:hAnsi="Arial"/>
          <w:sz w:val="18"/>
          <w:szCs w:val="18"/>
          <w:color w:val="0E2A35"/>
        </w:rPr>
        <w:t>Preliminary Proxy Statement</w:t>
      </w:r>
    </w:p>
    <w:p>
      <w:pPr>
        <w:spacing w:after="0" w:line="180" w:lineRule="exact"/>
        <w:rPr>
          <w:rFonts w:ascii="MS PGothic" w:cs="MS PGothic" w:eastAsia="MS PGothic" w:hAnsi="MS PGothic"/>
          <w:sz w:val="18"/>
          <w:szCs w:val="18"/>
          <w:color w:val="0E2A35"/>
        </w:rPr>
      </w:pPr>
    </w:p>
    <w:p>
      <w:pPr>
        <w:ind w:left="440" w:hanging="432"/>
        <w:spacing w:after="0"/>
        <w:tabs>
          <w:tab w:leader="none" w:pos="440" w:val="left"/>
        </w:tabs>
        <w:numPr>
          <w:ilvl w:val="1"/>
          <w:numId w:val="1"/>
        </w:numPr>
        <w:rPr>
          <w:rFonts w:ascii="MS PGothic" w:cs="MS PGothic" w:eastAsia="MS PGothic" w:hAnsi="MS PGothic"/>
          <w:sz w:val="18"/>
          <w:szCs w:val="18"/>
          <w:color w:val="0E2A35"/>
        </w:rPr>
      </w:pPr>
      <w:r>
        <w:rPr>
          <w:rFonts w:ascii="Arial" w:cs="Arial" w:eastAsia="Arial" w:hAnsi="Arial"/>
          <w:sz w:val="18"/>
          <w:szCs w:val="18"/>
          <w:b w:val="1"/>
          <w:bCs w:val="1"/>
          <w:color w:val="0E2A35"/>
        </w:rPr>
        <w:t>Confidential, For Use of the Commission Only (as permitted by Rule 14a-6(e)(2))</w:t>
      </w:r>
    </w:p>
    <w:p>
      <w:pPr>
        <w:spacing w:after="0" w:line="188" w:lineRule="exact"/>
        <w:rPr>
          <w:rFonts w:ascii="MS PGothic" w:cs="MS PGothic" w:eastAsia="MS PGothic" w:hAnsi="MS PGothic"/>
          <w:sz w:val="18"/>
          <w:szCs w:val="18"/>
          <w:color w:val="0E2A35"/>
        </w:rPr>
      </w:pPr>
    </w:p>
    <w:p>
      <w:pPr>
        <w:ind w:left="440" w:hanging="436"/>
        <w:spacing w:after="0"/>
        <w:tabs>
          <w:tab w:leader="none" w:pos="440" w:val="left"/>
        </w:tabs>
        <w:numPr>
          <w:ilvl w:val="0"/>
          <w:numId w:val="1"/>
        </w:numPr>
        <w:rPr>
          <w:rFonts w:ascii="MS PGothic" w:cs="MS PGothic" w:eastAsia="MS PGothic" w:hAnsi="MS PGothic"/>
          <w:sz w:val="18"/>
          <w:szCs w:val="18"/>
          <w:color w:val="0E2A35"/>
        </w:rPr>
      </w:pPr>
      <w:r>
        <w:rPr>
          <w:rFonts w:ascii="Arial" w:cs="Arial" w:eastAsia="Arial" w:hAnsi="Arial"/>
          <w:sz w:val="18"/>
          <w:szCs w:val="18"/>
          <w:color w:val="0E2A35"/>
        </w:rPr>
        <w:t>Definitive Proxy Statement</w:t>
      </w:r>
    </w:p>
    <w:p>
      <w:pPr>
        <w:spacing w:after="0" w:line="184" w:lineRule="exact"/>
        <w:rPr>
          <w:rFonts w:ascii="MS PGothic" w:cs="MS PGothic" w:eastAsia="MS PGothic" w:hAnsi="MS PGothic"/>
          <w:sz w:val="18"/>
          <w:szCs w:val="18"/>
          <w:color w:val="0E2A35"/>
        </w:rPr>
      </w:pPr>
    </w:p>
    <w:p>
      <w:pPr>
        <w:ind w:left="440" w:hanging="432"/>
        <w:spacing w:after="0"/>
        <w:tabs>
          <w:tab w:leader="none" w:pos="440" w:val="left"/>
        </w:tabs>
        <w:numPr>
          <w:ilvl w:val="1"/>
          <w:numId w:val="1"/>
        </w:numPr>
        <w:rPr>
          <w:rFonts w:ascii="MS PGothic" w:cs="MS PGothic" w:eastAsia="MS PGothic" w:hAnsi="MS PGothic"/>
          <w:sz w:val="18"/>
          <w:szCs w:val="18"/>
          <w:color w:val="0E2A35"/>
        </w:rPr>
      </w:pPr>
      <w:r>
        <w:rPr>
          <w:rFonts w:ascii="Arial" w:cs="Arial" w:eastAsia="Arial" w:hAnsi="Arial"/>
          <w:sz w:val="18"/>
          <w:szCs w:val="18"/>
          <w:color w:val="0E2A35"/>
        </w:rPr>
        <w:t>Definitive Additional Materials</w:t>
      </w:r>
    </w:p>
    <w:p>
      <w:pPr>
        <w:spacing w:after="0" w:line="184" w:lineRule="exact"/>
        <w:rPr>
          <w:rFonts w:ascii="MS PGothic" w:cs="MS PGothic" w:eastAsia="MS PGothic" w:hAnsi="MS PGothic"/>
          <w:sz w:val="18"/>
          <w:szCs w:val="18"/>
          <w:color w:val="0E2A35"/>
        </w:rPr>
      </w:pPr>
    </w:p>
    <w:p>
      <w:pPr>
        <w:ind w:left="440" w:hanging="432"/>
        <w:spacing w:after="0"/>
        <w:tabs>
          <w:tab w:leader="none" w:pos="440" w:val="left"/>
        </w:tabs>
        <w:numPr>
          <w:ilvl w:val="1"/>
          <w:numId w:val="1"/>
        </w:numPr>
        <w:rPr>
          <w:rFonts w:ascii="MS PGothic" w:cs="MS PGothic" w:eastAsia="MS PGothic" w:hAnsi="MS PGothic"/>
          <w:sz w:val="18"/>
          <w:szCs w:val="18"/>
          <w:color w:val="0E2A35"/>
        </w:rPr>
      </w:pPr>
      <w:r>
        <w:rPr>
          <w:rFonts w:ascii="Arial" w:cs="Arial" w:eastAsia="Arial" w:hAnsi="Arial"/>
          <w:sz w:val="18"/>
          <w:szCs w:val="18"/>
          <w:color w:val="0E2A35"/>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194945</wp:posOffset>
            </wp:positionV>
            <wp:extent cx="2202815" cy="523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81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180"/>
        <w:spacing w:after="0"/>
        <w:rPr>
          <w:sz w:val="20"/>
          <w:szCs w:val="20"/>
          <w:color w:val="auto"/>
        </w:rPr>
      </w:pPr>
      <w:r>
        <w:rPr>
          <w:rFonts w:ascii="Arial" w:cs="Arial" w:eastAsia="Arial" w:hAnsi="Arial"/>
          <w:sz w:val="18"/>
          <w:szCs w:val="18"/>
          <w:color w:val="0E2A35"/>
        </w:rPr>
        <w:t> </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0E2A35"/>
        </w:rPr>
        <w:t> </w:t>
      </w:r>
    </w:p>
    <w:p>
      <w:pPr>
        <w:spacing w:after="0" w:line="90"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0E2A35"/>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58420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25" w:lineRule="exact"/>
        <w:rPr>
          <w:sz w:val="24"/>
          <w:szCs w:val="24"/>
          <w:color w:val="auto"/>
        </w:rPr>
      </w:pPr>
    </w:p>
    <w:p>
      <w:pPr>
        <w:ind w:left="3140"/>
        <w:spacing w:after="0"/>
        <w:rPr>
          <w:sz w:val="20"/>
          <w:szCs w:val="20"/>
          <w:color w:val="auto"/>
        </w:rPr>
      </w:pPr>
      <w:r>
        <w:rPr>
          <w:rFonts w:ascii="Arial" w:cs="Arial" w:eastAsia="Arial" w:hAnsi="Arial"/>
          <w:sz w:val="18"/>
          <w:szCs w:val="18"/>
          <w:color w:val="0E2A35"/>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2240"/>
        <w:spacing w:after="0"/>
        <w:rPr>
          <w:sz w:val="20"/>
          <w:szCs w:val="20"/>
          <w:color w:val="auto"/>
        </w:rPr>
      </w:pPr>
      <w:r>
        <w:rPr>
          <w:rFonts w:ascii="Arial" w:cs="Arial" w:eastAsia="Arial" w:hAnsi="Arial"/>
          <w:sz w:val="17"/>
          <w:szCs w:val="17"/>
          <w:color w:val="0E2A35"/>
        </w:rPr>
        <w:t>(Name of Person(s) Filing Proxy Statement, if Other than the Registrant)</w:t>
      </w:r>
    </w:p>
    <w:p>
      <w:pPr>
        <w:spacing w:after="0" w:line="345" w:lineRule="exact"/>
        <w:rPr>
          <w:sz w:val="24"/>
          <w:szCs w:val="24"/>
          <w:color w:val="auto"/>
        </w:rPr>
      </w:pPr>
    </w:p>
    <w:p>
      <w:pPr>
        <w:ind w:left="120"/>
        <w:spacing w:after="0"/>
        <w:rPr>
          <w:sz w:val="20"/>
          <w:szCs w:val="20"/>
          <w:color w:val="auto"/>
        </w:rPr>
      </w:pPr>
      <w:r>
        <w:rPr>
          <w:rFonts w:ascii="Arial" w:cs="Arial" w:eastAsia="Arial" w:hAnsi="Arial"/>
          <w:sz w:val="18"/>
          <w:szCs w:val="18"/>
          <w:color w:val="0E2A35"/>
        </w:rPr>
        <w:t>Payment of Filing Fee (Check all boxes that apply):</w:t>
      </w:r>
    </w:p>
    <w:p>
      <w:pPr>
        <w:spacing w:after="0" w:line="185" w:lineRule="exact"/>
        <w:rPr>
          <w:sz w:val="24"/>
          <w:szCs w:val="24"/>
          <w:color w:val="auto"/>
        </w:rPr>
      </w:pPr>
    </w:p>
    <w:p>
      <w:pPr>
        <w:ind w:left="560" w:hanging="448"/>
        <w:spacing w:after="0"/>
        <w:tabs>
          <w:tab w:leader="none" w:pos="560" w:val="left"/>
        </w:tabs>
        <w:numPr>
          <w:ilvl w:val="0"/>
          <w:numId w:val="2"/>
        </w:numPr>
        <w:rPr>
          <w:rFonts w:ascii="MS PGothic" w:cs="MS PGothic" w:eastAsia="MS PGothic" w:hAnsi="MS PGothic"/>
          <w:sz w:val="18"/>
          <w:szCs w:val="18"/>
          <w:color w:val="0E2A35"/>
        </w:rPr>
      </w:pPr>
      <w:r>
        <w:rPr>
          <w:rFonts w:ascii="Arial" w:cs="Arial" w:eastAsia="Arial" w:hAnsi="Arial"/>
          <w:sz w:val="18"/>
          <w:szCs w:val="18"/>
          <w:color w:val="0E2A35"/>
        </w:rPr>
        <w:t>No fee required.</w:t>
      </w:r>
    </w:p>
    <w:p>
      <w:pPr>
        <w:spacing w:after="0" w:line="184" w:lineRule="exact"/>
        <w:rPr>
          <w:rFonts w:ascii="MS PGothic" w:cs="MS PGothic" w:eastAsia="MS PGothic" w:hAnsi="MS PGothic"/>
          <w:sz w:val="18"/>
          <w:szCs w:val="18"/>
          <w:color w:val="0E2A35"/>
        </w:rPr>
      </w:pPr>
    </w:p>
    <w:p>
      <w:pPr>
        <w:ind w:left="560" w:hanging="444"/>
        <w:spacing w:after="0"/>
        <w:tabs>
          <w:tab w:leader="none" w:pos="560" w:val="left"/>
        </w:tabs>
        <w:numPr>
          <w:ilvl w:val="1"/>
          <w:numId w:val="2"/>
        </w:numPr>
        <w:rPr>
          <w:rFonts w:ascii="MS PGothic" w:cs="MS PGothic" w:eastAsia="MS PGothic" w:hAnsi="MS PGothic"/>
          <w:sz w:val="18"/>
          <w:szCs w:val="18"/>
          <w:color w:val="0E2A35"/>
        </w:rPr>
      </w:pPr>
      <w:r>
        <w:rPr>
          <w:rFonts w:ascii="Arial" w:cs="Arial" w:eastAsia="Arial" w:hAnsi="Arial"/>
          <w:sz w:val="18"/>
          <w:szCs w:val="18"/>
          <w:color w:val="0E2A35"/>
        </w:rPr>
        <w:t>Fee previously paid with preliminary materials</w:t>
      </w:r>
    </w:p>
    <w:p>
      <w:pPr>
        <w:spacing w:after="0" w:line="184" w:lineRule="exact"/>
        <w:rPr>
          <w:rFonts w:ascii="MS PGothic" w:cs="MS PGothic" w:eastAsia="MS PGothic" w:hAnsi="MS PGothic"/>
          <w:sz w:val="18"/>
          <w:szCs w:val="18"/>
          <w:color w:val="0E2A35"/>
        </w:rPr>
      </w:pPr>
    </w:p>
    <w:p>
      <w:pPr>
        <w:ind w:left="560" w:hanging="444"/>
        <w:spacing w:after="0"/>
        <w:tabs>
          <w:tab w:leader="none" w:pos="560" w:val="left"/>
        </w:tabs>
        <w:numPr>
          <w:ilvl w:val="1"/>
          <w:numId w:val="2"/>
        </w:numPr>
        <w:rPr>
          <w:rFonts w:ascii="MS PGothic" w:cs="MS PGothic" w:eastAsia="MS PGothic" w:hAnsi="MS PGothic"/>
          <w:sz w:val="18"/>
          <w:szCs w:val="18"/>
          <w:color w:val="0E2A35"/>
        </w:rPr>
      </w:pPr>
      <w:r>
        <w:rPr>
          <w:rFonts w:ascii="Arial" w:cs="Arial" w:eastAsia="Arial" w:hAnsi="Arial"/>
          <w:sz w:val="18"/>
          <w:szCs w:val="18"/>
          <w:color w:val="0E2A35"/>
        </w:rPr>
        <w:t>Fee computed on table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417830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229235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288925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5"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255270</wp:posOffset>
            </wp:positionV>
            <wp:extent cx="6789420" cy="8709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89420" cy="870966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160655</wp:posOffset>
            </wp:positionV>
            <wp:extent cx="2820035" cy="2125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003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50"/>
          <w:szCs w:val="50"/>
          <w:b w:val="1"/>
          <w:bCs w:val="1"/>
          <w:color w:val="0E2A35"/>
        </w:rPr>
        <w:t>Dear Fellow</w:t>
      </w:r>
    </w:p>
    <w:p>
      <w:pPr>
        <w:spacing w:after="0" w:line="70" w:lineRule="exact"/>
        <w:rPr>
          <w:sz w:val="20"/>
          <w:szCs w:val="20"/>
          <w:color w:val="auto"/>
        </w:rPr>
      </w:pPr>
    </w:p>
    <w:p>
      <w:pPr>
        <w:spacing w:after="0"/>
        <w:tabs>
          <w:tab w:leader="none" w:pos="4800" w:val="left"/>
        </w:tabs>
        <w:rPr>
          <w:sz w:val="20"/>
          <w:szCs w:val="20"/>
          <w:color w:val="auto"/>
        </w:rPr>
      </w:pPr>
      <w:r>
        <w:rPr>
          <w:rFonts w:ascii="Arial" w:cs="Arial" w:eastAsia="Arial" w:hAnsi="Arial"/>
          <w:sz w:val="41"/>
          <w:szCs w:val="41"/>
          <w:b w:val="1"/>
          <w:bCs w:val="1"/>
          <w:color w:val="0E2A35"/>
        </w:rPr>
        <w:t>Shareholders,</w:t>
      </w:r>
      <w:r>
        <w:rPr>
          <w:sz w:val="20"/>
          <w:szCs w:val="20"/>
          <w:color w:val="auto"/>
        </w:rPr>
        <w:tab/>
      </w:r>
      <w:r>
        <w:rPr>
          <w:rFonts w:ascii="Arial" w:cs="Arial" w:eastAsia="Arial" w:hAnsi="Arial"/>
          <w:sz w:val="30"/>
          <w:szCs w:val="30"/>
          <w:color w:val="0E2A35"/>
          <w:vertAlign w:val="subscript"/>
        </w:rPr>
        <w:t> </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0E2A35"/>
        </w:rPr>
        <w:t> </w:t>
      </w:r>
    </w:p>
    <w:p>
      <w:pPr>
        <w:sectPr>
          <w:pgSz w:w="11900" w:h="16838" w:orient="portrait"/>
          <w:cols w:equalWidth="0" w:num="1">
            <w:col w:w="9280"/>
          </w:cols>
          <w:pgMar w:left="1300" w:top="265" w:right="1319" w:bottom="1440" w:gutter="0" w:footer="0" w:header="0"/>
        </w:sectPr>
      </w:pPr>
    </w:p>
    <w:p>
      <w:pPr>
        <w:spacing w:after="0" w:line="21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0E2A35"/>
        </w:rPr>
        <w:t>Winnebago Industries’ performance during fiscal 2023 underscores the resiliency of our business and unique appeal of our diverse portfolio of premium brands spanning the outdoor recreation industry. We are proud of our ability to step up in the face of macroeconomic uncertainty and a dynamic consumer environment to deliver strong results and position our business for lasting success and value creation.</w:t>
      </w:r>
    </w:p>
    <w:p>
      <w:pPr>
        <w:spacing w:after="0" w:line="165" w:lineRule="exact"/>
        <w:rPr>
          <w:sz w:val="20"/>
          <w:szCs w:val="20"/>
          <w:color w:val="auto"/>
        </w:rPr>
      </w:pPr>
    </w:p>
    <w:p>
      <w:pPr>
        <w:spacing w:after="0" w:line="249" w:lineRule="auto"/>
        <w:rPr>
          <w:sz w:val="20"/>
          <w:szCs w:val="20"/>
          <w:color w:val="auto"/>
        </w:rPr>
      </w:pPr>
      <w:r>
        <w:rPr>
          <w:rFonts w:ascii="Arial" w:cs="Arial" w:eastAsia="Arial" w:hAnsi="Arial"/>
          <w:sz w:val="16"/>
          <w:szCs w:val="16"/>
          <w:color w:val="0E2A35"/>
        </w:rPr>
        <w:t>The past year has brought its fair share of challenges from an uncertain economic environment to cautious consumer behavior. However, we remain intentional and unwavering in our efforts to right size inventory levels, optimize our supply chain, and appropriately manage capacity, output, and cost in a focused and targeted manner. Our disciplined approach to capital structure, nimble operations and ability to navigate dynamic environments has enabled Winnebago Industries to continue to invest in growth initiatives, including the development of new products, the continued expansion of our dealer network, and ongoing pursuit of accretive acquisitions.</w:t>
      </w:r>
    </w:p>
    <w:p>
      <w:pPr>
        <w:spacing w:after="0" w:line="15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0E2A35"/>
        </w:rPr>
        <w:t>An important moment for us in fiscal 2023 was the acquisition of Lithionics Battery. With this strategic vertical technology integration, we are accelerating our capabilities in diverse battery solutions and advancing our entire electrical supply ecosystem, positioning Winnebago Industries as a leader in electrification. Moreover, the acquisition is set to unlock immersive, off-the-grid outdoor experiences for our RV and marine customers.</w:t>
      </w:r>
    </w:p>
    <w:p>
      <w:pPr>
        <w:spacing w:after="0" w:line="15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0E2A35"/>
        </w:rPr>
        <w:t>Our growth and investments have allowed us to deliver strong cash flow and facilitated a healthy balance sheet from which we can continue to deliver value for shareholders. It was with great pleasure that we announced the approval of a 15% increase to our quarterly cash dividend in August. Winnebago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1276350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1002030</wp:posOffset>
            </wp:positionV>
            <wp:extent cx="1465580" cy="93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0E2A35"/>
        </w:rPr>
        <w:t>Industries has paid a quarterly dividend for 37 consecutive quarters and has increased the quarterly dividend in each of the last five years. This recent increase is yet another testament to our confidence in the long-term strength and trajectory of our business.</w:t>
      </w:r>
    </w:p>
    <w:p>
      <w:pPr>
        <w:spacing w:after="0" w:line="16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0E2A35"/>
        </w:rPr>
        <w:t>Sustainability remains paramount to our strategic approach, and we continue to champion responsible practices across our organization. Our commitment to meaningful environmental, social, and governance principles remains steadfast as we work to create a more sustainable future, expand outdoor equity and accessibility, and execute our mission to “Be great, outdoors.”</w:t>
      </w:r>
    </w:p>
    <w:p>
      <w:pPr>
        <w:spacing w:after="0" w:line="15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E2A35"/>
        </w:rPr>
        <w:t>The following proxy statement contains several items to be voted on at our upcoming annual meeting of shareholders, which is scheduled for December 14, 2023. We encourage you to participate in this virtual event and lend your voice to the matters at hand.</w:t>
      </w:r>
    </w:p>
    <w:p>
      <w:pPr>
        <w:spacing w:after="0" w:line="151" w:lineRule="exact"/>
        <w:rPr>
          <w:sz w:val="20"/>
          <w:szCs w:val="20"/>
          <w:color w:val="auto"/>
        </w:rPr>
      </w:pPr>
    </w:p>
    <w:p>
      <w:pPr>
        <w:jc w:val="both"/>
        <w:ind w:right="180"/>
        <w:spacing w:after="0" w:line="256" w:lineRule="auto"/>
        <w:rPr>
          <w:sz w:val="20"/>
          <w:szCs w:val="20"/>
          <w:color w:val="auto"/>
        </w:rPr>
      </w:pPr>
      <w:r>
        <w:rPr>
          <w:rFonts w:ascii="Arial" w:cs="Arial" w:eastAsia="Arial" w:hAnsi="Arial"/>
          <w:sz w:val="16"/>
          <w:szCs w:val="16"/>
          <w:color w:val="0E2A35"/>
        </w:rPr>
        <w:t>Thank you for entrusting us with your investment. We remain well positioned to further drive long-term value creation. Your support is instrumental as we continue our journey to inspire outdoor exploration and create lasting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210820</wp:posOffset>
            </wp:positionV>
            <wp:extent cx="114871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87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David W. Miles,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174879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Michael J. Happe,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President and Chief Executive Officer</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1</w:t>
      </w:r>
    </w:p>
    <w:p>
      <w:pPr>
        <w:sectPr>
          <w:pgSz w:w="11900" w:h="16838" w:orient="portrait"/>
          <w:cols w:equalWidth="0" w:num="2">
            <w:col w:w="4540" w:space="220"/>
            <w:col w:w="4520"/>
          </w:cols>
          <w:pgMar w:left="1300" w:top="265" w:right="13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160655</wp:posOffset>
            </wp:positionV>
            <wp:extent cx="1337310" cy="52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31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7000" w:type="dxa"/>
            <w:vAlign w:val="bottom"/>
            <w:gridSpan w:val="2"/>
          </w:tcPr>
          <w:p>
            <w:pPr>
              <w:spacing w:after="0"/>
              <w:rPr>
                <w:sz w:val="20"/>
                <w:szCs w:val="20"/>
                <w:color w:val="auto"/>
              </w:rPr>
            </w:pPr>
            <w:r>
              <w:rPr>
                <w:rFonts w:ascii="Arial" w:cs="Arial" w:eastAsia="Arial" w:hAnsi="Arial"/>
                <w:sz w:val="25"/>
                <w:szCs w:val="25"/>
                <w:b w:val="1"/>
                <w:bCs w:val="1"/>
                <w:color w:val="0E2A35"/>
              </w:rPr>
              <w:t>Notice of Annual Meeting of Shareholders</w:t>
            </w:r>
          </w:p>
        </w:tc>
        <w:tc>
          <w:tcPr>
            <w:tcW w:w="2280" w:type="dxa"/>
            <w:vAlign w:val="bottom"/>
          </w:tcPr>
          <w:p>
            <w:pPr>
              <w:spacing w:after="0"/>
              <w:rPr>
                <w:sz w:val="24"/>
                <w:szCs w:val="24"/>
                <w:color w:val="auto"/>
              </w:rPr>
            </w:pPr>
          </w:p>
        </w:tc>
      </w:tr>
      <w:tr>
        <w:trPr>
          <w:trHeight w:val="354"/>
        </w:trPr>
        <w:tc>
          <w:tcPr>
            <w:tcW w:w="7000" w:type="dxa"/>
            <w:vAlign w:val="bottom"/>
            <w:gridSpan w:val="2"/>
          </w:tcPr>
          <w:p>
            <w:pPr>
              <w:spacing w:after="0"/>
              <w:rPr>
                <w:sz w:val="20"/>
                <w:szCs w:val="20"/>
                <w:color w:val="auto"/>
              </w:rPr>
            </w:pPr>
            <w:r>
              <w:rPr>
                <w:rFonts w:ascii="Arial" w:cs="Arial" w:eastAsia="Arial" w:hAnsi="Arial"/>
                <w:sz w:val="25"/>
                <w:szCs w:val="25"/>
                <w:b w:val="1"/>
                <w:bCs w:val="1"/>
                <w:color w:val="0E2A35"/>
              </w:rPr>
              <w:t>to be held December 14, 2023</w:t>
            </w:r>
          </w:p>
        </w:tc>
        <w:tc>
          <w:tcPr>
            <w:tcW w:w="2280" w:type="dxa"/>
            <w:vAlign w:val="bottom"/>
          </w:tcPr>
          <w:p>
            <w:pPr>
              <w:ind w:left="180"/>
              <w:spacing w:after="0"/>
              <w:rPr>
                <w:sz w:val="20"/>
                <w:szCs w:val="20"/>
                <w:color w:val="auto"/>
              </w:rPr>
            </w:pPr>
            <w:r>
              <w:rPr>
                <w:rFonts w:ascii="Arial" w:cs="Arial" w:eastAsia="Arial" w:hAnsi="Arial"/>
                <w:sz w:val="18"/>
                <w:szCs w:val="18"/>
                <w:color w:val="0E2A35"/>
              </w:rPr>
              <w:t> </w:t>
            </w:r>
          </w:p>
        </w:tc>
      </w:tr>
      <w:tr>
        <w:trPr>
          <w:trHeight w:val="108"/>
        </w:trPr>
        <w:tc>
          <w:tcPr>
            <w:tcW w:w="246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280" w:type="dxa"/>
            <w:vAlign w:val="bottom"/>
          </w:tcPr>
          <w:p>
            <w:pPr>
              <w:spacing w:after="0"/>
              <w:rPr>
                <w:sz w:val="9"/>
                <w:szCs w:val="9"/>
                <w:color w:val="auto"/>
              </w:rPr>
            </w:pPr>
          </w:p>
        </w:tc>
      </w:tr>
      <w:tr>
        <w:trPr>
          <w:trHeight w:val="716"/>
        </w:trPr>
        <w:tc>
          <w:tcPr>
            <w:tcW w:w="2460" w:type="dxa"/>
            <w:vAlign w:val="bottom"/>
            <w:shd w:val="clear" w:color="auto" w:fill="0E2A35"/>
          </w:tcPr>
          <w:p>
            <w:pPr>
              <w:ind w:left="140"/>
              <w:spacing w:after="0"/>
              <w:rPr>
                <w:sz w:val="20"/>
                <w:szCs w:val="20"/>
                <w:color w:val="auto"/>
              </w:rPr>
            </w:pPr>
            <w:r>
              <w:rPr>
                <w:rFonts w:ascii="Arial" w:cs="Arial" w:eastAsia="Arial" w:hAnsi="Arial"/>
                <w:sz w:val="16"/>
                <w:szCs w:val="16"/>
                <w:color w:val="FFFFFF"/>
              </w:rPr>
              <w:t xml:space="preserve">  </w:t>
            </w:r>
          </w:p>
        </w:tc>
        <w:tc>
          <w:tcPr>
            <w:tcW w:w="4540" w:type="dxa"/>
            <w:vAlign w:val="bottom"/>
            <w:shd w:val="clear" w:color="auto" w:fill="0E2A35"/>
          </w:tcPr>
          <w:p>
            <w:pPr>
              <w:ind w:left="560"/>
              <w:spacing w:after="0"/>
              <w:rPr>
                <w:sz w:val="20"/>
                <w:szCs w:val="20"/>
                <w:color w:val="auto"/>
              </w:rPr>
            </w:pPr>
            <w:r>
              <w:rPr>
                <w:rFonts w:ascii="Arial" w:cs="Arial" w:eastAsia="Arial" w:hAnsi="Arial"/>
                <w:sz w:val="16"/>
                <w:szCs w:val="16"/>
                <w:color w:val="FFFFFF"/>
              </w:rPr>
              <w:t xml:space="preserve">  </w:t>
            </w:r>
          </w:p>
        </w:tc>
        <w:tc>
          <w:tcPr>
            <w:tcW w:w="2280" w:type="dxa"/>
            <w:vAlign w:val="bottom"/>
            <w:shd w:val="clear" w:color="auto" w:fill="0E2A35"/>
          </w:tcPr>
          <w:p>
            <w:pPr>
              <w:ind w:left="780"/>
              <w:spacing w:after="0"/>
              <w:rPr>
                <w:sz w:val="20"/>
                <w:szCs w:val="20"/>
                <w:color w:val="auto"/>
              </w:rPr>
            </w:pPr>
            <w:r>
              <w:rPr>
                <w:rFonts w:ascii="Arial" w:cs="Arial" w:eastAsia="Arial" w:hAnsi="Arial"/>
                <w:sz w:val="16"/>
                <w:szCs w:val="16"/>
                <w:color w:val="FFFFFF"/>
              </w:rPr>
              <w:t> </w:t>
            </w:r>
          </w:p>
        </w:tc>
      </w:tr>
      <w:tr>
        <w:trPr>
          <w:trHeight w:val="219"/>
        </w:trPr>
        <w:tc>
          <w:tcPr>
            <w:tcW w:w="2460" w:type="dxa"/>
            <w:vAlign w:val="bottom"/>
            <w:shd w:val="clear" w:color="auto" w:fill="0E2A35"/>
          </w:tcPr>
          <w:p>
            <w:pPr>
              <w:jc w:val="center"/>
              <w:spacing w:after="0"/>
              <w:rPr>
                <w:sz w:val="20"/>
                <w:szCs w:val="20"/>
                <w:color w:val="auto"/>
              </w:rPr>
            </w:pPr>
            <w:r>
              <w:rPr>
                <w:rFonts w:ascii="Arial" w:cs="Arial" w:eastAsia="Arial" w:hAnsi="Arial"/>
                <w:sz w:val="16"/>
                <w:szCs w:val="16"/>
                <w:b w:val="1"/>
                <w:bCs w:val="1"/>
                <w:color w:val="FFFFFF"/>
              </w:rPr>
              <w:t>Time and Date:</w:t>
            </w:r>
          </w:p>
        </w:tc>
        <w:tc>
          <w:tcPr>
            <w:tcW w:w="4540" w:type="dxa"/>
            <w:vAlign w:val="bottom"/>
            <w:shd w:val="clear" w:color="auto" w:fill="0E2A35"/>
          </w:tcPr>
          <w:p>
            <w:pPr>
              <w:jc w:val="center"/>
              <w:ind w:left="619"/>
              <w:spacing w:after="0"/>
              <w:rPr>
                <w:sz w:val="20"/>
                <w:szCs w:val="20"/>
                <w:color w:val="auto"/>
              </w:rPr>
            </w:pPr>
            <w:r>
              <w:rPr>
                <w:rFonts w:ascii="Arial" w:cs="Arial" w:eastAsia="Arial" w:hAnsi="Arial"/>
                <w:sz w:val="16"/>
                <w:szCs w:val="16"/>
                <w:b w:val="1"/>
                <w:bCs w:val="1"/>
                <w:color w:val="FFFFFF"/>
              </w:rPr>
              <w:t>Place:</w:t>
            </w:r>
          </w:p>
        </w:tc>
        <w:tc>
          <w:tcPr>
            <w:tcW w:w="2280" w:type="dxa"/>
            <w:vAlign w:val="bottom"/>
            <w:shd w:val="clear" w:color="auto" w:fill="0E2A35"/>
          </w:tcPr>
          <w:p>
            <w:pPr>
              <w:ind w:left="1000"/>
              <w:spacing w:after="0"/>
              <w:rPr>
                <w:sz w:val="20"/>
                <w:szCs w:val="20"/>
                <w:color w:val="auto"/>
              </w:rPr>
            </w:pPr>
            <w:r>
              <w:rPr>
                <w:rFonts w:ascii="Arial" w:cs="Arial" w:eastAsia="Arial" w:hAnsi="Arial"/>
                <w:sz w:val="16"/>
                <w:szCs w:val="16"/>
                <w:b w:val="1"/>
                <w:bCs w:val="1"/>
                <w:color w:val="FFFFFF"/>
              </w:rPr>
              <w:t>Record Date:</w:t>
            </w:r>
          </w:p>
        </w:tc>
      </w:tr>
      <w:tr>
        <w:trPr>
          <w:trHeight w:val="216"/>
        </w:trPr>
        <w:tc>
          <w:tcPr>
            <w:tcW w:w="2460" w:type="dxa"/>
            <w:vAlign w:val="bottom"/>
            <w:shd w:val="clear" w:color="auto" w:fill="0E2A35"/>
          </w:tcPr>
          <w:p>
            <w:pPr>
              <w:jc w:val="center"/>
              <w:spacing w:after="0"/>
              <w:rPr>
                <w:sz w:val="20"/>
                <w:szCs w:val="20"/>
                <w:color w:val="auto"/>
              </w:rPr>
            </w:pPr>
            <w:r>
              <w:rPr>
                <w:rFonts w:ascii="Arial" w:cs="Arial" w:eastAsia="Arial" w:hAnsi="Arial"/>
                <w:sz w:val="16"/>
                <w:szCs w:val="16"/>
                <w:color w:val="FFFFFF"/>
                <w:w w:val="98"/>
              </w:rPr>
              <w:t>Thursday,</w:t>
            </w:r>
          </w:p>
        </w:tc>
        <w:tc>
          <w:tcPr>
            <w:tcW w:w="4540" w:type="dxa"/>
            <w:vAlign w:val="bottom"/>
            <w:shd w:val="clear" w:color="auto" w:fill="0E2A35"/>
          </w:tcPr>
          <w:p>
            <w:pPr>
              <w:jc w:val="center"/>
              <w:ind w:left="619"/>
              <w:spacing w:after="0"/>
              <w:rPr>
                <w:sz w:val="20"/>
                <w:szCs w:val="20"/>
                <w:color w:val="auto"/>
              </w:rPr>
            </w:pPr>
            <w:r>
              <w:rPr>
                <w:rFonts w:ascii="Arial" w:cs="Arial" w:eastAsia="Arial" w:hAnsi="Arial"/>
                <w:sz w:val="16"/>
                <w:szCs w:val="16"/>
                <w:color w:val="FFFFFF"/>
              </w:rPr>
              <w:t>The annual meeting will be held virtually.</w:t>
            </w:r>
          </w:p>
        </w:tc>
        <w:tc>
          <w:tcPr>
            <w:tcW w:w="2280" w:type="dxa"/>
            <w:vAlign w:val="bottom"/>
            <w:shd w:val="clear" w:color="auto" w:fill="0E2A35"/>
          </w:tcPr>
          <w:p>
            <w:pPr>
              <w:ind w:left="900"/>
              <w:spacing w:after="0"/>
              <w:rPr>
                <w:sz w:val="20"/>
                <w:szCs w:val="20"/>
                <w:color w:val="auto"/>
              </w:rPr>
            </w:pPr>
            <w:r>
              <w:rPr>
                <w:rFonts w:ascii="Arial" w:cs="Arial" w:eastAsia="Arial" w:hAnsi="Arial"/>
                <w:sz w:val="16"/>
                <w:szCs w:val="16"/>
                <w:color w:val="FFFFFF"/>
              </w:rPr>
              <w:t>October 19, 2023​</w:t>
            </w:r>
          </w:p>
        </w:tc>
      </w:tr>
      <w:tr>
        <w:trPr>
          <w:trHeight w:val="203"/>
        </w:trPr>
        <w:tc>
          <w:tcPr>
            <w:tcW w:w="2460" w:type="dxa"/>
            <w:vAlign w:val="bottom"/>
            <w:shd w:val="clear" w:color="auto" w:fill="0E2A35"/>
          </w:tcPr>
          <w:p>
            <w:pPr>
              <w:jc w:val="center"/>
              <w:spacing w:after="0"/>
              <w:rPr>
                <w:sz w:val="20"/>
                <w:szCs w:val="20"/>
                <w:color w:val="auto"/>
              </w:rPr>
            </w:pPr>
            <w:r>
              <w:rPr>
                <w:rFonts w:ascii="Arial" w:cs="Arial" w:eastAsia="Arial" w:hAnsi="Arial"/>
                <w:sz w:val="16"/>
                <w:szCs w:val="16"/>
                <w:color w:val="FFFFFF"/>
              </w:rPr>
              <w:t>December 14, 2023</w:t>
            </w:r>
          </w:p>
        </w:tc>
        <w:tc>
          <w:tcPr>
            <w:tcW w:w="4540" w:type="dxa"/>
            <w:vAlign w:val="bottom"/>
            <w:shd w:val="clear" w:color="auto" w:fill="0E2A35"/>
          </w:tcPr>
          <w:p>
            <w:pPr>
              <w:jc w:val="center"/>
              <w:ind w:left="659"/>
              <w:spacing w:after="0"/>
              <w:rPr>
                <w:sz w:val="20"/>
                <w:szCs w:val="20"/>
                <w:color w:val="auto"/>
              </w:rPr>
            </w:pPr>
            <w:r>
              <w:rPr>
                <w:rFonts w:ascii="Arial" w:cs="Arial" w:eastAsia="Arial" w:hAnsi="Arial"/>
                <w:sz w:val="16"/>
                <w:szCs w:val="16"/>
                <w:color w:val="FFFFFF"/>
              </w:rPr>
              <w:t>www.virtualshareholdermeeting.com/WGO2023</w:t>
            </w:r>
          </w:p>
        </w:tc>
        <w:tc>
          <w:tcPr>
            <w:tcW w:w="2280" w:type="dxa"/>
            <w:vAlign w:val="bottom"/>
            <w:shd w:val="clear" w:color="auto" w:fill="0E2A35"/>
          </w:tcPr>
          <w:p>
            <w:pPr>
              <w:spacing w:after="0"/>
              <w:rPr>
                <w:sz w:val="17"/>
                <w:szCs w:val="17"/>
                <w:color w:val="auto"/>
              </w:rPr>
            </w:pPr>
          </w:p>
        </w:tc>
      </w:tr>
      <w:tr>
        <w:trPr>
          <w:trHeight w:val="189"/>
        </w:trPr>
        <w:tc>
          <w:tcPr>
            <w:tcW w:w="2460" w:type="dxa"/>
            <w:vAlign w:val="bottom"/>
            <w:shd w:val="clear" w:color="auto" w:fill="0E2A35"/>
          </w:tcPr>
          <w:p>
            <w:pPr>
              <w:jc w:val="center"/>
              <w:spacing w:after="0"/>
              <w:rPr>
                <w:sz w:val="20"/>
                <w:szCs w:val="20"/>
                <w:color w:val="auto"/>
              </w:rPr>
            </w:pPr>
            <w:r>
              <w:rPr>
                <w:rFonts w:ascii="Arial" w:cs="Arial" w:eastAsia="Arial" w:hAnsi="Arial"/>
                <w:sz w:val="16"/>
                <w:szCs w:val="16"/>
                <w:color w:val="FFFFFF"/>
              </w:rPr>
              <w:t>4:00 p.m. Central</w:t>
            </w:r>
          </w:p>
        </w:tc>
        <w:tc>
          <w:tcPr>
            <w:tcW w:w="4540" w:type="dxa"/>
            <w:vAlign w:val="bottom"/>
            <w:shd w:val="clear" w:color="auto" w:fill="0E2A35"/>
          </w:tcPr>
          <w:p>
            <w:pPr>
              <w:spacing w:after="0"/>
              <w:rPr>
                <w:sz w:val="16"/>
                <w:szCs w:val="16"/>
                <w:color w:val="auto"/>
              </w:rPr>
            </w:pPr>
          </w:p>
        </w:tc>
        <w:tc>
          <w:tcPr>
            <w:tcW w:w="2280" w:type="dxa"/>
            <w:vAlign w:val="bottom"/>
            <w:shd w:val="clear" w:color="auto" w:fill="0E2A35"/>
          </w:tcPr>
          <w:p>
            <w:pPr>
              <w:spacing w:after="0"/>
              <w:rPr>
                <w:sz w:val="16"/>
                <w:szCs w:val="16"/>
                <w:color w:val="auto"/>
              </w:rPr>
            </w:pPr>
          </w:p>
        </w:tc>
      </w:tr>
      <w:tr>
        <w:trPr>
          <w:trHeight w:val="207"/>
        </w:trPr>
        <w:tc>
          <w:tcPr>
            <w:tcW w:w="2460" w:type="dxa"/>
            <w:vAlign w:val="bottom"/>
            <w:shd w:val="clear" w:color="auto" w:fill="0E2A35"/>
          </w:tcPr>
          <w:p>
            <w:pPr>
              <w:jc w:val="center"/>
              <w:spacing w:after="0"/>
              <w:rPr>
                <w:sz w:val="20"/>
                <w:szCs w:val="20"/>
                <w:color w:val="auto"/>
              </w:rPr>
            </w:pPr>
            <w:r>
              <w:rPr>
                <w:rFonts w:ascii="Arial" w:cs="Arial" w:eastAsia="Arial" w:hAnsi="Arial"/>
                <w:sz w:val="16"/>
                <w:szCs w:val="16"/>
                <w:color w:val="FFFFFF"/>
              </w:rPr>
              <w:t>Standard Time</w:t>
            </w:r>
          </w:p>
        </w:tc>
        <w:tc>
          <w:tcPr>
            <w:tcW w:w="4540" w:type="dxa"/>
            <w:vAlign w:val="bottom"/>
            <w:shd w:val="clear" w:color="auto" w:fill="0E2A35"/>
          </w:tcPr>
          <w:p>
            <w:pPr>
              <w:spacing w:after="0"/>
              <w:rPr>
                <w:sz w:val="17"/>
                <w:szCs w:val="17"/>
                <w:color w:val="auto"/>
              </w:rPr>
            </w:pPr>
          </w:p>
        </w:tc>
        <w:tc>
          <w:tcPr>
            <w:tcW w:w="2280" w:type="dxa"/>
            <w:vAlign w:val="bottom"/>
            <w:shd w:val="clear" w:color="auto" w:fill="0E2A35"/>
          </w:tcPr>
          <w:p>
            <w:pPr>
              <w:spacing w:after="0"/>
              <w:rPr>
                <w:sz w:val="17"/>
                <w:szCs w:val="17"/>
                <w:color w:val="auto"/>
              </w:rPr>
            </w:pPr>
          </w:p>
        </w:tc>
      </w:tr>
      <w:tr>
        <w:trPr>
          <w:trHeight w:val="276"/>
        </w:trPr>
        <w:tc>
          <w:tcPr>
            <w:tcW w:w="2460" w:type="dxa"/>
            <w:vAlign w:val="bottom"/>
            <w:shd w:val="clear" w:color="auto" w:fill="0E2A35"/>
          </w:tcPr>
          <w:p>
            <w:pPr>
              <w:spacing w:after="0"/>
              <w:rPr>
                <w:sz w:val="24"/>
                <w:szCs w:val="24"/>
                <w:color w:val="auto"/>
              </w:rPr>
            </w:pPr>
          </w:p>
        </w:tc>
        <w:tc>
          <w:tcPr>
            <w:tcW w:w="4540" w:type="dxa"/>
            <w:vAlign w:val="bottom"/>
            <w:shd w:val="clear" w:color="auto" w:fill="0E2A35"/>
          </w:tcPr>
          <w:p>
            <w:pPr>
              <w:spacing w:after="0"/>
              <w:rPr>
                <w:sz w:val="24"/>
                <w:szCs w:val="24"/>
                <w:color w:val="auto"/>
              </w:rPr>
            </w:pPr>
          </w:p>
        </w:tc>
        <w:tc>
          <w:tcPr>
            <w:tcW w:w="2280" w:type="dxa"/>
            <w:vAlign w:val="bottom"/>
            <w:shd w:val="clear" w:color="auto" w:fill="0E2A3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-1285240</wp:posOffset>
            </wp:positionV>
            <wp:extent cx="68580" cy="128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285875"/>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-1285240</wp:posOffset>
            </wp:positionV>
            <wp:extent cx="68580" cy="128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285875"/>
                    </a:xfrm>
                    <a:prstGeom prst="rect">
                      <a:avLst/>
                    </a:prstGeom>
                    <a:noFill/>
                  </pic:spPr>
                </pic:pic>
              </a:graphicData>
            </a:graphic>
          </wp:anchor>
        </w:drawing>
        <w:drawing>
          <wp:anchor simplePos="0" relativeHeight="251657728" behindDoc="1" locked="0" layoutInCell="0" allowOverlap="1">
            <wp:simplePos x="0" y="0"/>
            <wp:positionH relativeFrom="column">
              <wp:posOffset>685800</wp:posOffset>
            </wp:positionH>
            <wp:positionV relativeFrom="paragraph">
              <wp:posOffset>-1105535</wp:posOffset>
            </wp:positionV>
            <wp:extent cx="17970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3145790</wp:posOffset>
            </wp:positionH>
            <wp:positionV relativeFrom="paragraph">
              <wp:posOffset>-1105535</wp:posOffset>
            </wp:positionV>
            <wp:extent cx="1885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5340350</wp:posOffset>
            </wp:positionH>
            <wp:positionV relativeFrom="paragraph">
              <wp:posOffset>-1105535</wp:posOffset>
            </wp:positionV>
            <wp:extent cx="1631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0E2A35"/>
        </w:rPr>
        <w:t>Winnebago Industries, Inc. (Winnebago Industries or the Company) will hold its 2023 annual meeting of shareholders (Annual Meeting) on Thursday, December 14, 2023 at 4:00 p.m. Central Standard Time. The Annual Meeting will be completely virtual. The proxy materials were either made available to you over the internet or mailed to you on or about November 3, 2023. At the Annual Meeting, shareholders will be asked to:</w:t>
      </w:r>
    </w:p>
    <w:p>
      <w:pPr>
        <w:spacing w:after="0" w:line="133" w:lineRule="exact"/>
        <w:rPr>
          <w:sz w:val="20"/>
          <w:szCs w:val="20"/>
          <w:color w:val="auto"/>
        </w:rPr>
      </w:pPr>
    </w:p>
    <w:p>
      <w:pPr>
        <w:ind w:left="180" w:right="220" w:hanging="180"/>
        <w:spacing w:after="0" w:line="302" w:lineRule="auto"/>
        <w:tabs>
          <w:tab w:leader="none" w:pos="180" w:val="left"/>
        </w:tabs>
        <w:numPr>
          <w:ilvl w:val="0"/>
          <w:numId w:val="3"/>
        </w:numPr>
        <w:rPr>
          <w:rFonts w:ascii="Arial" w:cs="Arial" w:eastAsia="Arial" w:hAnsi="Arial"/>
          <w:sz w:val="16"/>
          <w:szCs w:val="16"/>
          <w:b w:val="1"/>
          <w:bCs w:val="1"/>
          <w:color w:val="0E2A35"/>
        </w:rPr>
      </w:pPr>
      <w:r>
        <w:rPr>
          <w:rFonts w:ascii="Arial" w:cs="Arial" w:eastAsia="Arial" w:hAnsi="Arial"/>
          <w:sz w:val="16"/>
          <w:szCs w:val="16"/>
          <w:b w:val="1"/>
          <w:bCs w:val="1"/>
          <w:color w:val="0E2A35"/>
        </w:rPr>
        <w:t>Elect four Class III directors to hold office for a three-year term</w:t>
      </w:r>
    </w:p>
    <w:p>
      <w:pPr>
        <w:spacing w:after="0" w:line="76" w:lineRule="exact"/>
        <w:rPr>
          <w:rFonts w:ascii="Arial" w:cs="Arial" w:eastAsia="Arial" w:hAnsi="Arial"/>
          <w:sz w:val="16"/>
          <w:szCs w:val="16"/>
          <w:b w:val="1"/>
          <w:bCs w:val="1"/>
          <w:color w:val="0E2A35"/>
        </w:rPr>
      </w:pPr>
    </w:p>
    <w:p>
      <w:pPr>
        <w:ind w:left="180" w:hanging="180"/>
        <w:spacing w:after="0" w:line="302" w:lineRule="auto"/>
        <w:tabs>
          <w:tab w:leader="none" w:pos="180" w:val="left"/>
        </w:tabs>
        <w:numPr>
          <w:ilvl w:val="0"/>
          <w:numId w:val="3"/>
        </w:numPr>
        <w:rPr>
          <w:rFonts w:ascii="Arial" w:cs="Arial" w:eastAsia="Arial" w:hAnsi="Arial"/>
          <w:sz w:val="16"/>
          <w:szCs w:val="16"/>
          <w:b w:val="1"/>
          <w:bCs w:val="1"/>
          <w:color w:val="0E2A35"/>
        </w:rPr>
      </w:pPr>
      <w:r>
        <w:rPr>
          <w:rFonts w:ascii="Arial" w:cs="Arial" w:eastAsia="Arial" w:hAnsi="Arial"/>
          <w:sz w:val="16"/>
          <w:szCs w:val="16"/>
          <w:b w:val="1"/>
          <w:bCs w:val="1"/>
          <w:color w:val="0E2A35"/>
        </w:rPr>
        <w:t>Approve, on an advisory basis, the compensation of our named executive officers</w:t>
      </w:r>
    </w:p>
    <w:p>
      <w:pPr>
        <w:spacing w:after="0" w:line="76" w:lineRule="exact"/>
        <w:rPr>
          <w:rFonts w:ascii="Arial" w:cs="Arial" w:eastAsia="Arial" w:hAnsi="Arial"/>
          <w:sz w:val="16"/>
          <w:szCs w:val="16"/>
          <w:b w:val="1"/>
          <w:bCs w:val="1"/>
          <w:color w:val="0E2A35"/>
        </w:rPr>
      </w:pPr>
    </w:p>
    <w:p>
      <w:pPr>
        <w:ind w:left="180" w:right="120" w:hanging="180"/>
        <w:spacing w:after="0" w:line="274" w:lineRule="auto"/>
        <w:tabs>
          <w:tab w:leader="none" w:pos="180" w:val="left"/>
        </w:tabs>
        <w:numPr>
          <w:ilvl w:val="0"/>
          <w:numId w:val="3"/>
        </w:numPr>
        <w:rPr>
          <w:rFonts w:ascii="Arial" w:cs="Arial" w:eastAsia="Arial" w:hAnsi="Arial"/>
          <w:sz w:val="16"/>
          <w:szCs w:val="16"/>
          <w:b w:val="1"/>
          <w:bCs w:val="1"/>
          <w:color w:val="0E2A35"/>
        </w:rPr>
      </w:pPr>
      <w:r>
        <w:rPr>
          <w:rFonts w:ascii="Arial" w:cs="Arial" w:eastAsia="Arial" w:hAnsi="Arial"/>
          <w:sz w:val="16"/>
          <w:szCs w:val="16"/>
          <w:b w:val="1"/>
          <w:bCs w:val="1"/>
          <w:color w:val="0E2A35"/>
        </w:rPr>
        <w:t>Approve, on an advisory basis, the frequency of future advisory votes on the compensation of our named executive officers</w:t>
      </w:r>
    </w:p>
    <w:p>
      <w:pPr>
        <w:spacing w:after="0" w:line="98" w:lineRule="exact"/>
        <w:rPr>
          <w:rFonts w:ascii="Arial" w:cs="Arial" w:eastAsia="Arial" w:hAnsi="Arial"/>
          <w:sz w:val="16"/>
          <w:szCs w:val="16"/>
          <w:b w:val="1"/>
          <w:bCs w:val="1"/>
          <w:color w:val="0E2A35"/>
        </w:rPr>
      </w:pPr>
    </w:p>
    <w:p>
      <w:pPr>
        <w:ind w:left="180" w:right="440" w:hanging="180"/>
        <w:spacing w:after="0" w:line="302" w:lineRule="auto"/>
        <w:tabs>
          <w:tab w:leader="none" w:pos="180" w:val="left"/>
        </w:tabs>
        <w:numPr>
          <w:ilvl w:val="0"/>
          <w:numId w:val="3"/>
        </w:numPr>
        <w:rPr>
          <w:rFonts w:ascii="Arial" w:cs="Arial" w:eastAsia="Arial" w:hAnsi="Arial"/>
          <w:sz w:val="16"/>
          <w:szCs w:val="16"/>
          <w:b w:val="1"/>
          <w:bCs w:val="1"/>
          <w:color w:val="0E2A35"/>
        </w:rPr>
      </w:pPr>
      <w:r>
        <w:rPr>
          <w:rFonts w:ascii="Arial" w:cs="Arial" w:eastAsia="Arial" w:hAnsi="Arial"/>
          <w:sz w:val="16"/>
          <w:szCs w:val="16"/>
          <w:b w:val="1"/>
          <w:bCs w:val="1"/>
          <w:color w:val="0E2A35"/>
        </w:rPr>
        <w:t>Approve our amended and restated 2019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309245</wp:posOffset>
            </wp:positionV>
            <wp:extent cx="13284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68" w:right="320" w:hanging="168"/>
        <w:spacing w:after="0" w:line="302" w:lineRule="auto"/>
        <w:tabs>
          <w:tab w:leader="none" w:pos="168" w:val="left"/>
        </w:tabs>
        <w:numPr>
          <w:ilvl w:val="0"/>
          <w:numId w:val="4"/>
        </w:numPr>
        <w:rPr>
          <w:rFonts w:ascii="Arial" w:cs="Arial" w:eastAsia="Arial" w:hAnsi="Arial"/>
          <w:sz w:val="16"/>
          <w:szCs w:val="16"/>
          <w:b w:val="1"/>
          <w:bCs w:val="1"/>
          <w:color w:val="0E2A35"/>
        </w:rPr>
      </w:pPr>
      <w:r>
        <w:rPr>
          <w:rFonts w:ascii="Arial" w:cs="Arial" w:eastAsia="Arial" w:hAnsi="Arial"/>
          <w:sz w:val="16"/>
          <w:szCs w:val="16"/>
          <w:b w:val="1"/>
          <w:bCs w:val="1"/>
          <w:color w:val="0E2A35"/>
        </w:rPr>
        <w:t>Approve our amended and restated Employee Stock Purchase Plan</w:t>
      </w:r>
    </w:p>
    <w:p>
      <w:pPr>
        <w:spacing w:after="0" w:line="76" w:lineRule="exact"/>
        <w:rPr>
          <w:rFonts w:ascii="Arial" w:cs="Arial" w:eastAsia="Arial" w:hAnsi="Arial"/>
          <w:sz w:val="16"/>
          <w:szCs w:val="16"/>
          <w:b w:val="1"/>
          <w:bCs w:val="1"/>
          <w:color w:val="0E2A35"/>
        </w:rPr>
      </w:pPr>
    </w:p>
    <w:p>
      <w:pPr>
        <w:ind w:left="168" w:hanging="168"/>
        <w:spacing w:after="0" w:line="302" w:lineRule="auto"/>
        <w:tabs>
          <w:tab w:leader="none" w:pos="168" w:val="left"/>
        </w:tabs>
        <w:numPr>
          <w:ilvl w:val="0"/>
          <w:numId w:val="4"/>
        </w:numPr>
        <w:rPr>
          <w:rFonts w:ascii="Arial" w:cs="Arial" w:eastAsia="Arial" w:hAnsi="Arial"/>
          <w:sz w:val="16"/>
          <w:szCs w:val="16"/>
          <w:b w:val="1"/>
          <w:bCs w:val="1"/>
          <w:color w:val="0E2A35"/>
        </w:rPr>
      </w:pPr>
      <w:r>
        <w:rPr>
          <w:rFonts w:ascii="Arial" w:cs="Arial" w:eastAsia="Arial" w:hAnsi="Arial"/>
          <w:sz w:val="16"/>
          <w:szCs w:val="16"/>
          <w:b w:val="1"/>
          <w:bCs w:val="1"/>
          <w:color w:val="0E2A35"/>
        </w:rPr>
        <w:t>Ratify the selection of Deloitte &amp; Touche LLP as our independent registered public accountant for fiscal 2024</w:t>
      </w:r>
    </w:p>
    <w:p>
      <w:pPr>
        <w:spacing w:after="0" w:line="85" w:lineRule="exact"/>
        <w:rPr>
          <w:sz w:val="20"/>
          <w:szCs w:val="20"/>
          <w:color w:val="auto"/>
        </w:rPr>
      </w:pPr>
    </w:p>
    <w:p>
      <w:pPr>
        <w:ind w:left="8" w:right="460"/>
        <w:spacing w:after="0" w:line="261" w:lineRule="auto"/>
        <w:rPr>
          <w:sz w:val="20"/>
          <w:szCs w:val="20"/>
          <w:color w:val="auto"/>
        </w:rPr>
      </w:pPr>
      <w:r>
        <w:rPr>
          <w:rFonts w:ascii="Arial" w:cs="Arial" w:eastAsia="Arial" w:hAnsi="Arial"/>
          <w:sz w:val="16"/>
          <w:szCs w:val="16"/>
          <w:color w:val="0E2A35"/>
        </w:rPr>
        <w:t>Only shareholders of record at the close of business on October 19, 2023 may vote at the Annual Meeting or any adjournment thereof.</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6"/>
          <w:szCs w:val="16"/>
          <w:color w:val="0E2A35"/>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232410</wp:posOffset>
            </wp:positionV>
            <wp:extent cx="143129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3129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
        <w:spacing w:after="0"/>
        <w:rPr>
          <w:sz w:val="20"/>
          <w:szCs w:val="20"/>
          <w:color w:val="auto"/>
        </w:rPr>
      </w:pPr>
      <w:r>
        <w:rPr>
          <w:rFonts w:ascii="Arial" w:cs="Arial" w:eastAsia="Arial" w:hAnsi="Arial"/>
          <w:sz w:val="16"/>
          <w:szCs w:val="16"/>
          <w:color w:val="0E2A35"/>
        </w:rPr>
        <w:t> </w:t>
      </w:r>
    </w:p>
    <w:p>
      <w:pPr>
        <w:spacing w:after="0" w:line="21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E2A35"/>
        </w:rPr>
        <w:t>Stacy L. Bogart</w:t>
      </w:r>
    </w:p>
    <w:p>
      <w:pPr>
        <w:spacing w:after="0" w:line="25" w:lineRule="exact"/>
        <w:rPr>
          <w:sz w:val="20"/>
          <w:szCs w:val="20"/>
          <w:color w:val="auto"/>
        </w:rPr>
      </w:pPr>
    </w:p>
    <w:p>
      <w:pPr>
        <w:ind w:left="8" w:right="560"/>
        <w:spacing w:after="0" w:line="260" w:lineRule="auto"/>
        <w:rPr>
          <w:sz w:val="20"/>
          <w:szCs w:val="20"/>
          <w:color w:val="auto"/>
        </w:rPr>
      </w:pPr>
      <w:r>
        <w:rPr>
          <w:rFonts w:ascii="Arial" w:cs="Arial" w:eastAsia="Arial" w:hAnsi="Arial"/>
          <w:sz w:val="16"/>
          <w:szCs w:val="16"/>
          <w:color w:val="0E2A35"/>
        </w:rPr>
        <w:t>Senior Vice President, General Counsel, Secretary and Corporate Responsibility</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6"/>
          <w:szCs w:val="16"/>
          <w:color w:val="0E2A35"/>
        </w:rPr>
        <w:t>Eden Prairie, MN</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6"/>
          <w:szCs w:val="16"/>
          <w:color w:val="0E2A35"/>
        </w:rPr>
        <w:t>November 3, 2023</w:t>
      </w:r>
    </w:p>
    <w:p>
      <w:pPr>
        <w:spacing w:after="0" w:line="146" w:lineRule="exact"/>
        <w:rPr>
          <w:sz w:val="20"/>
          <w:szCs w:val="20"/>
          <w:color w:val="auto"/>
        </w:rPr>
      </w:pPr>
    </w:p>
    <w:p>
      <w:pPr>
        <w:sectPr>
          <w:pgSz w:w="11900" w:h="16838" w:orient="portrait"/>
          <w:cols w:equalWidth="0" w:num="2">
            <w:col w:w="4500" w:space="252"/>
            <w:col w:w="4528"/>
          </w:cols>
          <w:pgMar w:left="1300" w:top="265" w:right="1319" w:bottom="1440" w:gutter="0" w:footer="0" w:header="0"/>
          <w:type w:val="continuous"/>
        </w:sectPr>
      </w:pPr>
    </w:p>
    <w:p>
      <w:pPr>
        <w:spacing w:after="0"/>
        <w:rPr>
          <w:sz w:val="20"/>
          <w:szCs w:val="20"/>
          <w:color w:val="auto"/>
        </w:rPr>
      </w:pPr>
      <w:r>
        <w:rPr>
          <w:rFonts w:ascii="Arial" w:cs="Arial" w:eastAsia="Arial" w:hAnsi="Arial"/>
          <w:sz w:val="21"/>
          <w:szCs w:val="21"/>
          <w:b w:val="1"/>
          <w:bCs w:val="1"/>
          <w:color w:val="C7D265"/>
        </w:rPr>
        <w:t>Review the Proxy Statement and Vote in One of Four Ways</w:t>
      </w:r>
    </w:p>
    <w:p>
      <w:pPr>
        <w:sectPr>
          <w:pgSz w:w="11900" w:h="16838" w:orient="portrait"/>
          <w:cols w:equalWidth="0" w:num="1">
            <w:col w:w="9280"/>
          </w:cols>
          <w:pgMar w:left="1300" w:top="265" w:right="1319"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During the Virtual Meeting:</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6"/>
          <w:szCs w:val="16"/>
          <w:color w:val="0E2A35"/>
        </w:rPr>
        <w:t>Attend the live webcast meeting at 4:00 p.m. CST on December 14, 2023 by visiting www.virtualshareholdermeeting.com/WGO2023 and voting during the meeting.</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By Phone: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0E2A35"/>
        </w:rPr>
        <w:t>Call 1-800-690-6903 to vote by telephone.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By Internet:</w:t>
      </w:r>
    </w:p>
    <w:p>
      <w:pPr>
        <w:spacing w:after="0" w:line="67"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0E2A35"/>
        </w:rPr>
        <w:t>Visit www.proxyvote.com and follow the instructions to vote by internet.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By Mail:</w:t>
      </w:r>
    </w:p>
    <w:p>
      <w:pPr>
        <w:spacing w:after="0" w:line="67"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0E2A35"/>
        </w:rPr>
        <w:t>Complete and sign your proxy card and return it in the enclosed postage pre-paid envelope. If you received a Notice of Internet Availability, your notice provides instructions for requesting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56515</wp:posOffset>
            </wp:positionV>
            <wp:extent cx="5897880" cy="925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97880" cy="925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560"/>
            <w:col w:w="4520"/>
          </w:cols>
          <w:pgMar w:left="1300" w:top="265" w:right="1319" w:bottom="1440" w:gutter="0" w:footer="0" w:header="0"/>
          <w:type w:val="continuous"/>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Your Vote Is Important</w:t>
      </w:r>
    </w:p>
    <w:p>
      <w:pPr>
        <w:spacing w:after="0" w:line="148" w:lineRule="exact"/>
        <w:rPr>
          <w:sz w:val="20"/>
          <w:szCs w:val="20"/>
          <w:color w:val="auto"/>
        </w:rPr>
      </w:pPr>
    </w:p>
    <w:p>
      <w:pPr>
        <w:jc w:val="center"/>
        <w:ind w:left="60" w:right="60"/>
        <w:spacing w:after="0" w:line="261" w:lineRule="auto"/>
        <w:rPr>
          <w:sz w:val="20"/>
          <w:szCs w:val="20"/>
          <w:color w:val="auto"/>
        </w:rPr>
      </w:pPr>
      <w:r>
        <w:rPr>
          <w:rFonts w:ascii="Arial" w:cs="Arial" w:eastAsia="Arial" w:hAnsi="Arial"/>
          <w:sz w:val="16"/>
          <w:szCs w:val="16"/>
          <w:color w:val="FFFFFF"/>
        </w:rPr>
        <w:t>Whether or not you expect to attend the Annual Meeting, please vote via the internet or telephone or request a paper proxy card to complete, sign and return by mail so that your shares may be voted. A prompt response is helpful and your cooperation is appreciated.</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 w:type="dxa"/>
            <w:vAlign w:val="bottom"/>
            <w:shd w:val="clear" w:color="auto" w:fill="0E2A35"/>
          </w:tcPr>
          <w:p>
            <w:pPr>
              <w:spacing w:after="0"/>
              <w:rPr>
                <w:sz w:val="22"/>
                <w:szCs w:val="22"/>
                <w:color w:val="auto"/>
              </w:rPr>
            </w:pPr>
          </w:p>
        </w:tc>
        <w:tc>
          <w:tcPr>
            <w:tcW w:w="38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120" w:type="dxa"/>
            <w:vAlign w:val="bottom"/>
            <w:shd w:val="clear" w:color="auto" w:fill="0E2A35"/>
          </w:tcPr>
          <w:p>
            <w:pPr>
              <w:spacing w:after="0"/>
              <w:rPr>
                <w:sz w:val="22"/>
                <w:szCs w:val="22"/>
                <w:color w:val="auto"/>
              </w:rPr>
            </w:pPr>
          </w:p>
        </w:tc>
        <w:tc>
          <w:tcPr>
            <w:tcW w:w="140" w:type="dxa"/>
            <w:vAlign w:val="bottom"/>
            <w:shd w:val="clear" w:color="auto" w:fill="0E2A35"/>
          </w:tcPr>
          <w:p>
            <w:pPr>
              <w:spacing w:after="0"/>
              <w:rPr>
                <w:sz w:val="22"/>
                <w:szCs w:val="22"/>
                <w:color w:val="auto"/>
              </w:rPr>
            </w:pPr>
          </w:p>
        </w:tc>
        <w:tc>
          <w:tcPr>
            <w:tcW w:w="280" w:type="dxa"/>
            <w:vAlign w:val="bottom"/>
            <w:shd w:val="clear" w:color="auto" w:fill="0E2A35"/>
          </w:tcPr>
          <w:p>
            <w:pPr>
              <w:spacing w:after="0"/>
              <w:rPr>
                <w:sz w:val="22"/>
                <w:szCs w:val="22"/>
                <w:color w:val="auto"/>
              </w:rPr>
            </w:pPr>
          </w:p>
        </w:tc>
        <w:tc>
          <w:tcPr>
            <w:tcW w:w="12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8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140" w:type="dxa"/>
            <w:vAlign w:val="bottom"/>
            <w:shd w:val="clear" w:color="auto" w:fill="0E2A35"/>
          </w:tcPr>
          <w:p>
            <w:pPr>
              <w:spacing w:after="0"/>
              <w:rPr>
                <w:sz w:val="22"/>
                <w:szCs w:val="22"/>
                <w:color w:val="auto"/>
              </w:rPr>
            </w:pPr>
          </w:p>
        </w:tc>
        <w:tc>
          <w:tcPr>
            <w:tcW w:w="12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10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40" w:type="dxa"/>
            <w:vAlign w:val="bottom"/>
            <w:shd w:val="clear" w:color="auto" w:fill="0E2A35"/>
          </w:tcPr>
          <w:p>
            <w:pPr>
              <w:spacing w:after="0"/>
              <w:rPr>
                <w:sz w:val="22"/>
                <w:szCs w:val="22"/>
                <w:color w:val="auto"/>
              </w:rPr>
            </w:pPr>
          </w:p>
        </w:tc>
        <w:tc>
          <w:tcPr>
            <w:tcW w:w="40" w:type="dxa"/>
            <w:vAlign w:val="bottom"/>
            <w:shd w:val="clear" w:color="auto" w:fill="0E2A35"/>
          </w:tcPr>
          <w:p>
            <w:pPr>
              <w:spacing w:after="0"/>
              <w:rPr>
                <w:sz w:val="22"/>
                <w:szCs w:val="22"/>
                <w:color w:val="auto"/>
              </w:rPr>
            </w:pPr>
          </w:p>
        </w:tc>
        <w:tc>
          <w:tcPr>
            <w:tcW w:w="40" w:type="dxa"/>
            <w:vAlign w:val="bottom"/>
            <w:shd w:val="clear" w:color="auto" w:fill="0E2A35"/>
          </w:tcPr>
          <w:p>
            <w:pPr>
              <w:spacing w:after="0"/>
              <w:rPr>
                <w:sz w:val="22"/>
                <w:szCs w:val="22"/>
                <w:color w:val="auto"/>
              </w:rPr>
            </w:pPr>
          </w:p>
        </w:tc>
        <w:tc>
          <w:tcPr>
            <w:tcW w:w="140" w:type="dxa"/>
            <w:vAlign w:val="bottom"/>
            <w:shd w:val="clear" w:color="auto" w:fill="0E2A35"/>
          </w:tcPr>
          <w:p>
            <w:pPr>
              <w:spacing w:after="0"/>
              <w:rPr>
                <w:sz w:val="22"/>
                <w:szCs w:val="22"/>
                <w:color w:val="auto"/>
              </w:rPr>
            </w:pPr>
          </w:p>
        </w:tc>
        <w:tc>
          <w:tcPr>
            <w:tcW w:w="140" w:type="dxa"/>
            <w:vAlign w:val="bottom"/>
            <w:shd w:val="clear" w:color="auto" w:fill="0E2A35"/>
          </w:tcPr>
          <w:p>
            <w:pPr>
              <w:spacing w:after="0"/>
              <w:rPr>
                <w:sz w:val="22"/>
                <w:szCs w:val="22"/>
                <w:color w:val="auto"/>
              </w:rPr>
            </w:pPr>
          </w:p>
        </w:tc>
        <w:tc>
          <w:tcPr>
            <w:tcW w:w="40" w:type="dxa"/>
            <w:vAlign w:val="bottom"/>
            <w:shd w:val="clear" w:color="auto" w:fill="0E2A35"/>
          </w:tcPr>
          <w:p>
            <w:pPr>
              <w:spacing w:after="0"/>
              <w:rPr>
                <w:sz w:val="22"/>
                <w:szCs w:val="22"/>
                <w:color w:val="auto"/>
              </w:rPr>
            </w:pPr>
          </w:p>
        </w:tc>
        <w:tc>
          <w:tcPr>
            <w:tcW w:w="10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20" w:type="dxa"/>
            <w:vAlign w:val="bottom"/>
            <w:shd w:val="clear" w:color="auto" w:fill="0E2A35"/>
          </w:tcPr>
          <w:p>
            <w:pPr>
              <w:spacing w:after="0"/>
              <w:rPr>
                <w:sz w:val="22"/>
                <w:szCs w:val="22"/>
                <w:color w:val="auto"/>
              </w:rPr>
            </w:pPr>
          </w:p>
        </w:tc>
        <w:tc>
          <w:tcPr>
            <w:tcW w:w="280" w:type="dxa"/>
            <w:vAlign w:val="bottom"/>
            <w:shd w:val="clear" w:color="auto" w:fill="0E2A35"/>
          </w:tcPr>
          <w:p>
            <w:pPr>
              <w:spacing w:after="0"/>
              <w:rPr>
                <w:sz w:val="22"/>
                <w:szCs w:val="22"/>
                <w:color w:val="auto"/>
              </w:rPr>
            </w:pPr>
          </w:p>
        </w:tc>
        <w:tc>
          <w:tcPr>
            <w:tcW w:w="40" w:type="dxa"/>
            <w:vAlign w:val="bottom"/>
            <w:shd w:val="clear" w:color="auto" w:fill="0E2A35"/>
          </w:tcPr>
          <w:p>
            <w:pPr>
              <w:spacing w:after="0"/>
              <w:rPr>
                <w:sz w:val="22"/>
                <w:szCs w:val="22"/>
                <w:color w:val="auto"/>
              </w:rPr>
            </w:pPr>
          </w:p>
        </w:tc>
        <w:tc>
          <w:tcPr>
            <w:tcW w:w="160" w:type="dxa"/>
            <w:vAlign w:val="bottom"/>
            <w:shd w:val="clear" w:color="auto" w:fill="0E2A35"/>
          </w:tcPr>
          <w:p>
            <w:pPr>
              <w:spacing w:after="0"/>
              <w:rPr>
                <w:sz w:val="22"/>
                <w:szCs w:val="22"/>
                <w:color w:val="auto"/>
              </w:rPr>
            </w:pPr>
          </w:p>
        </w:tc>
        <w:tc>
          <w:tcPr>
            <w:tcW w:w="380" w:type="dxa"/>
            <w:vAlign w:val="bottom"/>
            <w:shd w:val="clear" w:color="auto" w:fill="0E2A35"/>
          </w:tcPr>
          <w:p>
            <w:pPr>
              <w:spacing w:after="0"/>
              <w:rPr>
                <w:sz w:val="22"/>
                <w:szCs w:val="22"/>
                <w:color w:val="auto"/>
              </w:rPr>
            </w:pPr>
          </w:p>
        </w:tc>
        <w:tc>
          <w:tcPr>
            <w:tcW w:w="240" w:type="dxa"/>
            <w:vAlign w:val="bottom"/>
            <w:shd w:val="clear" w:color="auto" w:fill="0E2A35"/>
          </w:tcPr>
          <w:p>
            <w:pPr>
              <w:spacing w:after="0"/>
              <w:rPr>
                <w:sz w:val="22"/>
                <w:szCs w:val="22"/>
                <w:color w:val="auto"/>
              </w:rPr>
            </w:pPr>
          </w:p>
        </w:tc>
        <w:tc>
          <w:tcPr>
            <w:tcW w:w="1080" w:type="dxa"/>
            <w:vAlign w:val="bottom"/>
            <w:shd w:val="clear" w:color="auto" w:fill="0E2A35"/>
          </w:tcPr>
          <w:p>
            <w:pPr>
              <w:spacing w:after="0"/>
              <w:rPr>
                <w:sz w:val="22"/>
                <w:szCs w:val="22"/>
                <w:color w:val="auto"/>
              </w:rPr>
            </w:pPr>
          </w:p>
        </w:tc>
        <w:tc>
          <w:tcPr>
            <w:tcW w:w="1240" w:type="dxa"/>
            <w:vAlign w:val="bottom"/>
            <w:shd w:val="clear" w:color="auto" w:fill="0E2A35"/>
          </w:tcPr>
          <w:p>
            <w:pPr>
              <w:spacing w:after="0"/>
              <w:rPr>
                <w:sz w:val="22"/>
                <w:szCs w:val="22"/>
                <w:color w:val="auto"/>
              </w:rPr>
            </w:pPr>
          </w:p>
        </w:tc>
        <w:tc>
          <w:tcPr>
            <w:tcW w:w="1480" w:type="dxa"/>
            <w:vAlign w:val="bottom"/>
            <w:shd w:val="clear" w:color="auto" w:fill="0E2A35"/>
          </w:tcPr>
          <w:p>
            <w:pPr>
              <w:spacing w:after="0"/>
              <w:rPr>
                <w:sz w:val="22"/>
                <w:szCs w:val="22"/>
                <w:color w:val="auto"/>
              </w:rPr>
            </w:pPr>
          </w:p>
        </w:tc>
        <w:tc>
          <w:tcPr>
            <w:tcW w:w="1800" w:type="dxa"/>
            <w:vAlign w:val="bottom"/>
            <w:tcBorders>
              <w:right w:val="single" w:sz="8" w:color="0E2A35"/>
            </w:tcBorders>
            <w:gridSpan w:val="8"/>
            <w:shd w:val="clear" w:color="auto" w:fill="0E2A35"/>
          </w:tcPr>
          <w:p>
            <w:pPr>
              <w:jc w:val="center"/>
              <w:ind w:left="1409"/>
              <w:spacing w:after="0"/>
              <w:rPr>
                <w:sz w:val="20"/>
                <w:szCs w:val="20"/>
                <w:color w:val="auto"/>
              </w:rPr>
            </w:pPr>
            <w:r>
              <w:rPr>
                <w:rFonts w:ascii="Arial" w:cs="Arial" w:eastAsia="Arial" w:hAnsi="Arial"/>
                <w:sz w:val="13"/>
                <w:szCs w:val="13"/>
                <w:b w:val="1"/>
                <w:bCs w:val="1"/>
                <w:color w:val="FFFFFF"/>
              </w:rPr>
              <w:t>Page​​</w:t>
            </w:r>
          </w:p>
        </w:tc>
        <w:tc>
          <w:tcPr>
            <w:tcW w:w="20" w:type="dxa"/>
            <w:vAlign w:val="bottom"/>
          </w:tcPr>
          <w:p>
            <w:pPr>
              <w:spacing w:after="0"/>
              <w:rPr>
                <w:sz w:val="22"/>
                <w:szCs w:val="22"/>
                <w:color w:val="auto"/>
              </w:rPr>
            </w:pPr>
          </w:p>
        </w:tc>
      </w:tr>
      <w:tr>
        <w:trPr>
          <w:trHeight w:val="89"/>
        </w:trPr>
        <w:tc>
          <w:tcPr>
            <w:tcW w:w="60" w:type="dxa"/>
            <w:vAlign w:val="bottom"/>
            <w:shd w:val="clear" w:color="auto" w:fill="0E2A35"/>
          </w:tcPr>
          <w:p>
            <w:pPr>
              <w:spacing w:after="0"/>
              <w:rPr>
                <w:sz w:val="7"/>
                <w:szCs w:val="7"/>
                <w:color w:val="auto"/>
              </w:rPr>
            </w:pPr>
          </w:p>
        </w:tc>
        <w:tc>
          <w:tcPr>
            <w:tcW w:w="1060" w:type="dxa"/>
            <w:vAlign w:val="bottom"/>
            <w:gridSpan w:val="6"/>
            <w:shd w:val="clear" w:color="auto" w:fill="0E2A35"/>
          </w:tcPr>
          <w:p>
            <w:pPr>
              <w:spacing w:after="0"/>
              <w:rPr>
                <w:sz w:val="7"/>
                <w:szCs w:val="7"/>
                <w:color w:val="auto"/>
              </w:rPr>
            </w:pPr>
          </w:p>
        </w:tc>
        <w:tc>
          <w:tcPr>
            <w:tcW w:w="100" w:type="dxa"/>
            <w:vAlign w:val="bottom"/>
            <w:gridSpan w:val="2"/>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60" w:type="dxa"/>
            <w:vAlign w:val="bottom"/>
            <w:shd w:val="clear" w:color="auto" w:fill="0E2A35"/>
          </w:tcPr>
          <w:p>
            <w:pPr>
              <w:spacing w:after="0"/>
              <w:rPr>
                <w:sz w:val="7"/>
                <w:szCs w:val="7"/>
                <w:color w:val="auto"/>
              </w:rPr>
            </w:pPr>
          </w:p>
        </w:tc>
        <w:tc>
          <w:tcPr>
            <w:tcW w:w="60" w:type="dxa"/>
            <w:vAlign w:val="bottom"/>
            <w:shd w:val="clear" w:color="auto" w:fill="0E2A35"/>
          </w:tcPr>
          <w:p>
            <w:pPr>
              <w:spacing w:after="0"/>
              <w:rPr>
                <w:sz w:val="7"/>
                <w:szCs w:val="7"/>
                <w:color w:val="auto"/>
              </w:rPr>
            </w:pPr>
          </w:p>
        </w:tc>
        <w:tc>
          <w:tcPr>
            <w:tcW w:w="140" w:type="dxa"/>
            <w:vAlign w:val="bottom"/>
            <w:shd w:val="clear" w:color="auto" w:fill="0E2A35"/>
          </w:tcPr>
          <w:p>
            <w:pPr>
              <w:spacing w:after="0"/>
              <w:rPr>
                <w:sz w:val="7"/>
                <w:szCs w:val="7"/>
                <w:color w:val="auto"/>
              </w:rPr>
            </w:pPr>
          </w:p>
        </w:tc>
        <w:tc>
          <w:tcPr>
            <w:tcW w:w="12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10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60" w:type="dxa"/>
            <w:vAlign w:val="bottom"/>
            <w:shd w:val="clear" w:color="auto" w:fill="0E2A35"/>
          </w:tcPr>
          <w:p>
            <w:pPr>
              <w:spacing w:after="0"/>
              <w:rPr>
                <w:sz w:val="7"/>
                <w:szCs w:val="7"/>
                <w:color w:val="auto"/>
              </w:rPr>
            </w:pPr>
          </w:p>
        </w:tc>
        <w:tc>
          <w:tcPr>
            <w:tcW w:w="6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40" w:type="dxa"/>
            <w:vAlign w:val="bottom"/>
            <w:shd w:val="clear" w:color="auto" w:fill="0E2A35"/>
          </w:tcPr>
          <w:p>
            <w:pPr>
              <w:spacing w:after="0"/>
              <w:rPr>
                <w:sz w:val="7"/>
                <w:szCs w:val="7"/>
                <w:color w:val="auto"/>
              </w:rPr>
            </w:pPr>
          </w:p>
        </w:tc>
        <w:tc>
          <w:tcPr>
            <w:tcW w:w="40" w:type="dxa"/>
            <w:vAlign w:val="bottom"/>
            <w:shd w:val="clear" w:color="auto" w:fill="0E2A35"/>
          </w:tcPr>
          <w:p>
            <w:pPr>
              <w:spacing w:after="0"/>
              <w:rPr>
                <w:sz w:val="7"/>
                <w:szCs w:val="7"/>
                <w:color w:val="auto"/>
              </w:rPr>
            </w:pPr>
          </w:p>
        </w:tc>
        <w:tc>
          <w:tcPr>
            <w:tcW w:w="40" w:type="dxa"/>
            <w:vAlign w:val="bottom"/>
            <w:shd w:val="clear" w:color="auto" w:fill="0E2A35"/>
          </w:tcPr>
          <w:p>
            <w:pPr>
              <w:spacing w:after="0"/>
              <w:rPr>
                <w:sz w:val="7"/>
                <w:szCs w:val="7"/>
                <w:color w:val="auto"/>
              </w:rPr>
            </w:pPr>
          </w:p>
        </w:tc>
        <w:tc>
          <w:tcPr>
            <w:tcW w:w="140" w:type="dxa"/>
            <w:vAlign w:val="bottom"/>
            <w:shd w:val="clear" w:color="auto" w:fill="0E2A35"/>
          </w:tcPr>
          <w:p>
            <w:pPr>
              <w:spacing w:after="0"/>
              <w:rPr>
                <w:sz w:val="7"/>
                <w:szCs w:val="7"/>
                <w:color w:val="auto"/>
              </w:rPr>
            </w:pPr>
          </w:p>
        </w:tc>
        <w:tc>
          <w:tcPr>
            <w:tcW w:w="140" w:type="dxa"/>
            <w:vAlign w:val="bottom"/>
            <w:shd w:val="clear" w:color="auto" w:fill="0E2A35"/>
          </w:tcPr>
          <w:p>
            <w:pPr>
              <w:spacing w:after="0"/>
              <w:rPr>
                <w:sz w:val="7"/>
                <w:szCs w:val="7"/>
                <w:color w:val="auto"/>
              </w:rPr>
            </w:pPr>
          </w:p>
        </w:tc>
        <w:tc>
          <w:tcPr>
            <w:tcW w:w="40" w:type="dxa"/>
            <w:vAlign w:val="bottom"/>
            <w:shd w:val="clear" w:color="auto" w:fill="0E2A35"/>
          </w:tcPr>
          <w:p>
            <w:pPr>
              <w:spacing w:after="0"/>
              <w:rPr>
                <w:sz w:val="7"/>
                <w:szCs w:val="7"/>
                <w:color w:val="auto"/>
              </w:rPr>
            </w:pPr>
          </w:p>
        </w:tc>
        <w:tc>
          <w:tcPr>
            <w:tcW w:w="10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6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280" w:type="dxa"/>
            <w:vAlign w:val="bottom"/>
            <w:shd w:val="clear" w:color="auto" w:fill="0E2A35"/>
          </w:tcPr>
          <w:p>
            <w:pPr>
              <w:spacing w:after="0"/>
              <w:rPr>
                <w:sz w:val="7"/>
                <w:szCs w:val="7"/>
                <w:color w:val="auto"/>
              </w:rPr>
            </w:pPr>
          </w:p>
        </w:tc>
        <w:tc>
          <w:tcPr>
            <w:tcW w:w="40" w:type="dxa"/>
            <w:vAlign w:val="bottom"/>
            <w:shd w:val="clear" w:color="auto" w:fill="0E2A35"/>
          </w:tcPr>
          <w:p>
            <w:pPr>
              <w:spacing w:after="0"/>
              <w:rPr>
                <w:sz w:val="7"/>
                <w:szCs w:val="7"/>
                <w:color w:val="auto"/>
              </w:rPr>
            </w:pPr>
          </w:p>
        </w:tc>
        <w:tc>
          <w:tcPr>
            <w:tcW w:w="160" w:type="dxa"/>
            <w:vAlign w:val="bottom"/>
            <w:shd w:val="clear" w:color="auto" w:fill="0E2A35"/>
          </w:tcPr>
          <w:p>
            <w:pPr>
              <w:spacing w:after="0"/>
              <w:rPr>
                <w:sz w:val="7"/>
                <w:szCs w:val="7"/>
                <w:color w:val="auto"/>
              </w:rPr>
            </w:pPr>
          </w:p>
        </w:tc>
        <w:tc>
          <w:tcPr>
            <w:tcW w:w="380" w:type="dxa"/>
            <w:vAlign w:val="bottom"/>
            <w:shd w:val="clear" w:color="auto" w:fill="0E2A35"/>
          </w:tcPr>
          <w:p>
            <w:pPr>
              <w:spacing w:after="0"/>
              <w:rPr>
                <w:sz w:val="7"/>
                <w:szCs w:val="7"/>
                <w:color w:val="auto"/>
              </w:rPr>
            </w:pPr>
          </w:p>
        </w:tc>
        <w:tc>
          <w:tcPr>
            <w:tcW w:w="240" w:type="dxa"/>
            <w:vAlign w:val="bottom"/>
            <w:shd w:val="clear" w:color="auto" w:fill="0E2A35"/>
          </w:tcPr>
          <w:p>
            <w:pPr>
              <w:spacing w:after="0"/>
              <w:rPr>
                <w:sz w:val="7"/>
                <w:szCs w:val="7"/>
                <w:color w:val="auto"/>
              </w:rPr>
            </w:pPr>
          </w:p>
        </w:tc>
        <w:tc>
          <w:tcPr>
            <w:tcW w:w="1080" w:type="dxa"/>
            <w:vAlign w:val="bottom"/>
            <w:shd w:val="clear" w:color="auto" w:fill="0E2A35"/>
          </w:tcPr>
          <w:p>
            <w:pPr>
              <w:spacing w:after="0"/>
              <w:rPr>
                <w:sz w:val="7"/>
                <w:szCs w:val="7"/>
                <w:color w:val="auto"/>
              </w:rPr>
            </w:pPr>
          </w:p>
        </w:tc>
        <w:tc>
          <w:tcPr>
            <w:tcW w:w="1240" w:type="dxa"/>
            <w:vAlign w:val="bottom"/>
            <w:shd w:val="clear" w:color="auto" w:fill="0E2A35"/>
          </w:tcPr>
          <w:p>
            <w:pPr>
              <w:spacing w:after="0"/>
              <w:rPr>
                <w:sz w:val="7"/>
                <w:szCs w:val="7"/>
                <w:color w:val="auto"/>
              </w:rPr>
            </w:pPr>
          </w:p>
        </w:tc>
        <w:tc>
          <w:tcPr>
            <w:tcW w:w="1480" w:type="dxa"/>
            <w:vAlign w:val="bottom"/>
            <w:shd w:val="clear" w:color="auto" w:fill="0E2A35"/>
          </w:tcPr>
          <w:p>
            <w:pPr>
              <w:spacing w:after="0"/>
              <w:rPr>
                <w:sz w:val="7"/>
                <w:szCs w:val="7"/>
                <w:color w:val="auto"/>
              </w:rPr>
            </w:pPr>
          </w:p>
        </w:tc>
        <w:tc>
          <w:tcPr>
            <w:tcW w:w="154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40" w:type="dxa"/>
            <w:vAlign w:val="bottom"/>
            <w:shd w:val="clear" w:color="auto" w:fill="0E2A35"/>
          </w:tcPr>
          <w:p>
            <w:pPr>
              <w:spacing w:after="0"/>
              <w:rPr>
                <w:sz w:val="7"/>
                <w:szCs w:val="7"/>
                <w:color w:val="auto"/>
              </w:rPr>
            </w:pPr>
          </w:p>
        </w:tc>
        <w:tc>
          <w:tcPr>
            <w:tcW w:w="8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60" w:type="dxa"/>
            <w:vAlign w:val="bottom"/>
            <w:tcBorders>
              <w:right w:val="single" w:sz="8" w:color="0E2A35"/>
            </w:tcBorders>
            <w:shd w:val="clear" w:color="auto" w:fill="0E2A35"/>
          </w:tcPr>
          <w:p>
            <w:pPr>
              <w:spacing w:after="0"/>
              <w:rPr>
                <w:sz w:val="7"/>
                <w:szCs w:val="7"/>
                <w:color w:val="auto"/>
              </w:rPr>
            </w:pPr>
          </w:p>
        </w:tc>
        <w:tc>
          <w:tcPr>
            <w:tcW w:w="20" w:type="dxa"/>
            <w:vAlign w:val="bottom"/>
          </w:tcPr>
          <w:p>
            <w:pPr>
              <w:spacing w:after="0"/>
              <w:rPr>
                <w:sz w:val="7"/>
                <w:szCs w:val="7"/>
                <w:color w:val="auto"/>
              </w:rPr>
            </w:pPr>
          </w:p>
        </w:tc>
      </w:tr>
      <w:tr>
        <w:trPr>
          <w:trHeight w:val="257"/>
        </w:trPr>
        <w:tc>
          <w:tcPr>
            <w:tcW w:w="60" w:type="dxa"/>
            <w:vAlign w:val="bottom"/>
          </w:tcPr>
          <w:p>
            <w:pPr>
              <w:spacing w:after="0"/>
              <w:rPr>
                <w:sz w:val="22"/>
                <w:szCs w:val="22"/>
                <w:color w:val="auto"/>
              </w:rPr>
            </w:pPr>
          </w:p>
        </w:tc>
        <w:tc>
          <w:tcPr>
            <w:tcW w:w="7420" w:type="dxa"/>
            <w:vAlign w:val="bottom"/>
            <w:gridSpan w:val="39"/>
          </w:tcPr>
          <w:p>
            <w:pPr>
              <w:spacing w:after="0"/>
              <w:rPr>
                <w:sz w:val="20"/>
                <w:szCs w:val="20"/>
                <w:color w:val="auto"/>
              </w:rPr>
            </w:pPr>
            <w:r>
              <w:rPr>
                <w:rFonts w:ascii="Arial" w:cs="Arial" w:eastAsia="Arial" w:hAnsi="Arial"/>
                <w:sz w:val="14"/>
                <w:szCs w:val="14"/>
                <w:b w:val="1"/>
                <w:bCs w:val="1"/>
                <w:color w:val="0000EE"/>
              </w:rPr>
              <w:t>Proxy Statement Summary</w:t>
            </w: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5"/>
          </w:tcPr>
          <w:p>
            <w:pPr>
              <w:jc w:val="right"/>
              <w:ind w:right="120"/>
              <w:spacing w:after="0"/>
              <w:rPr>
                <w:sz w:val="20"/>
                <w:szCs w:val="20"/>
                <w:color w:val="auto"/>
              </w:rPr>
            </w:pPr>
            <w:r>
              <w:rPr>
                <w:rFonts w:ascii="Arial" w:cs="Arial" w:eastAsia="Arial" w:hAnsi="Arial"/>
                <w:sz w:val="14"/>
                <w:szCs w:val="14"/>
                <w:color w:val="0000EE"/>
                <w:w w:val="76"/>
              </w:rPr>
              <w:t>5​</w:t>
            </w: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0000EE"/>
                <w:w w:val="95"/>
              </w:rPr>
              <w:t>Voting​</w:t>
            </w:r>
          </w:p>
        </w:tc>
        <w:tc>
          <w:tcPr>
            <w:tcW w:w="680" w:type="dxa"/>
            <w:vAlign w:val="bottom"/>
            <w:gridSpan w:val="5"/>
          </w:tcPr>
          <w:p>
            <w:pPr>
              <w:ind w:left="40"/>
              <w:spacing w:after="0"/>
              <w:rPr>
                <w:sz w:val="20"/>
                <w:szCs w:val="20"/>
                <w:color w:val="auto"/>
              </w:rPr>
            </w:pPr>
            <w:r>
              <w:rPr>
                <w:rFonts w:ascii="Arial" w:cs="Arial" w:eastAsia="Arial" w:hAnsi="Arial"/>
                <w:sz w:val="14"/>
                <w:szCs w:val="14"/>
                <w:color w:val="0000EE"/>
              </w:rPr>
              <w:t>Roadmap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5"/>
          </w:tcPr>
          <w:p>
            <w:pPr>
              <w:jc w:val="right"/>
              <w:ind w:right="120"/>
              <w:spacing w:after="0"/>
              <w:rPr>
                <w:sz w:val="20"/>
                <w:szCs w:val="20"/>
                <w:color w:val="auto"/>
              </w:rPr>
            </w:pPr>
            <w:r>
              <w:rPr>
                <w:rFonts w:ascii="Arial" w:cs="Arial" w:eastAsia="Arial" w:hAnsi="Arial"/>
                <w:sz w:val="14"/>
                <w:szCs w:val="14"/>
                <w:color w:val="0000EE"/>
                <w:w w:val="76"/>
              </w:rPr>
              <w:t>5​</w:t>
            </w: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Director Nominees and Continuing Directors</w:t>
            </w:r>
          </w:p>
        </w:tc>
        <w:tc>
          <w:tcPr>
            <w:tcW w:w="1720" w:type="dxa"/>
            <w:vAlign w:val="bottom"/>
            <w:gridSpan w:val="6"/>
          </w:tcPr>
          <w:p>
            <w:pPr>
              <w:jc w:val="right"/>
              <w:ind w:right="20"/>
              <w:spacing w:after="0"/>
              <w:rPr>
                <w:sz w:val="20"/>
                <w:szCs w:val="20"/>
                <w:color w:val="auto"/>
              </w:rPr>
            </w:pPr>
            <w:r>
              <w:rPr>
                <w:rFonts w:ascii="Arial" w:cs="Arial" w:eastAsia="Arial" w:hAnsi="Arial"/>
                <w:sz w:val="14"/>
                <w:szCs w:val="14"/>
                <w:color w:val="0000EE"/>
              </w:rPr>
              <w:t>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380" w:type="dxa"/>
            <w:vAlign w:val="bottom"/>
          </w:tcPr>
          <w:p>
            <w:pPr>
              <w:spacing w:after="0"/>
              <w:rPr>
                <w:sz w:val="20"/>
                <w:szCs w:val="20"/>
                <w:color w:val="auto"/>
              </w:rPr>
            </w:pPr>
            <w:r>
              <w:rPr>
                <w:rFonts w:ascii="Arial" w:cs="Arial" w:eastAsia="Arial" w:hAnsi="Arial"/>
                <w:sz w:val="14"/>
                <w:szCs w:val="14"/>
                <w:color w:val="0000EE"/>
                <w:w w:val="98"/>
              </w:rPr>
              <w:t>Fiscal​</w:t>
            </w:r>
          </w:p>
        </w:tc>
        <w:tc>
          <w:tcPr>
            <w:tcW w:w="20" w:type="dxa"/>
            <w:vAlign w:val="bottom"/>
          </w:tcPr>
          <w:p>
            <w:pPr>
              <w:spacing w:after="0"/>
              <w:rPr>
                <w:sz w:val="21"/>
                <w:szCs w:val="21"/>
                <w:color w:val="auto"/>
              </w:rPr>
            </w:pPr>
          </w:p>
        </w:tc>
        <w:tc>
          <w:tcPr>
            <w:tcW w:w="7020" w:type="dxa"/>
            <w:vAlign w:val="bottom"/>
            <w:gridSpan w:val="37"/>
          </w:tcPr>
          <w:p>
            <w:pPr>
              <w:spacing w:after="0"/>
              <w:rPr>
                <w:sz w:val="20"/>
                <w:szCs w:val="20"/>
                <w:color w:val="auto"/>
              </w:rPr>
            </w:pPr>
            <w:r>
              <w:rPr>
                <w:rFonts w:ascii="Arial" w:cs="Arial" w:eastAsia="Arial" w:hAnsi="Arial"/>
                <w:sz w:val="14"/>
                <w:szCs w:val="14"/>
                <w:color w:val="0000EE"/>
              </w:rPr>
              <w:t>2023 Performance Highlights</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5"/>
          </w:tcPr>
          <w:p>
            <w:pPr>
              <w:jc w:val="right"/>
              <w:ind w:right="120"/>
              <w:spacing w:after="0"/>
              <w:rPr>
                <w:sz w:val="20"/>
                <w:szCs w:val="20"/>
                <w:color w:val="auto"/>
              </w:rPr>
            </w:pPr>
            <w:r>
              <w:rPr>
                <w:rFonts w:ascii="Arial" w:cs="Arial" w:eastAsia="Arial" w:hAnsi="Arial"/>
                <w:sz w:val="14"/>
                <w:szCs w:val="14"/>
                <w:color w:val="0000EE"/>
                <w:w w:val="76"/>
              </w:rPr>
              <w:t>7​</w:t>
            </w: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Arial" w:cs="Arial" w:eastAsia="Arial" w:hAnsi="Arial"/>
                <w:sz w:val="14"/>
                <w:szCs w:val="14"/>
                <w:color w:val="0000EE"/>
              </w:rPr>
              <w:t>Corporate​</w:t>
            </w:r>
          </w:p>
        </w:tc>
        <w:tc>
          <w:tcPr>
            <w:tcW w:w="6760" w:type="dxa"/>
            <w:vAlign w:val="bottom"/>
            <w:gridSpan w:val="35"/>
          </w:tcPr>
          <w:p>
            <w:pPr>
              <w:ind w:left="20"/>
              <w:spacing w:after="0"/>
              <w:rPr>
                <w:sz w:val="20"/>
                <w:szCs w:val="20"/>
                <w:color w:val="auto"/>
              </w:rPr>
            </w:pPr>
            <w:r>
              <w:rPr>
                <w:rFonts w:ascii="Arial" w:cs="Arial" w:eastAsia="Arial" w:hAnsi="Arial"/>
                <w:sz w:val="14"/>
                <w:szCs w:val="14"/>
                <w:color w:val="0000EE"/>
              </w:rPr>
              <w:t>Responsibility</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6"/>
          </w:tcPr>
          <w:p>
            <w:pPr>
              <w:jc w:val="right"/>
              <w:ind w:right="120"/>
              <w:spacing w:after="0"/>
              <w:rPr>
                <w:sz w:val="20"/>
                <w:szCs w:val="20"/>
                <w:color w:val="auto"/>
              </w:rPr>
            </w:pPr>
            <w:r>
              <w:rPr>
                <w:rFonts w:ascii="Arial" w:cs="Arial" w:eastAsia="Arial" w:hAnsi="Arial"/>
                <w:sz w:val="14"/>
                <w:szCs w:val="14"/>
                <w:color w:val="0000EE"/>
              </w:rPr>
              <w:t>8​</w:t>
            </w: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Arial" w:cs="Arial" w:eastAsia="Arial" w:hAnsi="Arial"/>
                <w:sz w:val="14"/>
                <w:szCs w:val="14"/>
                <w:color w:val="0000EE"/>
              </w:rPr>
              <w:t>Corporate​</w:t>
            </w:r>
          </w:p>
        </w:tc>
        <w:tc>
          <w:tcPr>
            <w:tcW w:w="6760" w:type="dxa"/>
            <w:vAlign w:val="bottom"/>
            <w:gridSpan w:val="35"/>
          </w:tcPr>
          <w:p>
            <w:pPr>
              <w:ind w:left="20"/>
              <w:spacing w:after="0"/>
              <w:rPr>
                <w:sz w:val="20"/>
                <w:szCs w:val="20"/>
                <w:color w:val="auto"/>
              </w:rPr>
            </w:pPr>
            <w:r>
              <w:rPr>
                <w:rFonts w:ascii="Arial" w:cs="Arial" w:eastAsia="Arial" w:hAnsi="Arial"/>
                <w:sz w:val="14"/>
                <w:szCs w:val="14"/>
                <w:color w:val="0000EE"/>
              </w:rPr>
              <w:t>Governance Highlights</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gridSpan w:val="5"/>
          </w:tcPr>
          <w:p>
            <w:pPr>
              <w:jc w:val="right"/>
              <w:ind w:right="120"/>
              <w:spacing w:after="0"/>
              <w:rPr>
                <w:sz w:val="20"/>
                <w:szCs w:val="20"/>
                <w:color w:val="auto"/>
              </w:rPr>
            </w:pPr>
            <w:r>
              <w:rPr>
                <w:rFonts w:ascii="Arial" w:cs="Arial" w:eastAsia="Arial" w:hAnsi="Arial"/>
                <w:sz w:val="14"/>
                <w:szCs w:val="14"/>
                <w:color w:val="0000EE"/>
                <w:w w:val="76"/>
              </w:rPr>
              <w:t>9​</w:t>
            </w: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b w:val="1"/>
                <w:bCs w:val="1"/>
                <w:color w:val="0000EE"/>
              </w:rPr>
              <w:t>Corporate Governance</w:t>
            </w:r>
          </w:p>
        </w:tc>
        <w:tc>
          <w:tcPr>
            <w:tcW w:w="1540" w:type="dxa"/>
            <w:vAlign w:val="bottom"/>
          </w:tcPr>
          <w:p>
            <w:pPr>
              <w:spacing w:after="0"/>
              <w:rPr>
                <w:sz w:val="21"/>
                <w:szCs w:val="21"/>
                <w:color w:val="auto"/>
              </w:rPr>
            </w:pPr>
          </w:p>
        </w:tc>
        <w:tc>
          <w:tcPr>
            <w:tcW w:w="280" w:type="dxa"/>
            <w:vAlign w:val="bottom"/>
            <w:gridSpan w:val="8"/>
          </w:tcPr>
          <w:p>
            <w:pPr>
              <w:jc w:val="center"/>
              <w:ind w:right="80"/>
              <w:spacing w:after="0"/>
              <w:rPr>
                <w:sz w:val="20"/>
                <w:szCs w:val="20"/>
                <w:color w:val="auto"/>
              </w:rPr>
            </w:pPr>
            <w:r>
              <w:rPr>
                <w:rFonts w:ascii="Arial" w:cs="Arial" w:eastAsia="Arial" w:hAnsi="Arial"/>
                <w:sz w:val="14"/>
                <w:szCs w:val="14"/>
                <w:color w:val="0000EE"/>
              </w:rPr>
              <w:t>10​</w:t>
            </w: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Board Leadership Structure</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6"/>
          </w:tcPr>
          <w:p>
            <w:pPr>
              <w:jc w:val="right"/>
              <w:ind w:right="60"/>
              <w:spacing w:after="0"/>
              <w:rPr>
                <w:sz w:val="20"/>
                <w:szCs w:val="20"/>
                <w:color w:val="auto"/>
              </w:rPr>
            </w:pPr>
            <w:r>
              <w:rPr>
                <w:rFonts w:ascii="Arial" w:cs="Arial" w:eastAsia="Arial" w:hAnsi="Arial"/>
                <w:sz w:val="14"/>
                <w:szCs w:val="14"/>
                <w:color w:val="0000EE"/>
              </w:rPr>
              <w:t>11​</w:t>
            </w: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Skills and Experiences</w:t>
            </w:r>
          </w:p>
        </w:tc>
        <w:tc>
          <w:tcPr>
            <w:tcW w:w="1800" w:type="dxa"/>
            <w:vAlign w:val="bottom"/>
            <w:gridSpan w:val="8"/>
          </w:tcPr>
          <w:p>
            <w:pPr>
              <w:jc w:val="right"/>
              <w:ind w:right="40"/>
              <w:spacing w:after="0"/>
              <w:rPr>
                <w:sz w:val="20"/>
                <w:szCs w:val="20"/>
                <w:color w:val="auto"/>
              </w:rPr>
            </w:pPr>
            <w:r>
              <w:rPr>
                <w:rFonts w:ascii="Arial" w:cs="Arial" w:eastAsia="Arial" w:hAnsi="Arial"/>
                <w:sz w:val="14"/>
                <w:szCs w:val="14"/>
                <w:color w:val="0000EE"/>
              </w:rPr>
              <w:t>11</w:t>
            </w:r>
          </w:p>
        </w:tc>
        <w:tc>
          <w:tcPr>
            <w:tcW w:w="20" w:type="dxa"/>
            <w:vAlign w:val="bottom"/>
          </w:tcPr>
          <w:p>
            <w:pPr>
              <w:spacing w:after="0"/>
              <w:rPr>
                <w:sz w:val="21"/>
                <w:szCs w:val="2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Executive Leadership Experience Criteria: Definitions</w:t>
            </w:r>
          </w:p>
        </w:tc>
        <w:tc>
          <w:tcPr>
            <w:tcW w:w="1800" w:type="dxa"/>
            <w:vAlign w:val="bottom"/>
            <w:gridSpan w:val="8"/>
          </w:tcPr>
          <w:p>
            <w:pPr>
              <w:jc w:val="right"/>
              <w:ind w:right="60"/>
              <w:spacing w:after="0"/>
              <w:rPr>
                <w:sz w:val="20"/>
                <w:szCs w:val="20"/>
                <w:color w:val="auto"/>
              </w:rPr>
            </w:pPr>
            <w:r>
              <w:rPr>
                <w:rFonts w:ascii="Arial" w:cs="Arial" w:eastAsia="Arial" w:hAnsi="Arial"/>
                <w:sz w:val="14"/>
                <w:szCs w:val="14"/>
                <w:color w:val="0000EE"/>
              </w:rPr>
              <w:t>12</w:t>
            </w:r>
          </w:p>
        </w:tc>
        <w:tc>
          <w:tcPr>
            <w:tcW w:w="20" w:type="dxa"/>
            <w:vAlign w:val="bottom"/>
          </w:tcPr>
          <w:p>
            <w:pPr>
              <w:spacing w:after="0"/>
              <w:rPr>
                <w:sz w:val="21"/>
                <w:szCs w:val="2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Board and Shareholder Meeting Attendance</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6"/>
          </w:tcPr>
          <w:p>
            <w:pPr>
              <w:jc w:val="right"/>
              <w:ind w:right="80"/>
              <w:spacing w:after="0"/>
              <w:rPr>
                <w:sz w:val="20"/>
                <w:szCs w:val="20"/>
                <w:color w:val="auto"/>
              </w:rPr>
            </w:pPr>
            <w:r>
              <w:rPr>
                <w:rFonts w:ascii="Arial" w:cs="Arial" w:eastAsia="Arial" w:hAnsi="Arial"/>
                <w:sz w:val="14"/>
                <w:szCs w:val="14"/>
                <w:color w:val="0000EE"/>
                <w:w w:val="89"/>
              </w:rPr>
              <w:t>13​</w:t>
            </w: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Board Committees</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6"/>
          </w:tcPr>
          <w:p>
            <w:pPr>
              <w:jc w:val="right"/>
              <w:ind w:right="80"/>
              <w:spacing w:after="0"/>
              <w:rPr>
                <w:sz w:val="20"/>
                <w:szCs w:val="20"/>
                <w:color w:val="auto"/>
              </w:rPr>
            </w:pPr>
            <w:r>
              <w:rPr>
                <w:rFonts w:ascii="Arial" w:cs="Arial" w:eastAsia="Arial" w:hAnsi="Arial"/>
                <w:sz w:val="14"/>
                <w:szCs w:val="14"/>
                <w:color w:val="0000EE"/>
                <w:w w:val="89"/>
              </w:rPr>
              <w:t>13​</w:t>
            </w: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Director Independence</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6"/>
          </w:tcPr>
          <w:p>
            <w:pPr>
              <w:jc w:val="right"/>
              <w:ind w:right="80"/>
              <w:spacing w:after="0"/>
              <w:rPr>
                <w:sz w:val="20"/>
                <w:szCs w:val="20"/>
                <w:color w:val="auto"/>
              </w:rPr>
            </w:pPr>
            <w:r>
              <w:rPr>
                <w:rFonts w:ascii="Arial" w:cs="Arial" w:eastAsia="Arial" w:hAnsi="Arial"/>
                <w:sz w:val="14"/>
                <w:szCs w:val="14"/>
                <w:color w:val="0000EE"/>
                <w:w w:val="89"/>
              </w:rPr>
              <w:t>15​</w:t>
            </w: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Risk Management</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6"/>
          </w:tcPr>
          <w:p>
            <w:pPr>
              <w:jc w:val="right"/>
              <w:ind w:right="80"/>
              <w:spacing w:after="0"/>
              <w:rPr>
                <w:sz w:val="20"/>
                <w:szCs w:val="20"/>
                <w:color w:val="auto"/>
              </w:rPr>
            </w:pPr>
            <w:r>
              <w:rPr>
                <w:rFonts w:ascii="Arial" w:cs="Arial" w:eastAsia="Arial" w:hAnsi="Arial"/>
                <w:sz w:val="14"/>
                <w:szCs w:val="14"/>
                <w:color w:val="0000EE"/>
                <w:w w:val="89"/>
              </w:rPr>
              <w:t>16​</w:t>
            </w: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Board Refreshment</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6"/>
          </w:tcPr>
          <w:p>
            <w:pPr>
              <w:jc w:val="right"/>
              <w:ind w:right="80"/>
              <w:spacing w:after="0"/>
              <w:rPr>
                <w:sz w:val="20"/>
                <w:szCs w:val="20"/>
                <w:color w:val="auto"/>
              </w:rPr>
            </w:pPr>
            <w:r>
              <w:rPr>
                <w:rFonts w:ascii="Arial" w:cs="Arial" w:eastAsia="Arial" w:hAnsi="Arial"/>
                <w:sz w:val="14"/>
                <w:szCs w:val="14"/>
                <w:color w:val="0000EE"/>
                <w:w w:val="89"/>
              </w:rPr>
              <w:t>17​</w:t>
            </w: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Board Commitments</w:t>
            </w:r>
          </w:p>
        </w:tc>
        <w:tc>
          <w:tcPr>
            <w:tcW w:w="1800" w:type="dxa"/>
            <w:vAlign w:val="bottom"/>
            <w:gridSpan w:val="8"/>
          </w:tcPr>
          <w:p>
            <w:pPr>
              <w:jc w:val="right"/>
              <w:ind w:right="60"/>
              <w:spacing w:after="0"/>
              <w:rPr>
                <w:sz w:val="20"/>
                <w:szCs w:val="20"/>
                <w:color w:val="auto"/>
              </w:rPr>
            </w:pPr>
            <w:r>
              <w:rPr>
                <w:rFonts w:ascii="Arial" w:cs="Arial" w:eastAsia="Arial" w:hAnsi="Arial"/>
                <w:sz w:val="14"/>
                <w:szCs w:val="14"/>
                <w:color w:val="0000EE"/>
              </w:rPr>
              <w:t>17</w:t>
            </w:r>
          </w:p>
        </w:tc>
        <w:tc>
          <w:tcPr>
            <w:tcW w:w="20" w:type="dxa"/>
            <w:vAlign w:val="bottom"/>
          </w:tcPr>
          <w:p>
            <w:pPr>
              <w:spacing w:after="0"/>
              <w:rPr>
                <w:sz w:val="21"/>
                <w:szCs w:val="21"/>
                <w:color w:val="auto"/>
              </w:rPr>
            </w:pP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380" w:type="dxa"/>
            <w:vAlign w:val="bottom"/>
          </w:tcPr>
          <w:p>
            <w:pPr>
              <w:spacing w:after="0"/>
              <w:rPr>
                <w:sz w:val="20"/>
                <w:szCs w:val="20"/>
                <w:color w:val="auto"/>
              </w:rPr>
            </w:pPr>
            <w:r>
              <w:rPr>
                <w:rFonts w:ascii="Arial" w:cs="Arial" w:eastAsia="Arial" w:hAnsi="Arial"/>
                <w:sz w:val="14"/>
                <w:szCs w:val="14"/>
                <w:color w:val="0000EE"/>
              </w:rPr>
              <w:t>Code​</w:t>
            </w:r>
          </w:p>
        </w:tc>
        <w:tc>
          <w:tcPr>
            <w:tcW w:w="7040" w:type="dxa"/>
            <w:vAlign w:val="bottom"/>
            <w:gridSpan w:val="38"/>
          </w:tcPr>
          <w:p>
            <w:pPr>
              <w:spacing w:after="0"/>
              <w:rPr>
                <w:sz w:val="20"/>
                <w:szCs w:val="20"/>
                <w:color w:val="auto"/>
              </w:rPr>
            </w:pPr>
            <w:r>
              <w:rPr>
                <w:rFonts w:ascii="Arial" w:cs="Arial" w:eastAsia="Arial" w:hAnsi="Arial"/>
                <w:sz w:val="14"/>
                <w:szCs w:val="14"/>
                <w:color w:val="0000EE"/>
              </w:rPr>
              <w:t>of Conduct and Corporate Governance Documents</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6"/>
          </w:tcPr>
          <w:p>
            <w:pPr>
              <w:jc w:val="right"/>
              <w:ind w:right="80"/>
              <w:spacing w:after="0"/>
              <w:rPr>
                <w:sz w:val="20"/>
                <w:szCs w:val="20"/>
                <w:color w:val="auto"/>
              </w:rPr>
            </w:pPr>
            <w:r>
              <w:rPr>
                <w:rFonts w:ascii="Arial" w:cs="Arial" w:eastAsia="Arial" w:hAnsi="Arial"/>
                <w:sz w:val="14"/>
                <w:szCs w:val="14"/>
                <w:color w:val="0000EE"/>
                <w:w w:val="89"/>
              </w:rPr>
              <w:t>17​</w:t>
            </w: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40" w:type="dxa"/>
            <w:vAlign w:val="bottom"/>
            <w:tcBorders>
              <w:top w:val="single" w:sz="8" w:color="0000EE"/>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380" w:type="dxa"/>
            <w:vAlign w:val="bottom"/>
          </w:tcPr>
          <w:p>
            <w:pPr>
              <w:spacing w:after="0"/>
              <w:rPr>
                <w:sz w:val="20"/>
                <w:szCs w:val="20"/>
                <w:color w:val="auto"/>
              </w:rPr>
            </w:pPr>
            <w:r>
              <w:rPr>
                <w:rFonts w:ascii="Arial" w:cs="Arial" w:eastAsia="Arial" w:hAnsi="Arial"/>
                <w:sz w:val="14"/>
                <w:szCs w:val="14"/>
                <w:color w:val="0000EE"/>
                <w:w w:val="96"/>
              </w:rPr>
              <w:t>Policy​</w:t>
            </w:r>
          </w:p>
        </w:tc>
        <w:tc>
          <w:tcPr>
            <w:tcW w:w="20" w:type="dxa"/>
            <w:vAlign w:val="bottom"/>
          </w:tcPr>
          <w:p>
            <w:pPr>
              <w:spacing w:after="0"/>
              <w:rPr>
                <w:sz w:val="21"/>
                <w:szCs w:val="21"/>
                <w:color w:val="auto"/>
              </w:rPr>
            </w:pPr>
          </w:p>
        </w:tc>
        <w:tc>
          <w:tcPr>
            <w:tcW w:w="7020" w:type="dxa"/>
            <w:vAlign w:val="bottom"/>
            <w:gridSpan w:val="37"/>
          </w:tcPr>
          <w:p>
            <w:pPr>
              <w:ind w:left="20"/>
              <w:spacing w:after="0"/>
              <w:rPr>
                <w:sz w:val="20"/>
                <w:szCs w:val="20"/>
                <w:color w:val="auto"/>
              </w:rPr>
            </w:pPr>
            <w:r>
              <w:rPr>
                <w:rFonts w:ascii="Arial" w:cs="Arial" w:eastAsia="Arial" w:hAnsi="Arial"/>
                <w:sz w:val="14"/>
                <w:szCs w:val="14"/>
                <w:color w:val="0000EE"/>
              </w:rPr>
              <w:t>on Transactions with Related Persons</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6"/>
          </w:tcPr>
          <w:p>
            <w:pPr>
              <w:jc w:val="right"/>
              <w:ind w:right="80"/>
              <w:spacing w:after="0"/>
              <w:rPr>
                <w:sz w:val="20"/>
                <w:szCs w:val="20"/>
                <w:color w:val="auto"/>
              </w:rPr>
            </w:pPr>
            <w:r>
              <w:rPr>
                <w:rFonts w:ascii="Arial" w:cs="Arial" w:eastAsia="Arial" w:hAnsi="Arial"/>
                <w:sz w:val="14"/>
                <w:szCs w:val="14"/>
                <w:color w:val="0000EE"/>
                <w:w w:val="89"/>
              </w:rPr>
              <w:t>17​</w:t>
            </w: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1080" w:type="dxa"/>
            <w:vAlign w:val="bottom"/>
            <w:gridSpan w:val="7"/>
          </w:tcPr>
          <w:p>
            <w:pPr>
              <w:spacing w:after="0"/>
              <w:rPr>
                <w:sz w:val="20"/>
                <w:szCs w:val="20"/>
                <w:color w:val="auto"/>
              </w:rPr>
            </w:pPr>
            <w:r>
              <w:rPr>
                <w:rFonts w:ascii="Arial" w:cs="Arial" w:eastAsia="Arial" w:hAnsi="Arial"/>
                <w:sz w:val="14"/>
                <w:szCs w:val="14"/>
                <w:color w:val="0000EE"/>
              </w:rPr>
              <w:t>Communications​</w:t>
            </w:r>
          </w:p>
        </w:tc>
        <w:tc>
          <w:tcPr>
            <w:tcW w:w="6340" w:type="dxa"/>
            <w:vAlign w:val="bottom"/>
            <w:gridSpan w:val="32"/>
          </w:tcPr>
          <w:p>
            <w:pPr>
              <w:ind w:left="20"/>
              <w:spacing w:after="0"/>
              <w:rPr>
                <w:sz w:val="20"/>
                <w:szCs w:val="20"/>
                <w:color w:val="auto"/>
              </w:rPr>
            </w:pPr>
            <w:r>
              <w:rPr>
                <w:rFonts w:ascii="Arial" w:cs="Arial" w:eastAsia="Arial" w:hAnsi="Arial"/>
                <w:sz w:val="14"/>
                <w:szCs w:val="14"/>
                <w:color w:val="0000EE"/>
              </w:rPr>
              <w:t>with Directors</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6"/>
          </w:tcPr>
          <w:p>
            <w:pPr>
              <w:jc w:val="right"/>
              <w:ind w:right="80"/>
              <w:spacing w:after="0"/>
              <w:rPr>
                <w:sz w:val="20"/>
                <w:szCs w:val="20"/>
                <w:color w:val="auto"/>
              </w:rPr>
            </w:pPr>
            <w:r>
              <w:rPr>
                <w:rFonts w:ascii="Arial" w:cs="Arial" w:eastAsia="Arial" w:hAnsi="Arial"/>
                <w:sz w:val="14"/>
                <w:szCs w:val="14"/>
                <w:color w:val="0000EE"/>
                <w:w w:val="89"/>
              </w:rPr>
              <w:t>18​</w:t>
            </w: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Anti​-Hedging and Anti-Pledging Policy</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6"/>
          </w:tcPr>
          <w:p>
            <w:pPr>
              <w:jc w:val="right"/>
              <w:ind w:right="80"/>
              <w:spacing w:after="0"/>
              <w:rPr>
                <w:sz w:val="20"/>
                <w:szCs w:val="20"/>
                <w:color w:val="auto"/>
              </w:rPr>
            </w:pPr>
            <w:r>
              <w:rPr>
                <w:rFonts w:ascii="Arial" w:cs="Arial" w:eastAsia="Arial" w:hAnsi="Arial"/>
                <w:sz w:val="14"/>
                <w:szCs w:val="14"/>
                <w:color w:val="0000EE"/>
                <w:w w:val="89"/>
              </w:rPr>
              <w:t>18​</w:t>
            </w: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b w:val="1"/>
                <w:bCs w:val="1"/>
                <w:color w:val="0000EE"/>
              </w:rPr>
              <w:t>Proposal 1 – Election of Directors</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gridSpan w:val="6"/>
          </w:tcPr>
          <w:p>
            <w:pPr>
              <w:jc w:val="right"/>
              <w:ind w:right="80"/>
              <w:spacing w:after="0"/>
              <w:rPr>
                <w:sz w:val="20"/>
                <w:szCs w:val="20"/>
                <w:color w:val="auto"/>
              </w:rPr>
            </w:pPr>
            <w:r>
              <w:rPr>
                <w:rFonts w:ascii="Arial" w:cs="Arial" w:eastAsia="Arial" w:hAnsi="Arial"/>
                <w:sz w:val="14"/>
                <w:szCs w:val="14"/>
                <w:color w:val="0000EE"/>
                <w:w w:val="89"/>
              </w:rPr>
              <w:t>19​</w:t>
            </w: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Director Nominees</w:t>
            </w:r>
          </w:p>
        </w:tc>
        <w:tc>
          <w:tcPr>
            <w:tcW w:w="1700" w:type="dxa"/>
            <w:vAlign w:val="bottom"/>
            <w:gridSpan w:val="5"/>
          </w:tcPr>
          <w:p>
            <w:pPr>
              <w:jc w:val="right"/>
              <w:spacing w:after="0"/>
              <w:rPr>
                <w:sz w:val="20"/>
                <w:szCs w:val="20"/>
                <w:color w:val="auto"/>
              </w:rPr>
            </w:pPr>
            <w:r>
              <w:rPr>
                <w:rFonts w:ascii="Arial" w:cs="Arial" w:eastAsia="Arial" w:hAnsi="Arial"/>
                <w:sz w:val="14"/>
                <w:szCs w:val="14"/>
                <w:color w:val="0000EE"/>
              </w:rPr>
              <w:t>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Directors Continuing in Office</w:t>
            </w:r>
          </w:p>
        </w:tc>
        <w:tc>
          <w:tcPr>
            <w:tcW w:w="1700" w:type="dxa"/>
            <w:vAlign w:val="bottom"/>
            <w:gridSpan w:val="5"/>
          </w:tcPr>
          <w:p>
            <w:pPr>
              <w:jc w:val="right"/>
              <w:spacing w:after="0"/>
              <w:rPr>
                <w:sz w:val="20"/>
                <w:szCs w:val="20"/>
                <w:color w:val="auto"/>
              </w:rPr>
            </w:pPr>
            <w:r>
              <w:rPr>
                <w:rFonts w:ascii="Arial" w:cs="Arial" w:eastAsia="Arial" w:hAnsi="Arial"/>
                <w:sz w:val="14"/>
                <w:szCs w:val="14"/>
                <w:color w:val="0000EE"/>
              </w:rPr>
              <w:t>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b w:val="1"/>
                <w:bCs w:val="1"/>
                <w:color w:val="0000EE"/>
              </w:rPr>
              <w:t>Director Compensation</w:t>
            </w:r>
          </w:p>
        </w:tc>
        <w:tc>
          <w:tcPr>
            <w:tcW w:w="1540" w:type="dxa"/>
            <w:vAlign w:val="bottom"/>
          </w:tcPr>
          <w:p>
            <w:pPr>
              <w:spacing w:after="0"/>
              <w:rPr>
                <w:sz w:val="21"/>
                <w:szCs w:val="21"/>
                <w:color w:val="auto"/>
              </w:rPr>
            </w:pPr>
          </w:p>
        </w:tc>
        <w:tc>
          <w:tcPr>
            <w:tcW w:w="280" w:type="dxa"/>
            <w:vAlign w:val="bottom"/>
            <w:gridSpan w:val="8"/>
          </w:tcPr>
          <w:p>
            <w:pPr>
              <w:jc w:val="right"/>
              <w:ind w:right="120"/>
              <w:spacing w:after="0"/>
              <w:rPr>
                <w:sz w:val="20"/>
                <w:szCs w:val="20"/>
                <w:color w:val="auto"/>
              </w:rPr>
            </w:pPr>
            <w:r>
              <w:rPr>
                <w:rFonts w:ascii="Arial" w:cs="Arial" w:eastAsia="Arial" w:hAnsi="Arial"/>
                <w:sz w:val="14"/>
                <w:szCs w:val="14"/>
                <w:color w:val="0000EE"/>
                <w:w w:val="89"/>
              </w:rPr>
              <w:t>25​</w:t>
            </w: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Use of Winnebago Industries Products</w:t>
            </w:r>
          </w:p>
        </w:tc>
        <w:tc>
          <w:tcPr>
            <w:tcW w:w="1700" w:type="dxa"/>
            <w:vAlign w:val="bottom"/>
            <w:gridSpan w:val="5"/>
          </w:tcPr>
          <w:p>
            <w:pPr>
              <w:jc w:val="right"/>
              <w:spacing w:after="0"/>
              <w:rPr>
                <w:sz w:val="20"/>
                <w:szCs w:val="20"/>
                <w:color w:val="auto"/>
              </w:rPr>
            </w:pPr>
            <w:r>
              <w:rPr>
                <w:rFonts w:ascii="Arial" w:cs="Arial" w:eastAsia="Arial" w:hAnsi="Arial"/>
                <w:sz w:val="14"/>
                <w:szCs w:val="14"/>
                <w:color w:val="0000EE"/>
              </w:rPr>
              <w:t>26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520" w:type="dxa"/>
            <w:vAlign w:val="bottom"/>
            <w:gridSpan w:val="3"/>
          </w:tcPr>
          <w:p>
            <w:pPr>
              <w:spacing w:after="0"/>
              <w:rPr>
                <w:sz w:val="20"/>
                <w:szCs w:val="20"/>
                <w:color w:val="auto"/>
              </w:rPr>
            </w:pPr>
            <w:r>
              <w:rPr>
                <w:rFonts w:ascii="Arial" w:cs="Arial" w:eastAsia="Arial" w:hAnsi="Arial"/>
                <w:sz w:val="14"/>
                <w:szCs w:val="14"/>
                <w:color w:val="0000EE"/>
              </w:rPr>
              <w:t>Director​</w:t>
            </w:r>
          </w:p>
        </w:tc>
        <w:tc>
          <w:tcPr>
            <w:tcW w:w="6900" w:type="dxa"/>
            <w:vAlign w:val="bottom"/>
            <w:gridSpan w:val="36"/>
          </w:tcPr>
          <w:p>
            <w:pPr>
              <w:ind w:left="20"/>
              <w:spacing w:after="0"/>
              <w:rPr>
                <w:sz w:val="20"/>
                <w:szCs w:val="20"/>
                <w:color w:val="auto"/>
              </w:rPr>
            </w:pPr>
            <w:r>
              <w:rPr>
                <w:rFonts w:ascii="Arial" w:cs="Arial" w:eastAsia="Arial" w:hAnsi="Arial"/>
                <w:sz w:val="14"/>
                <w:szCs w:val="14"/>
                <w:color w:val="0000EE"/>
              </w:rPr>
              <w:t>Compensation Table</w:t>
            </w:r>
          </w:p>
        </w:tc>
        <w:tc>
          <w:tcPr>
            <w:tcW w:w="1540" w:type="dxa"/>
            <w:vAlign w:val="bottom"/>
          </w:tcPr>
          <w:p>
            <w:pPr>
              <w:spacing w:after="0"/>
              <w:rPr>
                <w:sz w:val="21"/>
                <w:szCs w:val="21"/>
                <w:color w:val="auto"/>
              </w:rPr>
            </w:pPr>
          </w:p>
        </w:tc>
        <w:tc>
          <w:tcPr>
            <w:tcW w:w="280" w:type="dxa"/>
            <w:vAlign w:val="bottom"/>
            <w:gridSpan w:val="8"/>
          </w:tcPr>
          <w:p>
            <w:pPr>
              <w:jc w:val="right"/>
              <w:ind w:right="120"/>
              <w:spacing w:after="0"/>
              <w:rPr>
                <w:sz w:val="20"/>
                <w:szCs w:val="20"/>
                <w:color w:val="auto"/>
              </w:rPr>
            </w:pPr>
            <w:r>
              <w:rPr>
                <w:rFonts w:ascii="Arial" w:cs="Arial" w:eastAsia="Arial" w:hAnsi="Arial"/>
                <w:sz w:val="14"/>
                <w:szCs w:val="14"/>
                <w:color w:val="0000EE"/>
                <w:w w:val="89"/>
              </w:rPr>
              <w:t>26​</w:t>
            </w: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Non-Employee Director Equity Awards Outstanding as of August 26, 2023</w:t>
            </w:r>
          </w:p>
        </w:tc>
        <w:tc>
          <w:tcPr>
            <w:tcW w:w="1540" w:type="dxa"/>
            <w:vAlign w:val="bottom"/>
          </w:tcPr>
          <w:p>
            <w:pPr>
              <w:spacing w:after="0"/>
              <w:rPr>
                <w:sz w:val="21"/>
                <w:szCs w:val="21"/>
                <w:color w:val="auto"/>
              </w:rPr>
            </w:pPr>
          </w:p>
        </w:tc>
        <w:tc>
          <w:tcPr>
            <w:tcW w:w="280" w:type="dxa"/>
            <w:vAlign w:val="bottom"/>
            <w:gridSpan w:val="8"/>
          </w:tcPr>
          <w:p>
            <w:pPr>
              <w:jc w:val="right"/>
              <w:ind w:right="120"/>
              <w:spacing w:after="0"/>
              <w:rPr>
                <w:sz w:val="20"/>
                <w:szCs w:val="20"/>
                <w:color w:val="auto"/>
              </w:rPr>
            </w:pPr>
            <w:r>
              <w:rPr>
                <w:rFonts w:ascii="Arial" w:cs="Arial" w:eastAsia="Arial" w:hAnsi="Arial"/>
                <w:sz w:val="14"/>
                <w:szCs w:val="14"/>
                <w:color w:val="0000EE"/>
                <w:w w:val="89"/>
              </w:rPr>
              <w:t>27​</w:t>
            </w: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40" w:type="dxa"/>
            <w:vAlign w:val="bottom"/>
            <w:tcBorders>
              <w:top w:val="single" w:sz="8" w:color="0000EE"/>
              <w:bottom w:val="single" w:sz="8" w:color="0E2A35"/>
            </w:tcBorders>
          </w:tcPr>
          <w:p>
            <w:pPr>
              <w:spacing w:after="0"/>
              <w:rPr>
                <w:sz w:val="8"/>
                <w:szCs w:val="8"/>
                <w:color w:val="auto"/>
              </w:rPr>
            </w:pPr>
          </w:p>
        </w:tc>
        <w:tc>
          <w:tcPr>
            <w:tcW w:w="1080" w:type="dxa"/>
            <w:vAlign w:val="bottom"/>
            <w:tcBorders>
              <w:top w:val="single" w:sz="8" w:color="0000EE"/>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Director Ownership Guidelines</w:t>
            </w:r>
          </w:p>
        </w:tc>
        <w:tc>
          <w:tcPr>
            <w:tcW w:w="1540" w:type="dxa"/>
            <w:vAlign w:val="bottom"/>
          </w:tcPr>
          <w:p>
            <w:pPr>
              <w:spacing w:after="0"/>
              <w:rPr>
                <w:sz w:val="21"/>
                <w:szCs w:val="21"/>
                <w:color w:val="auto"/>
              </w:rPr>
            </w:pPr>
          </w:p>
        </w:tc>
        <w:tc>
          <w:tcPr>
            <w:tcW w:w="280" w:type="dxa"/>
            <w:vAlign w:val="bottom"/>
            <w:gridSpan w:val="8"/>
          </w:tcPr>
          <w:p>
            <w:pPr>
              <w:jc w:val="right"/>
              <w:ind w:right="120"/>
              <w:spacing w:after="0"/>
              <w:rPr>
                <w:sz w:val="20"/>
                <w:szCs w:val="20"/>
                <w:color w:val="auto"/>
              </w:rPr>
            </w:pPr>
            <w:r>
              <w:rPr>
                <w:rFonts w:ascii="Arial" w:cs="Arial" w:eastAsia="Arial" w:hAnsi="Arial"/>
                <w:sz w:val="14"/>
                <w:szCs w:val="14"/>
                <w:color w:val="0000EE"/>
                <w:w w:val="89"/>
              </w:rPr>
              <w:t>27​</w:t>
            </w: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Directors’ Deferred Compensation Plan</w:t>
            </w:r>
          </w:p>
        </w:tc>
        <w:tc>
          <w:tcPr>
            <w:tcW w:w="1540" w:type="dxa"/>
            <w:vAlign w:val="bottom"/>
          </w:tcPr>
          <w:p>
            <w:pPr>
              <w:spacing w:after="0"/>
              <w:rPr>
                <w:sz w:val="21"/>
                <w:szCs w:val="21"/>
                <w:color w:val="auto"/>
              </w:rPr>
            </w:pPr>
          </w:p>
        </w:tc>
        <w:tc>
          <w:tcPr>
            <w:tcW w:w="280" w:type="dxa"/>
            <w:vAlign w:val="bottom"/>
            <w:gridSpan w:val="8"/>
          </w:tcPr>
          <w:p>
            <w:pPr>
              <w:jc w:val="right"/>
              <w:ind w:right="120"/>
              <w:spacing w:after="0"/>
              <w:rPr>
                <w:sz w:val="20"/>
                <w:szCs w:val="20"/>
                <w:color w:val="auto"/>
              </w:rPr>
            </w:pPr>
            <w:r>
              <w:rPr>
                <w:rFonts w:ascii="Arial" w:cs="Arial" w:eastAsia="Arial" w:hAnsi="Arial"/>
                <w:sz w:val="14"/>
                <w:szCs w:val="14"/>
                <w:color w:val="0000EE"/>
                <w:w w:val="89"/>
              </w:rPr>
              <w:t>27​</w:t>
            </w: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Director Annual Equity Grants</w:t>
            </w:r>
          </w:p>
        </w:tc>
        <w:tc>
          <w:tcPr>
            <w:tcW w:w="1700" w:type="dxa"/>
            <w:vAlign w:val="bottom"/>
            <w:gridSpan w:val="5"/>
          </w:tcPr>
          <w:p>
            <w:pPr>
              <w:jc w:val="right"/>
              <w:spacing w:after="0"/>
              <w:rPr>
                <w:sz w:val="20"/>
                <w:szCs w:val="20"/>
                <w:color w:val="auto"/>
              </w:rPr>
            </w:pPr>
            <w:r>
              <w:rPr>
                <w:rFonts w:ascii="Arial" w:cs="Arial" w:eastAsia="Arial" w:hAnsi="Arial"/>
                <w:sz w:val="14"/>
                <w:szCs w:val="14"/>
                <w:color w:val="0000EE"/>
              </w:rPr>
              <w:t>28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b w:val="1"/>
                <w:bCs w:val="1"/>
                <w:color w:val="0000EE"/>
              </w:rPr>
              <w:t>Executive Compensation</w:t>
            </w:r>
          </w:p>
        </w:tc>
        <w:tc>
          <w:tcPr>
            <w:tcW w:w="1700" w:type="dxa"/>
            <w:vAlign w:val="bottom"/>
            <w:gridSpan w:val="5"/>
          </w:tcPr>
          <w:p>
            <w:pPr>
              <w:jc w:val="right"/>
              <w:spacing w:after="0"/>
              <w:rPr>
                <w:sz w:val="20"/>
                <w:szCs w:val="20"/>
                <w:color w:val="auto"/>
              </w:rPr>
            </w:pPr>
            <w:r>
              <w:rPr>
                <w:rFonts w:ascii="Arial" w:cs="Arial" w:eastAsia="Arial" w:hAnsi="Arial"/>
                <w:sz w:val="14"/>
                <w:szCs w:val="14"/>
                <w:color w:val="0000EE"/>
              </w:rPr>
              <w:t>29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940" w:type="dxa"/>
            <w:vAlign w:val="bottom"/>
            <w:gridSpan w:val="5"/>
          </w:tcPr>
          <w:p>
            <w:pPr>
              <w:spacing w:after="0"/>
              <w:rPr>
                <w:sz w:val="20"/>
                <w:szCs w:val="20"/>
                <w:color w:val="auto"/>
              </w:rPr>
            </w:pPr>
            <w:r>
              <w:rPr>
                <w:rFonts w:ascii="Arial" w:cs="Arial" w:eastAsia="Arial" w:hAnsi="Arial"/>
                <w:sz w:val="14"/>
                <w:szCs w:val="14"/>
                <w:color w:val="0000EE"/>
              </w:rPr>
              <w:t>Compensation​</w:t>
            </w:r>
          </w:p>
        </w:tc>
        <w:tc>
          <w:tcPr>
            <w:tcW w:w="6480" w:type="dxa"/>
            <w:vAlign w:val="bottom"/>
            <w:gridSpan w:val="34"/>
          </w:tcPr>
          <w:p>
            <w:pPr>
              <w:ind w:left="20"/>
              <w:spacing w:after="0"/>
              <w:rPr>
                <w:sz w:val="20"/>
                <w:szCs w:val="20"/>
                <w:color w:val="auto"/>
              </w:rPr>
            </w:pPr>
            <w:r>
              <w:rPr>
                <w:rFonts w:ascii="Arial" w:cs="Arial" w:eastAsia="Arial" w:hAnsi="Arial"/>
                <w:sz w:val="14"/>
                <w:szCs w:val="14"/>
                <w:color w:val="0000EE"/>
              </w:rPr>
              <w:t>Discussion and Analysis</w:t>
            </w:r>
          </w:p>
        </w:tc>
        <w:tc>
          <w:tcPr>
            <w:tcW w:w="1820" w:type="dxa"/>
            <w:vAlign w:val="bottom"/>
            <w:gridSpan w:val="9"/>
          </w:tcPr>
          <w:p>
            <w:pPr>
              <w:jc w:val="right"/>
              <w:ind w:right="120"/>
              <w:spacing w:after="0"/>
              <w:rPr>
                <w:sz w:val="20"/>
                <w:szCs w:val="20"/>
                <w:color w:val="auto"/>
              </w:rPr>
            </w:pPr>
            <w:r>
              <w:rPr>
                <w:rFonts w:ascii="Arial" w:cs="Arial" w:eastAsia="Arial" w:hAnsi="Arial"/>
                <w:sz w:val="14"/>
                <w:szCs w:val="14"/>
                <w:color w:val="0000EE"/>
              </w:rPr>
              <w:t>30​</w:t>
            </w: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Human Resources Committee Report</w:t>
            </w:r>
          </w:p>
        </w:tc>
        <w:tc>
          <w:tcPr>
            <w:tcW w:w="1700" w:type="dxa"/>
            <w:vAlign w:val="bottom"/>
            <w:gridSpan w:val="5"/>
          </w:tcPr>
          <w:p>
            <w:pPr>
              <w:jc w:val="right"/>
              <w:spacing w:after="0"/>
              <w:rPr>
                <w:sz w:val="20"/>
                <w:szCs w:val="20"/>
                <w:color w:val="auto"/>
              </w:rPr>
            </w:pPr>
            <w:r>
              <w:rPr>
                <w:rFonts w:ascii="Arial" w:cs="Arial" w:eastAsia="Arial" w:hAnsi="Arial"/>
                <w:sz w:val="14"/>
                <w:szCs w:val="14"/>
                <w:color w:val="0000EE"/>
              </w:rPr>
              <w:t>48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Compensation Tables and Narrative Disclosure</w:t>
            </w:r>
          </w:p>
        </w:tc>
        <w:tc>
          <w:tcPr>
            <w:tcW w:w="1700" w:type="dxa"/>
            <w:vAlign w:val="bottom"/>
            <w:gridSpan w:val="5"/>
          </w:tcPr>
          <w:p>
            <w:pPr>
              <w:jc w:val="right"/>
              <w:spacing w:after="0"/>
              <w:rPr>
                <w:sz w:val="20"/>
                <w:szCs w:val="20"/>
                <w:color w:val="auto"/>
              </w:rPr>
            </w:pPr>
            <w:r>
              <w:rPr>
                <w:rFonts w:ascii="Arial" w:cs="Arial" w:eastAsia="Arial" w:hAnsi="Arial"/>
                <w:sz w:val="14"/>
                <w:szCs w:val="14"/>
                <w:color w:val="0000EE"/>
              </w:rPr>
              <w:t>49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Estimated Change in Control or Termination Payments and Benefits at the End of Fiscal 2023</w:t>
            </w:r>
          </w:p>
        </w:tc>
        <w:tc>
          <w:tcPr>
            <w:tcW w:w="1700" w:type="dxa"/>
            <w:vAlign w:val="bottom"/>
            <w:gridSpan w:val="5"/>
          </w:tcPr>
          <w:p>
            <w:pPr>
              <w:jc w:val="right"/>
              <w:spacing w:after="0"/>
              <w:rPr>
                <w:sz w:val="20"/>
                <w:szCs w:val="20"/>
                <w:color w:val="auto"/>
              </w:rPr>
            </w:pPr>
            <w:r>
              <w:rPr>
                <w:rFonts w:ascii="Arial" w:cs="Arial" w:eastAsia="Arial" w:hAnsi="Arial"/>
                <w:sz w:val="14"/>
                <w:szCs w:val="14"/>
                <w:color w:val="0000EE"/>
              </w:rPr>
              <w:t>59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40" w:type="dxa"/>
            <w:vAlign w:val="bottom"/>
            <w:tcBorders>
              <w:top w:val="single" w:sz="8" w:color="0000EE"/>
              <w:bottom w:val="single" w:sz="8" w:color="0E2A35"/>
            </w:tcBorders>
          </w:tcPr>
          <w:p>
            <w:pPr>
              <w:spacing w:after="0"/>
              <w:rPr>
                <w:sz w:val="8"/>
                <w:szCs w:val="8"/>
                <w:color w:val="auto"/>
              </w:rPr>
            </w:pPr>
          </w:p>
        </w:tc>
        <w:tc>
          <w:tcPr>
            <w:tcW w:w="1080" w:type="dxa"/>
            <w:vAlign w:val="bottom"/>
            <w:tcBorders>
              <w:top w:val="single" w:sz="8" w:color="0000EE"/>
              <w:bottom w:val="single" w:sz="8" w:color="0E2A35"/>
            </w:tcBorders>
          </w:tcPr>
          <w:p>
            <w:pPr>
              <w:spacing w:after="0"/>
              <w:rPr>
                <w:sz w:val="8"/>
                <w:szCs w:val="8"/>
                <w:color w:val="auto"/>
              </w:rPr>
            </w:pPr>
          </w:p>
        </w:tc>
        <w:tc>
          <w:tcPr>
            <w:tcW w:w="1240" w:type="dxa"/>
            <w:vAlign w:val="bottom"/>
            <w:tcBorders>
              <w:top w:val="single" w:sz="8" w:color="0000EE"/>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0" w:type="dxa"/>
            <w:vAlign w:val="bottom"/>
          </w:tcPr>
          <w:p>
            <w:pPr>
              <w:spacing w:after="0"/>
              <w:rPr>
                <w:sz w:val="21"/>
                <w:szCs w:val="21"/>
                <w:color w:val="auto"/>
              </w:rPr>
            </w:pPr>
          </w:p>
        </w:tc>
        <w:tc>
          <w:tcPr>
            <w:tcW w:w="7420" w:type="dxa"/>
            <w:vAlign w:val="bottom"/>
            <w:gridSpan w:val="39"/>
          </w:tcPr>
          <w:p>
            <w:pPr>
              <w:spacing w:after="0"/>
              <w:rPr>
                <w:sz w:val="20"/>
                <w:szCs w:val="20"/>
                <w:color w:val="auto"/>
              </w:rPr>
            </w:pPr>
            <w:r>
              <w:rPr>
                <w:rFonts w:ascii="Arial" w:cs="Arial" w:eastAsia="Arial" w:hAnsi="Arial"/>
                <w:sz w:val="14"/>
                <w:szCs w:val="14"/>
                <w:color w:val="0000EE"/>
              </w:rPr>
              <w:t>CEO Pay Ratio Disclosure</w:t>
            </w:r>
          </w:p>
        </w:tc>
        <w:tc>
          <w:tcPr>
            <w:tcW w:w="1800" w:type="dxa"/>
            <w:vAlign w:val="bottom"/>
            <w:gridSpan w:val="8"/>
          </w:tcPr>
          <w:p>
            <w:pPr>
              <w:jc w:val="right"/>
              <w:ind w:right="60"/>
              <w:spacing w:after="0"/>
              <w:rPr>
                <w:sz w:val="20"/>
                <w:szCs w:val="20"/>
                <w:color w:val="auto"/>
              </w:rPr>
            </w:pPr>
            <w:r>
              <w:rPr>
                <w:rFonts w:ascii="Arial" w:cs="Arial" w:eastAsia="Arial" w:hAnsi="Arial"/>
                <w:sz w:val="14"/>
                <w:szCs w:val="14"/>
                <w:color w:val="0000EE"/>
              </w:rPr>
              <w:t>61</w:t>
            </w:r>
          </w:p>
        </w:tc>
        <w:tc>
          <w:tcPr>
            <w:tcW w:w="20" w:type="dxa"/>
            <w:vAlign w:val="bottom"/>
          </w:tcPr>
          <w:p>
            <w:pPr>
              <w:spacing w:after="0"/>
              <w:rPr>
                <w:sz w:val="21"/>
                <w:szCs w:val="21"/>
                <w:color w:val="auto"/>
              </w:rPr>
            </w:pPr>
          </w:p>
        </w:tc>
      </w:tr>
      <w:tr>
        <w:trPr>
          <w:trHeight w:val="101"/>
        </w:trPr>
        <w:tc>
          <w:tcPr>
            <w:tcW w:w="60" w:type="dxa"/>
            <w:vAlign w:val="bottom"/>
            <w:tcBorders>
              <w:bottom w:val="single" w:sz="8" w:color="0E2A35"/>
            </w:tcBorders>
          </w:tcPr>
          <w:p>
            <w:pPr>
              <w:spacing w:after="0"/>
              <w:rPr>
                <w:sz w:val="8"/>
                <w:szCs w:val="8"/>
                <w:color w:val="auto"/>
              </w:rPr>
            </w:pPr>
          </w:p>
        </w:tc>
        <w:tc>
          <w:tcPr>
            <w:tcW w:w="3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28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0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80" w:type="dxa"/>
            <w:vAlign w:val="bottom"/>
            <w:tcBorders>
              <w:bottom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2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480" w:type="dxa"/>
            <w:vAlign w:val="bottom"/>
            <w:tcBorders>
              <w:bottom w:val="single" w:sz="8" w:color="0E2A35"/>
            </w:tcBorders>
          </w:tcPr>
          <w:p>
            <w:pPr>
              <w:spacing w:after="0"/>
              <w:rPr>
                <w:sz w:val="8"/>
                <w:szCs w:val="8"/>
                <w:color w:val="auto"/>
              </w:rPr>
            </w:pPr>
          </w:p>
        </w:tc>
        <w:tc>
          <w:tcPr>
            <w:tcW w:w="154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4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r>
    </w:tbl>
    <w:p>
      <w:pPr>
        <w:spacing w:after="0" w:line="310" w:lineRule="exact"/>
        <w:rPr>
          <w:sz w:val="20"/>
          <w:szCs w:val="20"/>
          <w:color w:val="auto"/>
        </w:rPr>
      </w:pPr>
    </w:p>
    <w:p>
      <w:pPr>
        <w:ind w:left="6960"/>
        <w:spacing w:after="0"/>
        <w:rPr>
          <w:sz w:val="20"/>
          <w:szCs w:val="20"/>
          <w:color w:val="auto"/>
        </w:rPr>
      </w:pPr>
      <w:r>
        <w:rPr>
          <w:rFonts w:ascii="Arial" w:cs="Arial" w:eastAsia="Arial" w:hAnsi="Arial"/>
          <w:sz w:val="12"/>
          <w:szCs w:val="12"/>
          <w:color w:val="0E2A35"/>
        </w:rPr>
        <w:t>Proxy Statement for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195580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-78105</wp:posOffset>
            </wp:positionV>
            <wp:extent cx="1465580" cy="93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300"/>
          </w:cols>
          <w:pgMar w:left="1300" w:top="265" w:right="1299" w:bottom="255"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 w:type="dxa"/>
            <w:vAlign w:val="bottom"/>
            <w:shd w:val="clear" w:color="auto" w:fill="0E2A35"/>
          </w:tcPr>
          <w:p>
            <w:pPr>
              <w:spacing w:after="0"/>
              <w:rPr>
                <w:sz w:val="22"/>
                <w:szCs w:val="22"/>
                <w:color w:val="auto"/>
              </w:rPr>
            </w:pPr>
          </w:p>
        </w:tc>
        <w:tc>
          <w:tcPr>
            <w:tcW w:w="160" w:type="dxa"/>
            <w:vAlign w:val="bottom"/>
            <w:shd w:val="clear" w:color="auto" w:fill="0E2A35"/>
          </w:tcPr>
          <w:p>
            <w:pPr>
              <w:spacing w:after="0"/>
              <w:rPr>
                <w:sz w:val="22"/>
                <w:szCs w:val="22"/>
                <w:color w:val="auto"/>
              </w:rPr>
            </w:pPr>
          </w:p>
        </w:tc>
        <w:tc>
          <w:tcPr>
            <w:tcW w:w="580" w:type="dxa"/>
            <w:vAlign w:val="bottom"/>
            <w:shd w:val="clear" w:color="auto" w:fill="0E2A35"/>
          </w:tcPr>
          <w:p>
            <w:pPr>
              <w:spacing w:after="0"/>
              <w:rPr>
                <w:sz w:val="22"/>
                <w:szCs w:val="22"/>
                <w:color w:val="auto"/>
              </w:rPr>
            </w:pPr>
          </w:p>
        </w:tc>
        <w:tc>
          <w:tcPr>
            <w:tcW w:w="46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820" w:type="dxa"/>
            <w:vAlign w:val="bottom"/>
            <w:shd w:val="clear" w:color="auto" w:fill="0E2A35"/>
          </w:tcPr>
          <w:p>
            <w:pPr>
              <w:spacing w:after="0"/>
              <w:rPr>
                <w:sz w:val="22"/>
                <w:szCs w:val="22"/>
                <w:color w:val="auto"/>
              </w:rPr>
            </w:pPr>
          </w:p>
        </w:tc>
        <w:tc>
          <w:tcPr>
            <w:tcW w:w="220" w:type="dxa"/>
            <w:vAlign w:val="bottom"/>
            <w:shd w:val="clear" w:color="auto" w:fill="0E2A35"/>
          </w:tcPr>
          <w:p>
            <w:pPr>
              <w:spacing w:after="0"/>
              <w:rPr>
                <w:sz w:val="22"/>
                <w:szCs w:val="22"/>
                <w:color w:val="auto"/>
              </w:rPr>
            </w:pPr>
          </w:p>
        </w:tc>
        <w:tc>
          <w:tcPr>
            <w:tcW w:w="140" w:type="dxa"/>
            <w:vAlign w:val="bottom"/>
            <w:shd w:val="clear" w:color="auto" w:fill="0E2A35"/>
          </w:tcPr>
          <w:p>
            <w:pPr>
              <w:spacing w:after="0"/>
              <w:rPr>
                <w:sz w:val="22"/>
                <w:szCs w:val="22"/>
                <w:color w:val="auto"/>
              </w:rPr>
            </w:pPr>
          </w:p>
        </w:tc>
        <w:tc>
          <w:tcPr>
            <w:tcW w:w="1900" w:type="dxa"/>
            <w:vAlign w:val="bottom"/>
            <w:shd w:val="clear" w:color="auto" w:fill="0E2A35"/>
          </w:tcPr>
          <w:p>
            <w:pPr>
              <w:spacing w:after="0"/>
              <w:rPr>
                <w:sz w:val="22"/>
                <w:szCs w:val="22"/>
                <w:color w:val="auto"/>
              </w:rPr>
            </w:pPr>
          </w:p>
        </w:tc>
        <w:tc>
          <w:tcPr>
            <w:tcW w:w="220" w:type="dxa"/>
            <w:vAlign w:val="bottom"/>
            <w:shd w:val="clear" w:color="auto" w:fill="0E2A35"/>
          </w:tcPr>
          <w:p>
            <w:pPr>
              <w:spacing w:after="0"/>
              <w:rPr>
                <w:sz w:val="22"/>
                <w:szCs w:val="22"/>
                <w:color w:val="auto"/>
              </w:rPr>
            </w:pPr>
          </w:p>
        </w:tc>
        <w:tc>
          <w:tcPr>
            <w:tcW w:w="660" w:type="dxa"/>
            <w:vAlign w:val="bottom"/>
            <w:shd w:val="clear" w:color="auto" w:fill="0E2A35"/>
          </w:tcPr>
          <w:p>
            <w:pPr>
              <w:spacing w:after="0"/>
              <w:rPr>
                <w:sz w:val="22"/>
                <w:szCs w:val="22"/>
                <w:color w:val="auto"/>
              </w:rPr>
            </w:pPr>
          </w:p>
        </w:tc>
        <w:tc>
          <w:tcPr>
            <w:tcW w:w="34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140" w:type="dxa"/>
            <w:vAlign w:val="bottom"/>
            <w:shd w:val="clear" w:color="auto" w:fill="0E2A35"/>
          </w:tcPr>
          <w:p>
            <w:pPr>
              <w:spacing w:after="0"/>
              <w:rPr>
                <w:sz w:val="22"/>
                <w:szCs w:val="22"/>
                <w:color w:val="auto"/>
              </w:rPr>
            </w:pPr>
          </w:p>
        </w:tc>
        <w:tc>
          <w:tcPr>
            <w:tcW w:w="440" w:type="dxa"/>
            <w:vAlign w:val="bottom"/>
            <w:shd w:val="clear" w:color="auto" w:fill="0E2A35"/>
          </w:tcPr>
          <w:p>
            <w:pPr>
              <w:spacing w:after="0"/>
              <w:rPr>
                <w:sz w:val="22"/>
                <w:szCs w:val="22"/>
                <w:color w:val="auto"/>
              </w:rPr>
            </w:pPr>
          </w:p>
        </w:tc>
        <w:tc>
          <w:tcPr>
            <w:tcW w:w="1740" w:type="dxa"/>
            <w:vAlign w:val="bottom"/>
            <w:shd w:val="clear" w:color="auto" w:fill="0E2A35"/>
          </w:tcPr>
          <w:p>
            <w:pPr>
              <w:spacing w:after="0"/>
              <w:rPr>
                <w:sz w:val="22"/>
                <w:szCs w:val="22"/>
                <w:color w:val="auto"/>
              </w:rPr>
            </w:pPr>
          </w:p>
        </w:tc>
        <w:tc>
          <w:tcPr>
            <w:tcW w:w="60" w:type="dxa"/>
            <w:vAlign w:val="bottom"/>
            <w:shd w:val="clear" w:color="auto" w:fill="0E2A35"/>
          </w:tcPr>
          <w:p>
            <w:pPr>
              <w:spacing w:after="0"/>
              <w:rPr>
                <w:sz w:val="22"/>
                <w:szCs w:val="22"/>
                <w:color w:val="auto"/>
              </w:rPr>
            </w:pPr>
          </w:p>
        </w:tc>
        <w:tc>
          <w:tcPr>
            <w:tcW w:w="440" w:type="dxa"/>
            <w:vAlign w:val="bottom"/>
            <w:shd w:val="clear" w:color="auto" w:fill="0E2A35"/>
          </w:tcPr>
          <w:p>
            <w:pPr>
              <w:spacing w:after="0"/>
              <w:rPr>
                <w:sz w:val="22"/>
                <w:szCs w:val="22"/>
                <w:color w:val="auto"/>
              </w:rPr>
            </w:pPr>
          </w:p>
        </w:tc>
        <w:tc>
          <w:tcPr>
            <w:tcW w:w="780" w:type="dxa"/>
            <w:vAlign w:val="bottom"/>
            <w:tcBorders>
              <w:right w:val="single" w:sz="8" w:color="0E2A35"/>
            </w:tcBorders>
            <w:gridSpan w:val="7"/>
            <w:shd w:val="clear" w:color="auto" w:fill="0E2A35"/>
          </w:tcPr>
          <w:p>
            <w:pPr>
              <w:jc w:val="center"/>
              <w:ind w:left="390"/>
              <w:spacing w:after="0"/>
              <w:rPr>
                <w:sz w:val="20"/>
                <w:szCs w:val="20"/>
                <w:color w:val="auto"/>
              </w:rPr>
            </w:pPr>
            <w:r>
              <w:rPr>
                <w:rFonts w:ascii="Arial" w:cs="Arial" w:eastAsia="Arial" w:hAnsi="Arial"/>
                <w:sz w:val="13"/>
                <w:szCs w:val="13"/>
                <w:b w:val="1"/>
                <w:bCs w:val="1"/>
                <w:color w:val="FFFFFF"/>
              </w:rPr>
              <w:t>Page​​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60" w:type="dxa"/>
            <w:vAlign w:val="bottom"/>
            <w:shd w:val="clear" w:color="auto" w:fill="0E2A35"/>
          </w:tcPr>
          <w:p>
            <w:pPr>
              <w:spacing w:after="0"/>
              <w:rPr>
                <w:sz w:val="7"/>
                <w:szCs w:val="7"/>
                <w:color w:val="auto"/>
              </w:rPr>
            </w:pPr>
          </w:p>
        </w:tc>
        <w:tc>
          <w:tcPr>
            <w:tcW w:w="160" w:type="dxa"/>
            <w:vAlign w:val="bottom"/>
            <w:shd w:val="clear" w:color="auto" w:fill="0E2A35"/>
          </w:tcPr>
          <w:p>
            <w:pPr>
              <w:spacing w:after="0"/>
              <w:rPr>
                <w:sz w:val="7"/>
                <w:szCs w:val="7"/>
                <w:color w:val="auto"/>
              </w:rPr>
            </w:pPr>
          </w:p>
        </w:tc>
        <w:tc>
          <w:tcPr>
            <w:tcW w:w="1040" w:type="dxa"/>
            <w:vAlign w:val="bottom"/>
            <w:gridSpan w:val="2"/>
            <w:shd w:val="clear" w:color="auto" w:fill="0E2A35"/>
          </w:tcPr>
          <w:p>
            <w:pPr>
              <w:spacing w:after="0"/>
              <w:rPr>
                <w:sz w:val="7"/>
                <w:szCs w:val="7"/>
                <w:color w:val="auto"/>
              </w:rPr>
            </w:pPr>
          </w:p>
        </w:tc>
        <w:tc>
          <w:tcPr>
            <w:tcW w:w="60" w:type="dxa"/>
            <w:vAlign w:val="bottom"/>
            <w:shd w:val="clear" w:color="auto" w:fill="0E2A35"/>
          </w:tcPr>
          <w:p>
            <w:pPr>
              <w:spacing w:after="0"/>
              <w:rPr>
                <w:sz w:val="7"/>
                <w:szCs w:val="7"/>
                <w:color w:val="auto"/>
              </w:rPr>
            </w:pPr>
          </w:p>
        </w:tc>
        <w:tc>
          <w:tcPr>
            <w:tcW w:w="820" w:type="dxa"/>
            <w:vAlign w:val="bottom"/>
            <w:shd w:val="clear" w:color="auto" w:fill="0E2A35"/>
          </w:tcPr>
          <w:p>
            <w:pPr>
              <w:spacing w:after="0"/>
              <w:rPr>
                <w:sz w:val="7"/>
                <w:szCs w:val="7"/>
                <w:color w:val="auto"/>
              </w:rPr>
            </w:pPr>
          </w:p>
        </w:tc>
        <w:tc>
          <w:tcPr>
            <w:tcW w:w="220" w:type="dxa"/>
            <w:vAlign w:val="bottom"/>
            <w:shd w:val="clear" w:color="auto" w:fill="0E2A35"/>
          </w:tcPr>
          <w:p>
            <w:pPr>
              <w:spacing w:after="0"/>
              <w:rPr>
                <w:sz w:val="7"/>
                <w:szCs w:val="7"/>
                <w:color w:val="auto"/>
              </w:rPr>
            </w:pPr>
          </w:p>
        </w:tc>
        <w:tc>
          <w:tcPr>
            <w:tcW w:w="140" w:type="dxa"/>
            <w:vAlign w:val="bottom"/>
            <w:shd w:val="clear" w:color="auto" w:fill="0E2A35"/>
          </w:tcPr>
          <w:p>
            <w:pPr>
              <w:spacing w:after="0"/>
              <w:rPr>
                <w:sz w:val="7"/>
                <w:szCs w:val="7"/>
                <w:color w:val="auto"/>
              </w:rPr>
            </w:pPr>
          </w:p>
        </w:tc>
        <w:tc>
          <w:tcPr>
            <w:tcW w:w="1900" w:type="dxa"/>
            <w:vAlign w:val="bottom"/>
            <w:shd w:val="clear" w:color="auto" w:fill="0E2A35"/>
          </w:tcPr>
          <w:p>
            <w:pPr>
              <w:spacing w:after="0"/>
              <w:rPr>
                <w:sz w:val="7"/>
                <w:szCs w:val="7"/>
                <w:color w:val="auto"/>
              </w:rPr>
            </w:pPr>
          </w:p>
        </w:tc>
        <w:tc>
          <w:tcPr>
            <w:tcW w:w="220" w:type="dxa"/>
            <w:vAlign w:val="bottom"/>
            <w:shd w:val="clear" w:color="auto" w:fill="0E2A35"/>
          </w:tcPr>
          <w:p>
            <w:pPr>
              <w:spacing w:after="0"/>
              <w:rPr>
                <w:sz w:val="7"/>
                <w:szCs w:val="7"/>
                <w:color w:val="auto"/>
              </w:rPr>
            </w:pPr>
          </w:p>
        </w:tc>
        <w:tc>
          <w:tcPr>
            <w:tcW w:w="660" w:type="dxa"/>
            <w:vAlign w:val="bottom"/>
            <w:shd w:val="clear" w:color="auto" w:fill="0E2A35"/>
          </w:tcPr>
          <w:p>
            <w:pPr>
              <w:spacing w:after="0"/>
              <w:rPr>
                <w:sz w:val="7"/>
                <w:szCs w:val="7"/>
                <w:color w:val="auto"/>
              </w:rPr>
            </w:pPr>
          </w:p>
        </w:tc>
        <w:tc>
          <w:tcPr>
            <w:tcW w:w="340" w:type="dxa"/>
            <w:vAlign w:val="bottom"/>
            <w:shd w:val="clear" w:color="auto" w:fill="0E2A35"/>
          </w:tcPr>
          <w:p>
            <w:pPr>
              <w:spacing w:after="0"/>
              <w:rPr>
                <w:sz w:val="7"/>
                <w:szCs w:val="7"/>
                <w:color w:val="auto"/>
              </w:rPr>
            </w:pPr>
          </w:p>
        </w:tc>
        <w:tc>
          <w:tcPr>
            <w:tcW w:w="60" w:type="dxa"/>
            <w:vAlign w:val="bottom"/>
            <w:shd w:val="clear" w:color="auto" w:fill="0E2A35"/>
          </w:tcPr>
          <w:p>
            <w:pPr>
              <w:spacing w:after="0"/>
              <w:rPr>
                <w:sz w:val="7"/>
                <w:szCs w:val="7"/>
                <w:color w:val="auto"/>
              </w:rPr>
            </w:pPr>
          </w:p>
        </w:tc>
        <w:tc>
          <w:tcPr>
            <w:tcW w:w="140" w:type="dxa"/>
            <w:vAlign w:val="bottom"/>
            <w:shd w:val="clear" w:color="auto" w:fill="0E2A35"/>
          </w:tcPr>
          <w:p>
            <w:pPr>
              <w:spacing w:after="0"/>
              <w:rPr>
                <w:sz w:val="7"/>
                <w:szCs w:val="7"/>
                <w:color w:val="auto"/>
              </w:rPr>
            </w:pPr>
          </w:p>
        </w:tc>
        <w:tc>
          <w:tcPr>
            <w:tcW w:w="440" w:type="dxa"/>
            <w:vAlign w:val="bottom"/>
            <w:shd w:val="clear" w:color="auto" w:fill="0E2A35"/>
          </w:tcPr>
          <w:p>
            <w:pPr>
              <w:spacing w:after="0"/>
              <w:rPr>
                <w:sz w:val="7"/>
                <w:szCs w:val="7"/>
                <w:color w:val="auto"/>
              </w:rPr>
            </w:pPr>
          </w:p>
        </w:tc>
        <w:tc>
          <w:tcPr>
            <w:tcW w:w="1740" w:type="dxa"/>
            <w:vAlign w:val="bottom"/>
            <w:shd w:val="clear" w:color="auto" w:fill="0E2A35"/>
          </w:tcPr>
          <w:p>
            <w:pPr>
              <w:spacing w:after="0"/>
              <w:rPr>
                <w:sz w:val="7"/>
                <w:szCs w:val="7"/>
                <w:color w:val="auto"/>
              </w:rPr>
            </w:pPr>
          </w:p>
        </w:tc>
        <w:tc>
          <w:tcPr>
            <w:tcW w:w="60" w:type="dxa"/>
            <w:vAlign w:val="bottom"/>
            <w:shd w:val="clear" w:color="auto" w:fill="0E2A35"/>
          </w:tcPr>
          <w:p>
            <w:pPr>
              <w:spacing w:after="0"/>
              <w:rPr>
                <w:sz w:val="7"/>
                <w:szCs w:val="7"/>
                <w:color w:val="auto"/>
              </w:rPr>
            </w:pPr>
          </w:p>
        </w:tc>
        <w:tc>
          <w:tcPr>
            <w:tcW w:w="440" w:type="dxa"/>
            <w:vAlign w:val="bottom"/>
            <w:shd w:val="clear" w:color="auto" w:fill="0E2A35"/>
          </w:tcPr>
          <w:p>
            <w:pPr>
              <w:spacing w:after="0"/>
              <w:rPr>
                <w:sz w:val="7"/>
                <w:szCs w:val="7"/>
                <w:color w:val="auto"/>
              </w:rPr>
            </w:pPr>
          </w:p>
        </w:tc>
        <w:tc>
          <w:tcPr>
            <w:tcW w:w="50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120" w:type="dxa"/>
            <w:vAlign w:val="bottom"/>
            <w:shd w:val="clear" w:color="auto" w:fill="0E2A35"/>
          </w:tcPr>
          <w:p>
            <w:pPr>
              <w:spacing w:after="0"/>
              <w:rPr>
                <w:sz w:val="7"/>
                <w:szCs w:val="7"/>
                <w:color w:val="auto"/>
              </w:rPr>
            </w:pPr>
          </w:p>
        </w:tc>
        <w:tc>
          <w:tcPr>
            <w:tcW w:w="20" w:type="dxa"/>
            <w:vAlign w:val="bottom"/>
            <w:shd w:val="clear" w:color="auto" w:fill="0E2A35"/>
          </w:tcPr>
          <w:p>
            <w:pPr>
              <w:spacing w:after="0"/>
              <w:rPr>
                <w:sz w:val="7"/>
                <w:szCs w:val="7"/>
                <w:color w:val="auto"/>
              </w:rPr>
            </w:pPr>
          </w:p>
        </w:tc>
        <w:tc>
          <w:tcPr>
            <w:tcW w:w="80" w:type="dxa"/>
            <w:vAlign w:val="bottom"/>
            <w:tcBorders>
              <w:right w:val="single" w:sz="8" w:color="0E2A35"/>
            </w:tcBorders>
            <w:shd w:val="clear" w:color="auto" w:fill="0E2A35"/>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440" w:type="dxa"/>
            <w:vAlign w:val="bottom"/>
            <w:gridSpan w:val="17"/>
          </w:tcPr>
          <w:p>
            <w:pPr>
              <w:spacing w:after="0"/>
              <w:rPr>
                <w:sz w:val="20"/>
                <w:szCs w:val="20"/>
                <w:color w:val="auto"/>
              </w:rPr>
            </w:pPr>
            <w:r>
              <w:rPr>
                <w:rFonts w:ascii="Arial" w:cs="Arial" w:eastAsia="Arial" w:hAnsi="Arial"/>
                <w:sz w:val="14"/>
                <w:szCs w:val="14"/>
                <w:color w:val="0000EE"/>
              </w:rPr>
              <w:t>Pay Versus Performance Disclosure</w:t>
            </w:r>
          </w:p>
        </w:tc>
        <w:tc>
          <w:tcPr>
            <w:tcW w:w="780" w:type="dxa"/>
            <w:vAlign w:val="bottom"/>
            <w:gridSpan w:val="7"/>
          </w:tcPr>
          <w:p>
            <w:pPr>
              <w:jc w:val="center"/>
              <w:ind w:left="390"/>
              <w:spacing w:after="0"/>
              <w:rPr>
                <w:sz w:val="20"/>
                <w:szCs w:val="20"/>
                <w:color w:val="auto"/>
              </w:rPr>
            </w:pPr>
            <w:r>
              <w:rPr>
                <w:rFonts w:ascii="Arial" w:cs="Arial" w:eastAsia="Arial" w:hAnsi="Arial"/>
                <w:sz w:val="14"/>
                <w:szCs w:val="14"/>
                <w:color w:val="0000EE"/>
              </w:rPr>
              <w:t>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440" w:type="dxa"/>
            <w:vAlign w:val="bottom"/>
            <w:gridSpan w:val="17"/>
          </w:tcPr>
          <w:p>
            <w:pPr>
              <w:spacing w:after="0"/>
              <w:rPr>
                <w:sz w:val="20"/>
                <w:szCs w:val="20"/>
                <w:color w:val="auto"/>
              </w:rPr>
            </w:pPr>
            <w:r>
              <w:rPr>
                <w:rFonts w:ascii="Arial" w:cs="Arial" w:eastAsia="Arial" w:hAnsi="Arial"/>
                <w:sz w:val="14"/>
                <w:szCs w:val="14"/>
                <w:color w:val="0000EE"/>
              </w:rPr>
              <w:t>Equity Compensation Plan Information</w:t>
            </w:r>
          </w:p>
        </w:tc>
        <w:tc>
          <w:tcPr>
            <w:tcW w:w="780" w:type="dxa"/>
            <w:vAlign w:val="bottom"/>
            <w:gridSpan w:val="7"/>
          </w:tcPr>
          <w:p>
            <w:pPr>
              <w:jc w:val="center"/>
              <w:ind w:left="390"/>
              <w:spacing w:after="0"/>
              <w:rPr>
                <w:sz w:val="20"/>
                <w:szCs w:val="20"/>
                <w:color w:val="auto"/>
              </w:rPr>
            </w:pPr>
            <w:r>
              <w:rPr>
                <w:rFonts w:ascii="Arial" w:cs="Arial" w:eastAsia="Arial" w:hAnsi="Arial"/>
                <w:sz w:val="14"/>
                <w:szCs w:val="14"/>
                <w:color w:val="0000EE"/>
              </w:rPr>
              <w:t>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440" w:type="dxa"/>
            <w:vAlign w:val="bottom"/>
            <w:gridSpan w:val="17"/>
          </w:tcPr>
          <w:p>
            <w:pPr>
              <w:spacing w:after="0"/>
              <w:rPr>
                <w:sz w:val="20"/>
                <w:szCs w:val="20"/>
                <w:color w:val="auto"/>
              </w:rPr>
            </w:pPr>
            <w:r>
              <w:rPr>
                <w:rFonts w:ascii="Arial" w:cs="Arial" w:eastAsia="Arial" w:hAnsi="Arial"/>
                <w:sz w:val="14"/>
                <w:szCs w:val="14"/>
                <w:b w:val="1"/>
                <w:bCs w:val="1"/>
                <w:color w:val="0000EE"/>
              </w:rPr>
              <w:t>Proposal 2 – Advisory Vote to Approve the Compensation of our Named Executive Officers</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6"/>
          </w:tcPr>
          <w:p>
            <w:pPr>
              <w:jc w:val="center"/>
              <w:ind w:right="80"/>
              <w:spacing w:after="0"/>
              <w:rPr>
                <w:sz w:val="20"/>
                <w:szCs w:val="20"/>
                <w:color w:val="auto"/>
              </w:rPr>
            </w:pPr>
            <w:r>
              <w:rPr>
                <w:rFonts w:ascii="Arial" w:cs="Arial" w:eastAsia="Arial" w:hAnsi="Arial"/>
                <w:sz w:val="14"/>
                <w:szCs w:val="14"/>
                <w:color w:val="0000EE"/>
              </w:rPr>
              <w:t>67​</w:t>
            </w:r>
          </w:p>
        </w:tc>
        <w:tc>
          <w:tcPr>
            <w:tcW w:w="0" w:type="dxa"/>
            <w:vAlign w:val="bottom"/>
          </w:tcPr>
          <w:p>
            <w:pPr>
              <w:spacing w:after="0"/>
              <w:rPr>
                <w:sz w:val="1"/>
                <w:szCs w:val="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90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660" w:type="dxa"/>
            <w:vAlign w:val="bottom"/>
            <w:tcBorders>
              <w:top w:val="single" w:sz="8" w:color="0000EE"/>
              <w:bottom w:val="single" w:sz="8" w:color="0E2A35"/>
            </w:tcBorders>
          </w:tcPr>
          <w:p>
            <w:pPr>
              <w:spacing w:after="0"/>
              <w:rPr>
                <w:sz w:val="8"/>
                <w:szCs w:val="8"/>
                <w:color w:val="auto"/>
              </w:rPr>
            </w:pPr>
          </w:p>
        </w:tc>
        <w:tc>
          <w:tcPr>
            <w:tcW w:w="34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40" w:type="dxa"/>
            <w:vAlign w:val="bottom"/>
            <w:tcBorders>
              <w:top w:val="single" w:sz="8" w:color="0000EE"/>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0000EE"/>
              </w:rPr>
              <w:t>Proposal 3</w:t>
            </w:r>
          </w:p>
        </w:tc>
        <w:tc>
          <w:tcPr>
            <w:tcW w:w="7700" w:type="dxa"/>
            <w:vAlign w:val="bottom"/>
            <w:gridSpan w:val="15"/>
          </w:tcPr>
          <w:p>
            <w:pPr>
              <w:ind w:left="20"/>
              <w:spacing w:after="0"/>
              <w:rPr>
                <w:sz w:val="20"/>
                <w:szCs w:val="20"/>
                <w:color w:val="auto"/>
              </w:rPr>
            </w:pPr>
            <w:r>
              <w:rPr>
                <w:rFonts w:ascii="Arial" w:cs="Arial" w:eastAsia="Arial" w:hAnsi="Arial"/>
                <w:sz w:val="14"/>
                <w:szCs w:val="14"/>
                <w:b w:val="1"/>
                <w:bCs w:val="1"/>
                <w:color w:val="0000EE"/>
              </w:rPr>
              <w:t>– Advisory Vote on the Frequency of Future Votes on the Compensation of our Named Executive Officers</w:t>
            </w:r>
          </w:p>
        </w:tc>
        <w:tc>
          <w:tcPr>
            <w:tcW w:w="700" w:type="dxa"/>
            <w:vAlign w:val="bottom"/>
            <w:gridSpan w:val="6"/>
          </w:tcPr>
          <w:p>
            <w:pPr>
              <w:jc w:val="center"/>
              <w:ind w:left="430"/>
              <w:spacing w:after="0"/>
              <w:rPr>
                <w:sz w:val="20"/>
                <w:szCs w:val="20"/>
                <w:color w:val="auto"/>
              </w:rPr>
            </w:pPr>
            <w:r>
              <w:rPr>
                <w:rFonts w:ascii="Arial" w:cs="Arial" w:eastAsia="Arial" w:hAnsi="Arial"/>
                <w:sz w:val="14"/>
                <w:szCs w:val="14"/>
                <w:color w:val="0000EE"/>
              </w:rPr>
              <w:t>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90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660" w:type="dxa"/>
            <w:vAlign w:val="bottom"/>
            <w:tcBorders>
              <w:top w:val="single" w:sz="8" w:color="0000EE"/>
              <w:bottom w:val="single" w:sz="8" w:color="0E2A35"/>
            </w:tcBorders>
          </w:tcPr>
          <w:p>
            <w:pPr>
              <w:spacing w:after="0"/>
              <w:rPr>
                <w:sz w:val="8"/>
                <w:szCs w:val="8"/>
                <w:color w:val="auto"/>
              </w:rPr>
            </w:pPr>
          </w:p>
        </w:tc>
        <w:tc>
          <w:tcPr>
            <w:tcW w:w="34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40" w:type="dxa"/>
            <w:vAlign w:val="bottom"/>
            <w:tcBorders>
              <w:top w:val="single" w:sz="8" w:color="0000EE"/>
              <w:bottom w:val="single" w:sz="8" w:color="0E2A35"/>
            </w:tcBorders>
          </w:tcPr>
          <w:p>
            <w:pPr>
              <w:spacing w:after="0"/>
              <w:rPr>
                <w:sz w:val="8"/>
                <w:szCs w:val="8"/>
                <w:color w:val="auto"/>
              </w:rPr>
            </w:pPr>
          </w:p>
        </w:tc>
        <w:tc>
          <w:tcPr>
            <w:tcW w:w="174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0000EE"/>
              </w:rPr>
              <w:t>Proposal 4</w:t>
            </w:r>
          </w:p>
        </w:tc>
        <w:tc>
          <w:tcPr>
            <w:tcW w:w="7700" w:type="dxa"/>
            <w:vAlign w:val="bottom"/>
            <w:gridSpan w:val="15"/>
          </w:tcPr>
          <w:p>
            <w:pPr>
              <w:ind w:left="20"/>
              <w:spacing w:after="0"/>
              <w:rPr>
                <w:sz w:val="20"/>
                <w:szCs w:val="20"/>
                <w:color w:val="auto"/>
              </w:rPr>
            </w:pPr>
            <w:r>
              <w:rPr>
                <w:rFonts w:ascii="Arial" w:cs="Arial" w:eastAsia="Arial" w:hAnsi="Arial"/>
                <w:sz w:val="14"/>
                <w:szCs w:val="14"/>
                <w:b w:val="1"/>
                <w:bCs w:val="1"/>
                <w:color w:val="0000EE"/>
              </w:rPr>
              <w:t>– Approval of the Amended and Restated 2019 Omnibus Incentive Plan</w:t>
            </w:r>
          </w:p>
        </w:tc>
        <w:tc>
          <w:tcPr>
            <w:tcW w:w="780" w:type="dxa"/>
            <w:vAlign w:val="bottom"/>
            <w:gridSpan w:val="7"/>
          </w:tcPr>
          <w:p>
            <w:pPr>
              <w:jc w:val="center"/>
              <w:ind w:left="390"/>
              <w:spacing w:after="0"/>
              <w:rPr>
                <w:sz w:val="20"/>
                <w:szCs w:val="20"/>
                <w:color w:val="auto"/>
              </w:rPr>
            </w:pPr>
            <w:r>
              <w:rPr>
                <w:rFonts w:ascii="Arial" w:cs="Arial" w:eastAsia="Arial" w:hAnsi="Arial"/>
                <w:sz w:val="14"/>
                <w:szCs w:val="14"/>
                <w:color w:val="0000EE"/>
              </w:rPr>
              <w:t>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90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660" w:type="dxa"/>
            <w:vAlign w:val="bottom"/>
            <w:tcBorders>
              <w:top w:val="single" w:sz="8" w:color="0000EE"/>
              <w:bottom w:val="single" w:sz="8" w:color="0E2A35"/>
            </w:tcBorders>
          </w:tcPr>
          <w:p>
            <w:pPr>
              <w:spacing w:after="0"/>
              <w:rPr>
                <w:sz w:val="8"/>
                <w:szCs w:val="8"/>
                <w:color w:val="auto"/>
              </w:rPr>
            </w:pPr>
          </w:p>
        </w:tc>
        <w:tc>
          <w:tcPr>
            <w:tcW w:w="34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0000EE"/>
              </w:rPr>
              <w:t>Proposal 5</w:t>
            </w:r>
          </w:p>
        </w:tc>
        <w:tc>
          <w:tcPr>
            <w:tcW w:w="7700" w:type="dxa"/>
            <w:vAlign w:val="bottom"/>
            <w:gridSpan w:val="15"/>
          </w:tcPr>
          <w:p>
            <w:pPr>
              <w:ind w:left="20"/>
              <w:spacing w:after="0"/>
              <w:rPr>
                <w:sz w:val="20"/>
                <w:szCs w:val="20"/>
                <w:color w:val="auto"/>
              </w:rPr>
            </w:pPr>
            <w:r>
              <w:rPr>
                <w:rFonts w:ascii="Arial" w:cs="Arial" w:eastAsia="Arial" w:hAnsi="Arial"/>
                <w:sz w:val="14"/>
                <w:szCs w:val="14"/>
                <w:b w:val="1"/>
                <w:bCs w:val="1"/>
                <w:color w:val="0000EE"/>
              </w:rPr>
              <w:t>– Approval of the Amended and Restated Employee Stock Purchase Plan</w:t>
            </w:r>
          </w:p>
        </w:tc>
        <w:tc>
          <w:tcPr>
            <w:tcW w:w="700" w:type="dxa"/>
            <w:vAlign w:val="bottom"/>
            <w:gridSpan w:val="6"/>
          </w:tcPr>
          <w:p>
            <w:pPr>
              <w:jc w:val="center"/>
              <w:ind w:left="430"/>
              <w:spacing w:after="0"/>
              <w:rPr>
                <w:sz w:val="20"/>
                <w:szCs w:val="20"/>
                <w:color w:val="auto"/>
              </w:rPr>
            </w:pPr>
            <w:r>
              <w:rPr>
                <w:rFonts w:ascii="Arial" w:cs="Arial" w:eastAsia="Arial" w:hAnsi="Arial"/>
                <w:sz w:val="14"/>
                <w:szCs w:val="14"/>
                <w:color w:val="0000EE"/>
              </w:rPr>
              <w:t>80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90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660" w:type="dxa"/>
            <w:vAlign w:val="bottom"/>
            <w:tcBorders>
              <w:top w:val="single" w:sz="8" w:color="0000EE"/>
              <w:bottom w:val="single" w:sz="8" w:color="0E2A35"/>
            </w:tcBorders>
          </w:tcPr>
          <w:p>
            <w:pPr>
              <w:spacing w:after="0"/>
              <w:rPr>
                <w:sz w:val="8"/>
                <w:szCs w:val="8"/>
                <w:color w:val="auto"/>
              </w:rPr>
            </w:pPr>
          </w:p>
        </w:tc>
        <w:tc>
          <w:tcPr>
            <w:tcW w:w="34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0000EE"/>
              </w:rPr>
              <w:t>Proposal 6</w:t>
            </w:r>
          </w:p>
        </w:tc>
        <w:tc>
          <w:tcPr>
            <w:tcW w:w="7700" w:type="dxa"/>
            <w:vAlign w:val="bottom"/>
            <w:gridSpan w:val="15"/>
          </w:tcPr>
          <w:p>
            <w:pPr>
              <w:ind w:left="20"/>
              <w:spacing w:after="0"/>
              <w:rPr>
                <w:sz w:val="20"/>
                <w:szCs w:val="20"/>
                <w:color w:val="auto"/>
              </w:rPr>
            </w:pPr>
            <w:r>
              <w:rPr>
                <w:rFonts w:ascii="Arial" w:cs="Arial" w:eastAsia="Arial" w:hAnsi="Arial"/>
                <w:sz w:val="14"/>
                <w:szCs w:val="14"/>
                <w:b w:val="1"/>
                <w:bCs w:val="1"/>
                <w:color w:val="0000EE"/>
              </w:rPr>
              <w:t>– Ratification of the Appointment of Independent Registered Public Accountant for the Fiscal Year Ending</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6"/>
            <w:vMerge w:val="restart"/>
          </w:tcPr>
          <w:p>
            <w:pPr>
              <w:jc w:val="center"/>
              <w:ind w:right="80"/>
              <w:spacing w:after="0"/>
              <w:rPr>
                <w:sz w:val="20"/>
                <w:szCs w:val="20"/>
                <w:color w:val="auto"/>
              </w:rPr>
            </w:pPr>
            <w:r>
              <w:rPr>
                <w:rFonts w:ascii="Arial" w:cs="Arial" w:eastAsia="Arial" w:hAnsi="Arial"/>
                <w:sz w:val="14"/>
                <w:szCs w:val="14"/>
                <w:color w:val="0000EE"/>
              </w:rPr>
              <w:t>85​</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7840" w:type="dxa"/>
            <w:vAlign w:val="bottom"/>
            <w:tcBorders>
              <w:top w:val="single" w:sz="8" w:color="0000EE"/>
            </w:tcBorders>
            <w:gridSpan w:val="15"/>
          </w:tcPr>
          <w:p>
            <w:pPr>
              <w:spacing w:after="0" w:line="142" w:lineRule="exact"/>
              <w:rPr>
                <w:sz w:val="20"/>
                <w:szCs w:val="20"/>
                <w:color w:val="auto"/>
              </w:rPr>
            </w:pPr>
            <w:r>
              <w:rPr>
                <w:rFonts w:ascii="Arial" w:cs="Arial" w:eastAsia="Arial" w:hAnsi="Arial"/>
                <w:sz w:val="14"/>
                <w:szCs w:val="14"/>
                <w:b w:val="1"/>
                <w:bCs w:val="1"/>
                <w:color w:val="0000EE"/>
              </w:rPr>
              <w:t>August 31, 2024</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160" w:type="dxa"/>
            <w:vAlign w:val="bottom"/>
            <w:tcBorders>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440" w:type="dxa"/>
            <w:vAlign w:val="bottom"/>
            <w:gridSpan w:val="17"/>
          </w:tcPr>
          <w:p>
            <w:pPr>
              <w:spacing w:after="0"/>
              <w:rPr>
                <w:sz w:val="20"/>
                <w:szCs w:val="20"/>
                <w:color w:val="auto"/>
              </w:rPr>
            </w:pPr>
            <w:r>
              <w:rPr>
                <w:rFonts w:ascii="Arial" w:cs="Arial" w:eastAsia="Arial" w:hAnsi="Arial"/>
                <w:sz w:val="14"/>
                <w:szCs w:val="14"/>
                <w:b w:val="1"/>
                <w:bCs w:val="1"/>
                <w:color w:val="0000EE"/>
              </w:rPr>
              <w:t>Report of the Audit Committee</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6"/>
          </w:tcPr>
          <w:p>
            <w:pPr>
              <w:jc w:val="center"/>
              <w:ind w:right="120"/>
              <w:spacing w:after="0"/>
              <w:rPr>
                <w:sz w:val="20"/>
                <w:szCs w:val="20"/>
                <w:color w:val="auto"/>
              </w:rPr>
            </w:pPr>
            <w:r>
              <w:rPr>
                <w:rFonts w:ascii="Arial" w:cs="Arial" w:eastAsia="Arial" w:hAnsi="Arial"/>
                <w:sz w:val="14"/>
                <w:szCs w:val="14"/>
                <w:color w:val="0000EE"/>
              </w:rPr>
              <w:t>86​</w:t>
            </w:r>
          </w:p>
        </w:tc>
        <w:tc>
          <w:tcPr>
            <w:tcW w:w="0" w:type="dxa"/>
            <w:vAlign w:val="bottom"/>
          </w:tcPr>
          <w:p>
            <w:pPr>
              <w:spacing w:after="0"/>
              <w:rPr>
                <w:sz w:val="1"/>
                <w:szCs w:val="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top w:val="single" w:sz="8" w:color="0000EE"/>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440" w:type="dxa"/>
            <w:vAlign w:val="bottom"/>
            <w:gridSpan w:val="17"/>
          </w:tcPr>
          <w:p>
            <w:pPr>
              <w:spacing w:after="0"/>
              <w:rPr>
                <w:sz w:val="20"/>
                <w:szCs w:val="20"/>
                <w:color w:val="auto"/>
              </w:rPr>
            </w:pPr>
            <w:r>
              <w:rPr>
                <w:rFonts w:ascii="Arial" w:cs="Arial" w:eastAsia="Arial" w:hAnsi="Arial"/>
                <w:sz w:val="14"/>
                <w:szCs w:val="14"/>
                <w:b w:val="1"/>
                <w:bCs w:val="1"/>
                <w:color w:val="0000EE"/>
              </w:rPr>
              <w:t>Independent Registered Public Accountant’s Fees and Services</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6"/>
          </w:tcPr>
          <w:p>
            <w:pPr>
              <w:jc w:val="center"/>
              <w:ind w:right="120"/>
              <w:spacing w:after="0"/>
              <w:rPr>
                <w:sz w:val="20"/>
                <w:szCs w:val="20"/>
                <w:color w:val="auto"/>
              </w:rPr>
            </w:pPr>
            <w:r>
              <w:rPr>
                <w:rFonts w:ascii="Arial" w:cs="Arial" w:eastAsia="Arial" w:hAnsi="Arial"/>
                <w:sz w:val="14"/>
                <w:szCs w:val="14"/>
                <w:color w:val="0000EE"/>
              </w:rPr>
              <w:t>87​</w:t>
            </w:r>
          </w:p>
        </w:tc>
        <w:tc>
          <w:tcPr>
            <w:tcW w:w="0" w:type="dxa"/>
            <w:vAlign w:val="bottom"/>
          </w:tcPr>
          <w:p>
            <w:pPr>
              <w:spacing w:after="0"/>
              <w:rPr>
                <w:sz w:val="1"/>
                <w:szCs w:val="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900" w:type="dxa"/>
            <w:vAlign w:val="bottom"/>
            <w:tcBorders>
              <w:top w:val="single" w:sz="8" w:color="0000EE"/>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440" w:type="dxa"/>
            <w:vAlign w:val="bottom"/>
            <w:gridSpan w:val="17"/>
          </w:tcPr>
          <w:p>
            <w:pPr>
              <w:spacing w:after="0"/>
              <w:rPr>
                <w:sz w:val="20"/>
                <w:szCs w:val="20"/>
                <w:color w:val="auto"/>
              </w:rPr>
            </w:pPr>
            <w:r>
              <w:rPr>
                <w:rFonts w:ascii="Arial" w:cs="Arial" w:eastAsia="Arial" w:hAnsi="Arial"/>
                <w:sz w:val="14"/>
                <w:szCs w:val="14"/>
                <w:b w:val="1"/>
                <w:bCs w:val="1"/>
                <w:color w:val="0000EE"/>
              </w:rPr>
              <w:t>Security Ownership of Certain Beneficial Owners and Management</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6"/>
          </w:tcPr>
          <w:p>
            <w:pPr>
              <w:jc w:val="center"/>
              <w:ind w:right="120"/>
              <w:spacing w:after="0"/>
              <w:rPr>
                <w:sz w:val="20"/>
                <w:szCs w:val="20"/>
                <w:color w:val="auto"/>
              </w:rPr>
            </w:pPr>
            <w:r>
              <w:rPr>
                <w:rFonts w:ascii="Arial" w:cs="Arial" w:eastAsia="Arial" w:hAnsi="Arial"/>
                <w:sz w:val="14"/>
                <w:szCs w:val="14"/>
                <w:color w:val="0000EE"/>
              </w:rPr>
              <w:t>88​</w:t>
            </w:r>
          </w:p>
        </w:tc>
        <w:tc>
          <w:tcPr>
            <w:tcW w:w="0" w:type="dxa"/>
            <w:vAlign w:val="bottom"/>
          </w:tcPr>
          <w:p>
            <w:pPr>
              <w:spacing w:after="0"/>
              <w:rPr>
                <w:sz w:val="1"/>
                <w:szCs w:val="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90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440" w:type="dxa"/>
            <w:vAlign w:val="bottom"/>
            <w:gridSpan w:val="17"/>
          </w:tcPr>
          <w:p>
            <w:pPr>
              <w:spacing w:after="0"/>
              <w:rPr>
                <w:sz w:val="20"/>
                <w:szCs w:val="20"/>
                <w:color w:val="auto"/>
              </w:rPr>
            </w:pPr>
            <w:r>
              <w:rPr>
                <w:rFonts w:ascii="Arial" w:cs="Arial" w:eastAsia="Arial" w:hAnsi="Arial"/>
                <w:sz w:val="14"/>
                <w:szCs w:val="14"/>
                <w:b w:val="1"/>
                <w:bCs w:val="1"/>
                <w:color w:val="0000EE"/>
              </w:rPr>
              <w:t>Voting Information</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6"/>
          </w:tcPr>
          <w:p>
            <w:pPr>
              <w:jc w:val="center"/>
              <w:ind w:right="120"/>
              <w:spacing w:after="0"/>
              <w:rPr>
                <w:sz w:val="20"/>
                <w:szCs w:val="20"/>
                <w:color w:val="auto"/>
              </w:rPr>
            </w:pPr>
            <w:r>
              <w:rPr>
                <w:rFonts w:ascii="Arial" w:cs="Arial" w:eastAsia="Arial" w:hAnsi="Arial"/>
                <w:sz w:val="14"/>
                <w:szCs w:val="14"/>
                <w:color w:val="0000EE"/>
              </w:rPr>
              <w:t>90​</w:t>
            </w:r>
          </w:p>
        </w:tc>
        <w:tc>
          <w:tcPr>
            <w:tcW w:w="0" w:type="dxa"/>
            <w:vAlign w:val="bottom"/>
          </w:tcPr>
          <w:p>
            <w:pPr>
              <w:spacing w:after="0"/>
              <w:rPr>
                <w:sz w:val="1"/>
                <w:szCs w:val="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80" w:type="dxa"/>
            <w:vAlign w:val="bottom"/>
            <w:tcBorders>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440" w:type="dxa"/>
            <w:vAlign w:val="bottom"/>
            <w:gridSpan w:val="17"/>
          </w:tcPr>
          <w:p>
            <w:pPr>
              <w:spacing w:after="0"/>
              <w:rPr>
                <w:sz w:val="20"/>
                <w:szCs w:val="20"/>
                <w:color w:val="auto"/>
              </w:rPr>
            </w:pPr>
            <w:r>
              <w:rPr>
                <w:rFonts w:ascii="Arial" w:cs="Arial" w:eastAsia="Arial" w:hAnsi="Arial"/>
                <w:sz w:val="14"/>
                <w:szCs w:val="14"/>
                <w:b w:val="1"/>
                <w:bCs w:val="1"/>
                <w:color w:val="0000EE"/>
              </w:rPr>
              <w:t>Other Information</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5"/>
          </w:tcPr>
          <w:p>
            <w:pPr>
              <w:jc w:val="center"/>
              <w:ind w:right="60"/>
              <w:spacing w:after="0"/>
              <w:rPr>
                <w:sz w:val="20"/>
                <w:szCs w:val="20"/>
                <w:color w:val="auto"/>
              </w:rPr>
            </w:pPr>
            <w:r>
              <w:rPr>
                <w:rFonts w:ascii="Arial" w:cs="Arial" w:eastAsia="Arial" w:hAnsi="Arial"/>
                <w:sz w:val="14"/>
                <w:szCs w:val="14"/>
                <w:color w:val="0000EE"/>
              </w:rPr>
              <w:t>91​</w:t>
            </w:r>
          </w:p>
        </w:tc>
        <w:tc>
          <w:tcPr>
            <w:tcW w:w="0" w:type="dxa"/>
            <w:vAlign w:val="bottom"/>
          </w:tcPr>
          <w:p>
            <w:pPr>
              <w:spacing w:after="0"/>
              <w:rPr>
                <w:sz w:val="1"/>
                <w:szCs w:val="1"/>
                <w:color w:val="auto"/>
              </w:rPr>
            </w:pPr>
          </w:p>
        </w:tc>
      </w:tr>
      <w:tr>
        <w:trPr>
          <w:trHeight w:val="101"/>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1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20" w:type="dxa"/>
            <w:vAlign w:val="bottom"/>
            <w:tcBorders>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440" w:type="dxa"/>
            <w:vAlign w:val="bottom"/>
            <w:gridSpan w:val="17"/>
          </w:tcPr>
          <w:p>
            <w:pPr>
              <w:spacing w:after="0"/>
              <w:rPr>
                <w:sz w:val="20"/>
                <w:szCs w:val="20"/>
                <w:color w:val="auto"/>
              </w:rPr>
            </w:pPr>
            <w:r>
              <w:rPr>
                <w:rFonts w:ascii="Arial" w:cs="Arial" w:eastAsia="Arial" w:hAnsi="Arial"/>
                <w:sz w:val="14"/>
                <w:szCs w:val="14"/>
                <w:b w:val="1"/>
                <w:bCs w:val="1"/>
                <w:color w:val="0000EE"/>
              </w:rPr>
              <w:t>APPENDIX A – AMENDED AND RESTATED 2019 OMNIBUS INCENTIVE PLAN</w:t>
            </w:r>
          </w:p>
        </w:tc>
        <w:tc>
          <w:tcPr>
            <w:tcW w:w="500" w:type="dxa"/>
            <w:vAlign w:val="bottom"/>
          </w:tcPr>
          <w:p>
            <w:pPr>
              <w:spacing w:after="0"/>
              <w:rPr>
                <w:sz w:val="21"/>
                <w:szCs w:val="21"/>
                <w:color w:val="auto"/>
              </w:rPr>
            </w:pPr>
          </w:p>
        </w:tc>
        <w:tc>
          <w:tcPr>
            <w:tcW w:w="300" w:type="dxa"/>
            <w:vAlign w:val="bottom"/>
            <w:gridSpan w:val="7"/>
          </w:tcPr>
          <w:p>
            <w:pPr>
              <w:jc w:val="center"/>
              <w:ind w:right="80"/>
              <w:spacing w:after="0"/>
              <w:rPr>
                <w:sz w:val="20"/>
                <w:szCs w:val="20"/>
                <w:color w:val="auto"/>
              </w:rPr>
            </w:pPr>
            <w:r>
              <w:rPr>
                <w:rFonts w:ascii="Arial" w:cs="Arial" w:eastAsia="Arial" w:hAnsi="Arial"/>
                <w:sz w:val="14"/>
                <w:szCs w:val="14"/>
                <w:color w:val="0000EE"/>
              </w:rPr>
              <w:t>A-1</w:t>
            </w:r>
          </w:p>
        </w:tc>
        <w:tc>
          <w:tcPr>
            <w:tcW w:w="0" w:type="dxa"/>
            <w:vAlign w:val="bottom"/>
          </w:tcPr>
          <w:p>
            <w:pPr>
              <w:spacing w:after="0"/>
              <w:rPr>
                <w:sz w:val="1"/>
                <w:szCs w:val="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90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660" w:type="dxa"/>
            <w:vAlign w:val="bottom"/>
            <w:tcBorders>
              <w:top w:val="single" w:sz="8" w:color="0000EE"/>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440" w:type="dxa"/>
            <w:vAlign w:val="bottom"/>
            <w:gridSpan w:val="17"/>
          </w:tcPr>
          <w:p>
            <w:pPr>
              <w:spacing w:after="0"/>
              <w:rPr>
                <w:sz w:val="20"/>
                <w:szCs w:val="20"/>
                <w:color w:val="auto"/>
              </w:rPr>
            </w:pPr>
            <w:r>
              <w:rPr>
                <w:rFonts w:ascii="Arial" w:cs="Arial" w:eastAsia="Arial" w:hAnsi="Arial"/>
                <w:sz w:val="14"/>
                <w:szCs w:val="14"/>
                <w:b w:val="1"/>
                <w:bCs w:val="1"/>
                <w:color w:val="0000EE"/>
              </w:rPr>
              <w:t>APPENDIX B – AMENDED AND RESTATED EMPLOYEE STOCK PURCHASE PLAN</w:t>
            </w:r>
          </w:p>
        </w:tc>
        <w:tc>
          <w:tcPr>
            <w:tcW w:w="500" w:type="dxa"/>
            <w:vAlign w:val="bottom"/>
          </w:tcPr>
          <w:p>
            <w:pPr>
              <w:spacing w:after="0"/>
              <w:rPr>
                <w:sz w:val="21"/>
                <w:szCs w:val="21"/>
                <w:color w:val="auto"/>
              </w:rPr>
            </w:pPr>
          </w:p>
        </w:tc>
        <w:tc>
          <w:tcPr>
            <w:tcW w:w="300" w:type="dxa"/>
            <w:vAlign w:val="bottom"/>
            <w:gridSpan w:val="7"/>
          </w:tcPr>
          <w:p>
            <w:pPr>
              <w:jc w:val="center"/>
              <w:ind w:right="80"/>
              <w:spacing w:after="0"/>
              <w:rPr>
                <w:sz w:val="20"/>
                <w:szCs w:val="20"/>
                <w:color w:val="auto"/>
              </w:rPr>
            </w:pPr>
            <w:r>
              <w:rPr>
                <w:rFonts w:ascii="Arial" w:cs="Arial" w:eastAsia="Arial" w:hAnsi="Arial"/>
                <w:sz w:val="14"/>
                <w:szCs w:val="14"/>
                <w:color w:val="0000EE"/>
              </w:rPr>
              <w:t>B-1</w:t>
            </w:r>
          </w:p>
        </w:tc>
        <w:tc>
          <w:tcPr>
            <w:tcW w:w="0" w:type="dxa"/>
            <w:vAlign w:val="bottom"/>
          </w:tcPr>
          <w:p>
            <w:pPr>
              <w:spacing w:after="0"/>
              <w:rPr>
                <w:sz w:val="1"/>
                <w:szCs w:val="1"/>
                <w:color w:val="auto"/>
              </w:rPr>
            </w:pPr>
          </w:p>
        </w:tc>
      </w:tr>
      <w:tr>
        <w:trPr>
          <w:trHeight w:val="102"/>
        </w:trPr>
        <w:tc>
          <w:tcPr>
            <w:tcW w:w="60" w:type="dxa"/>
            <w:vAlign w:val="bottom"/>
            <w:tcBorders>
              <w:bottom w:val="single" w:sz="8" w:color="0E2A35"/>
            </w:tcBorders>
          </w:tcPr>
          <w:p>
            <w:pPr>
              <w:spacing w:after="0"/>
              <w:rPr>
                <w:sz w:val="8"/>
                <w:szCs w:val="8"/>
                <w:color w:val="auto"/>
              </w:rPr>
            </w:pPr>
          </w:p>
        </w:tc>
        <w:tc>
          <w:tcPr>
            <w:tcW w:w="160" w:type="dxa"/>
            <w:vAlign w:val="bottom"/>
            <w:tcBorders>
              <w:top w:val="single" w:sz="8" w:color="0000EE"/>
              <w:bottom w:val="single" w:sz="8" w:color="0E2A35"/>
            </w:tcBorders>
          </w:tcPr>
          <w:p>
            <w:pPr>
              <w:spacing w:after="0"/>
              <w:rPr>
                <w:sz w:val="8"/>
                <w:szCs w:val="8"/>
                <w:color w:val="auto"/>
              </w:rPr>
            </w:pPr>
          </w:p>
        </w:tc>
        <w:tc>
          <w:tcPr>
            <w:tcW w:w="580" w:type="dxa"/>
            <w:vAlign w:val="bottom"/>
            <w:tcBorders>
              <w:top w:val="single" w:sz="8" w:color="0000EE"/>
              <w:bottom w:val="single" w:sz="8" w:color="0E2A35"/>
            </w:tcBorders>
          </w:tcPr>
          <w:p>
            <w:pPr>
              <w:spacing w:after="0"/>
              <w:rPr>
                <w:sz w:val="8"/>
                <w:szCs w:val="8"/>
                <w:color w:val="auto"/>
              </w:rPr>
            </w:pPr>
          </w:p>
        </w:tc>
        <w:tc>
          <w:tcPr>
            <w:tcW w:w="460" w:type="dxa"/>
            <w:vAlign w:val="bottom"/>
            <w:tcBorders>
              <w:top w:val="single" w:sz="8" w:color="0000EE"/>
              <w:bottom w:val="single" w:sz="8" w:color="0E2A35"/>
            </w:tcBorders>
          </w:tcPr>
          <w:p>
            <w:pPr>
              <w:spacing w:after="0"/>
              <w:rPr>
                <w:sz w:val="8"/>
                <w:szCs w:val="8"/>
                <w:color w:val="auto"/>
              </w:rPr>
            </w:pPr>
          </w:p>
        </w:tc>
        <w:tc>
          <w:tcPr>
            <w:tcW w:w="60" w:type="dxa"/>
            <w:vAlign w:val="bottom"/>
            <w:tcBorders>
              <w:top w:val="single" w:sz="8" w:color="0000EE"/>
              <w:bottom w:val="single" w:sz="8" w:color="0E2A35"/>
            </w:tcBorders>
          </w:tcPr>
          <w:p>
            <w:pPr>
              <w:spacing w:after="0"/>
              <w:rPr>
                <w:sz w:val="8"/>
                <w:szCs w:val="8"/>
                <w:color w:val="auto"/>
              </w:rPr>
            </w:pPr>
          </w:p>
        </w:tc>
        <w:tc>
          <w:tcPr>
            <w:tcW w:w="82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140" w:type="dxa"/>
            <w:vAlign w:val="bottom"/>
            <w:tcBorders>
              <w:top w:val="single" w:sz="8" w:color="0000EE"/>
              <w:bottom w:val="single" w:sz="8" w:color="0E2A35"/>
            </w:tcBorders>
          </w:tcPr>
          <w:p>
            <w:pPr>
              <w:spacing w:after="0"/>
              <w:rPr>
                <w:sz w:val="8"/>
                <w:szCs w:val="8"/>
                <w:color w:val="auto"/>
              </w:rPr>
            </w:pPr>
          </w:p>
        </w:tc>
        <w:tc>
          <w:tcPr>
            <w:tcW w:w="1900" w:type="dxa"/>
            <w:vAlign w:val="bottom"/>
            <w:tcBorders>
              <w:top w:val="single" w:sz="8" w:color="0000EE"/>
              <w:bottom w:val="single" w:sz="8" w:color="0E2A35"/>
            </w:tcBorders>
          </w:tcPr>
          <w:p>
            <w:pPr>
              <w:spacing w:after="0"/>
              <w:rPr>
                <w:sz w:val="8"/>
                <w:szCs w:val="8"/>
                <w:color w:val="auto"/>
              </w:rPr>
            </w:pPr>
          </w:p>
        </w:tc>
        <w:tc>
          <w:tcPr>
            <w:tcW w:w="220" w:type="dxa"/>
            <w:vAlign w:val="bottom"/>
            <w:tcBorders>
              <w:top w:val="single" w:sz="8" w:color="0000EE"/>
              <w:bottom w:val="single" w:sz="8" w:color="0E2A35"/>
            </w:tcBorders>
          </w:tcPr>
          <w:p>
            <w:pPr>
              <w:spacing w:after="0"/>
              <w:rPr>
                <w:sz w:val="8"/>
                <w:szCs w:val="8"/>
                <w:color w:val="auto"/>
              </w:rPr>
            </w:pPr>
          </w:p>
        </w:tc>
        <w:tc>
          <w:tcPr>
            <w:tcW w:w="660" w:type="dxa"/>
            <w:vAlign w:val="bottom"/>
            <w:tcBorders>
              <w:top w:val="single" w:sz="8" w:color="0000EE"/>
              <w:bottom w:val="single" w:sz="8" w:color="0E2A35"/>
            </w:tcBorders>
          </w:tcPr>
          <w:p>
            <w:pPr>
              <w:spacing w:after="0"/>
              <w:rPr>
                <w:sz w:val="8"/>
                <w:szCs w:val="8"/>
                <w:color w:val="auto"/>
              </w:rPr>
            </w:pPr>
          </w:p>
        </w:tc>
        <w:tc>
          <w:tcPr>
            <w:tcW w:w="340" w:type="dxa"/>
            <w:vAlign w:val="bottom"/>
            <w:tcBorders>
              <w:top w:val="single" w:sz="8" w:color="0000EE"/>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14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40" w:type="dxa"/>
            <w:vAlign w:val="bottom"/>
            <w:tcBorders>
              <w:bottom w:val="single" w:sz="8" w:color="0E2A35"/>
            </w:tcBorders>
          </w:tcPr>
          <w:p>
            <w:pPr>
              <w:spacing w:after="0"/>
              <w:rPr>
                <w:sz w:val="8"/>
                <w:szCs w:val="8"/>
                <w:color w:val="auto"/>
              </w:rPr>
            </w:pPr>
          </w:p>
        </w:tc>
        <w:tc>
          <w:tcPr>
            <w:tcW w:w="6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120" w:type="dxa"/>
            <w:vAlign w:val="bottom"/>
            <w:tcBorders>
              <w:top w:val="single" w:sz="8" w:color="0000EE"/>
              <w:bottom w:val="single" w:sz="8" w:color="0E2A35"/>
            </w:tcBorders>
          </w:tcPr>
          <w:p>
            <w:pPr>
              <w:spacing w:after="0"/>
              <w:rPr>
                <w:sz w:val="8"/>
                <w:szCs w:val="8"/>
                <w:color w:val="auto"/>
              </w:rPr>
            </w:pPr>
          </w:p>
        </w:tc>
        <w:tc>
          <w:tcPr>
            <w:tcW w:w="20" w:type="dxa"/>
            <w:vAlign w:val="bottom"/>
            <w:tcBorders>
              <w:top w:val="single" w:sz="8" w:color="0000EE"/>
              <w:bottom w:val="single" w:sz="8" w:color="0E2A35"/>
            </w:tcBorders>
          </w:tcPr>
          <w:p>
            <w:pPr>
              <w:spacing w:after="0"/>
              <w:rPr>
                <w:sz w:val="8"/>
                <w:szCs w:val="8"/>
                <w:color w:val="auto"/>
              </w:rPr>
            </w:pPr>
          </w:p>
        </w:tc>
        <w:tc>
          <w:tcPr>
            <w:tcW w:w="80" w:type="dxa"/>
            <w:vAlign w:val="bottom"/>
            <w:tcBorders>
              <w:top w:val="single" w:sz="8" w:color="0000EE"/>
              <w:bottom w:val="single" w:sz="8" w:color="0E2A35"/>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960"/>
        <w:spacing w:after="0"/>
        <w:rPr>
          <w:sz w:val="20"/>
          <w:szCs w:val="20"/>
          <w:color w:val="auto"/>
        </w:rPr>
      </w:pPr>
      <w:r>
        <w:rPr>
          <w:rFonts w:ascii="Arial" w:cs="Arial" w:eastAsia="Arial" w:hAnsi="Arial"/>
          <w:sz w:val="12"/>
          <w:szCs w:val="12"/>
          <w:color w:val="0E2A35"/>
        </w:rPr>
        <w:t>Proxy Statement for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203835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-78105</wp:posOffset>
            </wp:positionV>
            <wp:extent cx="1465580"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300"/>
          </w:cols>
          <w:pgMar w:left="1300" w:top="265" w:right="129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4732020</wp:posOffset>
            </wp:positionH>
            <wp:positionV relativeFrom="paragraph">
              <wp:posOffset>65405</wp:posOffset>
            </wp:positionV>
            <wp:extent cx="68580" cy="1234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34440"/>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65405</wp:posOffset>
            </wp:positionV>
            <wp:extent cx="68580" cy="1234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34440"/>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65405</wp:posOffset>
            </wp:positionV>
            <wp:extent cx="68580" cy="1234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3444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702"/>
        </w:trPr>
        <w:tc>
          <w:tcPr>
            <w:tcW w:w="1860" w:type="dxa"/>
            <w:vAlign w:val="bottom"/>
            <w:shd w:val="clear" w:color="auto" w:fill="0E2A35"/>
          </w:tcPr>
          <w:p>
            <w:pPr>
              <w:ind w:left="100"/>
              <w:spacing w:after="0"/>
              <w:rPr>
                <w:sz w:val="20"/>
                <w:szCs w:val="20"/>
                <w:color w:val="auto"/>
              </w:rPr>
            </w:pPr>
            <w:r>
              <w:rPr>
                <w:rFonts w:ascii="Arial" w:cs="Arial" w:eastAsia="Arial" w:hAnsi="Arial"/>
                <w:sz w:val="14"/>
                <w:szCs w:val="14"/>
                <w:color w:val="FFFFFF"/>
              </w:rPr>
              <w:t> </w:t>
            </w:r>
          </w:p>
        </w:tc>
        <w:tc>
          <w:tcPr>
            <w:tcW w:w="460" w:type="dxa"/>
            <w:vAlign w:val="bottom"/>
            <w:shd w:val="clear" w:color="auto" w:fill="0E2A35"/>
          </w:tcPr>
          <w:p>
            <w:pPr>
              <w:ind w:left="320"/>
              <w:spacing w:after="0"/>
              <w:rPr>
                <w:sz w:val="20"/>
                <w:szCs w:val="20"/>
                <w:color w:val="auto"/>
              </w:rPr>
            </w:pPr>
            <w:r>
              <w:rPr>
                <w:rFonts w:ascii="Arial" w:cs="Arial" w:eastAsia="Arial" w:hAnsi="Arial"/>
                <w:sz w:val="14"/>
                <w:szCs w:val="14"/>
                <w:color w:val="FFFFFF"/>
              </w:rPr>
              <w:t> </w:t>
            </w:r>
          </w:p>
        </w:tc>
        <w:tc>
          <w:tcPr>
            <w:tcW w:w="3380" w:type="dxa"/>
            <w:vAlign w:val="bottom"/>
            <w:shd w:val="clear" w:color="auto" w:fill="0E2A35"/>
          </w:tcPr>
          <w:p>
            <w:pPr>
              <w:ind w:left="3300"/>
              <w:spacing w:after="0"/>
              <w:rPr>
                <w:sz w:val="20"/>
                <w:szCs w:val="20"/>
                <w:color w:val="auto"/>
              </w:rPr>
            </w:pPr>
            <w:r>
              <w:rPr>
                <w:rFonts w:ascii="Arial" w:cs="Arial" w:eastAsia="Arial" w:hAnsi="Arial"/>
                <w:sz w:val="14"/>
                <w:szCs w:val="14"/>
                <w:color w:val="FFFFFF"/>
              </w:rPr>
              <w:t> </w:t>
            </w:r>
          </w:p>
        </w:tc>
        <w:tc>
          <w:tcPr>
            <w:tcW w:w="1740" w:type="dxa"/>
            <w:vAlign w:val="bottom"/>
            <w:shd w:val="clear" w:color="auto" w:fill="0E2A35"/>
          </w:tcPr>
          <w:p>
            <w:pPr>
              <w:spacing w:after="0"/>
              <w:rPr>
                <w:sz w:val="24"/>
                <w:szCs w:val="24"/>
                <w:color w:val="auto"/>
              </w:rPr>
            </w:pPr>
          </w:p>
        </w:tc>
        <w:tc>
          <w:tcPr>
            <w:tcW w:w="1840" w:type="dxa"/>
            <w:vAlign w:val="bottom"/>
            <w:shd w:val="clear" w:color="auto" w:fill="0E2A35"/>
          </w:tcPr>
          <w:p>
            <w:pPr>
              <w:ind w:left="360"/>
              <w:spacing w:after="0"/>
              <w:rPr>
                <w:sz w:val="20"/>
                <w:szCs w:val="20"/>
                <w:color w:val="auto"/>
              </w:rPr>
            </w:pPr>
            <w:r>
              <w:rPr>
                <w:rFonts w:ascii="Arial" w:cs="Arial" w:eastAsia="Arial" w:hAnsi="Arial"/>
                <w:sz w:val="14"/>
                <w:szCs w:val="14"/>
                <w:color w:val="FFFFFF"/>
              </w:rPr>
              <w:t> </w:t>
            </w:r>
          </w:p>
        </w:tc>
      </w:tr>
      <w:tr>
        <w:trPr>
          <w:trHeight w:val="184"/>
        </w:trPr>
        <w:tc>
          <w:tcPr>
            <w:tcW w:w="1860" w:type="dxa"/>
            <w:vAlign w:val="bottom"/>
            <w:shd w:val="clear" w:color="auto" w:fill="0E2A35"/>
          </w:tcPr>
          <w:p>
            <w:pPr>
              <w:jc w:val="center"/>
              <w:ind w:right="228"/>
              <w:spacing w:after="0"/>
              <w:rPr>
                <w:sz w:val="20"/>
                <w:szCs w:val="20"/>
                <w:color w:val="auto"/>
              </w:rPr>
            </w:pPr>
            <w:r>
              <w:rPr>
                <w:rFonts w:ascii="Arial" w:cs="Arial" w:eastAsia="Arial" w:hAnsi="Arial"/>
                <w:sz w:val="14"/>
                <w:szCs w:val="14"/>
                <w:b w:val="1"/>
                <w:bCs w:val="1"/>
                <w:color w:val="FFFFFF"/>
              </w:rPr>
              <w:t>Time and Date:</w:t>
            </w:r>
          </w:p>
        </w:tc>
        <w:tc>
          <w:tcPr>
            <w:tcW w:w="460" w:type="dxa"/>
            <w:vAlign w:val="bottom"/>
            <w:shd w:val="clear" w:color="auto" w:fill="0E2A35"/>
          </w:tcPr>
          <w:p>
            <w:pPr>
              <w:spacing w:after="0"/>
              <w:rPr>
                <w:sz w:val="15"/>
                <w:szCs w:val="15"/>
                <w:color w:val="auto"/>
              </w:rPr>
            </w:pPr>
          </w:p>
        </w:tc>
        <w:tc>
          <w:tcPr>
            <w:tcW w:w="3380" w:type="dxa"/>
            <w:vAlign w:val="bottom"/>
            <w:shd w:val="clear" w:color="auto" w:fill="0E2A35"/>
          </w:tcPr>
          <w:p>
            <w:pPr>
              <w:jc w:val="center"/>
              <w:ind w:right="728"/>
              <w:spacing w:after="0"/>
              <w:rPr>
                <w:sz w:val="20"/>
                <w:szCs w:val="20"/>
                <w:color w:val="auto"/>
              </w:rPr>
            </w:pPr>
            <w:r>
              <w:rPr>
                <w:rFonts w:ascii="Arial" w:cs="Arial" w:eastAsia="Arial" w:hAnsi="Arial"/>
                <w:sz w:val="14"/>
                <w:szCs w:val="14"/>
                <w:b w:val="1"/>
                <w:bCs w:val="1"/>
                <w:color w:val="FFFFFF"/>
              </w:rPr>
              <w:t>Place:</w:t>
            </w:r>
          </w:p>
        </w:tc>
        <w:tc>
          <w:tcPr>
            <w:tcW w:w="1740" w:type="dxa"/>
            <w:vAlign w:val="bottom"/>
            <w:shd w:val="clear" w:color="auto" w:fill="0E2A35"/>
          </w:tcPr>
          <w:p>
            <w:pPr>
              <w:jc w:val="center"/>
              <w:ind w:right="248"/>
              <w:spacing w:after="0"/>
              <w:rPr>
                <w:sz w:val="20"/>
                <w:szCs w:val="20"/>
                <w:color w:val="auto"/>
              </w:rPr>
            </w:pPr>
            <w:r>
              <w:rPr>
                <w:rFonts w:ascii="Arial" w:cs="Arial" w:eastAsia="Arial" w:hAnsi="Arial"/>
                <w:sz w:val="14"/>
                <w:szCs w:val="14"/>
                <w:b w:val="1"/>
                <w:bCs w:val="1"/>
                <w:color w:val="FFFFFF"/>
              </w:rPr>
              <w:t>Proxy Mailing Date:</w:t>
            </w:r>
          </w:p>
        </w:tc>
        <w:tc>
          <w:tcPr>
            <w:tcW w:w="1840" w:type="dxa"/>
            <w:vAlign w:val="bottom"/>
            <w:shd w:val="clear" w:color="auto" w:fill="0E2A35"/>
          </w:tcPr>
          <w:p>
            <w:pPr>
              <w:jc w:val="center"/>
              <w:ind w:left="308"/>
              <w:spacing w:after="0"/>
              <w:rPr>
                <w:sz w:val="20"/>
                <w:szCs w:val="20"/>
                <w:color w:val="auto"/>
              </w:rPr>
            </w:pPr>
            <w:r>
              <w:rPr>
                <w:rFonts w:ascii="Arial" w:cs="Arial" w:eastAsia="Arial" w:hAnsi="Arial"/>
                <w:sz w:val="14"/>
                <w:szCs w:val="14"/>
                <w:b w:val="1"/>
                <w:bCs w:val="1"/>
                <w:color w:val="FFFFFF"/>
              </w:rPr>
              <w:t>Record Date:</w:t>
            </w:r>
          </w:p>
        </w:tc>
      </w:tr>
      <w:tr>
        <w:trPr>
          <w:trHeight w:val="189"/>
        </w:trPr>
        <w:tc>
          <w:tcPr>
            <w:tcW w:w="1860" w:type="dxa"/>
            <w:vAlign w:val="bottom"/>
            <w:shd w:val="clear" w:color="auto" w:fill="0E2A35"/>
          </w:tcPr>
          <w:p>
            <w:pPr>
              <w:jc w:val="center"/>
              <w:ind w:right="228"/>
              <w:spacing w:after="0"/>
              <w:rPr>
                <w:sz w:val="20"/>
                <w:szCs w:val="20"/>
                <w:color w:val="auto"/>
              </w:rPr>
            </w:pPr>
            <w:r>
              <w:rPr>
                <w:rFonts w:ascii="Arial" w:cs="Arial" w:eastAsia="Arial" w:hAnsi="Arial"/>
                <w:sz w:val="14"/>
                <w:szCs w:val="14"/>
                <w:color w:val="FFFFFF"/>
              </w:rPr>
              <w:t>Thursday,</w:t>
            </w:r>
          </w:p>
        </w:tc>
        <w:tc>
          <w:tcPr>
            <w:tcW w:w="460" w:type="dxa"/>
            <w:vAlign w:val="bottom"/>
            <w:shd w:val="clear" w:color="auto" w:fill="0E2A35"/>
          </w:tcPr>
          <w:p>
            <w:pPr>
              <w:spacing w:after="0"/>
              <w:rPr>
                <w:sz w:val="16"/>
                <w:szCs w:val="16"/>
                <w:color w:val="auto"/>
              </w:rPr>
            </w:pPr>
          </w:p>
        </w:tc>
        <w:tc>
          <w:tcPr>
            <w:tcW w:w="3380" w:type="dxa"/>
            <w:vAlign w:val="bottom"/>
            <w:shd w:val="clear" w:color="auto" w:fill="0E2A35"/>
          </w:tcPr>
          <w:p>
            <w:pPr>
              <w:jc w:val="center"/>
              <w:ind w:right="748"/>
              <w:spacing w:after="0"/>
              <w:rPr>
                <w:sz w:val="20"/>
                <w:szCs w:val="20"/>
                <w:color w:val="auto"/>
              </w:rPr>
            </w:pPr>
            <w:r>
              <w:rPr>
                <w:rFonts w:ascii="Arial" w:cs="Arial" w:eastAsia="Arial" w:hAnsi="Arial"/>
                <w:sz w:val="14"/>
                <w:szCs w:val="14"/>
                <w:color w:val="FFFFFF"/>
              </w:rPr>
              <w:t>www.virtualshareholdermeeting.com/</w:t>
            </w:r>
          </w:p>
        </w:tc>
        <w:tc>
          <w:tcPr>
            <w:tcW w:w="1740" w:type="dxa"/>
            <w:vAlign w:val="bottom"/>
            <w:shd w:val="clear" w:color="auto" w:fill="0E2A35"/>
          </w:tcPr>
          <w:p>
            <w:pPr>
              <w:jc w:val="center"/>
              <w:ind w:right="248"/>
              <w:spacing w:after="0"/>
              <w:rPr>
                <w:sz w:val="20"/>
                <w:szCs w:val="20"/>
                <w:color w:val="auto"/>
              </w:rPr>
            </w:pPr>
            <w:r>
              <w:rPr>
                <w:rFonts w:ascii="Arial" w:cs="Arial" w:eastAsia="Arial" w:hAnsi="Arial"/>
                <w:sz w:val="14"/>
                <w:szCs w:val="14"/>
                <w:color w:val="FFFFFF"/>
              </w:rPr>
              <w:t>November 3, 2023</w:t>
            </w:r>
          </w:p>
        </w:tc>
        <w:tc>
          <w:tcPr>
            <w:tcW w:w="1840" w:type="dxa"/>
            <w:vAlign w:val="bottom"/>
            <w:shd w:val="clear" w:color="auto" w:fill="0E2A35"/>
          </w:tcPr>
          <w:p>
            <w:pPr>
              <w:jc w:val="center"/>
              <w:ind w:left="328"/>
              <w:spacing w:after="0"/>
              <w:rPr>
                <w:sz w:val="20"/>
                <w:szCs w:val="20"/>
                <w:color w:val="auto"/>
              </w:rPr>
            </w:pPr>
            <w:r>
              <w:rPr>
                <w:rFonts w:ascii="Arial" w:cs="Arial" w:eastAsia="Arial" w:hAnsi="Arial"/>
                <w:sz w:val="14"/>
                <w:szCs w:val="14"/>
                <w:color w:val="FFFFFF"/>
              </w:rPr>
              <w:t>October 19, 2023​</w:t>
            </w:r>
          </w:p>
        </w:tc>
      </w:tr>
      <w:tr>
        <w:trPr>
          <w:trHeight w:val="209"/>
        </w:trPr>
        <w:tc>
          <w:tcPr>
            <w:tcW w:w="1860" w:type="dxa"/>
            <w:vAlign w:val="bottom"/>
            <w:shd w:val="clear" w:color="auto" w:fill="0E2A35"/>
          </w:tcPr>
          <w:p>
            <w:pPr>
              <w:jc w:val="center"/>
              <w:ind w:right="208"/>
              <w:spacing w:after="0"/>
              <w:rPr>
                <w:sz w:val="20"/>
                <w:szCs w:val="20"/>
                <w:color w:val="auto"/>
              </w:rPr>
            </w:pPr>
            <w:r>
              <w:rPr>
                <w:rFonts w:ascii="Arial" w:cs="Arial" w:eastAsia="Arial" w:hAnsi="Arial"/>
                <w:sz w:val="14"/>
                <w:szCs w:val="14"/>
                <w:color w:val="FFFFFF"/>
              </w:rPr>
              <w:t>December 14, 2023</w:t>
            </w:r>
          </w:p>
        </w:tc>
        <w:tc>
          <w:tcPr>
            <w:tcW w:w="460" w:type="dxa"/>
            <w:vAlign w:val="bottom"/>
            <w:shd w:val="clear" w:color="auto" w:fill="0E2A35"/>
          </w:tcPr>
          <w:p>
            <w:pPr>
              <w:spacing w:after="0"/>
              <w:rPr>
                <w:sz w:val="18"/>
                <w:szCs w:val="18"/>
                <w:color w:val="auto"/>
              </w:rPr>
            </w:pPr>
          </w:p>
        </w:tc>
        <w:tc>
          <w:tcPr>
            <w:tcW w:w="3380" w:type="dxa"/>
            <w:vAlign w:val="bottom"/>
            <w:shd w:val="clear" w:color="auto" w:fill="0E2A35"/>
          </w:tcPr>
          <w:p>
            <w:pPr>
              <w:jc w:val="center"/>
              <w:ind w:right="748"/>
              <w:spacing w:after="0"/>
              <w:rPr>
                <w:sz w:val="20"/>
                <w:szCs w:val="20"/>
                <w:color w:val="auto"/>
              </w:rPr>
            </w:pPr>
            <w:r>
              <w:rPr>
                <w:rFonts w:ascii="Arial" w:cs="Arial" w:eastAsia="Arial" w:hAnsi="Arial"/>
                <w:sz w:val="14"/>
                <w:szCs w:val="14"/>
                <w:color w:val="FFFFFF"/>
              </w:rPr>
              <w:t>WGO2023</w:t>
            </w:r>
          </w:p>
        </w:tc>
        <w:tc>
          <w:tcPr>
            <w:tcW w:w="1740" w:type="dxa"/>
            <w:vAlign w:val="bottom"/>
            <w:shd w:val="clear" w:color="auto" w:fill="0E2A35"/>
          </w:tcPr>
          <w:p>
            <w:pPr>
              <w:spacing w:after="0"/>
              <w:rPr>
                <w:sz w:val="18"/>
                <w:szCs w:val="18"/>
                <w:color w:val="auto"/>
              </w:rPr>
            </w:pPr>
          </w:p>
        </w:tc>
        <w:tc>
          <w:tcPr>
            <w:tcW w:w="1840" w:type="dxa"/>
            <w:vAlign w:val="bottom"/>
            <w:shd w:val="clear" w:color="auto" w:fill="0E2A35"/>
          </w:tcPr>
          <w:p>
            <w:pPr>
              <w:spacing w:after="0"/>
              <w:rPr>
                <w:sz w:val="18"/>
                <w:szCs w:val="18"/>
                <w:color w:val="auto"/>
              </w:rPr>
            </w:pPr>
          </w:p>
        </w:tc>
      </w:tr>
      <w:tr>
        <w:trPr>
          <w:trHeight w:val="189"/>
        </w:trPr>
        <w:tc>
          <w:tcPr>
            <w:tcW w:w="1860" w:type="dxa"/>
            <w:vAlign w:val="bottom"/>
            <w:shd w:val="clear" w:color="auto" w:fill="0E2A35"/>
          </w:tcPr>
          <w:p>
            <w:pPr>
              <w:jc w:val="center"/>
              <w:ind w:right="228"/>
              <w:spacing w:after="0"/>
              <w:rPr>
                <w:sz w:val="20"/>
                <w:szCs w:val="20"/>
                <w:color w:val="auto"/>
              </w:rPr>
            </w:pPr>
            <w:r>
              <w:rPr>
                <w:rFonts w:ascii="Arial" w:cs="Arial" w:eastAsia="Arial" w:hAnsi="Arial"/>
                <w:sz w:val="14"/>
                <w:szCs w:val="14"/>
                <w:color w:val="FFFFFF"/>
              </w:rPr>
              <w:t>4:00 p.m.</w:t>
            </w:r>
          </w:p>
        </w:tc>
        <w:tc>
          <w:tcPr>
            <w:tcW w:w="460" w:type="dxa"/>
            <w:vAlign w:val="bottom"/>
            <w:shd w:val="clear" w:color="auto" w:fill="0E2A35"/>
          </w:tcPr>
          <w:p>
            <w:pPr>
              <w:spacing w:after="0"/>
              <w:rPr>
                <w:sz w:val="16"/>
                <w:szCs w:val="16"/>
                <w:color w:val="auto"/>
              </w:rPr>
            </w:pPr>
          </w:p>
        </w:tc>
        <w:tc>
          <w:tcPr>
            <w:tcW w:w="3380" w:type="dxa"/>
            <w:vAlign w:val="bottom"/>
            <w:shd w:val="clear" w:color="auto" w:fill="0E2A35"/>
          </w:tcPr>
          <w:p>
            <w:pPr>
              <w:spacing w:after="0"/>
              <w:rPr>
                <w:sz w:val="16"/>
                <w:szCs w:val="16"/>
                <w:color w:val="auto"/>
              </w:rPr>
            </w:pPr>
          </w:p>
        </w:tc>
        <w:tc>
          <w:tcPr>
            <w:tcW w:w="1740" w:type="dxa"/>
            <w:vAlign w:val="bottom"/>
            <w:shd w:val="clear" w:color="auto" w:fill="0E2A35"/>
          </w:tcPr>
          <w:p>
            <w:pPr>
              <w:spacing w:after="0"/>
              <w:rPr>
                <w:sz w:val="16"/>
                <w:szCs w:val="16"/>
                <w:color w:val="auto"/>
              </w:rPr>
            </w:pPr>
          </w:p>
        </w:tc>
        <w:tc>
          <w:tcPr>
            <w:tcW w:w="1840" w:type="dxa"/>
            <w:vAlign w:val="bottom"/>
            <w:shd w:val="clear" w:color="auto" w:fill="0E2A35"/>
          </w:tcPr>
          <w:p>
            <w:pPr>
              <w:spacing w:after="0"/>
              <w:rPr>
                <w:sz w:val="16"/>
                <w:szCs w:val="16"/>
                <w:color w:val="auto"/>
              </w:rPr>
            </w:pPr>
          </w:p>
        </w:tc>
      </w:tr>
      <w:tr>
        <w:trPr>
          <w:trHeight w:val="189"/>
        </w:trPr>
        <w:tc>
          <w:tcPr>
            <w:tcW w:w="1860" w:type="dxa"/>
            <w:vAlign w:val="bottom"/>
            <w:shd w:val="clear" w:color="auto" w:fill="0E2A35"/>
          </w:tcPr>
          <w:p>
            <w:pPr>
              <w:jc w:val="center"/>
              <w:ind w:right="188"/>
              <w:spacing w:after="0"/>
              <w:rPr>
                <w:sz w:val="20"/>
                <w:szCs w:val="20"/>
                <w:color w:val="auto"/>
              </w:rPr>
            </w:pPr>
            <w:r>
              <w:rPr>
                <w:rFonts w:ascii="Arial" w:cs="Arial" w:eastAsia="Arial" w:hAnsi="Arial"/>
                <w:sz w:val="14"/>
                <w:szCs w:val="14"/>
                <w:color w:val="FFFFFF"/>
              </w:rPr>
              <w:t>Central Standard Time</w:t>
            </w:r>
          </w:p>
        </w:tc>
        <w:tc>
          <w:tcPr>
            <w:tcW w:w="460" w:type="dxa"/>
            <w:vAlign w:val="bottom"/>
            <w:shd w:val="clear" w:color="auto" w:fill="0E2A35"/>
          </w:tcPr>
          <w:p>
            <w:pPr>
              <w:spacing w:after="0"/>
              <w:rPr>
                <w:sz w:val="16"/>
                <w:szCs w:val="16"/>
                <w:color w:val="auto"/>
              </w:rPr>
            </w:pPr>
          </w:p>
        </w:tc>
        <w:tc>
          <w:tcPr>
            <w:tcW w:w="3380" w:type="dxa"/>
            <w:vAlign w:val="bottom"/>
            <w:shd w:val="clear" w:color="auto" w:fill="0E2A35"/>
          </w:tcPr>
          <w:p>
            <w:pPr>
              <w:spacing w:after="0"/>
              <w:rPr>
                <w:sz w:val="16"/>
                <w:szCs w:val="16"/>
                <w:color w:val="auto"/>
              </w:rPr>
            </w:pPr>
          </w:p>
        </w:tc>
        <w:tc>
          <w:tcPr>
            <w:tcW w:w="1740" w:type="dxa"/>
            <w:vAlign w:val="bottom"/>
            <w:shd w:val="clear" w:color="auto" w:fill="0E2A35"/>
          </w:tcPr>
          <w:p>
            <w:pPr>
              <w:spacing w:after="0"/>
              <w:rPr>
                <w:sz w:val="16"/>
                <w:szCs w:val="16"/>
                <w:color w:val="auto"/>
              </w:rPr>
            </w:pPr>
          </w:p>
        </w:tc>
        <w:tc>
          <w:tcPr>
            <w:tcW w:w="1840" w:type="dxa"/>
            <w:vAlign w:val="bottom"/>
            <w:shd w:val="clear" w:color="auto" w:fill="0E2A35"/>
          </w:tcPr>
          <w:p>
            <w:pPr>
              <w:spacing w:after="0"/>
              <w:rPr>
                <w:sz w:val="16"/>
                <w:szCs w:val="16"/>
                <w:color w:val="auto"/>
              </w:rPr>
            </w:pPr>
          </w:p>
        </w:tc>
      </w:tr>
      <w:tr>
        <w:trPr>
          <w:trHeight w:val="282"/>
        </w:trPr>
        <w:tc>
          <w:tcPr>
            <w:tcW w:w="1860" w:type="dxa"/>
            <w:vAlign w:val="bottom"/>
            <w:shd w:val="clear" w:color="auto" w:fill="0E2A35"/>
          </w:tcPr>
          <w:p>
            <w:pPr>
              <w:spacing w:after="0"/>
              <w:rPr>
                <w:sz w:val="24"/>
                <w:szCs w:val="24"/>
                <w:color w:val="auto"/>
              </w:rPr>
            </w:pPr>
          </w:p>
        </w:tc>
        <w:tc>
          <w:tcPr>
            <w:tcW w:w="460" w:type="dxa"/>
            <w:vAlign w:val="bottom"/>
            <w:shd w:val="clear" w:color="auto" w:fill="0E2A35"/>
          </w:tcPr>
          <w:p>
            <w:pPr>
              <w:spacing w:after="0"/>
              <w:rPr>
                <w:sz w:val="24"/>
                <w:szCs w:val="24"/>
                <w:color w:val="auto"/>
              </w:rPr>
            </w:pPr>
          </w:p>
        </w:tc>
        <w:tc>
          <w:tcPr>
            <w:tcW w:w="3380" w:type="dxa"/>
            <w:vAlign w:val="bottom"/>
            <w:shd w:val="clear" w:color="auto" w:fill="0E2A35"/>
          </w:tcPr>
          <w:p>
            <w:pPr>
              <w:spacing w:after="0"/>
              <w:rPr>
                <w:sz w:val="24"/>
                <w:szCs w:val="24"/>
                <w:color w:val="auto"/>
              </w:rPr>
            </w:pPr>
          </w:p>
        </w:tc>
        <w:tc>
          <w:tcPr>
            <w:tcW w:w="1740" w:type="dxa"/>
            <w:vAlign w:val="bottom"/>
            <w:shd w:val="clear" w:color="auto" w:fill="0E2A35"/>
          </w:tcPr>
          <w:p>
            <w:pPr>
              <w:spacing w:after="0"/>
              <w:rPr>
                <w:sz w:val="24"/>
                <w:szCs w:val="24"/>
                <w:color w:val="auto"/>
              </w:rPr>
            </w:pPr>
          </w:p>
        </w:tc>
        <w:tc>
          <w:tcPr>
            <w:tcW w:w="1840" w:type="dxa"/>
            <w:vAlign w:val="bottom"/>
            <w:shd w:val="clear" w:color="auto" w:fill="0E2A3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-1054100</wp:posOffset>
            </wp:positionV>
            <wp:extent cx="18034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2194560</wp:posOffset>
            </wp:positionH>
            <wp:positionV relativeFrom="paragraph">
              <wp:posOffset>-1054100</wp:posOffset>
            </wp:positionV>
            <wp:extent cx="18859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-1054100</wp:posOffset>
            </wp:positionV>
            <wp:extent cx="16319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5349240</wp:posOffset>
            </wp:positionH>
            <wp:positionV relativeFrom="paragraph">
              <wp:posOffset>-1054100</wp:posOffset>
            </wp:positionV>
            <wp:extent cx="16256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560" cy="15430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Voting Roadmap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60" w:type="dxa"/>
            <w:vAlign w:val="bottom"/>
            <w:shd w:val="clear" w:color="auto" w:fill="0E2A35"/>
          </w:tcPr>
          <w:p>
            <w:pPr>
              <w:spacing w:after="0"/>
              <w:rPr>
                <w:sz w:val="19"/>
                <w:szCs w:val="19"/>
                <w:color w:val="auto"/>
              </w:rPr>
            </w:pPr>
          </w:p>
        </w:tc>
        <w:tc>
          <w:tcPr>
            <w:tcW w:w="2580" w:type="dxa"/>
            <w:vAlign w:val="bottom"/>
            <w:shd w:val="clear" w:color="auto" w:fill="0E2A35"/>
          </w:tcPr>
          <w:p>
            <w:pPr>
              <w:spacing w:after="0"/>
              <w:rPr>
                <w:sz w:val="19"/>
                <w:szCs w:val="19"/>
                <w:color w:val="auto"/>
              </w:rPr>
            </w:pPr>
          </w:p>
        </w:tc>
        <w:tc>
          <w:tcPr>
            <w:tcW w:w="1240" w:type="dxa"/>
            <w:vAlign w:val="bottom"/>
            <w:shd w:val="clear" w:color="auto" w:fill="0E2A35"/>
          </w:tcPr>
          <w:p>
            <w:pPr>
              <w:spacing w:after="0"/>
              <w:rPr>
                <w:sz w:val="19"/>
                <w:szCs w:val="19"/>
                <w:color w:val="auto"/>
              </w:rPr>
            </w:pPr>
          </w:p>
        </w:tc>
        <w:tc>
          <w:tcPr>
            <w:tcW w:w="1160" w:type="dxa"/>
            <w:vAlign w:val="bottom"/>
            <w:shd w:val="clear" w:color="auto" w:fill="0E2A35"/>
          </w:tcPr>
          <w:p>
            <w:pPr>
              <w:spacing w:after="0"/>
              <w:rPr>
                <w:sz w:val="19"/>
                <w:szCs w:val="19"/>
                <w:color w:val="auto"/>
              </w:rPr>
            </w:pPr>
          </w:p>
        </w:tc>
        <w:tc>
          <w:tcPr>
            <w:tcW w:w="116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Board​</w:t>
            </w:r>
          </w:p>
        </w:tc>
        <w:tc>
          <w:tcPr>
            <w:tcW w:w="11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Broker</w:t>
            </w:r>
          </w:p>
        </w:tc>
        <w:tc>
          <w:tcPr>
            <w:tcW w:w="940" w:type="dxa"/>
            <w:vAlign w:val="bottom"/>
            <w:shd w:val="clear" w:color="auto" w:fill="0E2A35"/>
          </w:tcPr>
          <w:p>
            <w:pPr>
              <w:spacing w:after="0"/>
              <w:rPr>
                <w:sz w:val="19"/>
                <w:szCs w:val="19"/>
                <w:color w:val="auto"/>
              </w:rPr>
            </w:pPr>
          </w:p>
        </w:tc>
        <w:tc>
          <w:tcPr>
            <w:tcW w:w="340" w:type="dxa"/>
            <w:vAlign w:val="bottom"/>
            <w:shd w:val="clear" w:color="auto" w:fill="0E2A35"/>
          </w:tcPr>
          <w:p>
            <w:pPr>
              <w:spacing w:after="0"/>
              <w:rPr>
                <w:sz w:val="19"/>
                <w:szCs w:val="19"/>
                <w:color w:val="auto"/>
              </w:rPr>
            </w:pPr>
          </w:p>
        </w:tc>
        <w:tc>
          <w:tcPr>
            <w:tcW w:w="160" w:type="dxa"/>
            <w:vAlign w:val="bottom"/>
            <w:shd w:val="clear" w:color="auto" w:fill="0E2A35"/>
          </w:tcPr>
          <w:p>
            <w:pPr>
              <w:spacing w:after="0"/>
              <w:rPr>
                <w:sz w:val="19"/>
                <w:szCs w:val="19"/>
                <w:color w:val="auto"/>
              </w:rPr>
            </w:pPr>
          </w:p>
        </w:tc>
        <w:tc>
          <w:tcPr>
            <w:tcW w:w="26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60" w:type="dxa"/>
            <w:vAlign w:val="bottom"/>
            <w:shd w:val="clear" w:color="auto" w:fill="0E2A35"/>
          </w:tcPr>
          <w:p>
            <w:pPr>
              <w:spacing w:after="0"/>
              <w:rPr>
                <w:sz w:val="11"/>
                <w:szCs w:val="11"/>
                <w:color w:val="auto"/>
              </w:rPr>
            </w:pPr>
          </w:p>
        </w:tc>
        <w:tc>
          <w:tcPr>
            <w:tcW w:w="2580" w:type="dxa"/>
            <w:vAlign w:val="bottom"/>
            <w:shd w:val="clear" w:color="auto" w:fill="0E2A35"/>
          </w:tcPr>
          <w:p>
            <w:pPr>
              <w:spacing w:after="0"/>
              <w:rPr>
                <w:sz w:val="11"/>
                <w:szCs w:val="11"/>
                <w:color w:val="auto"/>
              </w:rPr>
            </w:pPr>
          </w:p>
        </w:tc>
        <w:tc>
          <w:tcPr>
            <w:tcW w:w="1240" w:type="dxa"/>
            <w:vAlign w:val="bottom"/>
            <w:shd w:val="clear" w:color="auto" w:fill="0E2A35"/>
          </w:tcPr>
          <w:p>
            <w:pPr>
              <w:spacing w:after="0"/>
              <w:rPr>
                <w:sz w:val="11"/>
                <w:szCs w:val="11"/>
                <w:color w:val="auto"/>
              </w:rPr>
            </w:pPr>
          </w:p>
        </w:tc>
        <w:tc>
          <w:tcPr>
            <w:tcW w:w="1160" w:type="dxa"/>
            <w:vAlign w:val="bottom"/>
            <w:shd w:val="clear" w:color="auto" w:fill="0E2A35"/>
          </w:tcPr>
          <w:p>
            <w:pPr>
              <w:spacing w:after="0"/>
              <w:rPr>
                <w:sz w:val="11"/>
                <w:szCs w:val="11"/>
                <w:color w:val="auto"/>
              </w:rPr>
            </w:pPr>
          </w:p>
        </w:tc>
        <w:tc>
          <w:tcPr>
            <w:tcW w:w="1160" w:type="dxa"/>
            <w:vAlign w:val="bottom"/>
            <w:vMerge w:val="continue"/>
            <w:shd w:val="clear" w:color="auto" w:fill="0E2A35"/>
          </w:tcPr>
          <w:p>
            <w:pPr>
              <w:spacing w:after="0"/>
              <w:rPr>
                <w:sz w:val="11"/>
                <w:szCs w:val="11"/>
                <w:color w:val="auto"/>
              </w:rPr>
            </w:pPr>
          </w:p>
        </w:tc>
        <w:tc>
          <w:tcPr>
            <w:tcW w:w="11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Discretionary</w:t>
            </w:r>
          </w:p>
        </w:tc>
        <w:tc>
          <w:tcPr>
            <w:tcW w:w="940" w:type="dxa"/>
            <w:vAlign w:val="bottom"/>
            <w:shd w:val="clear" w:color="auto" w:fill="0E2A35"/>
          </w:tcPr>
          <w:p>
            <w:pPr>
              <w:spacing w:after="0"/>
              <w:rPr>
                <w:sz w:val="11"/>
                <w:szCs w:val="11"/>
                <w:color w:val="auto"/>
              </w:rPr>
            </w:pPr>
          </w:p>
        </w:tc>
        <w:tc>
          <w:tcPr>
            <w:tcW w:w="340" w:type="dxa"/>
            <w:vAlign w:val="bottom"/>
            <w:shd w:val="clear" w:color="auto" w:fill="0E2A35"/>
          </w:tcPr>
          <w:p>
            <w:pPr>
              <w:spacing w:after="0"/>
              <w:rPr>
                <w:sz w:val="11"/>
                <w:szCs w:val="11"/>
                <w:color w:val="auto"/>
              </w:rPr>
            </w:pPr>
          </w:p>
        </w:tc>
        <w:tc>
          <w:tcPr>
            <w:tcW w:w="160" w:type="dxa"/>
            <w:vAlign w:val="bottom"/>
            <w:shd w:val="clear" w:color="auto" w:fill="0E2A35"/>
          </w:tcPr>
          <w:p>
            <w:pPr>
              <w:spacing w:after="0"/>
              <w:rPr>
                <w:sz w:val="11"/>
                <w:szCs w:val="11"/>
                <w:color w:val="auto"/>
              </w:rPr>
            </w:pPr>
          </w:p>
        </w:tc>
        <w:tc>
          <w:tcPr>
            <w:tcW w:w="26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40" w:type="dxa"/>
            <w:vAlign w:val="bottom"/>
            <w:gridSpan w:val="2"/>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Proposals​</w:t>
            </w:r>
          </w:p>
        </w:tc>
        <w:tc>
          <w:tcPr>
            <w:tcW w:w="1240" w:type="dxa"/>
            <w:vAlign w:val="bottom"/>
            <w:shd w:val="clear" w:color="auto" w:fill="0E2A35"/>
          </w:tcPr>
          <w:p>
            <w:pPr>
              <w:jc w:val="center"/>
              <w:ind w:right="33"/>
              <w:spacing w:after="0"/>
              <w:rPr>
                <w:sz w:val="20"/>
                <w:szCs w:val="20"/>
                <w:color w:val="auto"/>
              </w:rPr>
            </w:pPr>
            <w:r>
              <w:rPr>
                <w:rFonts w:ascii="Arial" w:cs="Arial" w:eastAsia="Arial" w:hAnsi="Arial"/>
                <w:sz w:val="13"/>
                <w:szCs w:val="13"/>
                <w:b w:val="1"/>
                <w:bCs w:val="1"/>
                <w:color w:val="FFFFFF"/>
                <w:w w:val="92"/>
              </w:rPr>
              <w:t>Vote</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Voting</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4"/>
              </w:rPr>
              <w:t>Recommend</w:t>
            </w:r>
          </w:p>
        </w:tc>
        <w:tc>
          <w:tcPr>
            <w:tcW w:w="11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Voting</w:t>
            </w:r>
          </w:p>
        </w:tc>
        <w:tc>
          <w:tcPr>
            <w:tcW w:w="9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Impact of</w:t>
            </w:r>
          </w:p>
        </w:tc>
        <w:tc>
          <w:tcPr>
            <w:tcW w:w="760" w:type="dxa"/>
            <w:vAlign w:val="bottom"/>
            <w:gridSpan w:val="3"/>
            <w:shd w:val="clear" w:color="auto" w:fill="0E2A35"/>
          </w:tcPr>
          <w:p>
            <w:pPr>
              <w:jc w:val="center"/>
              <w:spacing w:after="0"/>
              <w:rPr>
                <w:sz w:val="20"/>
                <w:szCs w:val="20"/>
                <w:color w:val="auto"/>
              </w:rPr>
            </w:pPr>
            <w:r>
              <w:rPr>
                <w:rFonts w:ascii="Arial" w:cs="Arial" w:eastAsia="Arial" w:hAnsi="Arial"/>
                <w:sz w:val="13"/>
                <w:szCs w:val="13"/>
                <w:b w:val="1"/>
                <w:bCs w:val="1"/>
                <w:color w:val="FFFFFF"/>
              </w:rPr>
              <w:t>Page</w:t>
            </w:r>
          </w:p>
        </w:tc>
        <w:tc>
          <w:tcPr>
            <w:tcW w:w="0" w:type="dxa"/>
            <w:vAlign w:val="bottom"/>
          </w:tcPr>
          <w:p>
            <w:pPr>
              <w:spacing w:after="0"/>
              <w:rPr>
                <w:sz w:val="1"/>
                <w:szCs w:val="1"/>
                <w:color w:val="auto"/>
              </w:rPr>
            </w:pPr>
          </w:p>
        </w:tc>
      </w:tr>
      <w:tr>
        <w:trPr>
          <w:trHeight w:val="270"/>
        </w:trPr>
        <w:tc>
          <w:tcPr>
            <w:tcW w:w="2840" w:type="dxa"/>
            <w:vAlign w:val="bottom"/>
            <w:gridSpan w:val="2"/>
            <w:vMerge w:val="continue"/>
            <w:shd w:val="clear" w:color="auto" w:fill="0E2A35"/>
          </w:tcPr>
          <w:p>
            <w:pPr>
              <w:spacing w:after="0"/>
              <w:rPr>
                <w:sz w:val="23"/>
                <w:szCs w:val="23"/>
                <w:color w:val="auto"/>
              </w:rPr>
            </w:pP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Required</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Options</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2"/>
              </w:rPr>
              <w:t>-ation</w:t>
            </w:r>
            <w:r>
              <w:rPr>
                <w:rFonts w:ascii="Arial" w:cs="Arial" w:eastAsia="Arial" w:hAnsi="Arial"/>
                <w:sz w:val="20"/>
                <w:szCs w:val="20"/>
                <w:b w:val="1"/>
                <w:bCs w:val="1"/>
                <w:color w:val="FFFFFF"/>
                <w:w w:val="92"/>
                <w:vertAlign w:val="superscript"/>
              </w:rPr>
              <w:t>(1)</w:t>
            </w:r>
          </w:p>
        </w:tc>
        <w:tc>
          <w:tcPr>
            <w:tcW w:w="1180" w:type="dxa"/>
            <w:vAlign w:val="bottom"/>
            <w:shd w:val="clear" w:color="auto" w:fill="0E2A35"/>
          </w:tcPr>
          <w:p>
            <w:pPr>
              <w:jc w:val="center"/>
              <w:ind w:left="14"/>
              <w:spacing w:after="0"/>
              <w:rPr>
                <w:sz w:val="20"/>
                <w:szCs w:val="20"/>
                <w:color w:val="auto"/>
              </w:rPr>
            </w:pPr>
            <w:r>
              <w:rPr>
                <w:rFonts w:ascii="Arial" w:cs="Arial" w:eastAsia="Arial" w:hAnsi="Arial"/>
                <w:sz w:val="13"/>
                <w:szCs w:val="13"/>
                <w:b w:val="1"/>
                <w:bCs w:val="1"/>
                <w:color w:val="FFFFFF"/>
                <w:w w:val="93"/>
              </w:rPr>
              <w:t>Allowed</w:t>
            </w:r>
            <w:r>
              <w:rPr>
                <w:rFonts w:ascii="Arial" w:cs="Arial" w:eastAsia="Arial" w:hAnsi="Arial"/>
                <w:sz w:val="20"/>
                <w:szCs w:val="20"/>
                <w:b w:val="1"/>
                <w:bCs w:val="1"/>
                <w:color w:val="FFFFFF"/>
                <w:w w:val="93"/>
                <w:vertAlign w:val="superscript"/>
              </w:rPr>
              <w:t>(2)</w:t>
            </w:r>
          </w:p>
        </w:tc>
        <w:tc>
          <w:tcPr>
            <w:tcW w:w="940" w:type="dxa"/>
            <w:vAlign w:val="bottom"/>
            <w:shd w:val="clear" w:color="auto" w:fill="0E2A35"/>
          </w:tcPr>
          <w:p>
            <w:pPr>
              <w:jc w:val="center"/>
              <w:ind w:left="13"/>
              <w:spacing w:after="0"/>
              <w:rPr>
                <w:sz w:val="20"/>
                <w:szCs w:val="20"/>
                <w:color w:val="auto"/>
              </w:rPr>
            </w:pPr>
            <w:r>
              <w:rPr>
                <w:rFonts w:ascii="Arial" w:cs="Arial" w:eastAsia="Arial" w:hAnsi="Arial"/>
                <w:sz w:val="13"/>
                <w:szCs w:val="13"/>
                <w:b w:val="1"/>
                <w:bCs w:val="1"/>
                <w:color w:val="FFFFFF"/>
                <w:w w:val="97"/>
              </w:rPr>
              <w:t>Abstention</w:t>
            </w:r>
          </w:p>
        </w:tc>
        <w:tc>
          <w:tcPr>
            <w:tcW w:w="760" w:type="dxa"/>
            <w:vAlign w:val="bottom"/>
            <w:gridSpan w:val="3"/>
            <w:shd w:val="clear" w:color="auto" w:fill="0E2A35"/>
          </w:tcPr>
          <w:p>
            <w:pPr>
              <w:jc w:val="center"/>
              <w:ind w:left="17"/>
              <w:spacing w:after="0"/>
              <w:rPr>
                <w:sz w:val="20"/>
                <w:szCs w:val="20"/>
                <w:color w:val="auto"/>
              </w:rPr>
            </w:pPr>
            <w:r>
              <w:rPr>
                <w:rFonts w:ascii="Arial" w:cs="Arial" w:eastAsia="Arial" w:hAnsi="Arial"/>
                <w:sz w:val="13"/>
                <w:szCs w:val="13"/>
                <w:b w:val="1"/>
                <w:bCs w:val="1"/>
                <w:color w:val="FFFFFF"/>
                <w:w w:val="95"/>
              </w:rPr>
              <w:t>Reference</w:t>
            </w:r>
          </w:p>
        </w:tc>
        <w:tc>
          <w:tcPr>
            <w:tcW w:w="0" w:type="dxa"/>
            <w:vAlign w:val="bottom"/>
          </w:tcPr>
          <w:p>
            <w:pPr>
              <w:spacing w:after="0"/>
              <w:rPr>
                <w:sz w:val="1"/>
                <w:szCs w:val="1"/>
                <w:color w:val="auto"/>
              </w:rPr>
            </w:pPr>
          </w:p>
        </w:tc>
      </w:tr>
      <w:tr>
        <w:trPr>
          <w:trHeight w:val="257"/>
        </w:trPr>
        <w:tc>
          <w:tcPr>
            <w:tcW w:w="260" w:type="dxa"/>
            <w:vAlign w:val="bottom"/>
          </w:tcPr>
          <w:p>
            <w:pPr>
              <w:ind w:left="60"/>
              <w:spacing w:after="0"/>
              <w:rPr>
                <w:sz w:val="20"/>
                <w:szCs w:val="20"/>
                <w:color w:val="auto"/>
              </w:rPr>
            </w:pPr>
            <w:r>
              <w:rPr>
                <w:rFonts w:ascii="Arial" w:cs="Arial" w:eastAsia="Arial" w:hAnsi="Arial"/>
                <w:sz w:val="20"/>
                <w:szCs w:val="20"/>
                <w:b w:val="1"/>
                <w:bCs w:val="1"/>
                <w:color w:val="0E2A35"/>
              </w:rPr>
              <w:t>1.</w:t>
            </w:r>
          </w:p>
        </w:tc>
        <w:tc>
          <w:tcPr>
            <w:tcW w:w="2580" w:type="dxa"/>
            <w:vAlign w:val="bottom"/>
          </w:tcPr>
          <w:p>
            <w:pPr>
              <w:ind w:left="20"/>
              <w:spacing w:after="0"/>
              <w:rPr>
                <w:sz w:val="20"/>
                <w:szCs w:val="20"/>
                <w:color w:val="auto"/>
              </w:rPr>
            </w:pPr>
            <w:r>
              <w:rPr>
                <w:rFonts w:ascii="Arial" w:cs="Arial" w:eastAsia="Arial" w:hAnsi="Arial"/>
                <w:sz w:val="14"/>
                <w:szCs w:val="14"/>
                <w:color w:val="0E2A35"/>
              </w:rPr>
              <w:t>Elect four Class III directors to hold</w:t>
            </w:r>
          </w:p>
        </w:tc>
        <w:tc>
          <w:tcPr>
            <w:tcW w:w="1240" w:type="dxa"/>
            <w:vAlign w:val="bottom"/>
          </w:tcPr>
          <w:p>
            <w:pPr>
              <w:jc w:val="center"/>
              <w:spacing w:after="0"/>
              <w:rPr>
                <w:sz w:val="20"/>
                <w:szCs w:val="20"/>
                <w:color w:val="auto"/>
              </w:rPr>
            </w:pPr>
            <w:r>
              <w:rPr>
                <w:rFonts w:ascii="Arial" w:cs="Arial" w:eastAsia="Arial" w:hAnsi="Arial"/>
                <w:sz w:val="14"/>
                <w:szCs w:val="14"/>
                <w:color w:val="0E2A35"/>
              </w:rPr>
              <w:t>Plurality of the</w:t>
            </w:r>
          </w:p>
        </w:tc>
        <w:tc>
          <w:tcPr>
            <w:tcW w:w="1160" w:type="dxa"/>
            <w:vAlign w:val="bottom"/>
          </w:tcPr>
          <w:p>
            <w:pPr>
              <w:jc w:val="center"/>
              <w:spacing w:after="0"/>
              <w:rPr>
                <w:sz w:val="20"/>
                <w:szCs w:val="20"/>
                <w:color w:val="auto"/>
              </w:rPr>
            </w:pPr>
            <w:r>
              <w:rPr>
                <w:rFonts w:ascii="Arial" w:cs="Arial" w:eastAsia="Arial" w:hAnsi="Arial"/>
                <w:sz w:val="14"/>
                <w:szCs w:val="14"/>
                <w:color w:val="0E2A35"/>
              </w:rPr>
              <w:t>FOR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180" w:type="dxa"/>
            <w:vAlign w:val="bottom"/>
          </w:tcPr>
          <w:p>
            <w:pPr>
              <w:jc w:val="center"/>
              <w:ind w:left="14"/>
              <w:spacing w:after="0"/>
              <w:rPr>
                <w:sz w:val="20"/>
                <w:szCs w:val="20"/>
                <w:color w:val="auto"/>
              </w:rPr>
            </w:pPr>
            <w:r>
              <w:rPr>
                <w:rFonts w:ascii="Arial" w:cs="Arial" w:eastAsia="Arial" w:hAnsi="Arial"/>
                <w:sz w:val="14"/>
                <w:szCs w:val="14"/>
                <w:color w:val="0E2A35"/>
              </w:rPr>
              <w:t>No</w:t>
            </w:r>
          </w:p>
        </w:tc>
        <w:tc>
          <w:tcPr>
            <w:tcW w:w="940" w:type="dxa"/>
            <w:vAlign w:val="bottom"/>
          </w:tcPr>
          <w:p>
            <w:pPr>
              <w:jc w:val="center"/>
              <w:ind w:left="13"/>
              <w:spacing w:after="0"/>
              <w:rPr>
                <w:sz w:val="20"/>
                <w:szCs w:val="20"/>
                <w:color w:val="auto"/>
              </w:rPr>
            </w:pPr>
            <w:r>
              <w:rPr>
                <w:rFonts w:ascii="Arial" w:cs="Arial" w:eastAsia="Arial" w:hAnsi="Arial"/>
                <w:sz w:val="14"/>
                <w:szCs w:val="14"/>
                <w:color w:val="0E2A35"/>
              </w:rPr>
              <w:t>None</w:t>
            </w:r>
          </w:p>
        </w:tc>
        <w:tc>
          <w:tcPr>
            <w:tcW w:w="340" w:type="dxa"/>
            <w:vAlign w:val="bottom"/>
          </w:tcPr>
          <w:p>
            <w:pPr>
              <w:spacing w:after="0"/>
              <w:rPr>
                <w:sz w:val="22"/>
                <w:szCs w:val="22"/>
                <w:color w:val="auto"/>
              </w:rPr>
            </w:pPr>
          </w:p>
        </w:tc>
        <w:tc>
          <w:tcPr>
            <w:tcW w:w="160" w:type="dxa"/>
            <w:vAlign w:val="bottom"/>
            <w:tcBorders>
              <w:bottom w:val="single" w:sz="8" w:color="0000EE"/>
            </w:tcBorders>
          </w:tcPr>
          <w:p>
            <w:pPr>
              <w:jc w:val="center"/>
              <w:spacing w:after="0"/>
              <w:rPr>
                <w:sz w:val="20"/>
                <w:szCs w:val="20"/>
                <w:color w:val="auto"/>
              </w:rPr>
            </w:pPr>
            <w:r>
              <w:rPr>
                <w:rFonts w:ascii="Arial" w:cs="Arial" w:eastAsia="Arial" w:hAnsi="Arial"/>
                <w:sz w:val="14"/>
                <w:szCs w:val="14"/>
                <w:color w:val="0000EE"/>
              </w:rPr>
              <w:t>19</w:t>
            </w:r>
            <w:r>
              <w:rPr>
                <w:rFonts w:ascii="Arial" w:cs="Arial" w:eastAsia="Arial" w:hAnsi="Arial"/>
                <w:sz w:val="14"/>
                <w:szCs w:val="14"/>
                <w:color w:val="0E2A35"/>
              </w:rPr>
              <w:t>​</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0E2A35"/>
            </w:tcBorders>
          </w:tcPr>
          <w:p>
            <w:pPr>
              <w:spacing w:after="0"/>
              <w:rPr>
                <w:sz w:val="24"/>
                <w:szCs w:val="24"/>
                <w:color w:val="auto"/>
              </w:rPr>
            </w:pPr>
          </w:p>
        </w:tc>
        <w:tc>
          <w:tcPr>
            <w:tcW w:w="2580" w:type="dxa"/>
            <w:vAlign w:val="bottom"/>
            <w:tcBorders>
              <w:bottom w:val="single" w:sz="8" w:color="0E2A35"/>
            </w:tcBorders>
          </w:tcPr>
          <w:p>
            <w:pPr>
              <w:ind w:left="20"/>
              <w:spacing w:after="0"/>
              <w:rPr>
                <w:sz w:val="20"/>
                <w:szCs w:val="20"/>
                <w:color w:val="auto"/>
              </w:rPr>
            </w:pPr>
            <w:r>
              <w:rPr>
                <w:rFonts w:ascii="Arial" w:cs="Arial" w:eastAsia="Arial" w:hAnsi="Arial"/>
                <w:sz w:val="14"/>
                <w:szCs w:val="14"/>
                <w:color w:val="0E2A35"/>
              </w:rPr>
              <w:t>office for a three-year term</w:t>
            </w:r>
          </w:p>
        </w:tc>
        <w:tc>
          <w:tcPr>
            <w:tcW w:w="124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w w:val="95"/>
              </w:rPr>
              <w:t>votes cast</w:t>
            </w:r>
            <w:r>
              <w:rPr>
                <w:rFonts w:ascii="Arial" w:cs="Arial" w:eastAsia="Arial" w:hAnsi="Arial"/>
                <w:sz w:val="23"/>
                <w:szCs w:val="23"/>
                <w:color w:val="0E2A35"/>
                <w:w w:val="95"/>
                <w:vertAlign w:val="superscript"/>
              </w:rPr>
              <w:t>(3)</w:t>
            </w:r>
          </w:p>
        </w:tc>
        <w:tc>
          <w:tcPr>
            <w:tcW w:w="116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rPr>
              <w:t>WITHHOLD</w:t>
            </w:r>
          </w:p>
        </w:tc>
        <w:tc>
          <w:tcPr>
            <w:tcW w:w="1160" w:type="dxa"/>
            <w:vAlign w:val="bottom"/>
            <w:tcBorders>
              <w:bottom w:val="single" w:sz="8" w:color="0E2A35"/>
            </w:tcBorders>
          </w:tcPr>
          <w:p>
            <w:pPr>
              <w:spacing w:after="0"/>
              <w:rPr>
                <w:sz w:val="24"/>
                <w:szCs w:val="24"/>
                <w:color w:val="auto"/>
              </w:rPr>
            </w:pPr>
          </w:p>
        </w:tc>
        <w:tc>
          <w:tcPr>
            <w:tcW w:w="1180" w:type="dxa"/>
            <w:vAlign w:val="bottom"/>
            <w:tcBorders>
              <w:bottom w:val="single" w:sz="8" w:color="0E2A35"/>
            </w:tcBorders>
          </w:tcPr>
          <w:p>
            <w:pPr>
              <w:spacing w:after="0"/>
              <w:rPr>
                <w:sz w:val="24"/>
                <w:szCs w:val="24"/>
                <w:color w:val="auto"/>
              </w:rPr>
            </w:pPr>
          </w:p>
        </w:tc>
        <w:tc>
          <w:tcPr>
            <w:tcW w:w="940" w:type="dxa"/>
            <w:vAlign w:val="bottom"/>
            <w:tcBorders>
              <w:bottom w:val="single" w:sz="8" w:color="0E2A35"/>
            </w:tcBorders>
          </w:tcPr>
          <w:p>
            <w:pPr>
              <w:spacing w:after="0"/>
              <w:rPr>
                <w:sz w:val="24"/>
                <w:szCs w:val="24"/>
                <w:color w:val="auto"/>
              </w:rPr>
            </w:pPr>
          </w:p>
        </w:tc>
        <w:tc>
          <w:tcPr>
            <w:tcW w:w="340" w:type="dxa"/>
            <w:vAlign w:val="bottom"/>
            <w:tcBorders>
              <w:bottom w:val="single" w:sz="8" w:color="0E2A35"/>
            </w:tcBorders>
          </w:tcPr>
          <w:p>
            <w:pPr>
              <w:spacing w:after="0"/>
              <w:rPr>
                <w:sz w:val="24"/>
                <w:szCs w:val="24"/>
                <w:color w:val="auto"/>
              </w:rPr>
            </w:pPr>
          </w:p>
        </w:tc>
        <w:tc>
          <w:tcPr>
            <w:tcW w:w="160" w:type="dxa"/>
            <w:vAlign w:val="bottom"/>
            <w:tcBorders>
              <w:bottom w:val="single" w:sz="8" w:color="0E2A35"/>
            </w:tcBorders>
          </w:tcPr>
          <w:p>
            <w:pPr>
              <w:spacing w:after="0"/>
              <w:rPr>
                <w:sz w:val="24"/>
                <w:szCs w:val="24"/>
                <w:color w:val="auto"/>
              </w:rPr>
            </w:pPr>
          </w:p>
        </w:tc>
        <w:tc>
          <w:tcPr>
            <w:tcW w:w="260" w:type="dxa"/>
            <w:vAlign w:val="bottom"/>
            <w:tcBorders>
              <w:bottom w:val="single" w:sz="8" w:color="0E2A35"/>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 w:type="dxa"/>
            <w:vAlign w:val="bottom"/>
          </w:tcPr>
          <w:p>
            <w:pPr>
              <w:ind w:left="60"/>
              <w:spacing w:after="0"/>
              <w:rPr>
                <w:sz w:val="20"/>
                <w:szCs w:val="20"/>
                <w:color w:val="auto"/>
              </w:rPr>
            </w:pPr>
            <w:r>
              <w:rPr>
                <w:rFonts w:ascii="Arial" w:cs="Arial" w:eastAsia="Arial" w:hAnsi="Arial"/>
                <w:sz w:val="20"/>
                <w:szCs w:val="20"/>
                <w:b w:val="1"/>
                <w:bCs w:val="1"/>
                <w:color w:val="0E2A35"/>
              </w:rPr>
              <w:t>2.</w:t>
            </w:r>
          </w:p>
        </w:tc>
        <w:tc>
          <w:tcPr>
            <w:tcW w:w="2580" w:type="dxa"/>
            <w:vAlign w:val="bottom"/>
          </w:tcPr>
          <w:p>
            <w:pPr>
              <w:ind w:left="20"/>
              <w:spacing w:after="0"/>
              <w:rPr>
                <w:sz w:val="20"/>
                <w:szCs w:val="20"/>
                <w:color w:val="auto"/>
              </w:rPr>
            </w:pPr>
            <w:r>
              <w:rPr>
                <w:rFonts w:ascii="Arial" w:cs="Arial" w:eastAsia="Arial" w:hAnsi="Arial"/>
                <w:sz w:val="14"/>
                <w:szCs w:val="14"/>
                <w:color w:val="0E2A35"/>
              </w:rPr>
              <w:t>Approve, on an advisory basis, the</w:t>
            </w:r>
          </w:p>
        </w:tc>
        <w:tc>
          <w:tcPr>
            <w:tcW w:w="1240" w:type="dxa"/>
            <w:vAlign w:val="bottom"/>
          </w:tcPr>
          <w:p>
            <w:pPr>
              <w:jc w:val="center"/>
              <w:spacing w:after="0"/>
              <w:rPr>
                <w:sz w:val="20"/>
                <w:szCs w:val="20"/>
                <w:color w:val="auto"/>
              </w:rPr>
            </w:pPr>
            <w:r>
              <w:rPr>
                <w:rFonts w:ascii="Arial" w:cs="Arial" w:eastAsia="Arial" w:hAnsi="Arial"/>
                <w:sz w:val="14"/>
                <w:szCs w:val="14"/>
                <w:color w:val="0E2A35"/>
              </w:rPr>
              <w:t>Majority of the</w:t>
            </w:r>
          </w:p>
        </w:tc>
        <w:tc>
          <w:tcPr>
            <w:tcW w:w="1160" w:type="dxa"/>
            <w:vAlign w:val="bottom"/>
          </w:tcPr>
          <w:p>
            <w:pPr>
              <w:jc w:val="center"/>
              <w:spacing w:after="0"/>
              <w:rPr>
                <w:sz w:val="20"/>
                <w:szCs w:val="20"/>
                <w:color w:val="auto"/>
              </w:rPr>
            </w:pPr>
            <w:r>
              <w:rPr>
                <w:rFonts w:ascii="Arial" w:cs="Arial" w:eastAsia="Arial" w:hAnsi="Arial"/>
                <w:sz w:val="14"/>
                <w:szCs w:val="14"/>
                <w:color w:val="0E2A35"/>
              </w:rPr>
              <w:t>FOR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E2A35"/>
              </w:rPr>
              <w:t>FOR</w:t>
            </w:r>
          </w:p>
        </w:tc>
        <w:tc>
          <w:tcPr>
            <w:tcW w:w="1180" w:type="dxa"/>
            <w:vAlign w:val="bottom"/>
          </w:tcPr>
          <w:p>
            <w:pPr>
              <w:jc w:val="center"/>
              <w:ind w:left="14"/>
              <w:spacing w:after="0"/>
              <w:rPr>
                <w:sz w:val="20"/>
                <w:szCs w:val="20"/>
                <w:color w:val="auto"/>
              </w:rPr>
            </w:pPr>
            <w:r>
              <w:rPr>
                <w:rFonts w:ascii="Arial" w:cs="Arial" w:eastAsia="Arial" w:hAnsi="Arial"/>
                <w:sz w:val="14"/>
                <w:szCs w:val="14"/>
                <w:color w:val="0E2A35"/>
              </w:rPr>
              <w:t>No</w:t>
            </w:r>
          </w:p>
        </w:tc>
        <w:tc>
          <w:tcPr>
            <w:tcW w:w="940" w:type="dxa"/>
            <w:vAlign w:val="bottom"/>
          </w:tcPr>
          <w:p>
            <w:pPr>
              <w:jc w:val="center"/>
              <w:ind w:left="13"/>
              <w:spacing w:after="0"/>
              <w:rPr>
                <w:sz w:val="20"/>
                <w:szCs w:val="20"/>
                <w:color w:val="auto"/>
              </w:rPr>
            </w:pPr>
            <w:r>
              <w:rPr>
                <w:rFonts w:ascii="Arial" w:cs="Arial" w:eastAsia="Arial" w:hAnsi="Arial"/>
                <w:sz w:val="14"/>
                <w:szCs w:val="14"/>
                <w:color w:val="0E2A35"/>
              </w:rPr>
              <w:t>None</w:t>
            </w:r>
          </w:p>
        </w:tc>
        <w:tc>
          <w:tcPr>
            <w:tcW w:w="340" w:type="dxa"/>
            <w:vAlign w:val="bottom"/>
          </w:tcPr>
          <w:p>
            <w:pPr>
              <w:spacing w:after="0"/>
              <w:rPr>
                <w:sz w:val="21"/>
                <w:szCs w:val="21"/>
                <w:color w:val="auto"/>
              </w:rPr>
            </w:pPr>
          </w:p>
        </w:tc>
        <w:tc>
          <w:tcPr>
            <w:tcW w:w="160" w:type="dxa"/>
            <w:vAlign w:val="bottom"/>
            <w:tcBorders>
              <w:bottom w:val="single" w:sz="8" w:color="0000EE"/>
            </w:tcBorders>
          </w:tcPr>
          <w:p>
            <w:pPr>
              <w:jc w:val="center"/>
              <w:spacing w:after="0"/>
              <w:rPr>
                <w:sz w:val="20"/>
                <w:szCs w:val="20"/>
                <w:color w:val="auto"/>
              </w:rPr>
            </w:pPr>
            <w:r>
              <w:rPr>
                <w:rFonts w:ascii="Arial" w:cs="Arial" w:eastAsia="Arial" w:hAnsi="Arial"/>
                <w:sz w:val="14"/>
                <w:szCs w:val="14"/>
                <w:color w:val="0000EE"/>
              </w:rPr>
              <w:t>67</w:t>
            </w:r>
            <w:r>
              <w:rPr>
                <w:rFonts w:ascii="Arial" w:cs="Arial" w:eastAsia="Arial" w:hAnsi="Arial"/>
                <w:sz w:val="14"/>
                <w:szCs w:val="14"/>
                <w:color w:val="0E2A35"/>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2580" w:type="dxa"/>
            <w:vAlign w:val="bottom"/>
          </w:tcPr>
          <w:p>
            <w:pPr>
              <w:ind w:left="20"/>
              <w:spacing w:after="0" w:line="155" w:lineRule="exact"/>
              <w:rPr>
                <w:sz w:val="20"/>
                <w:szCs w:val="20"/>
                <w:color w:val="auto"/>
              </w:rPr>
            </w:pPr>
            <w:r>
              <w:rPr>
                <w:rFonts w:ascii="Arial" w:cs="Arial" w:eastAsia="Arial" w:hAnsi="Arial"/>
                <w:sz w:val="14"/>
                <w:szCs w:val="14"/>
                <w:color w:val="0E2A35"/>
              </w:rPr>
              <w:t>compensation of our named executive</w:t>
            </w:r>
          </w:p>
        </w:tc>
        <w:tc>
          <w:tcPr>
            <w:tcW w:w="1240" w:type="dxa"/>
            <w:vAlign w:val="bottom"/>
          </w:tcPr>
          <w:p>
            <w:pPr>
              <w:jc w:val="center"/>
              <w:spacing w:after="0" w:line="156" w:lineRule="exact"/>
              <w:rPr>
                <w:sz w:val="20"/>
                <w:szCs w:val="20"/>
                <w:color w:val="auto"/>
              </w:rPr>
            </w:pPr>
            <w:r>
              <w:rPr>
                <w:rFonts w:ascii="Arial" w:cs="Arial" w:eastAsia="Arial" w:hAnsi="Arial"/>
                <w:sz w:val="12"/>
                <w:szCs w:val="12"/>
                <w:color w:val="0E2A35"/>
              </w:rPr>
              <w:t>votes cast</w:t>
            </w:r>
            <w:r>
              <w:rPr>
                <w:rFonts w:ascii="Arial" w:cs="Arial" w:eastAsia="Arial" w:hAnsi="Arial"/>
                <w:sz w:val="18"/>
                <w:szCs w:val="18"/>
                <w:color w:val="0E2A35"/>
                <w:vertAlign w:val="superscript"/>
              </w:rPr>
              <w:t>(4)</w:t>
            </w:r>
          </w:p>
        </w:tc>
        <w:tc>
          <w:tcPr>
            <w:tcW w:w="1160" w:type="dxa"/>
            <w:vAlign w:val="bottom"/>
          </w:tcPr>
          <w:p>
            <w:pPr>
              <w:jc w:val="center"/>
              <w:spacing w:after="0" w:line="155" w:lineRule="exact"/>
              <w:rPr>
                <w:sz w:val="20"/>
                <w:szCs w:val="20"/>
                <w:color w:val="auto"/>
              </w:rPr>
            </w:pPr>
            <w:r>
              <w:rPr>
                <w:rFonts w:ascii="Arial" w:cs="Arial" w:eastAsia="Arial" w:hAnsi="Arial"/>
                <w:sz w:val="14"/>
                <w:szCs w:val="14"/>
                <w:color w:val="0E2A35"/>
              </w:rPr>
              <w:t>AGAINST</w:t>
            </w: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580" w:type="dxa"/>
            <w:vAlign w:val="bottom"/>
          </w:tcPr>
          <w:p>
            <w:pPr>
              <w:ind w:left="20"/>
              <w:spacing w:after="0"/>
              <w:rPr>
                <w:sz w:val="20"/>
                <w:szCs w:val="20"/>
                <w:color w:val="auto"/>
              </w:rPr>
            </w:pPr>
            <w:r>
              <w:rPr>
                <w:rFonts w:ascii="Arial" w:cs="Arial" w:eastAsia="Arial" w:hAnsi="Arial"/>
                <w:sz w:val="14"/>
                <w:szCs w:val="14"/>
                <w:color w:val="0E2A35"/>
              </w:rPr>
              <w:t>officers</w:t>
            </w:r>
          </w:p>
        </w:tc>
        <w:tc>
          <w:tcPr>
            <w:tcW w:w="1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0E2A35"/>
              </w:rPr>
              <w:t>ABSTAIN</w:t>
            </w: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ectPr>
          <w:pgSz w:w="11900" w:h="16838" w:orient="portrait"/>
          <w:cols w:equalWidth="0" w:num="1">
            <w:col w:w="9280"/>
          </w:cols>
          <w:pgMar w:left="1300" w:top="265" w:right="1319" w:bottom="1440" w:gutter="0" w:footer="0" w:header="0"/>
        </w:sectPr>
      </w:pPr>
    </w:p>
    <w:p>
      <w:pPr>
        <w:spacing w:after="0" w:line="8" w:lineRule="exact"/>
        <w:rPr>
          <w:sz w:val="20"/>
          <w:szCs w:val="20"/>
          <w:color w:val="auto"/>
        </w:rPr>
      </w:pPr>
    </w:p>
    <w:p>
      <w:pPr>
        <w:ind w:left="280" w:hanging="226"/>
        <w:spacing w:after="0" w:line="181" w:lineRule="auto"/>
        <w:tabs>
          <w:tab w:leader="none" w:pos="280" w:val="left"/>
        </w:tabs>
        <w:numPr>
          <w:ilvl w:val="0"/>
          <w:numId w:val="5"/>
        </w:numPr>
        <w:rPr>
          <w:rFonts w:ascii="Arial" w:cs="Arial" w:eastAsia="Arial" w:hAnsi="Arial"/>
          <w:sz w:val="35"/>
          <w:szCs w:val="35"/>
          <w:b w:val="1"/>
          <w:bCs w:val="1"/>
          <w:color w:val="0E2A35"/>
          <w:vertAlign w:val="subscript"/>
        </w:rPr>
      </w:pPr>
      <w:r>
        <w:rPr>
          <w:rFonts w:ascii="Arial" w:cs="Arial" w:eastAsia="Arial" w:hAnsi="Arial"/>
          <w:sz w:val="14"/>
          <w:szCs w:val="14"/>
          <w:color w:val="0E2A35"/>
        </w:rPr>
        <w:t>Approve, on an advisory basis, the frequency of future advisory votes on the compensation of our named executive officers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jc w:val="center"/>
              <w:ind w:right="155"/>
              <w:spacing w:after="0"/>
              <w:rPr>
                <w:sz w:val="20"/>
                <w:szCs w:val="20"/>
                <w:color w:val="auto"/>
              </w:rPr>
            </w:pPr>
            <w:r>
              <w:rPr>
                <w:rFonts w:ascii="Arial" w:cs="Arial" w:eastAsia="Arial" w:hAnsi="Arial"/>
                <w:sz w:val="14"/>
                <w:szCs w:val="14"/>
                <w:color w:val="0E2A35"/>
              </w:rPr>
              <w:t>Plurality of the</w:t>
            </w:r>
          </w:p>
        </w:tc>
        <w:tc>
          <w:tcPr>
            <w:tcW w:w="1160" w:type="dxa"/>
            <w:vAlign w:val="bottom"/>
          </w:tcPr>
          <w:p>
            <w:pPr>
              <w:jc w:val="center"/>
              <w:ind w:right="28"/>
              <w:spacing w:after="0"/>
              <w:rPr>
                <w:sz w:val="20"/>
                <w:szCs w:val="20"/>
                <w:color w:val="auto"/>
              </w:rPr>
            </w:pPr>
            <w:r>
              <w:rPr>
                <w:rFonts w:ascii="Arial" w:cs="Arial" w:eastAsia="Arial" w:hAnsi="Arial"/>
                <w:sz w:val="14"/>
                <w:szCs w:val="14"/>
                <w:color w:val="0E2A35"/>
              </w:rPr>
              <w:t>1 YEAR</w:t>
            </w:r>
          </w:p>
        </w:tc>
        <w:tc>
          <w:tcPr>
            <w:tcW w:w="1240" w:type="dxa"/>
            <w:vAlign w:val="bottom"/>
          </w:tcPr>
          <w:p>
            <w:pPr>
              <w:ind w:left="300"/>
              <w:spacing w:after="0"/>
              <w:rPr>
                <w:sz w:val="20"/>
                <w:szCs w:val="20"/>
                <w:color w:val="auto"/>
              </w:rPr>
            </w:pPr>
            <w:r>
              <w:rPr>
                <w:rFonts w:ascii="Arial" w:cs="Arial" w:eastAsia="Arial" w:hAnsi="Arial"/>
                <w:sz w:val="14"/>
                <w:szCs w:val="14"/>
                <w:b w:val="1"/>
                <w:bCs w:val="1"/>
                <w:color w:val="0E2A35"/>
              </w:rPr>
              <w:t>1 YEAR</w:t>
            </w:r>
          </w:p>
        </w:tc>
        <w:tc>
          <w:tcPr>
            <w:tcW w:w="1020" w:type="dxa"/>
            <w:vAlign w:val="bottom"/>
          </w:tcPr>
          <w:p>
            <w:pPr>
              <w:ind w:left="440"/>
              <w:spacing w:after="0"/>
              <w:rPr>
                <w:sz w:val="20"/>
                <w:szCs w:val="20"/>
                <w:color w:val="auto"/>
              </w:rPr>
            </w:pPr>
            <w:r>
              <w:rPr>
                <w:rFonts w:ascii="Arial" w:cs="Arial" w:eastAsia="Arial" w:hAnsi="Arial"/>
                <w:sz w:val="14"/>
                <w:szCs w:val="14"/>
                <w:color w:val="0E2A35"/>
              </w:rPr>
              <w:t>No</w:t>
            </w:r>
          </w:p>
        </w:tc>
        <w:tc>
          <w:tcPr>
            <w:tcW w:w="1040" w:type="dxa"/>
            <w:vAlign w:val="bottom"/>
          </w:tcPr>
          <w:p>
            <w:pPr>
              <w:ind w:left="400"/>
              <w:spacing w:after="0"/>
              <w:rPr>
                <w:sz w:val="20"/>
                <w:szCs w:val="20"/>
                <w:color w:val="auto"/>
              </w:rPr>
            </w:pPr>
            <w:r>
              <w:rPr>
                <w:rFonts w:ascii="Arial" w:cs="Arial" w:eastAsia="Arial" w:hAnsi="Arial"/>
                <w:sz w:val="14"/>
                <w:szCs w:val="14"/>
                <w:color w:val="0E2A35"/>
              </w:rPr>
              <w:t>None</w:t>
            </w:r>
          </w:p>
        </w:tc>
        <w:tc>
          <w:tcPr>
            <w:tcW w:w="460" w:type="dxa"/>
            <w:vAlign w:val="bottom"/>
            <w:gridSpan w:val="2"/>
          </w:tcPr>
          <w:p>
            <w:pPr>
              <w:ind w:left="300"/>
              <w:spacing w:after="0"/>
              <w:rPr>
                <w:sz w:val="20"/>
                <w:szCs w:val="20"/>
                <w:color w:val="auto"/>
              </w:rPr>
            </w:pPr>
            <w:r>
              <w:rPr>
                <w:rFonts w:ascii="Arial" w:cs="Arial" w:eastAsia="Arial" w:hAnsi="Arial"/>
                <w:sz w:val="14"/>
                <w:szCs w:val="14"/>
                <w:color w:val="0000EE"/>
                <w:w w:val="89"/>
              </w:rPr>
              <w:t>68</w:t>
            </w:r>
            <w:r>
              <w:rPr>
                <w:rFonts w:ascii="Arial" w:cs="Arial" w:eastAsia="Arial" w:hAnsi="Arial"/>
                <w:sz w:val="14"/>
                <w:szCs w:val="14"/>
                <w:color w:val="0E2A35"/>
                <w:w w:val="89"/>
              </w:rPr>
              <w:t>​</w:t>
            </w:r>
          </w:p>
        </w:tc>
      </w:tr>
      <w:tr>
        <w:trPr>
          <w:trHeight w:val="156"/>
        </w:trPr>
        <w:tc>
          <w:tcPr>
            <w:tcW w:w="1120" w:type="dxa"/>
            <w:vAlign w:val="bottom"/>
          </w:tcPr>
          <w:p>
            <w:pPr>
              <w:jc w:val="center"/>
              <w:ind w:right="155"/>
              <w:spacing w:after="0" w:line="156" w:lineRule="exact"/>
              <w:rPr>
                <w:sz w:val="20"/>
                <w:szCs w:val="20"/>
                <w:color w:val="auto"/>
              </w:rPr>
            </w:pPr>
            <w:r>
              <w:rPr>
                <w:rFonts w:ascii="Arial" w:cs="Arial" w:eastAsia="Arial" w:hAnsi="Arial"/>
                <w:sz w:val="12"/>
                <w:szCs w:val="12"/>
                <w:color w:val="0E2A35"/>
              </w:rPr>
              <w:t>votes cast</w:t>
            </w:r>
            <w:r>
              <w:rPr>
                <w:rFonts w:ascii="Arial" w:cs="Arial" w:eastAsia="Arial" w:hAnsi="Arial"/>
                <w:sz w:val="18"/>
                <w:szCs w:val="18"/>
                <w:color w:val="0E2A35"/>
                <w:vertAlign w:val="superscript"/>
              </w:rPr>
              <w:t>(5)</w:t>
            </w:r>
          </w:p>
        </w:tc>
        <w:tc>
          <w:tcPr>
            <w:tcW w:w="1160" w:type="dxa"/>
            <w:vAlign w:val="bottom"/>
          </w:tcPr>
          <w:p>
            <w:pPr>
              <w:jc w:val="center"/>
              <w:ind w:right="28"/>
              <w:spacing w:after="0" w:line="155" w:lineRule="exact"/>
              <w:rPr>
                <w:sz w:val="20"/>
                <w:szCs w:val="20"/>
                <w:color w:val="auto"/>
              </w:rPr>
            </w:pPr>
            <w:r>
              <w:rPr>
                <w:rFonts w:ascii="Arial" w:cs="Arial" w:eastAsia="Arial" w:hAnsi="Arial"/>
                <w:sz w:val="14"/>
                <w:szCs w:val="14"/>
                <w:color w:val="0E2A35"/>
              </w:rPr>
              <w:t>2 YEARS</w:t>
            </w: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r>
      <w:tr>
        <w:trPr>
          <w:trHeight w:val="182"/>
        </w:trPr>
        <w:tc>
          <w:tcPr>
            <w:tcW w:w="1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0E2A35"/>
              </w:rPr>
              <w:t>3 YEARS</w:t>
            </w:r>
          </w:p>
        </w:tc>
        <w:tc>
          <w:tcPr>
            <w:tcW w:w="1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158750</wp:posOffset>
            </wp:positionV>
            <wp:extent cx="58978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-398145</wp:posOffset>
            </wp:positionV>
            <wp:extent cx="58978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2640" w:space="340"/>
            <w:col w:w="6300"/>
          </w:cols>
          <w:pgMar w:left="1300" w:top="265" w:right="131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spacing w:after="0"/>
              <w:rPr>
                <w:sz w:val="20"/>
                <w:szCs w:val="20"/>
                <w:color w:val="auto"/>
              </w:rPr>
            </w:pPr>
            <w:r>
              <w:rPr>
                <w:rFonts w:ascii="Arial" w:cs="Arial" w:eastAsia="Arial" w:hAnsi="Arial"/>
                <w:sz w:val="20"/>
                <w:szCs w:val="20"/>
                <w:b w:val="1"/>
                <w:bCs w:val="1"/>
                <w:color w:val="0E2A35"/>
              </w:rPr>
              <w:t>4.</w:t>
            </w:r>
          </w:p>
        </w:tc>
        <w:tc>
          <w:tcPr>
            <w:tcW w:w="2460" w:type="dxa"/>
            <w:vAlign w:val="bottom"/>
          </w:tcPr>
          <w:p>
            <w:pPr>
              <w:ind w:left="20"/>
              <w:spacing w:after="0"/>
              <w:rPr>
                <w:sz w:val="20"/>
                <w:szCs w:val="20"/>
                <w:color w:val="auto"/>
              </w:rPr>
            </w:pPr>
            <w:r>
              <w:rPr>
                <w:rFonts w:ascii="Arial" w:cs="Arial" w:eastAsia="Arial" w:hAnsi="Arial"/>
                <w:sz w:val="14"/>
                <w:szCs w:val="14"/>
                <w:color w:val="0E2A35"/>
              </w:rPr>
              <w:t>Approve our amended and restated</w:t>
            </w:r>
          </w:p>
        </w:tc>
        <w:tc>
          <w:tcPr>
            <w:tcW w:w="1420" w:type="dxa"/>
            <w:vAlign w:val="bottom"/>
          </w:tcPr>
          <w:p>
            <w:pPr>
              <w:jc w:val="center"/>
              <w:spacing w:after="0"/>
              <w:rPr>
                <w:sz w:val="20"/>
                <w:szCs w:val="20"/>
                <w:color w:val="auto"/>
              </w:rPr>
            </w:pPr>
            <w:r>
              <w:rPr>
                <w:rFonts w:ascii="Arial" w:cs="Arial" w:eastAsia="Arial" w:hAnsi="Arial"/>
                <w:sz w:val="14"/>
                <w:szCs w:val="14"/>
                <w:color w:val="0E2A35"/>
              </w:rPr>
              <w:t>Majority of the</w:t>
            </w:r>
          </w:p>
        </w:tc>
        <w:tc>
          <w:tcPr>
            <w:tcW w:w="1180" w:type="dxa"/>
            <w:vAlign w:val="bottom"/>
          </w:tcPr>
          <w:p>
            <w:pPr>
              <w:jc w:val="center"/>
              <w:ind w:right="128"/>
              <w:spacing w:after="0"/>
              <w:rPr>
                <w:sz w:val="20"/>
                <w:szCs w:val="20"/>
                <w:color w:val="auto"/>
              </w:rPr>
            </w:pPr>
            <w:r>
              <w:rPr>
                <w:rFonts w:ascii="Arial" w:cs="Arial" w:eastAsia="Arial" w:hAnsi="Arial"/>
                <w:sz w:val="14"/>
                <w:szCs w:val="14"/>
                <w:color w:val="0E2A35"/>
              </w:rPr>
              <w:t>FOR</w:t>
            </w:r>
          </w:p>
        </w:tc>
        <w:tc>
          <w:tcPr>
            <w:tcW w:w="1140" w:type="dxa"/>
            <w:vAlign w:val="bottom"/>
          </w:tcPr>
          <w:p>
            <w:pPr>
              <w:ind w:left="360"/>
              <w:spacing w:after="0"/>
              <w:rPr>
                <w:sz w:val="20"/>
                <w:szCs w:val="20"/>
                <w:color w:val="auto"/>
              </w:rPr>
            </w:pPr>
            <w:r>
              <w:rPr>
                <w:rFonts w:ascii="Arial" w:cs="Arial" w:eastAsia="Arial" w:hAnsi="Arial"/>
                <w:sz w:val="14"/>
                <w:szCs w:val="14"/>
                <w:b w:val="1"/>
                <w:bCs w:val="1"/>
                <w:color w:val="0E2A35"/>
              </w:rPr>
              <w:t>FOR</w:t>
            </w:r>
          </w:p>
        </w:tc>
        <w:tc>
          <w:tcPr>
            <w:tcW w:w="1020" w:type="dxa"/>
            <w:vAlign w:val="bottom"/>
          </w:tcPr>
          <w:p>
            <w:pPr>
              <w:ind w:left="480"/>
              <w:spacing w:after="0"/>
              <w:rPr>
                <w:sz w:val="20"/>
                <w:szCs w:val="20"/>
                <w:color w:val="auto"/>
              </w:rPr>
            </w:pPr>
            <w:r>
              <w:rPr>
                <w:rFonts w:ascii="Arial" w:cs="Arial" w:eastAsia="Arial" w:hAnsi="Arial"/>
                <w:sz w:val="14"/>
                <w:szCs w:val="14"/>
                <w:color w:val="0E2A35"/>
              </w:rPr>
              <w:t>No</w:t>
            </w:r>
          </w:p>
        </w:tc>
        <w:tc>
          <w:tcPr>
            <w:tcW w:w="1380" w:type="dxa"/>
            <w:vAlign w:val="bottom"/>
          </w:tcPr>
          <w:p>
            <w:pPr>
              <w:ind w:left="360"/>
              <w:spacing w:after="0"/>
              <w:rPr>
                <w:sz w:val="20"/>
                <w:szCs w:val="20"/>
                <w:color w:val="auto"/>
              </w:rPr>
            </w:pPr>
            <w:r>
              <w:rPr>
                <w:rFonts w:ascii="Arial" w:cs="Arial" w:eastAsia="Arial" w:hAnsi="Arial"/>
                <w:sz w:val="14"/>
                <w:szCs w:val="14"/>
                <w:color w:val="0E2A35"/>
              </w:rPr>
              <w:t>Against</w:t>
            </w:r>
          </w:p>
        </w:tc>
        <w:tc>
          <w:tcPr>
            <w:tcW w:w="16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w w:val="89"/>
              </w:rPr>
              <w:t>79</w:t>
            </w:r>
            <w:r>
              <w:rPr>
                <w:rFonts w:ascii="Arial" w:cs="Arial" w:eastAsia="Arial" w:hAnsi="Arial"/>
                <w:sz w:val="14"/>
                <w:szCs w:val="14"/>
                <w:color w:val="0E2A35"/>
                <w:w w:val="89"/>
              </w:rPr>
              <w:t>​</w:t>
            </w:r>
          </w:p>
        </w:tc>
        <w:tc>
          <w:tcPr>
            <w:tcW w:w="260" w:type="dxa"/>
            <w:vAlign w:val="bottom"/>
          </w:tcPr>
          <w:p>
            <w:pPr>
              <w:spacing w:after="0"/>
              <w:rPr>
                <w:sz w:val="19"/>
                <w:szCs w:val="19"/>
                <w:color w:val="auto"/>
              </w:rPr>
            </w:pPr>
          </w:p>
        </w:tc>
      </w:tr>
      <w:tr>
        <w:trPr>
          <w:trHeight w:val="155"/>
        </w:trPr>
        <w:tc>
          <w:tcPr>
            <w:tcW w:w="260" w:type="dxa"/>
            <w:vAlign w:val="bottom"/>
          </w:tcPr>
          <w:p>
            <w:pPr>
              <w:spacing w:after="0"/>
              <w:rPr>
                <w:sz w:val="13"/>
                <w:szCs w:val="13"/>
                <w:color w:val="auto"/>
              </w:rPr>
            </w:pPr>
          </w:p>
        </w:tc>
        <w:tc>
          <w:tcPr>
            <w:tcW w:w="2460" w:type="dxa"/>
            <w:vAlign w:val="bottom"/>
          </w:tcPr>
          <w:p>
            <w:pPr>
              <w:ind w:left="20"/>
              <w:spacing w:after="0" w:line="155" w:lineRule="exact"/>
              <w:rPr>
                <w:sz w:val="20"/>
                <w:szCs w:val="20"/>
                <w:color w:val="auto"/>
              </w:rPr>
            </w:pPr>
            <w:r>
              <w:rPr>
                <w:rFonts w:ascii="Arial" w:cs="Arial" w:eastAsia="Arial" w:hAnsi="Arial"/>
                <w:sz w:val="14"/>
                <w:szCs w:val="14"/>
                <w:color w:val="0E2A35"/>
              </w:rPr>
              <w:t>2019 Omnibus Incentive Plan</w:t>
            </w:r>
          </w:p>
        </w:tc>
        <w:tc>
          <w:tcPr>
            <w:tcW w:w="1420" w:type="dxa"/>
            <w:vAlign w:val="bottom"/>
          </w:tcPr>
          <w:p>
            <w:pPr>
              <w:jc w:val="center"/>
              <w:spacing w:after="0" w:line="156" w:lineRule="exact"/>
              <w:rPr>
                <w:sz w:val="20"/>
                <w:szCs w:val="20"/>
                <w:color w:val="auto"/>
              </w:rPr>
            </w:pPr>
            <w:r>
              <w:rPr>
                <w:rFonts w:ascii="Arial" w:cs="Arial" w:eastAsia="Arial" w:hAnsi="Arial"/>
                <w:sz w:val="12"/>
                <w:szCs w:val="12"/>
                <w:color w:val="0E2A35"/>
              </w:rPr>
              <w:t>shares present</w:t>
            </w:r>
            <w:r>
              <w:rPr>
                <w:rFonts w:ascii="Arial" w:cs="Arial" w:eastAsia="Arial" w:hAnsi="Arial"/>
                <w:sz w:val="18"/>
                <w:szCs w:val="18"/>
                <w:color w:val="0E2A35"/>
                <w:vertAlign w:val="superscript"/>
              </w:rPr>
              <w:t>(6)</w:t>
            </w:r>
          </w:p>
        </w:tc>
        <w:tc>
          <w:tcPr>
            <w:tcW w:w="1180" w:type="dxa"/>
            <w:vAlign w:val="bottom"/>
          </w:tcPr>
          <w:p>
            <w:pPr>
              <w:jc w:val="center"/>
              <w:ind w:right="128"/>
              <w:spacing w:after="0" w:line="155" w:lineRule="exact"/>
              <w:rPr>
                <w:sz w:val="20"/>
                <w:szCs w:val="20"/>
                <w:color w:val="auto"/>
              </w:rPr>
            </w:pPr>
            <w:r>
              <w:rPr>
                <w:rFonts w:ascii="Arial" w:cs="Arial" w:eastAsia="Arial" w:hAnsi="Arial"/>
                <w:sz w:val="14"/>
                <w:szCs w:val="14"/>
                <w:color w:val="0E2A35"/>
              </w:rPr>
              <w:t>AGAINST</w:t>
            </w: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82"/>
        </w:trPr>
        <w:tc>
          <w:tcPr>
            <w:tcW w:w="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color w:val="0E2A35"/>
              </w:rPr>
              <w:t>ABSTAIN</w:t>
            </w: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88"/>
        </w:trPr>
        <w:tc>
          <w:tcPr>
            <w:tcW w:w="260" w:type="dxa"/>
            <w:vAlign w:val="bottom"/>
            <w:tcBorders>
              <w:bottom w:val="single" w:sz="8" w:color="0E2A35"/>
            </w:tcBorders>
          </w:tcPr>
          <w:p>
            <w:pPr>
              <w:spacing w:after="0"/>
              <w:rPr>
                <w:sz w:val="7"/>
                <w:szCs w:val="7"/>
                <w:color w:val="auto"/>
              </w:rPr>
            </w:pPr>
          </w:p>
        </w:tc>
        <w:tc>
          <w:tcPr>
            <w:tcW w:w="2460" w:type="dxa"/>
            <w:vAlign w:val="bottom"/>
            <w:tcBorders>
              <w:bottom w:val="single" w:sz="8" w:color="0E2A35"/>
            </w:tcBorders>
          </w:tcPr>
          <w:p>
            <w:pPr>
              <w:spacing w:after="0"/>
              <w:rPr>
                <w:sz w:val="7"/>
                <w:szCs w:val="7"/>
                <w:color w:val="auto"/>
              </w:rPr>
            </w:pPr>
          </w:p>
        </w:tc>
        <w:tc>
          <w:tcPr>
            <w:tcW w:w="1420" w:type="dxa"/>
            <w:vAlign w:val="bottom"/>
            <w:tcBorders>
              <w:bottom w:val="single" w:sz="8" w:color="0E2A35"/>
            </w:tcBorders>
          </w:tcPr>
          <w:p>
            <w:pPr>
              <w:spacing w:after="0"/>
              <w:rPr>
                <w:sz w:val="7"/>
                <w:szCs w:val="7"/>
                <w:color w:val="auto"/>
              </w:rPr>
            </w:pPr>
          </w:p>
        </w:tc>
        <w:tc>
          <w:tcPr>
            <w:tcW w:w="1180" w:type="dxa"/>
            <w:vAlign w:val="bottom"/>
            <w:tcBorders>
              <w:bottom w:val="single" w:sz="8" w:color="0E2A35"/>
            </w:tcBorders>
          </w:tcPr>
          <w:p>
            <w:pPr>
              <w:spacing w:after="0"/>
              <w:rPr>
                <w:sz w:val="7"/>
                <w:szCs w:val="7"/>
                <w:color w:val="auto"/>
              </w:rPr>
            </w:pPr>
          </w:p>
        </w:tc>
        <w:tc>
          <w:tcPr>
            <w:tcW w:w="1140" w:type="dxa"/>
            <w:vAlign w:val="bottom"/>
            <w:tcBorders>
              <w:bottom w:val="single" w:sz="8" w:color="0E2A35"/>
            </w:tcBorders>
          </w:tcPr>
          <w:p>
            <w:pPr>
              <w:spacing w:after="0"/>
              <w:rPr>
                <w:sz w:val="7"/>
                <w:szCs w:val="7"/>
                <w:color w:val="auto"/>
              </w:rPr>
            </w:pPr>
          </w:p>
        </w:tc>
        <w:tc>
          <w:tcPr>
            <w:tcW w:w="1020" w:type="dxa"/>
            <w:vAlign w:val="bottom"/>
            <w:tcBorders>
              <w:bottom w:val="single" w:sz="8" w:color="0E2A35"/>
            </w:tcBorders>
          </w:tcPr>
          <w:p>
            <w:pPr>
              <w:spacing w:after="0"/>
              <w:rPr>
                <w:sz w:val="7"/>
                <w:szCs w:val="7"/>
                <w:color w:val="auto"/>
              </w:rPr>
            </w:pPr>
          </w:p>
        </w:tc>
        <w:tc>
          <w:tcPr>
            <w:tcW w:w="138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r>
      <w:tr>
        <w:trPr>
          <w:trHeight w:val="250"/>
        </w:trPr>
        <w:tc>
          <w:tcPr>
            <w:tcW w:w="260" w:type="dxa"/>
            <w:vAlign w:val="bottom"/>
          </w:tcPr>
          <w:p>
            <w:pPr>
              <w:jc w:val="right"/>
              <w:spacing w:after="0"/>
              <w:rPr>
                <w:sz w:val="20"/>
                <w:szCs w:val="20"/>
                <w:color w:val="auto"/>
              </w:rPr>
            </w:pPr>
            <w:r>
              <w:rPr>
                <w:rFonts w:ascii="Arial" w:cs="Arial" w:eastAsia="Arial" w:hAnsi="Arial"/>
                <w:sz w:val="20"/>
                <w:szCs w:val="20"/>
                <w:b w:val="1"/>
                <w:bCs w:val="1"/>
                <w:color w:val="0E2A35"/>
              </w:rPr>
              <w:t>5.</w:t>
            </w:r>
          </w:p>
        </w:tc>
        <w:tc>
          <w:tcPr>
            <w:tcW w:w="2460" w:type="dxa"/>
            <w:vAlign w:val="bottom"/>
          </w:tcPr>
          <w:p>
            <w:pPr>
              <w:ind w:left="20"/>
              <w:spacing w:after="0"/>
              <w:rPr>
                <w:sz w:val="20"/>
                <w:szCs w:val="20"/>
                <w:color w:val="auto"/>
              </w:rPr>
            </w:pPr>
            <w:r>
              <w:rPr>
                <w:rFonts w:ascii="Arial" w:cs="Arial" w:eastAsia="Arial" w:hAnsi="Arial"/>
                <w:sz w:val="14"/>
                <w:szCs w:val="14"/>
                <w:color w:val="0E2A35"/>
              </w:rPr>
              <w:t>Approve our amended and restated</w:t>
            </w:r>
          </w:p>
        </w:tc>
        <w:tc>
          <w:tcPr>
            <w:tcW w:w="1420" w:type="dxa"/>
            <w:vAlign w:val="bottom"/>
          </w:tcPr>
          <w:p>
            <w:pPr>
              <w:jc w:val="center"/>
              <w:spacing w:after="0"/>
              <w:rPr>
                <w:sz w:val="20"/>
                <w:szCs w:val="20"/>
                <w:color w:val="auto"/>
              </w:rPr>
            </w:pPr>
            <w:r>
              <w:rPr>
                <w:rFonts w:ascii="Arial" w:cs="Arial" w:eastAsia="Arial" w:hAnsi="Arial"/>
                <w:sz w:val="14"/>
                <w:szCs w:val="14"/>
                <w:color w:val="0E2A35"/>
              </w:rPr>
              <w:t>Majority of the</w:t>
            </w:r>
          </w:p>
        </w:tc>
        <w:tc>
          <w:tcPr>
            <w:tcW w:w="1180" w:type="dxa"/>
            <w:vAlign w:val="bottom"/>
          </w:tcPr>
          <w:p>
            <w:pPr>
              <w:jc w:val="center"/>
              <w:ind w:right="128"/>
              <w:spacing w:after="0"/>
              <w:rPr>
                <w:sz w:val="20"/>
                <w:szCs w:val="20"/>
                <w:color w:val="auto"/>
              </w:rPr>
            </w:pPr>
            <w:r>
              <w:rPr>
                <w:rFonts w:ascii="Arial" w:cs="Arial" w:eastAsia="Arial" w:hAnsi="Arial"/>
                <w:sz w:val="14"/>
                <w:szCs w:val="14"/>
                <w:color w:val="0E2A35"/>
              </w:rPr>
              <w:t>FOR</w:t>
            </w:r>
          </w:p>
        </w:tc>
        <w:tc>
          <w:tcPr>
            <w:tcW w:w="1140" w:type="dxa"/>
            <w:vAlign w:val="bottom"/>
          </w:tcPr>
          <w:p>
            <w:pPr>
              <w:ind w:left="360"/>
              <w:spacing w:after="0"/>
              <w:rPr>
                <w:sz w:val="20"/>
                <w:szCs w:val="20"/>
                <w:color w:val="auto"/>
              </w:rPr>
            </w:pPr>
            <w:r>
              <w:rPr>
                <w:rFonts w:ascii="Arial" w:cs="Arial" w:eastAsia="Arial" w:hAnsi="Arial"/>
                <w:sz w:val="14"/>
                <w:szCs w:val="14"/>
                <w:b w:val="1"/>
                <w:bCs w:val="1"/>
                <w:color w:val="0E2A35"/>
              </w:rPr>
              <w:t>FOR</w:t>
            </w:r>
          </w:p>
        </w:tc>
        <w:tc>
          <w:tcPr>
            <w:tcW w:w="1020" w:type="dxa"/>
            <w:vAlign w:val="bottom"/>
          </w:tcPr>
          <w:p>
            <w:pPr>
              <w:ind w:left="480"/>
              <w:spacing w:after="0"/>
              <w:rPr>
                <w:sz w:val="20"/>
                <w:szCs w:val="20"/>
                <w:color w:val="auto"/>
              </w:rPr>
            </w:pPr>
            <w:r>
              <w:rPr>
                <w:rFonts w:ascii="Arial" w:cs="Arial" w:eastAsia="Arial" w:hAnsi="Arial"/>
                <w:sz w:val="14"/>
                <w:szCs w:val="14"/>
                <w:color w:val="0E2A35"/>
              </w:rPr>
              <w:t>No</w:t>
            </w:r>
          </w:p>
        </w:tc>
        <w:tc>
          <w:tcPr>
            <w:tcW w:w="1380" w:type="dxa"/>
            <w:vAlign w:val="bottom"/>
          </w:tcPr>
          <w:p>
            <w:pPr>
              <w:ind w:left="360"/>
              <w:spacing w:after="0"/>
              <w:rPr>
                <w:sz w:val="20"/>
                <w:szCs w:val="20"/>
                <w:color w:val="auto"/>
              </w:rPr>
            </w:pPr>
            <w:r>
              <w:rPr>
                <w:rFonts w:ascii="Arial" w:cs="Arial" w:eastAsia="Arial" w:hAnsi="Arial"/>
                <w:sz w:val="14"/>
                <w:szCs w:val="14"/>
                <w:color w:val="0E2A35"/>
              </w:rPr>
              <w:t>Against</w:t>
            </w:r>
          </w:p>
        </w:tc>
        <w:tc>
          <w:tcPr>
            <w:tcW w:w="16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w w:val="89"/>
              </w:rPr>
              <w:t>84</w:t>
            </w:r>
            <w:r>
              <w:rPr>
                <w:rFonts w:ascii="Arial" w:cs="Arial" w:eastAsia="Arial" w:hAnsi="Arial"/>
                <w:sz w:val="14"/>
                <w:szCs w:val="14"/>
                <w:color w:val="0E2A35"/>
                <w:w w:val="89"/>
              </w:rPr>
              <w:t>​</w:t>
            </w:r>
          </w:p>
        </w:tc>
        <w:tc>
          <w:tcPr>
            <w:tcW w:w="260" w:type="dxa"/>
            <w:vAlign w:val="bottom"/>
          </w:tcPr>
          <w:p>
            <w:pPr>
              <w:spacing w:after="0"/>
              <w:rPr>
                <w:sz w:val="21"/>
                <w:szCs w:val="21"/>
                <w:color w:val="auto"/>
              </w:rPr>
            </w:pPr>
          </w:p>
        </w:tc>
      </w:tr>
      <w:tr>
        <w:trPr>
          <w:trHeight w:val="160"/>
        </w:trPr>
        <w:tc>
          <w:tcPr>
            <w:tcW w:w="260" w:type="dxa"/>
            <w:vAlign w:val="bottom"/>
          </w:tcPr>
          <w:p>
            <w:pPr>
              <w:spacing w:after="0"/>
              <w:rPr>
                <w:sz w:val="13"/>
                <w:szCs w:val="13"/>
                <w:color w:val="auto"/>
              </w:rPr>
            </w:pPr>
          </w:p>
        </w:tc>
        <w:tc>
          <w:tcPr>
            <w:tcW w:w="2460" w:type="dxa"/>
            <w:vAlign w:val="bottom"/>
          </w:tcPr>
          <w:p>
            <w:pPr>
              <w:ind w:left="20"/>
              <w:spacing w:after="0"/>
              <w:rPr>
                <w:sz w:val="20"/>
                <w:szCs w:val="20"/>
                <w:color w:val="auto"/>
              </w:rPr>
            </w:pPr>
            <w:r>
              <w:rPr>
                <w:rFonts w:ascii="Arial" w:cs="Arial" w:eastAsia="Arial" w:hAnsi="Arial"/>
                <w:sz w:val="14"/>
                <w:szCs w:val="14"/>
                <w:color w:val="0E2A35"/>
              </w:rPr>
              <w:t>Employee Stock Purchase Plan</w:t>
            </w:r>
          </w:p>
        </w:tc>
        <w:tc>
          <w:tcPr>
            <w:tcW w:w="1420" w:type="dxa"/>
            <w:vAlign w:val="bottom"/>
          </w:tcPr>
          <w:p>
            <w:pPr>
              <w:jc w:val="center"/>
              <w:spacing w:after="0" w:line="160" w:lineRule="exact"/>
              <w:rPr>
                <w:sz w:val="20"/>
                <w:szCs w:val="20"/>
                <w:color w:val="auto"/>
              </w:rPr>
            </w:pPr>
            <w:r>
              <w:rPr>
                <w:rFonts w:ascii="Arial" w:cs="Arial" w:eastAsia="Arial" w:hAnsi="Arial"/>
                <w:sz w:val="12"/>
                <w:szCs w:val="12"/>
                <w:color w:val="0E2A35"/>
              </w:rPr>
              <w:t>shares present</w:t>
            </w:r>
            <w:r>
              <w:rPr>
                <w:rFonts w:ascii="Arial" w:cs="Arial" w:eastAsia="Arial" w:hAnsi="Arial"/>
                <w:sz w:val="18"/>
                <w:szCs w:val="18"/>
                <w:color w:val="0E2A35"/>
                <w:vertAlign w:val="superscript"/>
              </w:rPr>
              <w:t>(6)</w:t>
            </w:r>
          </w:p>
        </w:tc>
        <w:tc>
          <w:tcPr>
            <w:tcW w:w="1180" w:type="dxa"/>
            <w:vAlign w:val="bottom"/>
          </w:tcPr>
          <w:p>
            <w:pPr>
              <w:jc w:val="center"/>
              <w:ind w:right="128"/>
              <w:spacing w:after="0"/>
              <w:rPr>
                <w:sz w:val="20"/>
                <w:szCs w:val="20"/>
                <w:color w:val="auto"/>
              </w:rPr>
            </w:pPr>
            <w:r>
              <w:rPr>
                <w:rFonts w:ascii="Arial" w:cs="Arial" w:eastAsia="Arial" w:hAnsi="Arial"/>
                <w:sz w:val="14"/>
                <w:szCs w:val="14"/>
                <w:color w:val="0E2A35"/>
              </w:rPr>
              <w:t>AGAINST</w:t>
            </w: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r>
    </w:tbl>
    <w:p>
      <w:pPr>
        <w:jc w:val="center"/>
        <w:ind w:right="-19"/>
        <w:spacing w:after="0"/>
        <w:rPr>
          <w:sz w:val="20"/>
          <w:szCs w:val="20"/>
          <w:color w:val="auto"/>
        </w:rPr>
      </w:pPr>
      <w:r>
        <w:rPr>
          <w:rFonts w:ascii="Arial" w:cs="Arial" w:eastAsia="Arial" w:hAnsi="Arial"/>
          <w:sz w:val="14"/>
          <w:szCs w:val="14"/>
          <w:color w:val="0E2A35"/>
        </w:rPr>
        <w:t>ABSTAIN</w:t>
      </w:r>
    </w:p>
    <w:p>
      <w:pPr>
        <w:sectPr>
          <w:pgSz w:w="11900" w:h="16838" w:orient="portrait"/>
          <w:cols w:equalWidth="0" w:num="1">
            <w:col w:w="9280"/>
          </w:cols>
          <w:pgMar w:left="1300" w:top="265" w:right="1319" w:bottom="1440" w:gutter="0" w:footer="0" w:header="0"/>
          <w:type w:val="continuous"/>
        </w:sectPr>
      </w:pPr>
    </w:p>
    <w:p>
      <w:pPr>
        <w:spacing w:after="0" w:line="221" w:lineRule="exact"/>
        <w:rPr>
          <w:sz w:val="20"/>
          <w:szCs w:val="20"/>
          <w:color w:val="auto"/>
        </w:rPr>
      </w:pPr>
    </w:p>
    <w:p>
      <w:pPr>
        <w:ind w:left="280" w:hanging="226"/>
        <w:spacing w:after="0" w:line="181" w:lineRule="auto"/>
        <w:tabs>
          <w:tab w:leader="none" w:pos="280" w:val="left"/>
        </w:tabs>
        <w:numPr>
          <w:ilvl w:val="0"/>
          <w:numId w:val="6"/>
        </w:numPr>
        <w:rPr>
          <w:rFonts w:ascii="Arial" w:cs="Arial" w:eastAsia="Arial" w:hAnsi="Arial"/>
          <w:sz w:val="35"/>
          <w:szCs w:val="35"/>
          <w:b w:val="1"/>
          <w:bCs w:val="1"/>
          <w:color w:val="0E2A35"/>
          <w:vertAlign w:val="subscript"/>
        </w:rPr>
      </w:pPr>
      <w:r>
        <w:rPr>
          <w:rFonts w:ascii="Arial" w:cs="Arial" w:eastAsia="Arial" w:hAnsi="Arial"/>
          <w:sz w:val="14"/>
          <w:szCs w:val="14"/>
          <w:color w:val="0E2A35"/>
        </w:rPr>
        <w:t>Ratify​ the appointment of Deloitte &amp; Touche LLP as our independent registered public accountant for the fiscal year ending August 31, 2024</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jc w:val="center"/>
              <w:ind w:right="95"/>
              <w:spacing w:after="0"/>
              <w:rPr>
                <w:sz w:val="20"/>
                <w:szCs w:val="20"/>
                <w:color w:val="auto"/>
              </w:rPr>
            </w:pPr>
            <w:r>
              <w:rPr>
                <w:rFonts w:ascii="Arial" w:cs="Arial" w:eastAsia="Arial" w:hAnsi="Arial"/>
                <w:sz w:val="14"/>
                <w:szCs w:val="14"/>
                <w:color w:val="0E2A35"/>
              </w:rPr>
              <w:t>Majority of the</w:t>
            </w:r>
          </w:p>
        </w:tc>
        <w:tc>
          <w:tcPr>
            <w:tcW w:w="1180" w:type="dxa"/>
            <w:vAlign w:val="bottom"/>
          </w:tcPr>
          <w:p>
            <w:pPr>
              <w:jc w:val="center"/>
              <w:ind w:right="128"/>
              <w:spacing w:after="0"/>
              <w:rPr>
                <w:sz w:val="20"/>
                <w:szCs w:val="20"/>
                <w:color w:val="auto"/>
              </w:rPr>
            </w:pPr>
            <w:r>
              <w:rPr>
                <w:rFonts w:ascii="Arial" w:cs="Arial" w:eastAsia="Arial" w:hAnsi="Arial"/>
                <w:sz w:val="14"/>
                <w:szCs w:val="14"/>
                <w:color w:val="0E2A35"/>
              </w:rPr>
              <w:t>FOR</w:t>
            </w:r>
          </w:p>
        </w:tc>
        <w:tc>
          <w:tcPr>
            <w:tcW w:w="1120" w:type="dxa"/>
            <w:vAlign w:val="bottom"/>
          </w:tcPr>
          <w:p>
            <w:pPr>
              <w:ind w:left="360"/>
              <w:spacing w:after="0"/>
              <w:rPr>
                <w:sz w:val="20"/>
                <w:szCs w:val="20"/>
                <w:color w:val="auto"/>
              </w:rPr>
            </w:pPr>
            <w:r>
              <w:rPr>
                <w:rFonts w:ascii="Arial" w:cs="Arial" w:eastAsia="Arial" w:hAnsi="Arial"/>
                <w:sz w:val="14"/>
                <w:szCs w:val="14"/>
                <w:b w:val="1"/>
                <w:bCs w:val="1"/>
                <w:color w:val="0E2A35"/>
              </w:rPr>
              <w:t>FOR</w:t>
            </w:r>
          </w:p>
        </w:tc>
        <w:tc>
          <w:tcPr>
            <w:tcW w:w="1060" w:type="dxa"/>
            <w:vAlign w:val="bottom"/>
          </w:tcPr>
          <w:p>
            <w:pPr>
              <w:ind w:left="460"/>
              <w:spacing w:after="0"/>
              <w:rPr>
                <w:sz w:val="20"/>
                <w:szCs w:val="20"/>
                <w:color w:val="auto"/>
              </w:rPr>
            </w:pPr>
            <w:r>
              <w:rPr>
                <w:rFonts w:ascii="Arial" w:cs="Arial" w:eastAsia="Arial" w:hAnsi="Arial"/>
                <w:sz w:val="14"/>
                <w:szCs w:val="14"/>
                <w:color w:val="0E2A35"/>
              </w:rPr>
              <w:t>Yes</w:t>
            </w:r>
          </w:p>
        </w:tc>
        <w:tc>
          <w:tcPr>
            <w:tcW w:w="1100" w:type="dxa"/>
            <w:vAlign w:val="bottom"/>
          </w:tcPr>
          <w:p>
            <w:pPr>
              <w:ind w:left="340"/>
              <w:spacing w:after="0"/>
              <w:rPr>
                <w:sz w:val="20"/>
                <w:szCs w:val="20"/>
                <w:color w:val="auto"/>
              </w:rPr>
            </w:pPr>
            <w:r>
              <w:rPr>
                <w:rFonts w:ascii="Arial" w:cs="Arial" w:eastAsia="Arial" w:hAnsi="Arial"/>
                <w:sz w:val="14"/>
                <w:szCs w:val="14"/>
                <w:color w:val="0E2A35"/>
              </w:rPr>
              <w:t>Against</w:t>
            </w:r>
          </w:p>
        </w:tc>
        <w:tc>
          <w:tcPr>
            <w:tcW w:w="420" w:type="dxa"/>
            <w:vAlign w:val="bottom"/>
            <w:gridSpan w:val="2"/>
          </w:tcPr>
          <w:p>
            <w:pPr>
              <w:ind w:left="260"/>
              <w:spacing w:after="0"/>
              <w:rPr>
                <w:sz w:val="20"/>
                <w:szCs w:val="20"/>
                <w:color w:val="auto"/>
              </w:rPr>
            </w:pPr>
            <w:r>
              <w:rPr>
                <w:rFonts w:ascii="Arial" w:cs="Arial" w:eastAsia="Arial" w:hAnsi="Arial"/>
                <w:sz w:val="14"/>
                <w:szCs w:val="14"/>
                <w:color w:val="0000EE"/>
                <w:w w:val="89"/>
              </w:rPr>
              <w:t>85</w:t>
            </w:r>
            <w:r>
              <w:rPr>
                <w:rFonts w:ascii="Arial" w:cs="Arial" w:eastAsia="Arial" w:hAnsi="Arial"/>
                <w:sz w:val="14"/>
                <w:szCs w:val="14"/>
                <w:color w:val="0E2A35"/>
                <w:w w:val="89"/>
              </w:rPr>
              <w:t>​</w:t>
            </w:r>
          </w:p>
        </w:tc>
      </w:tr>
      <w:tr>
        <w:trPr>
          <w:trHeight w:val="155"/>
        </w:trPr>
        <w:tc>
          <w:tcPr>
            <w:tcW w:w="1260" w:type="dxa"/>
            <w:vAlign w:val="bottom"/>
          </w:tcPr>
          <w:p>
            <w:pPr>
              <w:jc w:val="center"/>
              <w:ind w:right="95"/>
              <w:spacing w:after="0" w:line="156" w:lineRule="exact"/>
              <w:rPr>
                <w:sz w:val="20"/>
                <w:szCs w:val="20"/>
                <w:color w:val="auto"/>
              </w:rPr>
            </w:pPr>
            <w:r>
              <w:rPr>
                <w:rFonts w:ascii="Arial" w:cs="Arial" w:eastAsia="Arial" w:hAnsi="Arial"/>
                <w:sz w:val="12"/>
                <w:szCs w:val="12"/>
                <w:color w:val="0E2A35"/>
              </w:rPr>
              <w:t>shares present</w:t>
            </w:r>
            <w:r>
              <w:rPr>
                <w:rFonts w:ascii="Arial" w:cs="Arial" w:eastAsia="Arial" w:hAnsi="Arial"/>
                <w:sz w:val="18"/>
                <w:szCs w:val="18"/>
                <w:color w:val="0E2A35"/>
                <w:vertAlign w:val="superscript"/>
              </w:rPr>
              <w:t>(6)</w:t>
            </w:r>
          </w:p>
        </w:tc>
        <w:tc>
          <w:tcPr>
            <w:tcW w:w="1180" w:type="dxa"/>
            <w:vAlign w:val="bottom"/>
          </w:tcPr>
          <w:p>
            <w:pPr>
              <w:jc w:val="center"/>
              <w:ind w:right="128"/>
              <w:spacing w:after="0" w:line="155" w:lineRule="exact"/>
              <w:rPr>
                <w:sz w:val="20"/>
                <w:szCs w:val="20"/>
                <w:color w:val="auto"/>
              </w:rPr>
            </w:pPr>
            <w:r>
              <w:rPr>
                <w:rFonts w:ascii="Arial" w:cs="Arial" w:eastAsia="Arial" w:hAnsi="Arial"/>
                <w:sz w:val="14"/>
                <w:szCs w:val="14"/>
                <w:color w:val="0E2A35"/>
              </w:rPr>
              <w:t>AGAINST</w:t>
            </w: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r>
      <w:tr>
        <w:trPr>
          <w:trHeight w:val="182"/>
        </w:trPr>
        <w:tc>
          <w:tcPr>
            <w:tcW w:w="1260" w:type="dxa"/>
            <w:vAlign w:val="bottom"/>
          </w:tcPr>
          <w:p>
            <w:pPr>
              <w:spacing w:after="0"/>
              <w:rPr>
                <w:sz w:val="15"/>
                <w:szCs w:val="15"/>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color w:val="0E2A35"/>
              </w:rPr>
              <w:t>ABSTAIN</w:t>
            </w: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-1828165</wp:posOffset>
            </wp:positionH>
            <wp:positionV relativeFrom="paragraph">
              <wp:posOffset>158750</wp:posOffset>
            </wp:positionV>
            <wp:extent cx="58978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-1828165</wp:posOffset>
            </wp:positionH>
            <wp:positionV relativeFrom="paragraph">
              <wp:posOffset>-398145</wp:posOffset>
            </wp:positionV>
            <wp:extent cx="58978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2540" w:space="340"/>
            <w:col w:w="6400"/>
          </w:cols>
          <w:pgMar w:left="1300" w:top="265" w:right="1319" w:bottom="1440" w:gutter="0" w:footer="0" w:header="0"/>
          <w:type w:val="continuous"/>
        </w:sectPr>
      </w:pPr>
    </w:p>
    <w:p>
      <w:pPr>
        <w:spacing w:after="0" w:line="1" w:lineRule="exact"/>
        <w:rPr>
          <w:sz w:val="20"/>
          <w:szCs w:val="20"/>
          <w:color w:val="auto"/>
        </w:rPr>
      </w:pPr>
    </w:p>
    <w:p>
      <w:pPr>
        <w:ind w:left="360" w:hanging="360"/>
        <w:spacing w:after="0"/>
        <w:tabs>
          <w:tab w:leader="none" w:pos="360" w:val="left"/>
        </w:tabs>
        <w:numPr>
          <w:ilvl w:val="0"/>
          <w:numId w:val="7"/>
        </w:numPr>
        <w:rPr>
          <w:rFonts w:ascii="Arial" w:cs="Arial" w:eastAsia="Arial" w:hAnsi="Arial"/>
          <w:sz w:val="13"/>
          <w:szCs w:val="13"/>
          <w:color w:val="0E2A35"/>
        </w:rPr>
      </w:pPr>
      <w:r>
        <w:rPr>
          <w:rFonts w:ascii="Arial" w:cs="Arial" w:eastAsia="Arial" w:hAnsi="Arial"/>
          <w:sz w:val="13"/>
          <w:szCs w:val="13"/>
          <w:color w:val="0E2A35"/>
        </w:rPr>
        <w:t>If you submit a proxy without giving specific voting instructions, your shares will be voted in accordance with the Board’s recommendations.</w:t>
      </w:r>
    </w:p>
    <w:p>
      <w:pPr>
        <w:spacing w:after="0" w:line="39" w:lineRule="exact"/>
        <w:rPr>
          <w:rFonts w:ascii="Arial" w:cs="Arial" w:eastAsia="Arial" w:hAnsi="Arial"/>
          <w:sz w:val="13"/>
          <w:szCs w:val="13"/>
          <w:color w:val="0E2A35"/>
        </w:rPr>
      </w:pPr>
    </w:p>
    <w:p>
      <w:pPr>
        <w:ind w:left="360" w:hanging="360"/>
        <w:spacing w:after="0" w:line="226" w:lineRule="auto"/>
        <w:tabs>
          <w:tab w:leader="none" w:pos="360" w:val="left"/>
        </w:tabs>
        <w:numPr>
          <w:ilvl w:val="0"/>
          <w:numId w:val="7"/>
        </w:numPr>
        <w:rPr>
          <w:rFonts w:ascii="Arial" w:cs="Arial" w:eastAsia="Arial" w:hAnsi="Arial"/>
          <w:sz w:val="13"/>
          <w:szCs w:val="13"/>
          <w:color w:val="0E2A35"/>
        </w:rPr>
      </w:pPr>
      <w:r>
        <w:rPr>
          <w:rFonts w:ascii="Arial" w:cs="Arial" w:eastAsia="Arial" w:hAnsi="Arial"/>
          <w:sz w:val="13"/>
          <w:szCs w:val="13"/>
          <w:color w:val="0E2A35"/>
        </w:rPr>
        <w:t>If broker discretionary voting is not allowed, your broker will not be able to vote your shares on these matters unless your broker receives voting instructions from you. A broker non-vote will have no effect on the outcome of the voting on any of the proposals; provided, that a broker non-vote will have the effect of a vote “AGAINST” Proposal 4 or 5 if a majority of the voting power of the minimum number of shares entitled to vote that would constitute a quorum at the meeting is required in order to approve the item.</w:t>
      </w:r>
    </w:p>
    <w:p>
      <w:pPr>
        <w:spacing w:after="0" w:line="30" w:lineRule="exact"/>
        <w:rPr>
          <w:rFonts w:ascii="Arial" w:cs="Arial" w:eastAsia="Arial" w:hAnsi="Arial"/>
          <w:sz w:val="13"/>
          <w:szCs w:val="13"/>
          <w:color w:val="0E2A35"/>
        </w:rPr>
      </w:pPr>
    </w:p>
    <w:p>
      <w:pPr>
        <w:ind w:left="360" w:right="20" w:hanging="360"/>
        <w:spacing w:after="0" w:line="226" w:lineRule="auto"/>
        <w:tabs>
          <w:tab w:leader="none" w:pos="360" w:val="left"/>
        </w:tabs>
        <w:numPr>
          <w:ilvl w:val="0"/>
          <w:numId w:val="7"/>
        </w:numPr>
        <w:rPr>
          <w:rFonts w:ascii="Arial" w:cs="Arial" w:eastAsia="Arial" w:hAnsi="Arial"/>
          <w:sz w:val="13"/>
          <w:szCs w:val="13"/>
          <w:color w:val="0E2A35"/>
        </w:rPr>
      </w:pPr>
      <w:r>
        <w:rPr>
          <w:rFonts w:ascii="Arial" w:cs="Arial" w:eastAsia="Arial" w:hAnsi="Arial"/>
          <w:sz w:val="13"/>
          <w:szCs w:val="13"/>
          <w:color w:val="0E2A35"/>
        </w:rPr>
        <w:t>Our Board has adopted a majority voting policy for the election of directors in uncontested elections. Under this policy, in any uncontested election of directors of the Company, if any nominee receives less than a majority of the votes cast for the nominee, that nominee will still be elected, but must tender his or her resignation to the Board for consideration at the next regularly scheduled meeting of the Board. The Board will only not accept the tendered resignation for, in its judgment, a compelling reason.</w:t>
      </w:r>
    </w:p>
    <w:p>
      <w:pPr>
        <w:spacing w:after="0" w:line="30" w:lineRule="exact"/>
        <w:rPr>
          <w:rFonts w:ascii="Arial" w:cs="Arial" w:eastAsia="Arial" w:hAnsi="Arial"/>
          <w:sz w:val="13"/>
          <w:szCs w:val="13"/>
          <w:color w:val="0E2A35"/>
        </w:rPr>
      </w:pPr>
    </w:p>
    <w:p>
      <w:pPr>
        <w:ind w:left="360" w:right="140" w:hanging="360"/>
        <w:spacing w:after="0" w:line="230" w:lineRule="auto"/>
        <w:tabs>
          <w:tab w:leader="none" w:pos="360" w:val="left"/>
        </w:tabs>
        <w:numPr>
          <w:ilvl w:val="0"/>
          <w:numId w:val="7"/>
        </w:numPr>
        <w:rPr>
          <w:rFonts w:ascii="Arial" w:cs="Arial" w:eastAsia="Arial" w:hAnsi="Arial"/>
          <w:sz w:val="13"/>
          <w:szCs w:val="13"/>
          <w:color w:val="0E2A35"/>
        </w:rPr>
      </w:pPr>
      <w:r>
        <w:rPr>
          <w:rFonts w:ascii="Arial" w:cs="Arial" w:eastAsia="Arial" w:hAnsi="Arial"/>
          <w:sz w:val="13"/>
          <w:szCs w:val="13"/>
          <w:color w:val="0E2A35"/>
        </w:rPr>
        <w:t>The vote of shareholders on this proposal is not binding, but rather is advisory in nature; however, the Board intends to carefully consider the result of the vote on this proposal. The Board will consider shareholders to have approved our executive compensation if more shares are voted “FOR” than “AGAINST” this proposal.</w:t>
      </w:r>
    </w:p>
    <w:p>
      <w:pPr>
        <w:spacing w:after="0" w:line="29" w:lineRule="exact"/>
        <w:rPr>
          <w:rFonts w:ascii="Arial" w:cs="Arial" w:eastAsia="Arial" w:hAnsi="Arial"/>
          <w:sz w:val="13"/>
          <w:szCs w:val="13"/>
          <w:color w:val="0E2A35"/>
        </w:rPr>
      </w:pPr>
    </w:p>
    <w:p>
      <w:pPr>
        <w:ind w:left="360" w:hanging="360"/>
        <w:spacing w:after="0" w:line="230" w:lineRule="auto"/>
        <w:tabs>
          <w:tab w:leader="none" w:pos="360" w:val="left"/>
        </w:tabs>
        <w:numPr>
          <w:ilvl w:val="0"/>
          <w:numId w:val="7"/>
        </w:numPr>
        <w:rPr>
          <w:rFonts w:ascii="Arial" w:cs="Arial" w:eastAsia="Arial" w:hAnsi="Arial"/>
          <w:sz w:val="13"/>
          <w:szCs w:val="13"/>
          <w:color w:val="0E2A35"/>
        </w:rPr>
      </w:pPr>
      <w:r>
        <w:rPr>
          <w:rFonts w:ascii="Arial" w:cs="Arial" w:eastAsia="Arial" w:hAnsi="Arial"/>
          <w:sz w:val="13"/>
          <w:szCs w:val="13"/>
          <w:color w:val="0E2A35"/>
        </w:rPr>
        <w:t>The vote of shareholders on this proposal is not binding, but rather is advisory in nature; however, the Board intends to carefully consider the result of the vote on this proposal. The Board will consider the frequency that receives the highest number of votes to be the non-binding choice of the shareholders with regard to this proposal.</w:t>
      </w:r>
    </w:p>
    <w:p>
      <w:pPr>
        <w:spacing w:after="0" w:line="29" w:lineRule="exact"/>
        <w:rPr>
          <w:rFonts w:ascii="Arial" w:cs="Arial" w:eastAsia="Arial" w:hAnsi="Arial"/>
          <w:sz w:val="13"/>
          <w:szCs w:val="13"/>
          <w:color w:val="0E2A35"/>
        </w:rPr>
      </w:pPr>
    </w:p>
    <w:p>
      <w:pPr>
        <w:ind w:left="360" w:right="120" w:hanging="360"/>
        <w:spacing w:after="0" w:line="273" w:lineRule="auto"/>
        <w:tabs>
          <w:tab w:leader="none" w:pos="360" w:val="left"/>
        </w:tabs>
        <w:numPr>
          <w:ilvl w:val="0"/>
          <w:numId w:val="7"/>
        </w:numPr>
        <w:rPr>
          <w:rFonts w:ascii="Arial" w:cs="Arial" w:eastAsia="Arial" w:hAnsi="Arial"/>
          <w:sz w:val="12"/>
          <w:szCs w:val="12"/>
          <w:color w:val="0E2A35"/>
        </w:rPr>
      </w:pPr>
      <w:r>
        <w:rPr>
          <w:rFonts w:ascii="Arial" w:cs="Arial" w:eastAsia="Arial" w:hAnsi="Arial"/>
          <w:sz w:val="12"/>
          <w:szCs w:val="12"/>
          <w:color w:val="0E2A35"/>
        </w:rPr>
        <w:t>Assuming that the number of shares voted in favor of this proposal constitute more than 25% of the outstanding shares of our common stock, this proposal will be approved if a majority of the shares present in person (i.e., virtually) or by proxy and entitled to vote on this proposal vote “FOR” this proposal.</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Director Nominees and Continuing Directors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8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880" w:type="dxa"/>
            <w:vAlign w:val="bottom"/>
            <w:vMerge w:val="restart"/>
            <w:shd w:val="clear" w:color="auto" w:fill="0E2A35"/>
          </w:tcPr>
          <w:p>
            <w:pPr>
              <w:jc w:val="center"/>
              <w:ind w:left="289"/>
              <w:spacing w:after="0"/>
              <w:rPr>
                <w:sz w:val="20"/>
                <w:szCs w:val="20"/>
                <w:color w:val="auto"/>
              </w:rPr>
            </w:pPr>
            <w:r>
              <w:rPr>
                <w:rFonts w:ascii="Arial" w:cs="Arial" w:eastAsia="Arial" w:hAnsi="Arial"/>
                <w:sz w:val="13"/>
                <w:szCs w:val="13"/>
                <w:b w:val="1"/>
                <w:bCs w:val="1"/>
                <w:color w:val="FFFFFF"/>
                <w:w w:val="97"/>
              </w:rPr>
              <w:t>Age​</w:t>
            </w:r>
          </w:p>
        </w:tc>
        <w:tc>
          <w:tcPr>
            <w:tcW w:w="660" w:type="dxa"/>
            <w:vAlign w:val="bottom"/>
            <w:vMerge w:val="restart"/>
            <w:shd w:val="clear" w:color="auto" w:fill="0E2A35"/>
          </w:tcPr>
          <w:p>
            <w:pPr>
              <w:ind w:left="160"/>
              <w:spacing w:after="0"/>
              <w:rPr>
                <w:sz w:val="20"/>
                <w:szCs w:val="20"/>
                <w:color w:val="auto"/>
              </w:rPr>
            </w:pPr>
            <w:r>
              <w:rPr>
                <w:rFonts w:ascii="Arial" w:cs="Arial" w:eastAsia="Arial" w:hAnsi="Arial"/>
                <w:sz w:val="13"/>
                <w:szCs w:val="13"/>
                <w:b w:val="1"/>
                <w:bCs w:val="1"/>
                <w:color w:val="FFFFFF"/>
                <w:w w:val="96"/>
              </w:rPr>
              <w:t>Director​</w:t>
            </w:r>
          </w:p>
        </w:tc>
        <w:tc>
          <w:tcPr>
            <w:tcW w:w="540" w:type="dxa"/>
            <w:vAlign w:val="bottom"/>
            <w:vMerge w:val="restart"/>
            <w:shd w:val="clear" w:color="auto" w:fill="0E2A35"/>
          </w:tcPr>
          <w:p>
            <w:pPr>
              <w:ind w:left="20"/>
              <w:spacing w:after="0"/>
              <w:rPr>
                <w:sz w:val="20"/>
                <w:szCs w:val="20"/>
                <w:color w:val="auto"/>
              </w:rPr>
            </w:pPr>
            <w:r>
              <w:rPr>
                <w:rFonts w:ascii="Arial" w:cs="Arial" w:eastAsia="Arial" w:hAnsi="Arial"/>
                <w:sz w:val="13"/>
                <w:szCs w:val="13"/>
                <w:b w:val="1"/>
                <w:bCs w:val="1"/>
                <w:color w:val="FFFFFF"/>
              </w:rPr>
              <w:t>since</w:t>
            </w:r>
          </w:p>
        </w:tc>
        <w:tc>
          <w:tcPr>
            <w:tcW w:w="1040" w:type="dxa"/>
            <w:vAlign w:val="bottom"/>
            <w:shd w:val="clear" w:color="auto" w:fill="0E2A35"/>
          </w:tcPr>
          <w:p>
            <w:pPr>
              <w:ind w:left="580"/>
              <w:spacing w:after="0"/>
              <w:rPr>
                <w:sz w:val="20"/>
                <w:szCs w:val="20"/>
                <w:color w:val="auto"/>
              </w:rPr>
            </w:pPr>
            <w:r>
              <w:rPr>
                <w:rFonts w:ascii="Arial" w:cs="Arial" w:eastAsia="Arial" w:hAnsi="Arial"/>
                <w:sz w:val="13"/>
                <w:szCs w:val="13"/>
                <w:b w:val="1"/>
                <w:bCs w:val="1"/>
                <w:color w:val="FFFFFF"/>
                <w:w w:val="93"/>
              </w:rPr>
              <w:t>Current​</w:t>
            </w:r>
          </w:p>
        </w:tc>
        <w:tc>
          <w:tcPr>
            <w:tcW w:w="1080" w:type="dxa"/>
            <w:vAlign w:val="bottom"/>
            <w:shd w:val="clear" w:color="auto" w:fill="0E2A35"/>
          </w:tcPr>
          <w:p>
            <w:pPr>
              <w:ind w:left="20"/>
              <w:spacing w:after="0"/>
              <w:rPr>
                <w:sz w:val="20"/>
                <w:szCs w:val="20"/>
                <w:color w:val="auto"/>
              </w:rPr>
            </w:pPr>
            <w:r>
              <w:rPr>
                <w:rFonts w:ascii="Arial" w:cs="Arial" w:eastAsia="Arial" w:hAnsi="Arial"/>
                <w:sz w:val="13"/>
                <w:szCs w:val="13"/>
                <w:b w:val="1"/>
                <w:bCs w:val="1"/>
                <w:color w:val="FFFFFF"/>
              </w:rPr>
              <w:t>or most</w:t>
            </w:r>
          </w:p>
        </w:tc>
        <w:tc>
          <w:tcPr>
            <w:tcW w:w="2120" w:type="dxa"/>
            <w:vAlign w:val="bottom"/>
            <w:gridSpan w:val="2"/>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Title​</w:t>
            </w:r>
          </w:p>
        </w:tc>
        <w:tc>
          <w:tcPr>
            <w:tcW w:w="980" w:type="dxa"/>
            <w:vAlign w:val="bottom"/>
            <w:vMerge w:val="restart"/>
            <w:shd w:val="clear" w:color="auto" w:fill="0E2A35"/>
          </w:tcPr>
          <w:p>
            <w:pPr>
              <w:jc w:val="center"/>
              <w:ind w:left="29"/>
              <w:spacing w:after="0"/>
              <w:rPr>
                <w:sz w:val="20"/>
                <w:szCs w:val="20"/>
                <w:color w:val="auto"/>
              </w:rPr>
            </w:pPr>
            <w:r>
              <w:rPr>
                <w:rFonts w:ascii="Arial" w:cs="Arial" w:eastAsia="Arial" w:hAnsi="Arial"/>
                <w:sz w:val="13"/>
                <w:szCs w:val="13"/>
                <w:b w:val="1"/>
                <w:bCs w:val="1"/>
                <w:color w:val="FFFFFF"/>
                <w:w w:val="98"/>
              </w:rPr>
              <w:t>Independent</w:t>
            </w:r>
          </w:p>
        </w:tc>
        <w:tc>
          <w:tcPr>
            <w:tcW w:w="0" w:type="dxa"/>
            <w:vAlign w:val="bottom"/>
          </w:tcPr>
          <w:p>
            <w:pPr>
              <w:spacing w:after="0"/>
              <w:rPr>
                <w:sz w:val="1"/>
                <w:szCs w:val="1"/>
                <w:color w:val="auto"/>
              </w:rPr>
            </w:pPr>
          </w:p>
        </w:tc>
      </w:tr>
      <w:tr>
        <w:trPr>
          <w:trHeight w:val="176"/>
        </w:trPr>
        <w:tc>
          <w:tcPr>
            <w:tcW w:w="1980" w:type="dxa"/>
            <w:vAlign w:val="bottom"/>
            <w:vMerge w:val="continue"/>
            <w:shd w:val="clear" w:color="auto" w:fill="0E2A35"/>
          </w:tcPr>
          <w:p>
            <w:pPr>
              <w:spacing w:after="0"/>
              <w:rPr>
                <w:sz w:val="15"/>
                <w:szCs w:val="15"/>
                <w:color w:val="auto"/>
              </w:rPr>
            </w:pPr>
          </w:p>
        </w:tc>
        <w:tc>
          <w:tcPr>
            <w:tcW w:w="880" w:type="dxa"/>
            <w:vAlign w:val="bottom"/>
            <w:vMerge w:val="continue"/>
            <w:shd w:val="clear" w:color="auto" w:fill="0E2A35"/>
          </w:tcPr>
          <w:p>
            <w:pPr>
              <w:spacing w:after="0"/>
              <w:rPr>
                <w:sz w:val="15"/>
                <w:szCs w:val="15"/>
                <w:color w:val="auto"/>
              </w:rPr>
            </w:pPr>
          </w:p>
        </w:tc>
        <w:tc>
          <w:tcPr>
            <w:tcW w:w="660" w:type="dxa"/>
            <w:vAlign w:val="bottom"/>
            <w:vMerge w:val="continue"/>
            <w:shd w:val="clear" w:color="auto" w:fill="0E2A35"/>
          </w:tcPr>
          <w:p>
            <w:pPr>
              <w:spacing w:after="0"/>
              <w:rPr>
                <w:sz w:val="15"/>
                <w:szCs w:val="15"/>
                <w:color w:val="auto"/>
              </w:rPr>
            </w:pPr>
          </w:p>
        </w:tc>
        <w:tc>
          <w:tcPr>
            <w:tcW w:w="540" w:type="dxa"/>
            <w:vAlign w:val="bottom"/>
            <w:vMerge w:val="continue"/>
            <w:shd w:val="clear" w:color="auto" w:fill="0E2A35"/>
          </w:tcPr>
          <w:p>
            <w:pPr>
              <w:spacing w:after="0"/>
              <w:rPr>
                <w:sz w:val="15"/>
                <w:szCs w:val="15"/>
                <w:color w:val="auto"/>
              </w:rPr>
            </w:pPr>
          </w:p>
        </w:tc>
        <w:tc>
          <w:tcPr>
            <w:tcW w:w="212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recent company</w:t>
            </w:r>
          </w:p>
        </w:tc>
        <w:tc>
          <w:tcPr>
            <w:tcW w:w="2120" w:type="dxa"/>
            <w:vAlign w:val="bottom"/>
            <w:gridSpan w:val="2"/>
            <w:vMerge w:val="continue"/>
            <w:shd w:val="clear" w:color="auto" w:fill="0E2A35"/>
          </w:tcPr>
          <w:p>
            <w:pPr>
              <w:spacing w:after="0"/>
              <w:rPr>
                <w:sz w:val="15"/>
                <w:szCs w:val="15"/>
                <w:color w:val="auto"/>
              </w:rPr>
            </w:pPr>
          </w:p>
        </w:tc>
        <w:tc>
          <w:tcPr>
            <w:tcW w:w="980" w:type="dxa"/>
            <w:vAlign w:val="bottom"/>
            <w:vMerge w:val="continue"/>
            <w:shd w:val="clear" w:color="auto" w:fill="0E2A35"/>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980" w:type="dxa"/>
            <w:vAlign w:val="bottom"/>
            <w:shd w:val="clear" w:color="auto" w:fill="0E2A35"/>
          </w:tcPr>
          <w:p>
            <w:pPr>
              <w:spacing w:after="0"/>
              <w:rPr>
                <w:sz w:val="7"/>
                <w:szCs w:val="7"/>
                <w:color w:val="auto"/>
              </w:rPr>
            </w:pPr>
          </w:p>
        </w:tc>
        <w:tc>
          <w:tcPr>
            <w:tcW w:w="880" w:type="dxa"/>
            <w:vAlign w:val="bottom"/>
            <w:shd w:val="clear" w:color="auto" w:fill="0E2A35"/>
          </w:tcPr>
          <w:p>
            <w:pPr>
              <w:spacing w:after="0"/>
              <w:rPr>
                <w:sz w:val="7"/>
                <w:szCs w:val="7"/>
                <w:color w:val="auto"/>
              </w:rPr>
            </w:pPr>
          </w:p>
        </w:tc>
        <w:tc>
          <w:tcPr>
            <w:tcW w:w="1200" w:type="dxa"/>
            <w:vAlign w:val="bottom"/>
            <w:gridSpan w:val="2"/>
            <w:shd w:val="clear" w:color="auto" w:fill="0E2A35"/>
          </w:tcPr>
          <w:p>
            <w:pPr>
              <w:spacing w:after="0"/>
              <w:rPr>
                <w:sz w:val="7"/>
                <w:szCs w:val="7"/>
                <w:color w:val="auto"/>
              </w:rPr>
            </w:pPr>
          </w:p>
        </w:tc>
        <w:tc>
          <w:tcPr>
            <w:tcW w:w="2120" w:type="dxa"/>
            <w:vAlign w:val="bottom"/>
            <w:gridSpan w:val="2"/>
            <w:shd w:val="clear" w:color="auto" w:fill="0E2A35"/>
          </w:tcPr>
          <w:p>
            <w:pPr>
              <w:spacing w:after="0"/>
              <w:rPr>
                <w:sz w:val="7"/>
                <w:szCs w:val="7"/>
                <w:color w:val="auto"/>
              </w:rPr>
            </w:pPr>
          </w:p>
        </w:tc>
        <w:tc>
          <w:tcPr>
            <w:tcW w:w="1080" w:type="dxa"/>
            <w:vAlign w:val="bottom"/>
            <w:shd w:val="clear" w:color="auto" w:fill="0E2A35"/>
          </w:tcPr>
          <w:p>
            <w:pPr>
              <w:spacing w:after="0"/>
              <w:rPr>
                <w:sz w:val="7"/>
                <w:szCs w:val="7"/>
                <w:color w:val="auto"/>
              </w:rPr>
            </w:pPr>
          </w:p>
        </w:tc>
        <w:tc>
          <w:tcPr>
            <w:tcW w:w="1040" w:type="dxa"/>
            <w:vAlign w:val="bottom"/>
            <w:shd w:val="clear" w:color="auto" w:fill="0E2A35"/>
          </w:tcPr>
          <w:p>
            <w:pPr>
              <w:spacing w:after="0"/>
              <w:rPr>
                <w:sz w:val="7"/>
                <w:szCs w:val="7"/>
                <w:color w:val="auto"/>
              </w:rPr>
            </w:pPr>
          </w:p>
        </w:tc>
        <w:tc>
          <w:tcPr>
            <w:tcW w:w="98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1980" w:type="dxa"/>
            <w:vAlign w:val="bottom"/>
          </w:tcPr>
          <w:p>
            <w:pPr>
              <w:ind w:left="60"/>
              <w:spacing w:after="0"/>
              <w:rPr>
                <w:sz w:val="20"/>
                <w:szCs w:val="20"/>
                <w:color w:val="auto"/>
              </w:rPr>
            </w:pPr>
            <w:r>
              <w:rPr>
                <w:rFonts w:ascii="Arial" w:cs="Arial" w:eastAsia="Arial" w:hAnsi="Arial"/>
                <w:sz w:val="14"/>
                <w:szCs w:val="14"/>
                <w:color w:val="0E2A35"/>
              </w:rPr>
              <w:t>Sara E. Armbruster</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52</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2019​</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Steelcase Inc.</w:t>
            </w:r>
          </w:p>
        </w:tc>
        <w:tc>
          <w:tcPr>
            <w:tcW w:w="1080" w:type="dxa"/>
            <w:vAlign w:val="bottom"/>
          </w:tcPr>
          <w:p>
            <w:pPr>
              <w:ind w:left="440"/>
              <w:spacing w:after="0"/>
              <w:rPr>
                <w:sz w:val="20"/>
                <w:szCs w:val="20"/>
                <w:color w:val="auto"/>
              </w:rPr>
            </w:pPr>
            <w:r>
              <w:rPr>
                <w:rFonts w:ascii="Arial" w:cs="Arial" w:eastAsia="Arial" w:hAnsi="Arial"/>
                <w:sz w:val="14"/>
                <w:szCs w:val="14"/>
                <w:color w:val="0E2A35"/>
              </w:rPr>
              <w:t>President​</w:t>
            </w:r>
          </w:p>
        </w:tc>
        <w:tc>
          <w:tcPr>
            <w:tcW w:w="1040" w:type="dxa"/>
            <w:vAlign w:val="bottom"/>
          </w:tcPr>
          <w:p>
            <w:pPr>
              <w:ind w:left="20"/>
              <w:spacing w:after="0"/>
              <w:rPr>
                <w:sz w:val="20"/>
                <w:szCs w:val="20"/>
                <w:color w:val="auto"/>
              </w:rPr>
            </w:pPr>
            <w:r>
              <w:rPr>
                <w:rFonts w:ascii="Arial" w:cs="Arial" w:eastAsia="Arial" w:hAnsi="Arial"/>
                <w:sz w:val="14"/>
                <w:szCs w:val="14"/>
                <w:color w:val="0E2A35"/>
              </w:rPr>
              <w:t>and Chief</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Executive Officer</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980" w:type="dxa"/>
            <w:vAlign w:val="bottom"/>
          </w:tcPr>
          <w:p>
            <w:pPr>
              <w:ind w:left="60"/>
              <w:spacing w:after="0"/>
              <w:rPr>
                <w:sz w:val="20"/>
                <w:szCs w:val="20"/>
                <w:color w:val="auto"/>
              </w:rPr>
            </w:pPr>
            <w:r>
              <w:rPr>
                <w:rFonts w:ascii="Arial" w:cs="Arial" w:eastAsia="Arial" w:hAnsi="Arial"/>
                <w:sz w:val="14"/>
                <w:szCs w:val="14"/>
                <w:color w:val="0E2A35"/>
              </w:rPr>
              <w:t>Christopher J. Braun</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63</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2015</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Teton Buildings, LLC</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Former Chief Executive</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Officer</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980" w:type="dxa"/>
            <w:vAlign w:val="bottom"/>
          </w:tcPr>
          <w:p>
            <w:pPr>
              <w:ind w:left="60"/>
              <w:spacing w:after="0"/>
              <w:rPr>
                <w:sz w:val="20"/>
                <w:szCs w:val="20"/>
                <w:color w:val="auto"/>
              </w:rPr>
            </w:pPr>
            <w:r>
              <w:rPr>
                <w:rFonts w:ascii="Arial" w:cs="Arial" w:eastAsia="Arial" w:hAnsi="Arial"/>
                <w:sz w:val="14"/>
                <w:szCs w:val="14"/>
                <w:color w:val="0E2A35"/>
              </w:rPr>
              <w:t>Kevin E. Bryant</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48</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2021</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Evergy, Inc.</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Executive Vice President</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and Chief Operating Officer</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980" w:type="dxa"/>
            <w:vAlign w:val="bottom"/>
          </w:tcPr>
          <w:p>
            <w:pPr>
              <w:ind w:left="60"/>
              <w:spacing w:after="0"/>
              <w:rPr>
                <w:sz w:val="20"/>
                <w:szCs w:val="20"/>
                <w:color w:val="auto"/>
              </w:rPr>
            </w:pPr>
            <w:r>
              <w:rPr>
                <w:rFonts w:ascii="Arial" w:cs="Arial" w:eastAsia="Arial" w:hAnsi="Arial"/>
                <w:sz w:val="14"/>
                <w:szCs w:val="14"/>
                <w:color w:val="0E2A35"/>
              </w:rPr>
              <w:t>William C. Fisher</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69</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2015</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Polaris, Inc.</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Former Chief Information</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Officer</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980" w:type="dxa"/>
            <w:vAlign w:val="bottom"/>
          </w:tcPr>
          <w:p>
            <w:pPr>
              <w:ind w:left="60"/>
              <w:spacing w:after="0"/>
              <w:rPr>
                <w:sz w:val="20"/>
                <w:szCs w:val="20"/>
                <w:color w:val="auto"/>
              </w:rPr>
            </w:pPr>
            <w:r>
              <w:rPr>
                <w:rFonts w:ascii="Arial" w:cs="Arial" w:eastAsia="Arial" w:hAnsi="Arial"/>
                <w:sz w:val="14"/>
                <w:szCs w:val="14"/>
                <w:color w:val="0E2A35"/>
              </w:rPr>
              <w:t>Michael J. Happe</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52</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2016</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Winnebago Industries, Inc.</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President and Chief</w:t>
            </w:r>
          </w:p>
        </w:tc>
        <w:tc>
          <w:tcPr>
            <w:tcW w:w="980" w:type="dxa"/>
            <w:vAlign w:val="bottom"/>
          </w:tcPr>
          <w:p>
            <w:pPr>
              <w:jc w:val="center"/>
              <w:ind w:left="49"/>
              <w:spacing w:after="0"/>
              <w:rPr>
                <w:sz w:val="20"/>
                <w:szCs w:val="20"/>
                <w:color w:val="auto"/>
              </w:rPr>
            </w:pPr>
            <w:r>
              <w:rPr>
                <w:rFonts w:ascii="Arial" w:cs="Arial" w:eastAsia="Arial" w:hAnsi="Arial"/>
                <w:sz w:val="14"/>
                <w:szCs w:val="14"/>
                <w:color w:val="0E2A35"/>
              </w:rPr>
              <w:t>No</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Executive Officer</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980" w:type="dxa"/>
            <w:vAlign w:val="bottom"/>
          </w:tcPr>
          <w:p>
            <w:pPr>
              <w:ind w:left="60"/>
              <w:spacing w:after="0"/>
              <w:rPr>
                <w:sz w:val="20"/>
                <w:szCs w:val="20"/>
                <w:color w:val="auto"/>
              </w:rPr>
            </w:pPr>
            <w:r>
              <w:rPr>
                <w:rFonts w:ascii="Arial" w:cs="Arial" w:eastAsia="Arial" w:hAnsi="Arial"/>
                <w:sz w:val="14"/>
                <w:szCs w:val="14"/>
                <w:color w:val="0E2A35"/>
              </w:rPr>
              <w:t>Staci L. Kroon</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50</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2023</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BraunAbility</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President and Chief</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Executive Officer</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980" w:type="dxa"/>
            <w:vAlign w:val="bottom"/>
          </w:tcPr>
          <w:p>
            <w:pPr>
              <w:ind w:left="60"/>
              <w:spacing w:after="0"/>
              <w:rPr>
                <w:sz w:val="20"/>
                <w:szCs w:val="20"/>
                <w:color w:val="auto"/>
              </w:rPr>
            </w:pPr>
            <w:r>
              <w:rPr>
                <w:rFonts w:ascii="Arial" w:cs="Arial" w:eastAsia="Arial" w:hAnsi="Arial"/>
                <w:sz w:val="14"/>
                <w:szCs w:val="14"/>
                <w:color w:val="0E2A35"/>
              </w:rPr>
              <w:t>David W. Miles (Chair)</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66</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2015</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ManchesterStory Group</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Co-Founder and Managing</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Principal</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980" w:type="dxa"/>
            <w:vAlign w:val="bottom"/>
          </w:tcPr>
          <w:p>
            <w:pPr>
              <w:ind w:left="60"/>
              <w:spacing w:after="0"/>
              <w:rPr>
                <w:sz w:val="20"/>
                <w:szCs w:val="20"/>
                <w:color w:val="auto"/>
              </w:rPr>
            </w:pPr>
            <w:r>
              <w:rPr>
                <w:rFonts w:ascii="Arial" w:cs="Arial" w:eastAsia="Arial" w:hAnsi="Arial"/>
                <w:sz w:val="14"/>
                <w:szCs w:val="14"/>
                <w:color w:val="0E2A35"/>
              </w:rPr>
              <w:t>Richard D. Moss</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65</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2017</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Hanesbrands, Inc.</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Former Chief Financial</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Officer</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1980" w:type="dxa"/>
            <w:vAlign w:val="bottom"/>
          </w:tcPr>
          <w:p>
            <w:pPr>
              <w:ind w:left="60"/>
              <w:spacing w:after="0"/>
              <w:rPr>
                <w:sz w:val="20"/>
                <w:szCs w:val="20"/>
                <w:color w:val="auto"/>
              </w:rPr>
            </w:pPr>
            <w:r>
              <w:rPr>
                <w:rFonts w:ascii="Arial" w:cs="Arial" w:eastAsia="Arial" w:hAnsi="Arial"/>
                <w:sz w:val="14"/>
                <w:szCs w:val="14"/>
                <w:color w:val="0E2A35"/>
              </w:rPr>
              <w:t>John M. Murabito</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64</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2017</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Cigna Corporation</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Former Executive Vice</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President and Chief</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Administrative Officer</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tcPr>
          <w:p>
            <w:pPr>
              <w:spacing w:after="0"/>
              <w:rPr>
                <w:sz w:val="8"/>
                <w:szCs w:val="8"/>
                <w:color w:val="auto"/>
              </w:rPr>
            </w:pPr>
          </w:p>
        </w:tc>
        <w:tc>
          <w:tcPr>
            <w:tcW w:w="120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2120" w:type="dxa"/>
            <w:vAlign w:val="bottom"/>
            <w:tcBorders>
              <w:bottom w:val="single" w:sz="8" w:color="0E2A35"/>
            </w:tcBorders>
            <w:gridSpan w:val="2"/>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980" w:type="dxa"/>
            <w:vAlign w:val="bottom"/>
          </w:tcPr>
          <w:p>
            <w:pPr>
              <w:ind w:left="60"/>
              <w:spacing w:after="0"/>
              <w:rPr>
                <w:sz w:val="20"/>
                <w:szCs w:val="20"/>
                <w:color w:val="auto"/>
              </w:rPr>
            </w:pPr>
            <w:r>
              <w:rPr>
                <w:rFonts w:ascii="Arial" w:cs="Arial" w:eastAsia="Arial" w:hAnsi="Arial"/>
                <w:sz w:val="14"/>
                <w:szCs w:val="14"/>
                <w:color w:val="0E2A35"/>
              </w:rPr>
              <w:t>Jacqueline D. Woods</w:t>
            </w:r>
          </w:p>
        </w:tc>
        <w:tc>
          <w:tcPr>
            <w:tcW w:w="880" w:type="dxa"/>
            <w:vAlign w:val="bottom"/>
          </w:tcPr>
          <w:p>
            <w:pPr>
              <w:jc w:val="center"/>
              <w:ind w:left="289"/>
              <w:spacing w:after="0"/>
              <w:rPr>
                <w:sz w:val="20"/>
                <w:szCs w:val="20"/>
                <w:color w:val="auto"/>
              </w:rPr>
            </w:pPr>
            <w:r>
              <w:rPr>
                <w:rFonts w:ascii="Arial" w:cs="Arial" w:eastAsia="Arial" w:hAnsi="Arial"/>
                <w:sz w:val="14"/>
                <w:szCs w:val="14"/>
                <w:color w:val="0E2A35"/>
              </w:rPr>
              <w:t>61</w:t>
            </w:r>
          </w:p>
        </w:tc>
        <w:tc>
          <w:tcPr>
            <w:tcW w:w="1200" w:type="dxa"/>
            <w:vAlign w:val="bottom"/>
            <w:gridSpan w:val="2"/>
          </w:tcPr>
          <w:p>
            <w:pPr>
              <w:ind w:left="420"/>
              <w:spacing w:after="0"/>
              <w:rPr>
                <w:sz w:val="20"/>
                <w:szCs w:val="20"/>
                <w:color w:val="auto"/>
              </w:rPr>
            </w:pPr>
            <w:r>
              <w:rPr>
                <w:rFonts w:ascii="Arial" w:cs="Arial" w:eastAsia="Arial" w:hAnsi="Arial"/>
                <w:sz w:val="14"/>
                <w:szCs w:val="14"/>
                <w:color w:val="0E2A35"/>
              </w:rPr>
              <w:t>2021</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Teradata Corporation</w:t>
            </w:r>
          </w:p>
        </w:tc>
        <w:tc>
          <w:tcPr>
            <w:tcW w:w="2120" w:type="dxa"/>
            <w:vAlign w:val="bottom"/>
            <w:gridSpan w:val="2"/>
          </w:tcPr>
          <w:p>
            <w:pPr>
              <w:jc w:val="center"/>
              <w:spacing w:after="0"/>
              <w:rPr>
                <w:sz w:val="20"/>
                <w:szCs w:val="20"/>
                <w:color w:val="auto"/>
              </w:rPr>
            </w:pPr>
            <w:r>
              <w:rPr>
                <w:rFonts w:ascii="Arial" w:cs="Arial" w:eastAsia="Arial" w:hAnsi="Arial"/>
                <w:sz w:val="14"/>
                <w:szCs w:val="14"/>
                <w:color w:val="0E2A35"/>
              </w:rPr>
              <w:t>Chief Marketing Officer</w:t>
            </w:r>
          </w:p>
        </w:tc>
        <w:tc>
          <w:tcPr>
            <w:tcW w:w="980" w:type="dxa"/>
            <w:vAlign w:val="bottom"/>
          </w:tcPr>
          <w:p>
            <w:pPr>
              <w:jc w:val="center"/>
              <w:ind w:left="29"/>
              <w:spacing w:after="0"/>
              <w:rPr>
                <w:sz w:val="20"/>
                <w:szCs w:val="20"/>
                <w:color w:val="auto"/>
              </w:rPr>
            </w:pPr>
            <w:r>
              <w:rPr>
                <w:rFonts w:ascii="Arial" w:cs="Arial" w:eastAsia="Arial" w:hAnsi="Arial"/>
                <w:sz w:val="14"/>
                <w:szCs w:val="14"/>
                <w:color w:val="0E2A35"/>
                <w:w w:val="99"/>
              </w:rPr>
              <w:t>Yes</w:t>
            </w:r>
          </w:p>
        </w:tc>
        <w:tc>
          <w:tcPr>
            <w:tcW w:w="0" w:type="dxa"/>
            <w:vAlign w:val="bottom"/>
          </w:tcPr>
          <w:p>
            <w:pPr>
              <w:spacing w:after="0"/>
              <w:rPr>
                <w:sz w:val="1"/>
                <w:szCs w:val="1"/>
                <w:color w:val="auto"/>
              </w:rPr>
            </w:pPr>
          </w:p>
        </w:tc>
      </w:tr>
      <w:tr>
        <w:trPr>
          <w:trHeight w:val="93"/>
        </w:trPr>
        <w:tc>
          <w:tcPr>
            <w:tcW w:w="198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08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C7D265"/>
        </w:rPr>
        <w:t>Fiscal 2023 Performance Results</w:t>
      </w:r>
    </w:p>
    <w:p>
      <w:pPr>
        <w:spacing w:after="0" w:line="201" w:lineRule="exact"/>
        <w:rPr>
          <w:sz w:val="20"/>
          <w:szCs w:val="20"/>
          <w:color w:val="auto"/>
        </w:rPr>
      </w:pPr>
    </w:p>
    <w:p>
      <w:pPr>
        <w:ind w:left="440" w:right="60"/>
        <w:spacing w:after="0" w:line="252" w:lineRule="auto"/>
        <w:rPr>
          <w:sz w:val="20"/>
          <w:szCs w:val="20"/>
          <w:color w:val="auto"/>
        </w:rPr>
      </w:pPr>
      <w:r>
        <w:rPr>
          <w:rFonts w:ascii="Arial" w:cs="Arial" w:eastAsia="Arial" w:hAnsi="Arial"/>
          <w:sz w:val="16"/>
          <w:szCs w:val="16"/>
          <w:color w:val="0E2A35"/>
        </w:rPr>
        <w:t>In the face of a dynamic consumer market, Winnebago Industries continues to benefit from our diverse premium brand portfolio – Winnebago, Grand Design, Chris-Craft, Newmar, and Barletta. Despite the challenged retail sector relative to the record performance of fiscal 2022, our fiscal 2023 results continue to demonstrate resilience and significant growth compared to pre-pandemic levels, with revenue of $3.5 billion, representing a 76% increase from fiscal 2019. Additionally, our RV market share has risen from 9.5% in fiscal 2019 to 11.9% by the end of fiscal 2023, owing to the appeal of our product offerings and our unwavering commitment to quality, innovation and service.</w:t>
      </w:r>
    </w:p>
    <w:p>
      <w:pPr>
        <w:spacing w:after="0" w:line="150" w:lineRule="exact"/>
        <w:rPr>
          <w:sz w:val="20"/>
          <w:szCs w:val="20"/>
          <w:color w:val="auto"/>
        </w:rPr>
      </w:pPr>
    </w:p>
    <w:p>
      <w:pPr>
        <w:ind w:left="440" w:right="80"/>
        <w:spacing w:after="0" w:line="252" w:lineRule="auto"/>
        <w:rPr>
          <w:sz w:val="20"/>
          <w:szCs w:val="20"/>
          <w:color w:val="auto"/>
        </w:rPr>
      </w:pPr>
      <w:r>
        <w:rPr>
          <w:rFonts w:ascii="Arial" w:cs="Arial" w:eastAsia="Arial" w:hAnsi="Arial"/>
          <w:sz w:val="16"/>
          <w:szCs w:val="16"/>
          <w:color w:val="0E2A35"/>
        </w:rPr>
        <w:t>Looking ahead, our primary focus remains on preserving profitability and reinforcing our strong market share positions. Concurrently, we are committed to further investing in and nurturing the long-term health and vitality of our enterprise, while fostering quality and innovation across our brand portfolio. Our highly variable cost structure and holistic capital allocation philosophy enable us to invest in our businesses, optimize our capital structure, and return cash to shareholders. Operating cash flow has more than doubled since 2019, reaching $295 million in fiscal 2023. Our strong operating cash flow has allowed us to maintain a healthy liquidity position and return $83 million to shareholders in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59055</wp:posOffset>
            </wp:positionV>
            <wp:extent cx="5906135" cy="1825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0613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0E2A35"/>
        </w:rPr>
        <w:t xml:space="preserve">  </w:t>
      </w:r>
    </w:p>
    <w:p>
      <w:pPr>
        <w:spacing w:after="0" w:line="131"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C7D265"/>
        </w:rPr>
        <w:t>5 Year Performance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22860</wp:posOffset>
            </wp:positionV>
            <wp:extent cx="5897880" cy="2606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9788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
        <w:spacing w:after="0"/>
        <w:rPr>
          <w:sz w:val="20"/>
          <w:szCs w:val="20"/>
          <w:color w:val="auto"/>
        </w:rPr>
      </w:pPr>
      <w:r>
        <w:rPr>
          <w:rFonts w:ascii="Arial" w:cs="Arial" w:eastAsia="Arial" w:hAnsi="Arial"/>
          <w:sz w:val="16"/>
          <w:szCs w:val="16"/>
          <w:color w:val="0E2A35"/>
        </w:rPr>
        <w:t xml:space="preserve">  </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193040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-80645</wp:posOffset>
            </wp:positionV>
            <wp:extent cx="1465580"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720"/>
          </w:cols>
          <w:pgMar w:left="860" w:top="265" w:right="1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168910</wp:posOffset>
            </wp:positionV>
            <wp:extent cx="5606415" cy="7080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06415" cy="708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0E2A35"/>
        </w:rPr>
        <w:t xml:space="preserve">  </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0E2A35"/>
        </w:rPr>
        <w:t xml:space="preserve">Follow our corporate responsibility journey at </w:t>
      </w:r>
      <w:r>
        <w:rPr>
          <w:rFonts w:ascii="Arial" w:cs="Arial" w:eastAsia="Arial" w:hAnsi="Arial"/>
          <w:sz w:val="16"/>
          <w:szCs w:val="16"/>
          <w:b w:val="1"/>
          <w:bCs w:val="1"/>
          <w:color w:val="0E2A35"/>
        </w:rPr>
        <w:t>www.winnebagoind.com/responsibility</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0" w:name="page11"/>
    <w:bookmarkEnd w:id="10"/>
    <w:p>
      <w:pPr>
        <w:ind w:left="86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C7D265"/>
        </w:rPr>
        <w:t>Corporate Governance Highlights</w:t>
      </w:r>
    </w:p>
    <w:p>
      <w:pPr>
        <w:spacing w:after="0" w:line="201" w:lineRule="exact"/>
        <w:rPr>
          <w:sz w:val="20"/>
          <w:szCs w:val="20"/>
          <w:color w:val="auto"/>
        </w:rPr>
      </w:pPr>
    </w:p>
    <w:p>
      <w:pPr>
        <w:ind w:left="860" w:right="920"/>
        <w:spacing w:after="0" w:line="261" w:lineRule="auto"/>
        <w:rPr>
          <w:sz w:val="20"/>
          <w:szCs w:val="20"/>
          <w:color w:val="auto"/>
        </w:rPr>
      </w:pPr>
      <w:r>
        <w:rPr>
          <w:rFonts w:ascii="Arial" w:cs="Arial" w:eastAsia="Arial" w:hAnsi="Arial"/>
          <w:sz w:val="16"/>
          <w:szCs w:val="16"/>
          <w:color w:val="0E2A35"/>
        </w:rPr>
        <w:t>We are committed to a strong corporate governance structure that promotes long-term value for our shareholders. Our Board of Directors (Board) believes that having a mix of directors with complementary qualifications, experience and expertise strengthens its oversight ability, provides diverse perspectives, and represents the best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139700</wp:posOffset>
            </wp:positionV>
            <wp:extent cx="13284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842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405130</wp:posOffset>
            </wp:positionV>
            <wp:extent cx="5837555" cy="2186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3755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60"/>
        <w:spacing w:after="0"/>
        <w:rPr>
          <w:sz w:val="20"/>
          <w:szCs w:val="20"/>
          <w:color w:val="auto"/>
        </w:rPr>
      </w:pPr>
      <w:r>
        <w:rPr>
          <w:rFonts w:ascii="Arial" w:cs="Arial" w:eastAsia="Arial" w:hAnsi="Arial"/>
          <w:sz w:val="16"/>
          <w:szCs w:val="16"/>
          <w:color w:val="0E2A35"/>
        </w:rPr>
        <w:t xml:space="preserve">  </w:t>
      </w:r>
    </w:p>
    <w:p>
      <w:pPr>
        <w:spacing w:after="0" w:line="55" w:lineRule="exact"/>
        <w:rPr>
          <w:sz w:val="20"/>
          <w:szCs w:val="20"/>
          <w:color w:val="auto"/>
        </w:rPr>
      </w:pPr>
    </w:p>
    <w:p>
      <w:pPr>
        <w:ind w:left="1220" w:hanging="360"/>
        <w:spacing w:after="0"/>
        <w:tabs>
          <w:tab w:leader="none" w:pos="1220" w:val="left"/>
        </w:tabs>
        <w:numPr>
          <w:ilvl w:val="0"/>
          <w:numId w:val="8"/>
        </w:numPr>
        <w:rPr>
          <w:rFonts w:ascii="Arial" w:cs="Arial" w:eastAsia="Arial" w:hAnsi="Arial"/>
          <w:sz w:val="13"/>
          <w:szCs w:val="13"/>
          <w:color w:val="0E2A35"/>
        </w:rPr>
      </w:pPr>
      <w:r>
        <w:rPr>
          <w:rFonts w:ascii="Arial" w:cs="Arial" w:eastAsia="Arial" w:hAnsi="Arial"/>
          <w:sz w:val="13"/>
          <w:szCs w:val="13"/>
          <w:color w:val="0E2A35"/>
        </w:rPr>
        <w:t>Our racially or ethnically diverse directors are Mr. Bryant and Ms. Woods, both of whom identify as African American/Black.</w:t>
      </w:r>
    </w:p>
    <w:p>
      <w:pPr>
        <w:spacing w:after="0" w:line="200" w:lineRule="exact"/>
        <w:rPr>
          <w:sz w:val="20"/>
          <w:szCs w:val="20"/>
          <w:color w:val="auto"/>
        </w:rPr>
      </w:pPr>
    </w:p>
    <w:p>
      <w:pPr>
        <w:spacing w:after="0" w:line="226"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C7D265"/>
        </w:rPr>
        <w:t>Corporate Governance Practices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860" w:type="dxa"/>
            <w:vAlign w:val="bottom"/>
          </w:tcPr>
          <w:p>
            <w:pPr>
              <w:spacing w:after="0"/>
              <w:rPr>
                <w:sz w:val="24"/>
                <w:szCs w:val="24"/>
                <w:color w:val="auto"/>
              </w:rPr>
            </w:pPr>
          </w:p>
        </w:tc>
        <w:tc>
          <w:tcPr>
            <w:tcW w:w="2900" w:type="dxa"/>
            <w:vAlign w:val="bottom"/>
            <w:tcBorders>
              <w:top w:val="single" w:sz="8" w:color="0E2A35"/>
            </w:tcBorders>
            <w:shd w:val="clear" w:color="auto" w:fill="E6E6E6"/>
          </w:tcPr>
          <w:p>
            <w:pPr>
              <w:ind w:left="80"/>
              <w:spacing w:after="0"/>
              <w:rPr>
                <w:sz w:val="20"/>
                <w:szCs w:val="20"/>
                <w:color w:val="auto"/>
              </w:rPr>
            </w:pPr>
            <w:r>
              <w:rPr>
                <w:rFonts w:ascii="Arial" w:cs="Arial" w:eastAsia="Arial" w:hAnsi="Arial"/>
                <w:sz w:val="14"/>
                <w:szCs w:val="14"/>
                <w:b w:val="1"/>
                <w:bCs w:val="1"/>
                <w:color w:val="0E2A35"/>
              </w:rPr>
              <w:t>Independent leadership</w:t>
            </w:r>
          </w:p>
        </w:tc>
        <w:tc>
          <w:tcPr>
            <w:tcW w:w="6380" w:type="dxa"/>
            <w:vAlign w:val="bottom"/>
            <w:tcBorders>
              <w:top w:val="single" w:sz="8" w:color="0E2A35"/>
            </w:tcBorders>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9 of 10 directors are independent (all except our Chief Executive Officer)</w:t>
            </w:r>
          </w:p>
        </w:tc>
        <w:tc>
          <w:tcPr>
            <w:tcW w:w="880" w:type="dxa"/>
            <w:vAlign w:val="bottom"/>
          </w:tcPr>
          <w:p>
            <w:pPr>
              <w:spacing w:after="0"/>
              <w:rPr>
                <w:sz w:val="24"/>
                <w:szCs w:val="24"/>
                <w:color w:val="auto"/>
              </w:rPr>
            </w:pPr>
          </w:p>
        </w:tc>
      </w:tr>
      <w:tr>
        <w:trPr>
          <w:trHeight w:val="36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Independent non-employee chair</w:t>
            </w:r>
          </w:p>
        </w:tc>
      </w:tr>
      <w:tr>
        <w:trPr>
          <w:trHeight w:val="37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All Board committee members are independent</w:t>
            </w:r>
          </w:p>
        </w:tc>
      </w:tr>
      <w:tr>
        <w:trPr>
          <w:trHeight w:val="35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Executive sessions of independent directors before and/or after each regular Board meeting</w:t>
            </w:r>
          </w:p>
        </w:tc>
      </w:tr>
      <w:tr>
        <w:trPr>
          <w:trHeight w:val="182"/>
        </w:trPr>
        <w:tc>
          <w:tcPr>
            <w:tcW w:w="860" w:type="dxa"/>
            <w:vAlign w:val="bottom"/>
          </w:tcPr>
          <w:p>
            <w:pPr>
              <w:spacing w:after="0"/>
              <w:rPr>
                <w:sz w:val="15"/>
                <w:szCs w:val="15"/>
                <w:color w:val="auto"/>
              </w:rPr>
            </w:pPr>
          </w:p>
        </w:tc>
        <w:tc>
          <w:tcPr>
            <w:tcW w:w="2900" w:type="dxa"/>
            <w:vAlign w:val="bottom"/>
            <w:shd w:val="clear" w:color="auto" w:fill="E6E6E6"/>
          </w:tcPr>
          <w:p>
            <w:pPr>
              <w:spacing w:after="0"/>
              <w:rPr>
                <w:sz w:val="15"/>
                <w:szCs w:val="15"/>
                <w:color w:val="auto"/>
              </w:rPr>
            </w:pPr>
          </w:p>
        </w:tc>
        <w:tc>
          <w:tcPr>
            <w:tcW w:w="7260" w:type="dxa"/>
            <w:vAlign w:val="bottom"/>
            <w:gridSpan w:val="2"/>
          </w:tcPr>
          <w:p>
            <w:pPr>
              <w:ind w:left="220"/>
              <w:spacing w:after="0"/>
              <w:rPr>
                <w:sz w:val="20"/>
                <w:szCs w:val="20"/>
                <w:color w:val="auto"/>
              </w:rPr>
            </w:pPr>
            <w:r>
              <w:rPr>
                <w:rFonts w:ascii="Arial" w:cs="Arial" w:eastAsia="Arial" w:hAnsi="Arial"/>
                <w:sz w:val="14"/>
                <w:szCs w:val="14"/>
                <w:color w:val="0E2A35"/>
              </w:rPr>
              <w:t> </w:t>
            </w:r>
          </w:p>
        </w:tc>
      </w:tr>
      <w:tr>
        <w:trPr>
          <w:trHeight w:val="93"/>
        </w:trPr>
        <w:tc>
          <w:tcPr>
            <w:tcW w:w="860" w:type="dxa"/>
            <w:vAlign w:val="bottom"/>
          </w:tcPr>
          <w:p>
            <w:pPr>
              <w:spacing w:after="0"/>
              <w:rPr>
                <w:sz w:val="8"/>
                <w:szCs w:val="8"/>
                <w:color w:val="auto"/>
              </w:rPr>
            </w:pPr>
          </w:p>
        </w:tc>
        <w:tc>
          <w:tcPr>
            <w:tcW w:w="2900" w:type="dxa"/>
            <w:vAlign w:val="bottom"/>
            <w:tcBorders>
              <w:bottom w:val="single" w:sz="8" w:color="0E2A35"/>
            </w:tcBorders>
            <w:shd w:val="clear" w:color="auto" w:fill="E6E6E6"/>
          </w:tcPr>
          <w:p>
            <w:pPr>
              <w:spacing w:after="0"/>
              <w:rPr>
                <w:sz w:val="8"/>
                <w:szCs w:val="8"/>
                <w:color w:val="auto"/>
              </w:rPr>
            </w:pPr>
          </w:p>
        </w:tc>
        <w:tc>
          <w:tcPr>
            <w:tcW w:w="638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356"/>
        </w:trPr>
        <w:tc>
          <w:tcPr>
            <w:tcW w:w="860" w:type="dxa"/>
            <w:vAlign w:val="bottom"/>
          </w:tcPr>
          <w:p>
            <w:pPr>
              <w:spacing w:after="0"/>
              <w:rPr>
                <w:sz w:val="24"/>
                <w:szCs w:val="24"/>
                <w:color w:val="auto"/>
              </w:rPr>
            </w:pPr>
          </w:p>
        </w:tc>
        <w:tc>
          <w:tcPr>
            <w:tcW w:w="2900" w:type="dxa"/>
            <w:vAlign w:val="bottom"/>
            <w:shd w:val="clear" w:color="auto" w:fill="E6E6E6"/>
          </w:tcPr>
          <w:p>
            <w:pPr>
              <w:ind w:left="80"/>
              <w:spacing w:after="0"/>
              <w:rPr>
                <w:sz w:val="20"/>
                <w:szCs w:val="20"/>
                <w:color w:val="auto"/>
              </w:rPr>
            </w:pPr>
            <w:r>
              <w:rPr>
                <w:rFonts w:ascii="Arial" w:cs="Arial" w:eastAsia="Arial" w:hAnsi="Arial"/>
                <w:sz w:val="14"/>
                <w:szCs w:val="14"/>
                <w:b w:val="1"/>
                <w:bCs w:val="1"/>
                <w:color w:val="0E2A35"/>
              </w:rPr>
              <w:t>Board refreshment</w:t>
            </w: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Mix of tenure and diversity of directors</w:t>
            </w:r>
          </w:p>
        </w:tc>
      </w:tr>
      <w:tr>
        <w:trPr>
          <w:trHeight w:val="36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Age limit for directors (72)</w:t>
            </w:r>
          </w:p>
        </w:tc>
      </w:tr>
      <w:tr>
        <w:trPr>
          <w:trHeight w:val="35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Annual Board and committee self-evaluations</w:t>
            </w:r>
          </w:p>
        </w:tc>
      </w:tr>
      <w:tr>
        <w:trPr>
          <w:trHeight w:val="182"/>
        </w:trPr>
        <w:tc>
          <w:tcPr>
            <w:tcW w:w="860" w:type="dxa"/>
            <w:vAlign w:val="bottom"/>
          </w:tcPr>
          <w:p>
            <w:pPr>
              <w:spacing w:after="0"/>
              <w:rPr>
                <w:sz w:val="15"/>
                <w:szCs w:val="15"/>
                <w:color w:val="auto"/>
              </w:rPr>
            </w:pPr>
          </w:p>
        </w:tc>
        <w:tc>
          <w:tcPr>
            <w:tcW w:w="2900" w:type="dxa"/>
            <w:vAlign w:val="bottom"/>
            <w:shd w:val="clear" w:color="auto" w:fill="E6E6E6"/>
          </w:tcPr>
          <w:p>
            <w:pPr>
              <w:spacing w:after="0"/>
              <w:rPr>
                <w:sz w:val="15"/>
                <w:szCs w:val="15"/>
                <w:color w:val="auto"/>
              </w:rPr>
            </w:pPr>
          </w:p>
        </w:tc>
        <w:tc>
          <w:tcPr>
            <w:tcW w:w="7260" w:type="dxa"/>
            <w:vAlign w:val="bottom"/>
            <w:gridSpan w:val="2"/>
          </w:tcPr>
          <w:p>
            <w:pPr>
              <w:ind w:left="220"/>
              <w:spacing w:after="0"/>
              <w:rPr>
                <w:sz w:val="20"/>
                <w:szCs w:val="20"/>
                <w:color w:val="auto"/>
              </w:rPr>
            </w:pPr>
            <w:r>
              <w:rPr>
                <w:rFonts w:ascii="Arial" w:cs="Arial" w:eastAsia="Arial" w:hAnsi="Arial"/>
                <w:sz w:val="14"/>
                <w:szCs w:val="14"/>
                <w:color w:val="0E2A35"/>
              </w:rPr>
              <w:t> </w:t>
            </w:r>
          </w:p>
        </w:tc>
      </w:tr>
      <w:tr>
        <w:trPr>
          <w:trHeight w:val="93"/>
        </w:trPr>
        <w:tc>
          <w:tcPr>
            <w:tcW w:w="860" w:type="dxa"/>
            <w:vAlign w:val="bottom"/>
          </w:tcPr>
          <w:p>
            <w:pPr>
              <w:spacing w:after="0"/>
              <w:rPr>
                <w:sz w:val="8"/>
                <w:szCs w:val="8"/>
                <w:color w:val="auto"/>
              </w:rPr>
            </w:pPr>
          </w:p>
        </w:tc>
        <w:tc>
          <w:tcPr>
            <w:tcW w:w="2900" w:type="dxa"/>
            <w:vAlign w:val="bottom"/>
            <w:tcBorders>
              <w:bottom w:val="single" w:sz="8" w:color="0E2A35"/>
            </w:tcBorders>
            <w:shd w:val="clear" w:color="auto" w:fill="E6E6E6"/>
          </w:tcPr>
          <w:p>
            <w:pPr>
              <w:spacing w:after="0"/>
              <w:rPr>
                <w:sz w:val="8"/>
                <w:szCs w:val="8"/>
                <w:color w:val="auto"/>
              </w:rPr>
            </w:pPr>
          </w:p>
        </w:tc>
        <w:tc>
          <w:tcPr>
            <w:tcW w:w="638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356"/>
        </w:trPr>
        <w:tc>
          <w:tcPr>
            <w:tcW w:w="860" w:type="dxa"/>
            <w:vAlign w:val="bottom"/>
          </w:tcPr>
          <w:p>
            <w:pPr>
              <w:spacing w:after="0"/>
              <w:rPr>
                <w:sz w:val="24"/>
                <w:szCs w:val="24"/>
                <w:color w:val="auto"/>
              </w:rPr>
            </w:pPr>
          </w:p>
        </w:tc>
        <w:tc>
          <w:tcPr>
            <w:tcW w:w="2900" w:type="dxa"/>
            <w:vAlign w:val="bottom"/>
            <w:shd w:val="clear" w:color="auto" w:fill="E6E6E6"/>
          </w:tcPr>
          <w:p>
            <w:pPr>
              <w:ind w:left="80"/>
              <w:spacing w:after="0"/>
              <w:rPr>
                <w:sz w:val="20"/>
                <w:szCs w:val="20"/>
                <w:color w:val="auto"/>
              </w:rPr>
            </w:pPr>
            <w:r>
              <w:rPr>
                <w:rFonts w:ascii="Arial" w:cs="Arial" w:eastAsia="Arial" w:hAnsi="Arial"/>
                <w:sz w:val="14"/>
                <w:szCs w:val="14"/>
                <w:b w:val="1"/>
                <w:bCs w:val="1"/>
                <w:color w:val="0E2A35"/>
              </w:rPr>
              <w:t>Other strong governance practices</w:t>
            </w: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Single class of outstanding shares with equal voting rights</w:t>
            </w:r>
          </w:p>
        </w:tc>
      </w:tr>
      <w:tr>
        <w:trPr>
          <w:trHeight w:val="36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Code of Conduct applicable to all directors, officers and employees</w:t>
            </w:r>
          </w:p>
        </w:tc>
      </w:tr>
      <w:tr>
        <w:trPr>
          <w:trHeight w:val="37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Non-employee director and executive stock ownership guidelines</w:t>
            </w:r>
          </w:p>
        </w:tc>
      </w:tr>
      <w:tr>
        <w:trPr>
          <w:trHeight w:val="37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All employees and directors prohibited from hedging and pledging Company stock</w:t>
            </w:r>
          </w:p>
        </w:tc>
      </w:tr>
      <w:tr>
        <w:trPr>
          <w:trHeight w:val="37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Maintain clawback policies applicable to our executive officers’ incentive awards</w:t>
            </w:r>
          </w:p>
        </w:tc>
      </w:tr>
      <w:tr>
        <w:trPr>
          <w:trHeight w:val="37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Routine engagement with shareholders</w:t>
            </w:r>
          </w:p>
        </w:tc>
      </w:tr>
      <w:tr>
        <w:trPr>
          <w:trHeight w:val="358"/>
        </w:trPr>
        <w:tc>
          <w:tcPr>
            <w:tcW w:w="860" w:type="dxa"/>
            <w:vAlign w:val="bottom"/>
          </w:tcPr>
          <w:p>
            <w:pPr>
              <w:spacing w:after="0"/>
              <w:rPr>
                <w:sz w:val="24"/>
                <w:szCs w:val="24"/>
                <w:color w:val="auto"/>
              </w:rPr>
            </w:pPr>
          </w:p>
        </w:tc>
        <w:tc>
          <w:tcPr>
            <w:tcW w:w="2900" w:type="dxa"/>
            <w:vAlign w:val="bottom"/>
            <w:shd w:val="clear" w:color="auto" w:fill="E6E6E6"/>
          </w:tcPr>
          <w:p>
            <w:pPr>
              <w:spacing w:after="0"/>
              <w:rPr>
                <w:sz w:val="24"/>
                <w:szCs w:val="24"/>
                <w:color w:val="auto"/>
              </w:rPr>
            </w:pPr>
          </w:p>
        </w:tc>
        <w:tc>
          <w:tcPr>
            <w:tcW w:w="7260" w:type="dxa"/>
            <w:vAlign w:val="bottom"/>
            <w:gridSpan w:val="2"/>
          </w:tcPr>
          <w:p>
            <w:pPr>
              <w:ind w:left="22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Excellent meeting attendance</w:t>
            </w:r>
          </w:p>
        </w:tc>
      </w:tr>
      <w:tr>
        <w:trPr>
          <w:trHeight w:val="182"/>
        </w:trPr>
        <w:tc>
          <w:tcPr>
            <w:tcW w:w="860" w:type="dxa"/>
            <w:vAlign w:val="bottom"/>
          </w:tcPr>
          <w:p>
            <w:pPr>
              <w:spacing w:after="0"/>
              <w:rPr>
                <w:sz w:val="15"/>
                <w:szCs w:val="15"/>
                <w:color w:val="auto"/>
              </w:rPr>
            </w:pPr>
          </w:p>
        </w:tc>
        <w:tc>
          <w:tcPr>
            <w:tcW w:w="2900" w:type="dxa"/>
            <w:vAlign w:val="bottom"/>
            <w:shd w:val="clear" w:color="auto" w:fill="E6E6E6"/>
          </w:tcPr>
          <w:p>
            <w:pPr>
              <w:spacing w:after="0"/>
              <w:rPr>
                <w:sz w:val="15"/>
                <w:szCs w:val="15"/>
                <w:color w:val="auto"/>
              </w:rPr>
            </w:pPr>
          </w:p>
        </w:tc>
        <w:tc>
          <w:tcPr>
            <w:tcW w:w="7260" w:type="dxa"/>
            <w:vAlign w:val="bottom"/>
            <w:gridSpan w:val="2"/>
          </w:tcPr>
          <w:p>
            <w:pPr>
              <w:ind w:left="220"/>
              <w:spacing w:after="0"/>
              <w:rPr>
                <w:sz w:val="20"/>
                <w:szCs w:val="20"/>
                <w:color w:val="auto"/>
              </w:rPr>
            </w:pPr>
            <w:r>
              <w:rPr>
                <w:rFonts w:ascii="Arial" w:cs="Arial" w:eastAsia="Arial" w:hAnsi="Arial"/>
                <w:sz w:val="14"/>
                <w:szCs w:val="14"/>
                <w:color w:val="0E2A35"/>
              </w:rPr>
              <w:t> </w:t>
            </w:r>
          </w:p>
        </w:tc>
      </w:tr>
      <w:tr>
        <w:trPr>
          <w:trHeight w:val="93"/>
        </w:trPr>
        <w:tc>
          <w:tcPr>
            <w:tcW w:w="860" w:type="dxa"/>
            <w:vAlign w:val="bottom"/>
          </w:tcPr>
          <w:p>
            <w:pPr>
              <w:spacing w:after="0"/>
              <w:rPr>
                <w:sz w:val="8"/>
                <w:szCs w:val="8"/>
                <w:color w:val="auto"/>
              </w:rPr>
            </w:pPr>
          </w:p>
        </w:tc>
        <w:tc>
          <w:tcPr>
            <w:tcW w:w="2900" w:type="dxa"/>
            <w:vAlign w:val="bottom"/>
            <w:tcBorders>
              <w:bottom w:val="single" w:sz="8" w:color="0E2A35"/>
            </w:tcBorders>
            <w:shd w:val="clear" w:color="auto" w:fill="E6E6E6"/>
          </w:tcPr>
          <w:p>
            <w:pPr>
              <w:spacing w:after="0"/>
              <w:rPr>
                <w:sz w:val="8"/>
                <w:szCs w:val="8"/>
                <w:color w:val="auto"/>
              </w:rPr>
            </w:pPr>
          </w:p>
        </w:tc>
        <w:tc>
          <w:tcPr>
            <w:tcW w:w="6380" w:type="dxa"/>
            <w:vAlign w:val="bottom"/>
            <w:tcBorders>
              <w:bottom w:val="single" w:sz="8" w:color="0E2A35"/>
            </w:tcBorders>
          </w:tcPr>
          <w:p>
            <w:pPr>
              <w:spacing w:after="0"/>
              <w:rPr>
                <w:sz w:val="8"/>
                <w:szCs w:val="8"/>
                <w:color w:val="auto"/>
              </w:rPr>
            </w:pPr>
          </w:p>
        </w:tc>
        <w:tc>
          <w:tcPr>
            <w:tcW w:w="880" w:type="dxa"/>
            <w:vAlign w:val="bottom"/>
          </w:tcPr>
          <w:p>
            <w:pPr>
              <w:spacing w:after="0"/>
              <w:rPr>
                <w:sz w:val="8"/>
                <w:szCs w:val="8"/>
                <w:color w:val="auto"/>
              </w:rPr>
            </w:pPr>
          </w:p>
        </w:tc>
      </w:tr>
      <w:tr>
        <w:trPr>
          <w:trHeight w:val="472"/>
        </w:trPr>
        <w:tc>
          <w:tcPr>
            <w:tcW w:w="8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260" w:type="dxa"/>
            <w:vAlign w:val="bottom"/>
            <w:gridSpan w:val="2"/>
          </w:tcPr>
          <w:p>
            <w:pPr>
              <w:ind w:left="3720"/>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9</w:t>
            </w:r>
          </w:p>
        </w:tc>
      </w:tr>
      <w:tr>
        <w:trPr>
          <w:trHeight w:val="285"/>
        </w:trPr>
        <w:tc>
          <w:tcPr>
            <w:tcW w:w="8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-290830</wp:posOffset>
            </wp:positionV>
            <wp:extent cx="146558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143510</wp:posOffset>
            </wp:positionV>
            <wp:extent cx="6395085" cy="893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95085" cy="893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0E2A35"/>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Corporate Governance</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Board Leadership Structure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0E2A35"/>
        </w:rPr>
        <w:t>The Board is committed to robust corporate governance, which enhances long-term stability and value for all of our shareholders.</w:t>
      </w:r>
    </w:p>
    <w:p>
      <w:pPr>
        <w:spacing w:after="0" w:line="18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0E2A35"/>
        </w:rPr>
        <w:t>Our bylaws and corporate governance policy delegate to the Board the right to exercise its discretion to either separate or combine the offices of Board Chair and Chief Executive Officer (CEO). This decision is based upon the Board’s determination of what is in the best interests of the Company and our shareholders, in light of then-current and anticipated future circumstances and taking into consideration succession planning, the skills and experience of the individual(s) filling those positions, and other relevant factors.</w:t>
      </w:r>
    </w:p>
    <w:p>
      <w:pPr>
        <w:spacing w:after="0" w:line="164"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0E2A35"/>
        </w:rPr>
        <w:t>The Board, as part of its continuing obligation to determine the appropriate role for the Chair, has concluded that at this time the Company will have an independent Chair. The Board concluded that this structure provides us with a strong governance and leadership structure that is designed to exercise independent oversight of members of our management team and key issues related to strategy and risk. Mr. David W. Miles, an independent director, has served as Chair since June 2019.</w:t>
      </w:r>
    </w:p>
    <w:p>
      <w:pPr>
        <w:spacing w:after="0" w:line="146" w:lineRule="exact"/>
        <w:rPr>
          <w:sz w:val="20"/>
          <w:szCs w:val="20"/>
          <w:color w:val="auto"/>
        </w:rPr>
      </w:pPr>
    </w:p>
    <w:p>
      <w:pPr>
        <w:ind w:right="540"/>
        <w:spacing w:after="0" w:line="276" w:lineRule="auto"/>
        <w:rPr>
          <w:sz w:val="20"/>
          <w:szCs w:val="20"/>
          <w:color w:val="auto"/>
        </w:rPr>
      </w:pPr>
      <w:r>
        <w:rPr>
          <w:rFonts w:ascii="Arial" w:cs="Arial" w:eastAsia="Arial" w:hAnsi="Arial"/>
          <w:sz w:val="16"/>
          <w:szCs w:val="16"/>
          <w:color w:val="0E2A35"/>
        </w:rPr>
        <w:t>The Board recognizes that, depending on the specific characteristics and circumstances of the Company, other leadership structures might also be appropriate. We are committed to reviewing this determination on an annual basis.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Skills and Experiences</w:t>
      </w:r>
    </w:p>
    <w:p>
      <w:pPr>
        <w:spacing w:after="0" w:line="188"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0E2A35"/>
        </w:rPr>
        <w:t>The following chart shows the specific experiences and skills the Board currently believes are important for our directors to collectively possess for effective governance of Winnebago Industries. The matrix also provides a high-level summary of the important experiences and skills of each of our directors. We seek to achieve a balance of knowledge, experience and perspective on the Board to contribute to the sound governance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897880" cy="3651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9788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3" w:name="page14"/>
    <w:bookmarkEnd w:id="13"/>
    <w:p>
      <w:pPr>
        <w:ind w:left="86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C7D265"/>
        </w:rPr>
        <w:t>Executive Leadership</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21"/>
          <w:szCs w:val="21"/>
          <w:b w:val="1"/>
          <w:bCs w:val="1"/>
          <w:color w:val="C7D265"/>
        </w:rPr>
        <w:t>Experience Criteria: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107950</wp:posOffset>
            </wp:positionV>
            <wp:extent cx="589788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97880" cy="222885"/>
                    </a:xfrm>
                    <a:prstGeom prst="rect">
                      <a:avLst/>
                    </a:prstGeom>
                    <a:noFill/>
                  </pic:spPr>
                </pic:pic>
              </a:graphicData>
            </a:graphic>
          </wp:anchor>
        </w:drawing>
      </w:r>
    </w:p>
    <w:p>
      <w:pPr>
        <w:spacing w:after="0" w:line="236" w:lineRule="exact"/>
        <w:rPr>
          <w:sz w:val="20"/>
          <w:szCs w:val="20"/>
          <w:color w:val="auto"/>
        </w:rPr>
      </w:pPr>
    </w:p>
    <w:p>
      <w:pPr>
        <w:ind w:left="920"/>
        <w:spacing w:after="0"/>
        <w:tabs>
          <w:tab w:leader="none" w:pos="3020" w:val="left"/>
        </w:tabs>
        <w:rPr>
          <w:sz w:val="20"/>
          <w:szCs w:val="20"/>
          <w:color w:val="auto"/>
        </w:rPr>
      </w:pPr>
      <w:r>
        <w:rPr>
          <w:rFonts w:ascii="Arial" w:cs="Arial" w:eastAsia="Arial" w:hAnsi="Arial"/>
          <w:sz w:val="13"/>
          <w:szCs w:val="13"/>
          <w:b w:val="1"/>
          <w:bCs w:val="1"/>
          <w:color w:val="FFFFFF"/>
        </w:rPr>
        <w:t>Area of Expertise</w:t>
      </w:r>
      <w:r>
        <w:rPr>
          <w:sz w:val="20"/>
          <w:szCs w:val="20"/>
          <w:color w:val="auto"/>
        </w:rPr>
        <w:tab/>
      </w:r>
      <w:r>
        <w:rPr>
          <w:rFonts w:ascii="Arial" w:cs="Arial" w:eastAsia="Arial" w:hAnsi="Arial"/>
          <w:sz w:val="12"/>
          <w:szCs w:val="12"/>
          <w:b w:val="1"/>
          <w:bCs w:val="1"/>
          <w:color w:val="FFFFFF"/>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73025</wp:posOffset>
            </wp:positionV>
            <wp:extent cx="1320165" cy="76123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20165" cy="761238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10"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0E2A35"/>
        </w:rPr>
        <w:t>Public/Private</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0E2A35"/>
        </w:rPr>
        <w:t>Company CEO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 Current or recently retired Chief Executive Officer of an organization of a comparable scale and complexity</w:t>
      </w:r>
    </w:p>
    <w:p>
      <w:pPr>
        <w:spacing w:after="0" w:line="42" w:lineRule="exact"/>
        <w:rPr>
          <w:sz w:val="20"/>
          <w:szCs w:val="20"/>
          <w:color w:val="auto"/>
        </w:rPr>
      </w:pPr>
    </w:p>
    <w:p>
      <w:pPr>
        <w:ind w:left="320" w:right="880"/>
        <w:spacing w:after="0" w:line="277" w:lineRule="auto"/>
        <w:rPr>
          <w:sz w:val="20"/>
          <w:szCs w:val="20"/>
          <w:color w:val="auto"/>
        </w:rPr>
      </w:pPr>
      <w:r>
        <w:rPr>
          <w:rFonts w:ascii="Arial" w:cs="Arial" w:eastAsia="Arial" w:hAnsi="Arial"/>
          <w:sz w:val="14"/>
          <w:szCs w:val="14"/>
          <w:color w:val="0E2A35"/>
        </w:rPr>
        <w:t>to Winnebago Industries and, ideally a public company; prefer an organization with a strong manufacturing base and an individual with expertise growing a business organically and inorganically (specifically via M&amp;A activity).</w:t>
      </w:r>
    </w:p>
    <w:p>
      <w:pPr>
        <w:spacing w:after="0" w:line="82" w:lineRule="exact"/>
        <w:rPr>
          <w:sz w:val="20"/>
          <w:szCs w:val="20"/>
          <w:color w:val="auto"/>
        </w:rPr>
      </w:pPr>
    </w:p>
    <w:p>
      <w:pPr>
        <w:sectPr>
          <w:pgSz w:w="11900" w:h="16838" w:orient="portrait"/>
          <w:cols w:equalWidth="0" w:num="2">
            <w:col w:w="2320" w:space="720"/>
            <w:col w:w="798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60" w:type="dxa"/>
            <w:vAlign w:val="bottom"/>
          </w:tcPr>
          <w:p>
            <w:pPr>
              <w:spacing w:after="0" w:line="20" w:lineRule="exact"/>
              <w:rPr>
                <w:sz w:val="1"/>
                <w:szCs w:val="1"/>
                <w:color w:val="auto"/>
              </w:rPr>
            </w:pPr>
          </w:p>
        </w:tc>
        <w:tc>
          <w:tcPr>
            <w:tcW w:w="1980" w:type="dxa"/>
            <w:vAlign w:val="bottom"/>
            <w:shd w:val="clear" w:color="auto" w:fill="0E2A35"/>
          </w:tcPr>
          <w:p>
            <w:pPr>
              <w:spacing w:after="0" w:line="20" w:lineRule="exact"/>
              <w:rPr>
                <w:sz w:val="1"/>
                <w:szCs w:val="1"/>
                <w:color w:val="auto"/>
              </w:rPr>
            </w:pPr>
          </w:p>
        </w:tc>
        <w:tc>
          <w:tcPr>
            <w:tcW w:w="100" w:type="dxa"/>
            <w:vAlign w:val="bottom"/>
            <w:shd w:val="clear" w:color="auto" w:fill="0E2A35"/>
          </w:tcPr>
          <w:p>
            <w:pPr>
              <w:spacing w:after="0" w:line="20" w:lineRule="exact"/>
              <w:rPr>
                <w:sz w:val="1"/>
                <w:szCs w:val="1"/>
                <w:color w:val="auto"/>
              </w:rPr>
            </w:pPr>
          </w:p>
        </w:tc>
        <w:tc>
          <w:tcPr>
            <w:tcW w:w="7200" w:type="dxa"/>
            <w:vAlign w:val="bottom"/>
            <w:shd w:val="clear" w:color="auto" w:fill="0E2A3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8"/>
        </w:trPr>
        <w:tc>
          <w:tcPr>
            <w:tcW w:w="860" w:type="dxa"/>
            <w:vAlign w:val="bottom"/>
          </w:tcPr>
          <w:p>
            <w:pPr>
              <w:spacing w:after="0"/>
              <w:rPr>
                <w:sz w:val="22"/>
                <w:szCs w:val="22"/>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Financial Expert</w:t>
            </w:r>
          </w:p>
        </w:tc>
        <w:tc>
          <w:tcPr>
            <w:tcW w:w="100" w:type="dxa"/>
            <w:vAlign w:val="bottom"/>
            <w:shd w:val="clear" w:color="auto" w:fill="E6E6E6"/>
          </w:tcPr>
          <w:p>
            <w:pPr>
              <w:spacing w:after="0"/>
              <w:rPr>
                <w:sz w:val="22"/>
                <w:szCs w:val="22"/>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 Audit committee financial expert as that term as been defined by the Securities and Exchange Commission</w:t>
            </w:r>
          </w:p>
        </w:tc>
      </w:tr>
      <w:tr>
        <w:trPr>
          <w:trHeight w:val="182"/>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(SEC).</w:t>
            </w:r>
          </w:p>
        </w:tc>
      </w:tr>
      <w:tr>
        <w:trPr>
          <w:trHeight w:val="378"/>
        </w:trPr>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 Brings strong financial acumen through experience in senior financial leadership role (e.g., CFO, audit,</w:t>
            </w:r>
          </w:p>
        </w:tc>
      </w:tr>
      <w:tr>
        <w:trPr>
          <w:trHeight w:val="196"/>
        </w:trPr>
        <w:tc>
          <w:tcPr>
            <w:tcW w:w="8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treasurer, accounting) or other significant and broad financial expertise in audit, financial planning,</w:t>
            </w:r>
          </w:p>
        </w:tc>
      </w:tr>
      <w:tr>
        <w:trPr>
          <w:trHeight w:val="176"/>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forecasting, and investing. Preference for CFO experience within public company or experience as an</w:t>
            </w:r>
          </w:p>
        </w:tc>
      </w:tr>
      <w:tr>
        <w:trPr>
          <w:trHeight w:val="182"/>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audit partner in an accounting firm.</w:t>
            </w:r>
          </w:p>
        </w:tc>
      </w:tr>
      <w:tr>
        <w:trPr>
          <w:trHeight w:val="107"/>
        </w:trPr>
        <w:tc>
          <w:tcPr>
            <w:tcW w:w="860" w:type="dxa"/>
            <w:vAlign w:val="bottom"/>
          </w:tcPr>
          <w:p>
            <w:pPr>
              <w:spacing w:after="0"/>
              <w:rPr>
                <w:sz w:val="9"/>
                <w:szCs w:val="9"/>
                <w:color w:val="auto"/>
              </w:rPr>
            </w:pPr>
          </w:p>
        </w:tc>
        <w:tc>
          <w:tcPr>
            <w:tcW w:w="19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shd w:val="clear" w:color="auto" w:fill="E6E6E6"/>
          </w:tcPr>
          <w:p>
            <w:pPr>
              <w:spacing w:after="0"/>
              <w:rPr>
                <w:sz w:val="9"/>
                <w:szCs w:val="9"/>
                <w:color w:val="auto"/>
              </w:rPr>
            </w:pPr>
          </w:p>
        </w:tc>
        <w:tc>
          <w:tcPr>
            <w:tcW w:w="7200" w:type="dxa"/>
            <w:vAlign w:val="bottom"/>
            <w:tcBorders>
              <w:bottom w:val="single" w:sz="8" w:color="0E2A35"/>
            </w:tcBorders>
          </w:tcPr>
          <w:p>
            <w:pPr>
              <w:spacing w:after="0"/>
              <w:rPr>
                <w:sz w:val="9"/>
                <w:szCs w:val="9"/>
                <w:color w:val="auto"/>
              </w:rPr>
            </w:pPr>
          </w:p>
        </w:tc>
        <w:tc>
          <w:tcPr>
            <w:tcW w:w="880" w:type="dxa"/>
            <w:vAlign w:val="bottom"/>
          </w:tcPr>
          <w:p>
            <w:pPr>
              <w:spacing w:after="0"/>
              <w:rPr>
                <w:sz w:val="9"/>
                <w:szCs w:val="9"/>
                <w:color w:val="auto"/>
              </w:rPr>
            </w:pPr>
          </w:p>
        </w:tc>
      </w:tr>
      <w:tr>
        <w:trPr>
          <w:trHeight w:val="288"/>
        </w:trPr>
        <w:tc>
          <w:tcPr>
            <w:tcW w:w="860" w:type="dxa"/>
            <w:vAlign w:val="bottom"/>
          </w:tcPr>
          <w:p>
            <w:pPr>
              <w:spacing w:after="0"/>
              <w:rPr>
                <w:sz w:val="24"/>
                <w:szCs w:val="24"/>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Global Experience</w:t>
            </w:r>
          </w:p>
        </w:tc>
        <w:tc>
          <w:tcPr>
            <w:tcW w:w="100" w:type="dxa"/>
            <w:vAlign w:val="bottom"/>
            <w:shd w:val="clear" w:color="auto" w:fill="E6E6E6"/>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 Experience successfully leading a global business or significant regional division as a P&amp;L or functional C-</w:t>
            </w:r>
          </w:p>
        </w:tc>
      </w:tr>
      <w:tr>
        <w:trPr>
          <w:trHeight w:val="186"/>
        </w:trPr>
        <w:tc>
          <w:tcPr>
            <w:tcW w:w="8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Suite executive or as a leader in the management of a global supply chain; understands the challenges of</w:t>
            </w:r>
          </w:p>
        </w:tc>
      </w:tr>
      <w:tr>
        <w:trPr>
          <w:trHeight w:val="176"/>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entering new markets, developing new customer relationships, and navigating the complexities of local</w:t>
            </w:r>
          </w:p>
        </w:tc>
      </w:tr>
      <w:tr>
        <w:trPr>
          <w:trHeight w:val="182"/>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and regional geopolitical and cultural sensitivities, as well as a diverse employee base.</w:t>
            </w:r>
          </w:p>
        </w:tc>
      </w:tr>
      <w:tr>
        <w:trPr>
          <w:trHeight w:val="107"/>
        </w:trPr>
        <w:tc>
          <w:tcPr>
            <w:tcW w:w="860" w:type="dxa"/>
            <w:vAlign w:val="bottom"/>
          </w:tcPr>
          <w:p>
            <w:pPr>
              <w:spacing w:after="0"/>
              <w:rPr>
                <w:sz w:val="9"/>
                <w:szCs w:val="9"/>
                <w:color w:val="auto"/>
              </w:rPr>
            </w:pPr>
          </w:p>
        </w:tc>
        <w:tc>
          <w:tcPr>
            <w:tcW w:w="19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shd w:val="clear" w:color="auto" w:fill="E6E6E6"/>
          </w:tcPr>
          <w:p>
            <w:pPr>
              <w:spacing w:after="0"/>
              <w:rPr>
                <w:sz w:val="9"/>
                <w:szCs w:val="9"/>
                <w:color w:val="auto"/>
              </w:rPr>
            </w:pPr>
          </w:p>
        </w:tc>
        <w:tc>
          <w:tcPr>
            <w:tcW w:w="7200" w:type="dxa"/>
            <w:vAlign w:val="bottom"/>
            <w:tcBorders>
              <w:bottom w:val="single" w:sz="8" w:color="0E2A35"/>
            </w:tcBorders>
          </w:tcPr>
          <w:p>
            <w:pPr>
              <w:spacing w:after="0"/>
              <w:rPr>
                <w:sz w:val="9"/>
                <w:szCs w:val="9"/>
                <w:color w:val="auto"/>
              </w:rPr>
            </w:pPr>
          </w:p>
        </w:tc>
        <w:tc>
          <w:tcPr>
            <w:tcW w:w="880" w:type="dxa"/>
            <w:vAlign w:val="bottom"/>
          </w:tcPr>
          <w:p>
            <w:pPr>
              <w:spacing w:after="0"/>
              <w:rPr>
                <w:sz w:val="9"/>
                <w:szCs w:val="9"/>
                <w:color w:val="auto"/>
              </w:rPr>
            </w:pPr>
          </w:p>
        </w:tc>
      </w:tr>
      <w:tr>
        <w:trPr>
          <w:trHeight w:val="250"/>
        </w:trPr>
        <w:tc>
          <w:tcPr>
            <w:tcW w:w="860" w:type="dxa"/>
            <w:vAlign w:val="bottom"/>
          </w:tcPr>
          <w:p>
            <w:pPr>
              <w:spacing w:after="0"/>
              <w:rPr>
                <w:sz w:val="21"/>
                <w:szCs w:val="21"/>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Technology Leader/</w:t>
            </w:r>
          </w:p>
        </w:tc>
        <w:tc>
          <w:tcPr>
            <w:tcW w:w="100" w:type="dxa"/>
            <w:vAlign w:val="bottom"/>
            <w:shd w:val="clear" w:color="auto" w:fill="E6E6E6"/>
          </w:tcPr>
          <w:p>
            <w:pPr>
              <w:spacing w:after="0"/>
              <w:rPr>
                <w:sz w:val="21"/>
                <w:szCs w:val="21"/>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 Executive who has built/scaled business-to-consumer or business-to-business-to-consumer businesses</w:t>
            </w:r>
          </w:p>
        </w:tc>
      </w:tr>
      <w:tr>
        <w:trPr>
          <w:trHeight w:val="224"/>
        </w:trPr>
        <w:tc>
          <w:tcPr>
            <w:tcW w:w="860" w:type="dxa"/>
            <w:vAlign w:val="bottom"/>
          </w:tcPr>
          <w:p>
            <w:pPr>
              <w:spacing w:after="0"/>
              <w:rPr>
                <w:sz w:val="19"/>
                <w:szCs w:val="19"/>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Data &amp; Analytics</w:t>
            </w:r>
          </w:p>
        </w:tc>
        <w:tc>
          <w:tcPr>
            <w:tcW w:w="100" w:type="dxa"/>
            <w:vAlign w:val="bottom"/>
            <w:shd w:val="clear" w:color="auto" w:fill="E6E6E6"/>
          </w:tcPr>
          <w:p>
            <w:pPr>
              <w:spacing w:after="0"/>
              <w:rPr>
                <w:sz w:val="19"/>
                <w:szCs w:val="19"/>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focused on disruption or technology-driven change leveraging innovative digital technologies and data</w:t>
            </w:r>
          </w:p>
        </w:tc>
      </w:tr>
      <w:tr>
        <w:trPr>
          <w:trHeight w:val="182"/>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analytics with a focus on customer experience and connectivity solutions for products and services.</w:t>
            </w:r>
          </w:p>
        </w:tc>
      </w:tr>
      <w:tr>
        <w:trPr>
          <w:trHeight w:val="107"/>
        </w:trPr>
        <w:tc>
          <w:tcPr>
            <w:tcW w:w="860" w:type="dxa"/>
            <w:vAlign w:val="bottom"/>
          </w:tcPr>
          <w:p>
            <w:pPr>
              <w:spacing w:after="0"/>
              <w:rPr>
                <w:sz w:val="9"/>
                <w:szCs w:val="9"/>
                <w:color w:val="auto"/>
              </w:rPr>
            </w:pPr>
          </w:p>
        </w:tc>
        <w:tc>
          <w:tcPr>
            <w:tcW w:w="19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shd w:val="clear" w:color="auto" w:fill="E6E6E6"/>
          </w:tcPr>
          <w:p>
            <w:pPr>
              <w:spacing w:after="0"/>
              <w:rPr>
                <w:sz w:val="9"/>
                <w:szCs w:val="9"/>
                <w:color w:val="auto"/>
              </w:rPr>
            </w:pPr>
          </w:p>
        </w:tc>
        <w:tc>
          <w:tcPr>
            <w:tcW w:w="7200" w:type="dxa"/>
            <w:vAlign w:val="bottom"/>
            <w:tcBorders>
              <w:bottom w:val="single" w:sz="8" w:color="0E2A35"/>
            </w:tcBorders>
          </w:tcPr>
          <w:p>
            <w:pPr>
              <w:spacing w:after="0"/>
              <w:rPr>
                <w:sz w:val="9"/>
                <w:szCs w:val="9"/>
                <w:color w:val="auto"/>
              </w:rPr>
            </w:pPr>
          </w:p>
        </w:tc>
        <w:tc>
          <w:tcPr>
            <w:tcW w:w="880" w:type="dxa"/>
            <w:vAlign w:val="bottom"/>
          </w:tcPr>
          <w:p>
            <w:pPr>
              <w:spacing w:after="0"/>
              <w:rPr>
                <w:sz w:val="9"/>
                <w:szCs w:val="9"/>
                <w:color w:val="auto"/>
              </w:rPr>
            </w:pPr>
          </w:p>
        </w:tc>
      </w:tr>
      <w:tr>
        <w:trPr>
          <w:trHeight w:val="288"/>
        </w:trPr>
        <w:tc>
          <w:tcPr>
            <w:tcW w:w="860" w:type="dxa"/>
            <w:vAlign w:val="bottom"/>
          </w:tcPr>
          <w:p>
            <w:pPr>
              <w:spacing w:after="0"/>
              <w:rPr>
                <w:sz w:val="24"/>
                <w:szCs w:val="24"/>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Mobility Ecosystem</w:t>
            </w:r>
          </w:p>
        </w:tc>
        <w:tc>
          <w:tcPr>
            <w:tcW w:w="100" w:type="dxa"/>
            <w:vAlign w:val="bottom"/>
            <w:shd w:val="clear" w:color="auto" w:fill="E6E6E6"/>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 Business or technology leader who has current insights into developments within the on and off-highway</w:t>
            </w:r>
          </w:p>
        </w:tc>
      </w:tr>
      <w:tr>
        <w:trPr>
          <w:trHeight w:val="186"/>
        </w:trPr>
        <w:tc>
          <w:tcPr>
            <w:tcW w:w="8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transportation and/or mobility ecosystem. Brings view on broader technology applications within the</w:t>
            </w:r>
          </w:p>
        </w:tc>
      </w:tr>
      <w:tr>
        <w:trPr>
          <w:trHeight w:val="176"/>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markets served by Winnebago Industries. Has vision on technology-driven advancements in EV</w:t>
            </w:r>
          </w:p>
        </w:tc>
      </w:tr>
      <w:tr>
        <w:trPr>
          <w:trHeight w:val="182"/>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powertrain, vehicle architecture, infotainment, connectivity, and customer services in relevant markets.</w:t>
            </w:r>
          </w:p>
        </w:tc>
      </w:tr>
      <w:tr>
        <w:trPr>
          <w:trHeight w:val="107"/>
        </w:trPr>
        <w:tc>
          <w:tcPr>
            <w:tcW w:w="860" w:type="dxa"/>
            <w:vAlign w:val="bottom"/>
          </w:tcPr>
          <w:p>
            <w:pPr>
              <w:spacing w:after="0"/>
              <w:rPr>
                <w:sz w:val="9"/>
                <w:szCs w:val="9"/>
                <w:color w:val="auto"/>
              </w:rPr>
            </w:pPr>
          </w:p>
        </w:tc>
        <w:tc>
          <w:tcPr>
            <w:tcW w:w="19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shd w:val="clear" w:color="auto" w:fill="E6E6E6"/>
          </w:tcPr>
          <w:p>
            <w:pPr>
              <w:spacing w:after="0"/>
              <w:rPr>
                <w:sz w:val="9"/>
                <w:szCs w:val="9"/>
                <w:color w:val="auto"/>
              </w:rPr>
            </w:pPr>
          </w:p>
        </w:tc>
        <w:tc>
          <w:tcPr>
            <w:tcW w:w="7200" w:type="dxa"/>
            <w:vAlign w:val="bottom"/>
            <w:tcBorders>
              <w:bottom w:val="single" w:sz="8" w:color="0E2A35"/>
            </w:tcBorders>
          </w:tcPr>
          <w:p>
            <w:pPr>
              <w:spacing w:after="0"/>
              <w:rPr>
                <w:sz w:val="9"/>
                <w:szCs w:val="9"/>
                <w:color w:val="auto"/>
              </w:rPr>
            </w:pPr>
          </w:p>
        </w:tc>
        <w:tc>
          <w:tcPr>
            <w:tcW w:w="880" w:type="dxa"/>
            <w:vAlign w:val="bottom"/>
          </w:tcPr>
          <w:p>
            <w:pPr>
              <w:spacing w:after="0"/>
              <w:rPr>
                <w:sz w:val="9"/>
                <w:szCs w:val="9"/>
                <w:color w:val="auto"/>
              </w:rPr>
            </w:pPr>
          </w:p>
        </w:tc>
      </w:tr>
      <w:tr>
        <w:trPr>
          <w:trHeight w:val="250"/>
        </w:trPr>
        <w:tc>
          <w:tcPr>
            <w:tcW w:w="860" w:type="dxa"/>
            <w:vAlign w:val="bottom"/>
          </w:tcPr>
          <w:p>
            <w:pPr>
              <w:spacing w:after="0"/>
              <w:rPr>
                <w:sz w:val="21"/>
                <w:szCs w:val="21"/>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Marketing/Sales/</w:t>
            </w:r>
          </w:p>
        </w:tc>
        <w:tc>
          <w:tcPr>
            <w:tcW w:w="100" w:type="dxa"/>
            <w:vAlign w:val="bottom"/>
            <w:shd w:val="clear" w:color="auto" w:fill="E6E6E6"/>
          </w:tcPr>
          <w:p>
            <w:pPr>
              <w:spacing w:after="0"/>
              <w:rPr>
                <w:sz w:val="21"/>
                <w:szCs w:val="21"/>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 Expertise creating, evolving or maintaining a portfolio of brands across a variety of consumer-centric</w:t>
            </w:r>
          </w:p>
        </w:tc>
      </w:tr>
      <w:tr>
        <w:trPr>
          <w:trHeight w:val="224"/>
        </w:trPr>
        <w:tc>
          <w:tcPr>
            <w:tcW w:w="860" w:type="dxa"/>
            <w:vAlign w:val="bottom"/>
          </w:tcPr>
          <w:p>
            <w:pPr>
              <w:spacing w:after="0"/>
              <w:rPr>
                <w:sz w:val="19"/>
                <w:szCs w:val="19"/>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Branding</w:t>
            </w:r>
          </w:p>
        </w:tc>
        <w:tc>
          <w:tcPr>
            <w:tcW w:w="100" w:type="dxa"/>
            <w:vAlign w:val="bottom"/>
            <w:shd w:val="clear" w:color="auto" w:fill="E6E6E6"/>
          </w:tcPr>
          <w:p>
            <w:pPr>
              <w:spacing w:after="0"/>
              <w:rPr>
                <w:sz w:val="19"/>
                <w:szCs w:val="19"/>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channels, in a data and digital focused manner. Building complementary brands around a core group of</w:t>
            </w:r>
          </w:p>
        </w:tc>
      </w:tr>
      <w:tr>
        <w:trPr>
          <w:trHeight w:val="182"/>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truly iconic brands.</w:t>
            </w:r>
          </w:p>
        </w:tc>
      </w:tr>
      <w:tr>
        <w:trPr>
          <w:trHeight w:val="392"/>
        </w:trPr>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 Seasoned leader in customer or user experience, with current view on consumer trends, behaviors, and</w:t>
            </w:r>
          </w:p>
        </w:tc>
      </w:tr>
      <w:tr>
        <w:trPr>
          <w:trHeight w:val="203"/>
        </w:trPr>
        <w:tc>
          <w:tcPr>
            <w:tcW w:w="8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marketing/sales strategies within business-to-business and/or business-to-consumer environment.</w:t>
            </w:r>
          </w:p>
        </w:tc>
      </w:tr>
      <w:tr>
        <w:trPr>
          <w:trHeight w:val="106"/>
        </w:trPr>
        <w:tc>
          <w:tcPr>
            <w:tcW w:w="860" w:type="dxa"/>
            <w:vAlign w:val="bottom"/>
          </w:tcPr>
          <w:p>
            <w:pPr>
              <w:spacing w:after="0"/>
              <w:rPr>
                <w:sz w:val="9"/>
                <w:szCs w:val="9"/>
                <w:color w:val="auto"/>
              </w:rPr>
            </w:pPr>
          </w:p>
        </w:tc>
        <w:tc>
          <w:tcPr>
            <w:tcW w:w="19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shd w:val="clear" w:color="auto" w:fill="E6E6E6"/>
          </w:tcPr>
          <w:p>
            <w:pPr>
              <w:spacing w:after="0"/>
              <w:rPr>
                <w:sz w:val="9"/>
                <w:szCs w:val="9"/>
                <w:color w:val="auto"/>
              </w:rPr>
            </w:pPr>
          </w:p>
        </w:tc>
        <w:tc>
          <w:tcPr>
            <w:tcW w:w="7200" w:type="dxa"/>
            <w:vAlign w:val="bottom"/>
            <w:tcBorders>
              <w:bottom w:val="single" w:sz="8" w:color="0E2A35"/>
            </w:tcBorders>
          </w:tcPr>
          <w:p>
            <w:pPr>
              <w:spacing w:after="0"/>
              <w:rPr>
                <w:sz w:val="9"/>
                <w:szCs w:val="9"/>
                <w:color w:val="auto"/>
              </w:rPr>
            </w:pPr>
          </w:p>
        </w:tc>
        <w:tc>
          <w:tcPr>
            <w:tcW w:w="880" w:type="dxa"/>
            <w:vAlign w:val="bottom"/>
          </w:tcPr>
          <w:p>
            <w:pPr>
              <w:spacing w:after="0"/>
              <w:rPr>
                <w:sz w:val="9"/>
                <w:szCs w:val="9"/>
                <w:color w:val="auto"/>
              </w:rPr>
            </w:pPr>
          </w:p>
        </w:tc>
      </w:tr>
      <w:tr>
        <w:trPr>
          <w:trHeight w:val="289"/>
        </w:trPr>
        <w:tc>
          <w:tcPr>
            <w:tcW w:w="860" w:type="dxa"/>
            <w:vAlign w:val="bottom"/>
          </w:tcPr>
          <w:p>
            <w:pPr>
              <w:spacing w:after="0"/>
              <w:rPr>
                <w:sz w:val="24"/>
                <w:szCs w:val="24"/>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Strategic Transformation</w:t>
            </w:r>
          </w:p>
        </w:tc>
        <w:tc>
          <w:tcPr>
            <w:tcW w:w="100" w:type="dxa"/>
            <w:vAlign w:val="bottom"/>
            <w:shd w:val="clear" w:color="auto" w:fill="E6E6E6"/>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 Significant executive experience creating and driving an enterprise-wide strategic transformation at scale.</w:t>
            </w:r>
          </w:p>
        </w:tc>
      </w:tr>
      <w:tr>
        <w:trPr>
          <w:trHeight w:val="186"/>
        </w:trPr>
        <w:tc>
          <w:tcPr>
            <w:tcW w:w="8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Has navigated industry disruption and has experience guiding a business through organic and inorganic</w:t>
            </w:r>
          </w:p>
        </w:tc>
      </w:tr>
      <w:tr>
        <w:trPr>
          <w:trHeight w:val="182"/>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growth. Experience with the development of a strategic acquisition pipeline and business integration.</w:t>
            </w:r>
          </w:p>
        </w:tc>
      </w:tr>
      <w:tr>
        <w:trPr>
          <w:trHeight w:val="106"/>
        </w:trPr>
        <w:tc>
          <w:tcPr>
            <w:tcW w:w="860" w:type="dxa"/>
            <w:vAlign w:val="bottom"/>
          </w:tcPr>
          <w:p>
            <w:pPr>
              <w:spacing w:after="0"/>
              <w:rPr>
                <w:sz w:val="9"/>
                <w:szCs w:val="9"/>
                <w:color w:val="auto"/>
              </w:rPr>
            </w:pPr>
          </w:p>
        </w:tc>
        <w:tc>
          <w:tcPr>
            <w:tcW w:w="19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shd w:val="clear" w:color="auto" w:fill="E6E6E6"/>
          </w:tcPr>
          <w:p>
            <w:pPr>
              <w:spacing w:after="0"/>
              <w:rPr>
                <w:sz w:val="9"/>
                <w:szCs w:val="9"/>
                <w:color w:val="auto"/>
              </w:rPr>
            </w:pPr>
          </w:p>
        </w:tc>
        <w:tc>
          <w:tcPr>
            <w:tcW w:w="7200" w:type="dxa"/>
            <w:vAlign w:val="bottom"/>
            <w:tcBorders>
              <w:bottom w:val="single" w:sz="8" w:color="0E2A35"/>
            </w:tcBorders>
          </w:tcPr>
          <w:p>
            <w:pPr>
              <w:spacing w:after="0"/>
              <w:rPr>
                <w:sz w:val="9"/>
                <w:szCs w:val="9"/>
                <w:color w:val="auto"/>
              </w:rPr>
            </w:pPr>
          </w:p>
        </w:tc>
        <w:tc>
          <w:tcPr>
            <w:tcW w:w="880" w:type="dxa"/>
            <w:vAlign w:val="bottom"/>
          </w:tcPr>
          <w:p>
            <w:pPr>
              <w:spacing w:after="0"/>
              <w:rPr>
                <w:sz w:val="9"/>
                <w:szCs w:val="9"/>
                <w:color w:val="auto"/>
              </w:rPr>
            </w:pPr>
          </w:p>
        </w:tc>
      </w:tr>
      <w:tr>
        <w:trPr>
          <w:trHeight w:val="289"/>
        </w:trPr>
        <w:tc>
          <w:tcPr>
            <w:tcW w:w="860" w:type="dxa"/>
            <w:vAlign w:val="bottom"/>
          </w:tcPr>
          <w:p>
            <w:pPr>
              <w:spacing w:after="0"/>
              <w:rPr>
                <w:sz w:val="24"/>
                <w:szCs w:val="24"/>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Operations Optimization</w:t>
            </w:r>
          </w:p>
        </w:tc>
        <w:tc>
          <w:tcPr>
            <w:tcW w:w="100" w:type="dxa"/>
            <w:vAlign w:val="bottom"/>
            <w:shd w:val="clear" w:color="auto" w:fill="E6E6E6"/>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 A successful track record of operations optimization and/or improvement achieving results such as</w:t>
            </w:r>
          </w:p>
        </w:tc>
      </w:tr>
      <w:tr>
        <w:trPr>
          <w:trHeight w:val="186"/>
        </w:trPr>
        <w:tc>
          <w:tcPr>
            <w:tcW w:w="8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simplification or diversification of product offerings, capacity expansion, or cost reduction or continuous</w:t>
            </w:r>
          </w:p>
        </w:tc>
      </w:tr>
      <w:tr>
        <w:trPr>
          <w:trHeight w:val="182"/>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improvement.</w:t>
            </w:r>
          </w:p>
        </w:tc>
      </w:tr>
      <w:tr>
        <w:trPr>
          <w:trHeight w:val="391"/>
        </w:trPr>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 Well versed in continuous improvement and operational automation and technology that includes factory</w:t>
            </w:r>
          </w:p>
        </w:tc>
      </w:tr>
      <w:tr>
        <w:trPr>
          <w:trHeight w:val="203"/>
        </w:trPr>
        <w:tc>
          <w:tcPr>
            <w:tcW w:w="8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operations as well as broader supply chain and purchasing.</w:t>
            </w:r>
          </w:p>
        </w:tc>
      </w:tr>
      <w:tr>
        <w:trPr>
          <w:trHeight w:val="107"/>
        </w:trPr>
        <w:tc>
          <w:tcPr>
            <w:tcW w:w="860" w:type="dxa"/>
            <w:vAlign w:val="bottom"/>
          </w:tcPr>
          <w:p>
            <w:pPr>
              <w:spacing w:after="0"/>
              <w:rPr>
                <w:sz w:val="9"/>
                <w:szCs w:val="9"/>
                <w:color w:val="auto"/>
              </w:rPr>
            </w:pPr>
          </w:p>
        </w:tc>
        <w:tc>
          <w:tcPr>
            <w:tcW w:w="19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shd w:val="clear" w:color="auto" w:fill="E6E6E6"/>
          </w:tcPr>
          <w:p>
            <w:pPr>
              <w:spacing w:after="0"/>
              <w:rPr>
                <w:sz w:val="9"/>
                <w:szCs w:val="9"/>
                <w:color w:val="auto"/>
              </w:rPr>
            </w:pPr>
          </w:p>
        </w:tc>
        <w:tc>
          <w:tcPr>
            <w:tcW w:w="7200" w:type="dxa"/>
            <w:vAlign w:val="bottom"/>
            <w:tcBorders>
              <w:bottom w:val="single" w:sz="8" w:color="0E2A35"/>
            </w:tcBorders>
          </w:tcPr>
          <w:p>
            <w:pPr>
              <w:spacing w:after="0"/>
              <w:rPr>
                <w:sz w:val="9"/>
                <w:szCs w:val="9"/>
                <w:color w:val="auto"/>
              </w:rPr>
            </w:pPr>
          </w:p>
        </w:tc>
        <w:tc>
          <w:tcPr>
            <w:tcW w:w="880" w:type="dxa"/>
            <w:vAlign w:val="bottom"/>
          </w:tcPr>
          <w:p>
            <w:pPr>
              <w:spacing w:after="0"/>
              <w:rPr>
                <w:sz w:val="9"/>
                <w:szCs w:val="9"/>
                <w:color w:val="auto"/>
              </w:rPr>
            </w:pPr>
          </w:p>
        </w:tc>
      </w:tr>
      <w:tr>
        <w:trPr>
          <w:trHeight w:val="250"/>
        </w:trPr>
        <w:tc>
          <w:tcPr>
            <w:tcW w:w="860" w:type="dxa"/>
            <w:vAlign w:val="bottom"/>
          </w:tcPr>
          <w:p>
            <w:pPr>
              <w:spacing w:after="0"/>
              <w:rPr>
                <w:sz w:val="21"/>
                <w:szCs w:val="21"/>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Human Capital Mgmt/</w:t>
            </w:r>
          </w:p>
        </w:tc>
        <w:tc>
          <w:tcPr>
            <w:tcW w:w="100" w:type="dxa"/>
            <w:vAlign w:val="bottom"/>
            <w:shd w:val="clear" w:color="auto" w:fill="E6E6E6"/>
          </w:tcPr>
          <w:p>
            <w:pPr>
              <w:spacing w:after="0"/>
              <w:rPr>
                <w:sz w:val="21"/>
                <w:szCs w:val="21"/>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 Deep expertise recruiting, developing and retaining a diverse workforce with a strong track record of</w:t>
            </w:r>
          </w:p>
        </w:tc>
      </w:tr>
      <w:tr>
        <w:trPr>
          <w:trHeight w:val="231"/>
        </w:trPr>
        <w:tc>
          <w:tcPr>
            <w:tcW w:w="860" w:type="dxa"/>
            <w:vAlign w:val="bottom"/>
          </w:tcPr>
          <w:p>
            <w:pPr>
              <w:spacing w:after="0"/>
              <w:rPr>
                <w:sz w:val="20"/>
                <w:szCs w:val="20"/>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Compensation/DE&amp;I</w:t>
            </w:r>
          </w:p>
        </w:tc>
        <w:tc>
          <w:tcPr>
            <w:tcW w:w="100" w:type="dxa"/>
            <w:vAlign w:val="bottom"/>
            <w:shd w:val="clear" w:color="auto" w:fill="E6E6E6"/>
          </w:tcPr>
          <w:p>
            <w:pPr>
              <w:spacing w:after="0"/>
              <w:rPr>
                <w:sz w:val="20"/>
                <w:szCs w:val="20"/>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promoting diversity, equity and inclusion (DEI) and driving a high-performing culture.</w:t>
            </w:r>
          </w:p>
        </w:tc>
      </w:tr>
      <w:tr>
        <w:trPr>
          <w:trHeight w:val="392"/>
        </w:trPr>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 Demonstrated achievements across a range of strategic human capital topics, including (non-exhaustive):</w:t>
            </w:r>
          </w:p>
        </w:tc>
      </w:tr>
      <w:tr>
        <w:trPr>
          <w:trHeight w:val="196"/>
        </w:trPr>
        <w:tc>
          <w:tcPr>
            <w:tcW w:w="8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compensation programs, change management initiatives, succession planning, executive development</w:t>
            </w:r>
          </w:p>
        </w:tc>
      </w:tr>
      <w:tr>
        <w:trPr>
          <w:trHeight w:val="182"/>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and employee engagement models.</w:t>
            </w:r>
          </w:p>
        </w:tc>
      </w:tr>
      <w:tr>
        <w:trPr>
          <w:trHeight w:val="106"/>
        </w:trPr>
        <w:tc>
          <w:tcPr>
            <w:tcW w:w="860" w:type="dxa"/>
            <w:vAlign w:val="bottom"/>
          </w:tcPr>
          <w:p>
            <w:pPr>
              <w:spacing w:after="0"/>
              <w:rPr>
                <w:sz w:val="9"/>
                <w:szCs w:val="9"/>
                <w:color w:val="auto"/>
              </w:rPr>
            </w:pPr>
          </w:p>
        </w:tc>
        <w:tc>
          <w:tcPr>
            <w:tcW w:w="19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shd w:val="clear" w:color="auto" w:fill="E6E6E6"/>
          </w:tcPr>
          <w:p>
            <w:pPr>
              <w:spacing w:after="0"/>
              <w:rPr>
                <w:sz w:val="9"/>
                <w:szCs w:val="9"/>
                <w:color w:val="auto"/>
              </w:rPr>
            </w:pPr>
          </w:p>
        </w:tc>
        <w:tc>
          <w:tcPr>
            <w:tcW w:w="7200" w:type="dxa"/>
            <w:vAlign w:val="bottom"/>
            <w:tcBorders>
              <w:bottom w:val="single" w:sz="8" w:color="0E2A35"/>
            </w:tcBorders>
          </w:tcPr>
          <w:p>
            <w:pPr>
              <w:spacing w:after="0"/>
              <w:rPr>
                <w:sz w:val="9"/>
                <w:szCs w:val="9"/>
                <w:color w:val="auto"/>
              </w:rPr>
            </w:pPr>
          </w:p>
        </w:tc>
        <w:tc>
          <w:tcPr>
            <w:tcW w:w="880" w:type="dxa"/>
            <w:vAlign w:val="bottom"/>
          </w:tcPr>
          <w:p>
            <w:pPr>
              <w:spacing w:after="0"/>
              <w:rPr>
                <w:sz w:val="9"/>
                <w:szCs w:val="9"/>
                <w:color w:val="auto"/>
              </w:rPr>
            </w:pPr>
          </w:p>
        </w:tc>
      </w:tr>
      <w:tr>
        <w:trPr>
          <w:trHeight w:val="289"/>
        </w:trPr>
        <w:tc>
          <w:tcPr>
            <w:tcW w:w="860" w:type="dxa"/>
            <w:vAlign w:val="bottom"/>
          </w:tcPr>
          <w:p>
            <w:pPr>
              <w:spacing w:after="0"/>
              <w:rPr>
                <w:sz w:val="24"/>
                <w:szCs w:val="24"/>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Channel Development</w:t>
            </w:r>
          </w:p>
        </w:tc>
        <w:tc>
          <w:tcPr>
            <w:tcW w:w="100" w:type="dxa"/>
            <w:vAlign w:val="bottom"/>
            <w:shd w:val="clear" w:color="auto" w:fill="E6E6E6"/>
          </w:tcPr>
          <w:p>
            <w:pPr>
              <w:spacing w:after="0"/>
              <w:rPr>
                <w:sz w:val="24"/>
                <w:szCs w:val="24"/>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 Experience working with independent dealers and/or complex go-to-market models. Leadership in a</w:t>
            </w:r>
          </w:p>
        </w:tc>
      </w:tr>
      <w:tr>
        <w:trPr>
          <w:trHeight w:val="186"/>
        </w:trPr>
        <w:tc>
          <w:tcPr>
            <w:tcW w:w="8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business characterized by significant aftermarket parts and services contribution. Experience with</w:t>
            </w:r>
          </w:p>
        </w:tc>
      </w:tr>
      <w:tr>
        <w:trPr>
          <w:trHeight w:val="182"/>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omnichannel market and channel development/conflict.</w:t>
            </w:r>
          </w:p>
        </w:tc>
      </w:tr>
      <w:tr>
        <w:trPr>
          <w:trHeight w:val="106"/>
        </w:trPr>
        <w:tc>
          <w:tcPr>
            <w:tcW w:w="860" w:type="dxa"/>
            <w:vAlign w:val="bottom"/>
          </w:tcPr>
          <w:p>
            <w:pPr>
              <w:spacing w:after="0"/>
              <w:rPr>
                <w:sz w:val="9"/>
                <w:szCs w:val="9"/>
                <w:color w:val="auto"/>
              </w:rPr>
            </w:pPr>
          </w:p>
        </w:tc>
        <w:tc>
          <w:tcPr>
            <w:tcW w:w="19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shd w:val="clear" w:color="auto" w:fill="E6E6E6"/>
          </w:tcPr>
          <w:p>
            <w:pPr>
              <w:spacing w:after="0"/>
              <w:rPr>
                <w:sz w:val="9"/>
                <w:szCs w:val="9"/>
                <w:color w:val="auto"/>
              </w:rPr>
            </w:pPr>
          </w:p>
        </w:tc>
        <w:tc>
          <w:tcPr>
            <w:tcW w:w="7200" w:type="dxa"/>
            <w:vAlign w:val="bottom"/>
            <w:tcBorders>
              <w:bottom w:val="single" w:sz="8" w:color="0E2A35"/>
            </w:tcBorders>
          </w:tcPr>
          <w:p>
            <w:pPr>
              <w:spacing w:after="0"/>
              <w:rPr>
                <w:sz w:val="9"/>
                <w:szCs w:val="9"/>
                <w:color w:val="auto"/>
              </w:rPr>
            </w:pPr>
          </w:p>
        </w:tc>
        <w:tc>
          <w:tcPr>
            <w:tcW w:w="880" w:type="dxa"/>
            <w:vAlign w:val="bottom"/>
          </w:tcPr>
          <w:p>
            <w:pPr>
              <w:spacing w:after="0"/>
              <w:rPr>
                <w:sz w:val="9"/>
                <w:szCs w:val="9"/>
                <w:color w:val="auto"/>
              </w:rPr>
            </w:pPr>
          </w:p>
        </w:tc>
      </w:tr>
      <w:tr>
        <w:trPr>
          <w:trHeight w:val="250"/>
        </w:trPr>
        <w:tc>
          <w:tcPr>
            <w:tcW w:w="860" w:type="dxa"/>
            <w:vAlign w:val="bottom"/>
          </w:tcPr>
          <w:p>
            <w:pPr>
              <w:spacing w:after="0"/>
              <w:rPr>
                <w:sz w:val="21"/>
                <w:szCs w:val="21"/>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Public Affairs/Stakeholder</w:t>
            </w:r>
          </w:p>
        </w:tc>
        <w:tc>
          <w:tcPr>
            <w:tcW w:w="100" w:type="dxa"/>
            <w:vAlign w:val="bottom"/>
            <w:shd w:val="clear" w:color="auto" w:fill="E6E6E6"/>
          </w:tcPr>
          <w:p>
            <w:pPr>
              <w:spacing w:after="0"/>
              <w:rPr>
                <w:sz w:val="21"/>
                <w:szCs w:val="21"/>
                <w:color w:val="auto"/>
              </w:rPr>
            </w:pPr>
          </w:p>
        </w:tc>
        <w:tc>
          <w:tcPr>
            <w:tcW w:w="8080" w:type="dxa"/>
            <w:vAlign w:val="bottom"/>
            <w:gridSpan w:val="2"/>
          </w:tcPr>
          <w:p>
            <w:pPr>
              <w:ind w:left="100"/>
              <w:spacing w:after="0"/>
              <w:rPr>
                <w:sz w:val="20"/>
                <w:szCs w:val="20"/>
                <w:color w:val="auto"/>
              </w:rPr>
            </w:pPr>
            <w:r>
              <w:rPr>
                <w:rFonts w:ascii="Arial" w:cs="Arial" w:eastAsia="Arial" w:hAnsi="Arial"/>
                <w:sz w:val="11"/>
                <w:szCs w:val="11"/>
                <w:color w:val="C7D265"/>
              </w:rPr>
              <w:t>■ </w:t>
            </w:r>
            <w:r>
              <w:rPr>
                <w:rFonts w:ascii="Arial" w:cs="Arial" w:eastAsia="Arial" w:hAnsi="Arial"/>
                <w:sz w:val="14"/>
                <w:szCs w:val="14"/>
                <w:color w:val="0E2A35"/>
              </w:rPr>
              <w:t> Experience managing relationships with company stakeholders and external communications.</w:t>
            </w:r>
          </w:p>
        </w:tc>
      </w:tr>
      <w:tr>
        <w:trPr>
          <w:trHeight w:val="224"/>
        </w:trPr>
        <w:tc>
          <w:tcPr>
            <w:tcW w:w="860" w:type="dxa"/>
            <w:vAlign w:val="bottom"/>
          </w:tcPr>
          <w:p>
            <w:pPr>
              <w:spacing w:after="0"/>
              <w:rPr>
                <w:sz w:val="19"/>
                <w:szCs w:val="19"/>
                <w:color w:val="auto"/>
              </w:rPr>
            </w:pPr>
          </w:p>
        </w:tc>
        <w:tc>
          <w:tcPr>
            <w:tcW w:w="1980" w:type="dxa"/>
            <w:vAlign w:val="bottom"/>
          </w:tcPr>
          <w:p>
            <w:pPr>
              <w:ind w:left="60"/>
              <w:spacing w:after="0"/>
              <w:rPr>
                <w:sz w:val="20"/>
                <w:szCs w:val="20"/>
                <w:color w:val="auto"/>
              </w:rPr>
            </w:pPr>
            <w:r>
              <w:rPr>
                <w:rFonts w:ascii="Arial" w:cs="Arial" w:eastAsia="Arial" w:hAnsi="Arial"/>
                <w:sz w:val="14"/>
                <w:szCs w:val="14"/>
                <w:b w:val="1"/>
                <w:bCs w:val="1"/>
                <w:color w:val="0E2A35"/>
              </w:rPr>
              <w:t>Mgmt</w:t>
            </w:r>
          </w:p>
        </w:tc>
        <w:tc>
          <w:tcPr>
            <w:tcW w:w="100" w:type="dxa"/>
            <w:vAlign w:val="bottom"/>
            <w:shd w:val="clear" w:color="auto" w:fill="E6E6E6"/>
          </w:tcPr>
          <w:p>
            <w:pPr>
              <w:spacing w:after="0"/>
              <w:rPr>
                <w:sz w:val="19"/>
                <w:szCs w:val="19"/>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Appreciation for the expectations of the investor base (for example on topics such as environmental, social</w:t>
            </w:r>
          </w:p>
        </w:tc>
      </w:tr>
      <w:tr>
        <w:trPr>
          <w:trHeight w:val="176"/>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and governance (ESG) and sustainability) and is broadly networked across relevant stakeholder groups,</w:t>
            </w:r>
          </w:p>
        </w:tc>
      </w:tr>
      <w:tr>
        <w:trPr>
          <w:trHeight w:val="182"/>
        </w:trPr>
        <w:tc>
          <w:tcPr>
            <w:tcW w:w="8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including the government, industry associations and the Investor/venture capital/private equity community</w:t>
            </w:r>
          </w:p>
        </w:tc>
      </w:tr>
      <w:tr>
        <w:trPr>
          <w:trHeight w:val="189"/>
        </w:trPr>
        <w:tc>
          <w:tcPr>
            <w:tcW w:w="8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8080" w:type="dxa"/>
            <w:vAlign w:val="bottom"/>
            <w:gridSpan w:val="2"/>
          </w:tcPr>
          <w:p>
            <w:pPr>
              <w:ind w:left="420"/>
              <w:spacing w:after="0"/>
              <w:rPr>
                <w:sz w:val="20"/>
                <w:szCs w:val="20"/>
                <w:color w:val="auto"/>
              </w:rPr>
            </w:pPr>
            <w:r>
              <w:rPr>
                <w:rFonts w:ascii="Arial" w:cs="Arial" w:eastAsia="Arial" w:hAnsi="Arial"/>
                <w:sz w:val="14"/>
                <w:szCs w:val="14"/>
                <w:color w:val="0E2A35"/>
              </w:rPr>
              <w:t>(as relevant).</w:t>
            </w:r>
          </w:p>
        </w:tc>
      </w:tr>
      <w:tr>
        <w:trPr>
          <w:trHeight w:val="106"/>
        </w:trPr>
        <w:tc>
          <w:tcPr>
            <w:tcW w:w="860" w:type="dxa"/>
            <w:vAlign w:val="bottom"/>
          </w:tcPr>
          <w:p>
            <w:pPr>
              <w:spacing w:after="0"/>
              <w:rPr>
                <w:sz w:val="9"/>
                <w:szCs w:val="9"/>
                <w:color w:val="auto"/>
              </w:rPr>
            </w:pPr>
          </w:p>
        </w:tc>
        <w:tc>
          <w:tcPr>
            <w:tcW w:w="19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shd w:val="clear" w:color="auto" w:fill="E6E6E6"/>
          </w:tcPr>
          <w:p>
            <w:pPr>
              <w:spacing w:after="0"/>
              <w:rPr>
                <w:sz w:val="9"/>
                <w:szCs w:val="9"/>
                <w:color w:val="auto"/>
              </w:rPr>
            </w:pPr>
          </w:p>
        </w:tc>
        <w:tc>
          <w:tcPr>
            <w:tcW w:w="7200" w:type="dxa"/>
            <w:vAlign w:val="bottom"/>
            <w:tcBorders>
              <w:bottom w:val="single" w:sz="8" w:color="0E2A35"/>
            </w:tcBorders>
          </w:tcPr>
          <w:p>
            <w:pPr>
              <w:spacing w:after="0"/>
              <w:rPr>
                <w:sz w:val="9"/>
                <w:szCs w:val="9"/>
                <w:color w:val="auto"/>
              </w:rPr>
            </w:pPr>
          </w:p>
        </w:tc>
        <w:tc>
          <w:tcPr>
            <w:tcW w:w="880" w:type="dxa"/>
            <w:vAlign w:val="bottom"/>
          </w:tcPr>
          <w:p>
            <w:pPr>
              <w:spacing w:after="0"/>
              <w:rPr>
                <w:sz w:val="9"/>
                <w:szCs w:val="9"/>
                <w:color w:val="auto"/>
              </w:rPr>
            </w:pPr>
          </w:p>
        </w:tc>
      </w:tr>
      <w:tr>
        <w:trPr>
          <w:trHeight w:val="471"/>
        </w:trPr>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80" w:type="dxa"/>
            <w:vAlign w:val="bottom"/>
            <w:gridSpan w:val="2"/>
          </w:tcPr>
          <w:p>
            <w:pPr>
              <w:ind w:left="4480"/>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12</w:t>
            </w:r>
          </w:p>
        </w:tc>
      </w:tr>
      <w:tr>
        <w:trPr>
          <w:trHeight w:val="299"/>
        </w:trPr>
        <w:tc>
          <w:tcPr>
            <w:tcW w:w="8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-299720</wp:posOffset>
            </wp:positionV>
            <wp:extent cx="146558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Board and Shareholder Meeting Attendance</w:t>
      </w:r>
    </w:p>
    <w:p>
      <w:pPr>
        <w:spacing w:after="0" w:line="20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0E2A35"/>
        </w:rPr>
        <w:t>During fiscal 2023, the Board met six times. Each director who served on the Board during fiscal 2023 attended at least 75% of the meetings of the Board and the committees on which he or she served that were held during his or her tenure on the Board or relevant committee. It is the Board’s policy that directors are encouraged, but are not required, to attend the annual meeting of shareholders. All of our then-serving directors attended the 2022 annual meeting of shareholders. During the year, our independent directors held executive sessions without the CEO or other management as a routinely scheduled agenda item for every regular Board meeting.</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Board Committees</w:t>
      </w:r>
    </w:p>
    <w:p>
      <w:pPr>
        <w:spacing w:after="0" w:line="188"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0E2A35"/>
        </w:rPr>
        <w:t xml:space="preserve">The Board has established the Audit, Human Resources, Nominating and Governance, and Finance committees to assist it in discharging its responsibilities. Each committee operates under a written charter, each of which is available under “Corporate Governance” in the “Investors” section of our website at </w:t>
      </w:r>
      <w:r>
        <w:rPr>
          <w:rFonts w:ascii="Arial" w:cs="Arial" w:eastAsia="Arial" w:hAnsi="Arial"/>
          <w:sz w:val="16"/>
          <w:szCs w:val="16"/>
          <w:b w:val="1"/>
          <w:bCs w:val="1"/>
          <w:color w:val="0E2A35"/>
        </w:rPr>
        <w:t>www.winnebagoind.com</w:t>
      </w:r>
      <w:r>
        <w:rPr>
          <w:rFonts w:ascii="Arial" w:cs="Arial" w:eastAsia="Arial" w:hAnsi="Arial"/>
          <w:sz w:val="16"/>
          <w:szCs w:val="16"/>
          <w:color w:val="0E2A35"/>
        </w:rPr>
        <w:t>. The current membership of each committee and its primary responsibilities, as well as the number of meetings held by each of these committees during fiscal 2023, are described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20" w:type="dxa"/>
            <w:vAlign w:val="bottom"/>
            <w:shd w:val="clear" w:color="auto" w:fill="0E2A35"/>
          </w:tcPr>
          <w:p>
            <w:pPr>
              <w:spacing w:after="0"/>
              <w:rPr>
                <w:sz w:val="22"/>
                <w:szCs w:val="22"/>
                <w:color w:val="auto"/>
              </w:rPr>
            </w:pPr>
          </w:p>
        </w:tc>
        <w:tc>
          <w:tcPr>
            <w:tcW w:w="1360" w:type="dxa"/>
            <w:vAlign w:val="bottom"/>
            <w:shd w:val="clear" w:color="auto" w:fill="0E2A35"/>
          </w:tcPr>
          <w:p>
            <w:pPr>
              <w:spacing w:after="0"/>
              <w:rPr>
                <w:sz w:val="22"/>
                <w:szCs w:val="22"/>
                <w:color w:val="auto"/>
              </w:rPr>
            </w:pPr>
          </w:p>
        </w:tc>
        <w:tc>
          <w:tcPr>
            <w:tcW w:w="3700" w:type="dxa"/>
            <w:vAlign w:val="bottom"/>
            <w:gridSpan w:val="2"/>
            <w:shd w:val="clear" w:color="auto" w:fill="0E2A35"/>
          </w:tcPr>
          <w:p>
            <w:pPr>
              <w:ind w:left="1360"/>
              <w:spacing w:after="0"/>
              <w:rPr>
                <w:sz w:val="20"/>
                <w:szCs w:val="20"/>
                <w:color w:val="auto"/>
              </w:rPr>
            </w:pPr>
            <w:r>
              <w:rPr>
                <w:rFonts w:ascii="Arial" w:cs="Arial" w:eastAsia="Arial" w:hAnsi="Arial"/>
                <w:sz w:val="13"/>
                <w:szCs w:val="13"/>
                <w:b w:val="1"/>
                <w:bCs w:val="1"/>
                <w:color w:val="FFFFFF"/>
              </w:rPr>
              <w:t>Board Committees</w:t>
            </w:r>
          </w:p>
        </w:tc>
        <w:tc>
          <w:tcPr>
            <w:tcW w:w="1300" w:type="dxa"/>
            <w:vAlign w:val="bottom"/>
            <w:shd w:val="clear" w:color="auto" w:fill="0E2A35"/>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20" w:type="dxa"/>
            <w:vAlign w:val="bottom"/>
            <w:shd w:val="clear" w:color="auto" w:fill="0E2A35"/>
          </w:tcPr>
          <w:p>
            <w:pPr>
              <w:spacing w:after="0"/>
              <w:rPr>
                <w:sz w:val="23"/>
                <w:szCs w:val="23"/>
                <w:color w:val="auto"/>
              </w:rPr>
            </w:pPr>
          </w:p>
        </w:tc>
        <w:tc>
          <w:tcPr>
            <w:tcW w:w="1360" w:type="dxa"/>
            <w:vAlign w:val="bottom"/>
            <w:vMerge w:val="restart"/>
            <w:shd w:val="clear" w:color="auto" w:fill="0E2A35"/>
          </w:tcPr>
          <w:p>
            <w:pPr>
              <w:jc w:val="center"/>
              <w:ind w:left="210"/>
              <w:spacing w:after="0"/>
              <w:rPr>
                <w:sz w:val="20"/>
                <w:szCs w:val="20"/>
                <w:color w:val="auto"/>
              </w:rPr>
            </w:pPr>
            <w:r>
              <w:rPr>
                <w:rFonts w:ascii="Arial" w:cs="Arial" w:eastAsia="Arial" w:hAnsi="Arial"/>
                <w:sz w:val="13"/>
                <w:szCs w:val="13"/>
                <w:b w:val="1"/>
                <w:bCs w:val="1"/>
                <w:color w:val="FFFFFF"/>
                <w:w w:val="96"/>
              </w:rPr>
              <w:t>Audit</w:t>
            </w:r>
          </w:p>
        </w:tc>
        <w:tc>
          <w:tcPr>
            <w:tcW w:w="180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Human Resources</w:t>
            </w:r>
          </w:p>
        </w:tc>
        <w:tc>
          <w:tcPr>
            <w:tcW w:w="1900" w:type="dxa"/>
            <w:vAlign w:val="bottom"/>
            <w:shd w:val="clear" w:color="auto" w:fill="0E2A35"/>
          </w:tcPr>
          <w:p>
            <w:pPr>
              <w:jc w:val="center"/>
              <w:ind w:right="191"/>
              <w:spacing w:after="0"/>
              <w:rPr>
                <w:sz w:val="20"/>
                <w:szCs w:val="20"/>
                <w:color w:val="auto"/>
              </w:rPr>
            </w:pPr>
            <w:r>
              <w:rPr>
                <w:rFonts w:ascii="Arial" w:cs="Arial" w:eastAsia="Arial" w:hAnsi="Arial"/>
                <w:sz w:val="13"/>
                <w:szCs w:val="13"/>
                <w:b w:val="1"/>
                <w:bCs w:val="1"/>
                <w:color w:val="FFFFFF"/>
                <w:w w:val="97"/>
              </w:rPr>
              <w:t>Nominating and</w:t>
            </w:r>
          </w:p>
        </w:tc>
        <w:tc>
          <w:tcPr>
            <w:tcW w:w="130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Finance</w:t>
            </w:r>
          </w:p>
        </w:tc>
        <w:tc>
          <w:tcPr>
            <w:tcW w:w="0" w:type="dxa"/>
            <w:vAlign w:val="bottom"/>
          </w:tcPr>
          <w:p>
            <w:pPr>
              <w:spacing w:after="0"/>
              <w:rPr>
                <w:sz w:val="1"/>
                <w:szCs w:val="1"/>
                <w:color w:val="auto"/>
              </w:rPr>
            </w:pPr>
          </w:p>
        </w:tc>
      </w:tr>
      <w:tr>
        <w:trPr>
          <w:trHeight w:val="176"/>
        </w:trPr>
        <w:tc>
          <w:tcPr>
            <w:tcW w:w="2920" w:type="dxa"/>
            <w:vAlign w:val="bottom"/>
            <w:shd w:val="clear" w:color="auto" w:fill="0E2A35"/>
          </w:tcPr>
          <w:p>
            <w:pPr>
              <w:spacing w:after="0"/>
              <w:rPr>
                <w:sz w:val="15"/>
                <w:szCs w:val="15"/>
                <w:color w:val="auto"/>
              </w:rPr>
            </w:pPr>
          </w:p>
        </w:tc>
        <w:tc>
          <w:tcPr>
            <w:tcW w:w="1360" w:type="dxa"/>
            <w:vAlign w:val="bottom"/>
            <w:vMerge w:val="continue"/>
            <w:shd w:val="clear" w:color="auto" w:fill="0E2A35"/>
          </w:tcPr>
          <w:p>
            <w:pPr>
              <w:spacing w:after="0"/>
              <w:rPr>
                <w:sz w:val="15"/>
                <w:szCs w:val="15"/>
                <w:color w:val="auto"/>
              </w:rPr>
            </w:pPr>
          </w:p>
        </w:tc>
        <w:tc>
          <w:tcPr>
            <w:tcW w:w="1800" w:type="dxa"/>
            <w:vAlign w:val="bottom"/>
            <w:vMerge w:val="continue"/>
            <w:shd w:val="clear" w:color="auto" w:fill="0E2A35"/>
          </w:tcPr>
          <w:p>
            <w:pPr>
              <w:spacing w:after="0"/>
              <w:rPr>
                <w:sz w:val="15"/>
                <w:szCs w:val="15"/>
                <w:color w:val="auto"/>
              </w:rPr>
            </w:pPr>
          </w:p>
        </w:tc>
        <w:tc>
          <w:tcPr>
            <w:tcW w:w="1900" w:type="dxa"/>
            <w:vAlign w:val="bottom"/>
            <w:shd w:val="clear" w:color="auto" w:fill="0E2A35"/>
          </w:tcPr>
          <w:p>
            <w:pPr>
              <w:jc w:val="center"/>
              <w:ind w:right="151"/>
              <w:spacing w:after="0"/>
              <w:rPr>
                <w:sz w:val="20"/>
                <w:szCs w:val="20"/>
                <w:color w:val="auto"/>
              </w:rPr>
            </w:pPr>
            <w:r>
              <w:rPr>
                <w:rFonts w:ascii="Arial" w:cs="Arial" w:eastAsia="Arial" w:hAnsi="Arial"/>
                <w:sz w:val="13"/>
                <w:szCs w:val="13"/>
                <w:b w:val="1"/>
                <w:bCs w:val="1"/>
                <w:color w:val="FFFFFF"/>
                <w:w w:val="95"/>
              </w:rPr>
              <w:t>Governance</w:t>
            </w:r>
          </w:p>
        </w:tc>
        <w:tc>
          <w:tcPr>
            <w:tcW w:w="1300" w:type="dxa"/>
            <w:vAlign w:val="bottom"/>
            <w:vMerge w:val="continue"/>
            <w:shd w:val="clear" w:color="auto" w:fill="0E2A35"/>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920" w:type="dxa"/>
            <w:vAlign w:val="bottom"/>
            <w:shd w:val="clear" w:color="auto" w:fill="0E2A35"/>
          </w:tcPr>
          <w:p>
            <w:pPr>
              <w:spacing w:after="0"/>
              <w:rPr>
                <w:sz w:val="5"/>
                <w:szCs w:val="5"/>
                <w:color w:val="auto"/>
              </w:rPr>
            </w:pPr>
          </w:p>
        </w:tc>
        <w:tc>
          <w:tcPr>
            <w:tcW w:w="1360" w:type="dxa"/>
            <w:vAlign w:val="bottom"/>
            <w:shd w:val="clear" w:color="auto" w:fill="0E2A35"/>
          </w:tcPr>
          <w:p>
            <w:pPr>
              <w:spacing w:after="0"/>
              <w:rPr>
                <w:sz w:val="5"/>
                <w:szCs w:val="5"/>
                <w:color w:val="auto"/>
              </w:rPr>
            </w:pPr>
          </w:p>
        </w:tc>
        <w:tc>
          <w:tcPr>
            <w:tcW w:w="1800" w:type="dxa"/>
            <w:vAlign w:val="bottom"/>
            <w:shd w:val="clear" w:color="auto" w:fill="0E2A35"/>
          </w:tcPr>
          <w:p>
            <w:pPr>
              <w:spacing w:after="0"/>
              <w:rPr>
                <w:sz w:val="5"/>
                <w:szCs w:val="5"/>
                <w:color w:val="auto"/>
              </w:rPr>
            </w:pPr>
          </w:p>
        </w:tc>
        <w:tc>
          <w:tcPr>
            <w:tcW w:w="1900" w:type="dxa"/>
            <w:vAlign w:val="bottom"/>
            <w:shd w:val="clear" w:color="auto" w:fill="0E2A35"/>
          </w:tcPr>
          <w:p>
            <w:pPr>
              <w:spacing w:after="0"/>
              <w:rPr>
                <w:sz w:val="5"/>
                <w:szCs w:val="5"/>
                <w:color w:val="auto"/>
              </w:rPr>
            </w:pPr>
          </w:p>
        </w:tc>
        <w:tc>
          <w:tcPr>
            <w:tcW w:w="1300" w:type="dxa"/>
            <w:vAlign w:val="bottom"/>
            <w:shd w:val="clear" w:color="auto" w:fill="0E2A35"/>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920" w:type="dxa"/>
            <w:vAlign w:val="bottom"/>
          </w:tcPr>
          <w:p>
            <w:pPr>
              <w:ind w:left="60"/>
              <w:spacing w:after="0"/>
              <w:rPr>
                <w:sz w:val="20"/>
                <w:szCs w:val="20"/>
                <w:color w:val="auto"/>
              </w:rPr>
            </w:pPr>
            <w:r>
              <w:rPr>
                <w:rFonts w:ascii="Arial" w:cs="Arial" w:eastAsia="Arial" w:hAnsi="Arial"/>
                <w:sz w:val="14"/>
                <w:szCs w:val="14"/>
                <w:color w:val="0E2A35"/>
              </w:rPr>
              <w:t>Sara E. Armbruster</w:t>
            </w:r>
          </w:p>
        </w:tc>
        <w:tc>
          <w:tcPr>
            <w:tcW w:w="1360" w:type="dxa"/>
            <w:vAlign w:val="bottom"/>
          </w:tcPr>
          <w:p>
            <w:pPr>
              <w:spacing w:after="0"/>
              <w:rPr>
                <w:sz w:val="24"/>
                <w:szCs w:val="24"/>
                <w:color w:val="auto"/>
              </w:rPr>
            </w:pPr>
          </w:p>
        </w:tc>
        <w:tc>
          <w:tcPr>
            <w:tcW w:w="1800" w:type="dxa"/>
            <w:vAlign w:val="bottom"/>
          </w:tcPr>
          <w:p>
            <w:pPr>
              <w:ind w:left="820"/>
              <w:spacing w:after="0"/>
              <w:rPr>
                <w:sz w:val="20"/>
                <w:szCs w:val="20"/>
                <w:color w:val="auto"/>
              </w:rPr>
            </w:pPr>
            <w:r>
              <w:rPr>
                <w:rFonts w:ascii="Arial" w:cs="Arial" w:eastAsia="Arial" w:hAnsi="Arial"/>
                <w:sz w:val="14"/>
                <w:szCs w:val="14"/>
                <w:color w:val="0E2A35"/>
              </w:rPr>
              <w:t>​</w:t>
            </w:r>
          </w:p>
        </w:tc>
        <w:tc>
          <w:tcPr>
            <w:tcW w:w="1900" w:type="dxa"/>
            <w:vAlign w:val="bottom"/>
          </w:tcPr>
          <w:p>
            <w:pPr>
              <w:ind w:left="840"/>
              <w:spacing w:after="0"/>
              <w:rPr>
                <w:sz w:val="20"/>
                <w:szCs w:val="20"/>
                <w:color w:val="auto"/>
              </w:rPr>
            </w:pPr>
            <w:r>
              <w:rPr>
                <w:rFonts w:ascii="Arial" w:cs="Arial" w:eastAsia="Arial" w:hAnsi="Arial"/>
                <w:sz w:val="14"/>
                <w:szCs w:val="14"/>
                <w:color w:val="0E2A35"/>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920" w:type="dxa"/>
            <w:vAlign w:val="bottom"/>
            <w:tcBorders>
              <w:bottom w:val="single" w:sz="8" w:color="0E2A35"/>
            </w:tcBorders>
          </w:tcPr>
          <w:p>
            <w:pPr>
              <w:spacing w:after="0"/>
              <w:rPr>
                <w:sz w:val="5"/>
                <w:szCs w:val="5"/>
                <w:color w:val="auto"/>
              </w:rPr>
            </w:pPr>
          </w:p>
        </w:tc>
        <w:tc>
          <w:tcPr>
            <w:tcW w:w="1360" w:type="dxa"/>
            <w:vAlign w:val="bottom"/>
            <w:tcBorders>
              <w:bottom w:val="single" w:sz="8" w:color="0E2A35"/>
            </w:tcBorders>
          </w:tcPr>
          <w:p>
            <w:pPr>
              <w:spacing w:after="0"/>
              <w:rPr>
                <w:sz w:val="5"/>
                <w:szCs w:val="5"/>
                <w:color w:val="auto"/>
              </w:rPr>
            </w:pPr>
          </w:p>
        </w:tc>
        <w:tc>
          <w:tcPr>
            <w:tcW w:w="1800" w:type="dxa"/>
            <w:vAlign w:val="bottom"/>
            <w:tcBorders>
              <w:bottom w:val="single" w:sz="8" w:color="0E2A35"/>
            </w:tcBorders>
          </w:tcPr>
          <w:p>
            <w:pPr>
              <w:spacing w:after="0"/>
              <w:rPr>
                <w:sz w:val="5"/>
                <w:szCs w:val="5"/>
                <w:color w:val="auto"/>
              </w:rPr>
            </w:pPr>
          </w:p>
        </w:tc>
        <w:tc>
          <w:tcPr>
            <w:tcW w:w="1900" w:type="dxa"/>
            <w:vAlign w:val="bottom"/>
            <w:tcBorders>
              <w:bottom w:val="single" w:sz="8" w:color="0E2A35"/>
            </w:tcBorders>
          </w:tcPr>
          <w:p>
            <w:pPr>
              <w:spacing w:after="0"/>
              <w:rPr>
                <w:sz w:val="5"/>
                <w:szCs w:val="5"/>
                <w:color w:val="auto"/>
              </w:rPr>
            </w:pPr>
          </w:p>
        </w:tc>
        <w:tc>
          <w:tcPr>
            <w:tcW w:w="1300" w:type="dxa"/>
            <w:vAlign w:val="bottom"/>
            <w:tcBorders>
              <w:bottom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920" w:type="dxa"/>
            <w:vAlign w:val="bottom"/>
            <w:vMerge w:val="restart"/>
          </w:tcPr>
          <w:p>
            <w:pPr>
              <w:ind w:left="60"/>
              <w:spacing w:after="0"/>
              <w:rPr>
                <w:sz w:val="20"/>
                <w:szCs w:val="20"/>
                <w:color w:val="auto"/>
              </w:rPr>
            </w:pPr>
            <w:r>
              <w:rPr>
                <w:rFonts w:ascii="Arial" w:cs="Arial" w:eastAsia="Arial" w:hAnsi="Arial"/>
                <w:sz w:val="14"/>
                <w:szCs w:val="14"/>
                <w:color w:val="0E2A35"/>
              </w:rPr>
              <w:t>Christopher J. Braun</w:t>
            </w:r>
          </w:p>
        </w:tc>
        <w:tc>
          <w:tcPr>
            <w:tcW w:w="1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900" w:type="dxa"/>
            <w:vAlign w:val="bottom"/>
          </w:tcPr>
          <w:p>
            <w:pPr>
              <w:ind w:left="1300"/>
              <w:spacing w:after="0" w:line="110" w:lineRule="exact"/>
              <w:rPr>
                <w:sz w:val="20"/>
                <w:szCs w:val="20"/>
                <w:color w:val="auto"/>
              </w:rPr>
            </w:pPr>
            <w:r>
              <w:rPr>
                <w:rFonts w:ascii="Arial" w:cs="Arial" w:eastAsia="Arial" w:hAnsi="Arial"/>
                <w:sz w:val="12"/>
                <w:szCs w:val="12"/>
                <w:color w:val="0E2A35"/>
              </w:rPr>
              <w:t> </w:t>
            </w: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920" w:type="dxa"/>
            <w:vAlign w:val="bottom"/>
            <w:vMerge w:val="continue"/>
          </w:tcPr>
          <w:p>
            <w:pPr>
              <w:spacing w:after="0"/>
              <w:rPr>
                <w:sz w:val="15"/>
                <w:szCs w:val="15"/>
                <w:color w:val="auto"/>
              </w:rPr>
            </w:pPr>
          </w:p>
        </w:tc>
        <w:tc>
          <w:tcPr>
            <w:tcW w:w="1360" w:type="dxa"/>
            <w:vAlign w:val="bottom"/>
          </w:tcPr>
          <w:p>
            <w:pPr>
              <w:ind w:left="900"/>
              <w:spacing w:after="0"/>
              <w:rPr>
                <w:sz w:val="20"/>
                <w:szCs w:val="20"/>
                <w:color w:val="auto"/>
              </w:rPr>
            </w:pPr>
            <w:r>
              <w:rPr>
                <w:rFonts w:ascii="Arial" w:cs="Arial" w:eastAsia="Arial" w:hAnsi="Arial"/>
                <w:sz w:val="14"/>
                <w:szCs w:val="14"/>
                <w:color w:val="0E2A35"/>
              </w:rPr>
              <w:t>​</w:t>
            </w:r>
          </w:p>
        </w:tc>
        <w:tc>
          <w:tcPr>
            <w:tcW w:w="1800" w:type="dxa"/>
            <w:vAlign w:val="bottom"/>
          </w:tcPr>
          <w:p>
            <w:pPr>
              <w:spacing w:after="0"/>
              <w:rPr>
                <w:sz w:val="15"/>
                <w:szCs w:val="15"/>
                <w:color w:val="auto"/>
              </w:rPr>
            </w:pPr>
          </w:p>
        </w:tc>
        <w:tc>
          <w:tcPr>
            <w:tcW w:w="1900" w:type="dxa"/>
            <w:vAlign w:val="bottom"/>
          </w:tcPr>
          <w:p>
            <w:pPr>
              <w:ind w:left="1440"/>
              <w:spacing w:after="0"/>
              <w:rPr>
                <w:sz w:val="20"/>
                <w:szCs w:val="20"/>
                <w:color w:val="auto"/>
              </w:rPr>
            </w:pPr>
            <w:r>
              <w:rPr>
                <w:rFonts w:ascii="Arial" w:cs="Arial" w:eastAsia="Arial" w:hAnsi="Arial"/>
                <w:sz w:val="14"/>
                <w:szCs w:val="14"/>
                <w:color w:val="0E2A35"/>
              </w:rPr>
              <w:t>​</w:t>
            </w:r>
          </w:p>
        </w:tc>
        <w:tc>
          <w:tcPr>
            <w:tcW w:w="1300" w:type="dxa"/>
            <w:vAlign w:val="bottom"/>
          </w:tcPr>
          <w:p>
            <w:pPr>
              <w:ind w:left="66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66"/>
        </w:trPr>
        <w:tc>
          <w:tcPr>
            <w:tcW w:w="2920" w:type="dxa"/>
            <w:vAlign w:val="bottom"/>
            <w:tcBorders>
              <w:bottom w:val="single" w:sz="8" w:color="0E2A35"/>
            </w:tcBorders>
          </w:tcPr>
          <w:p>
            <w:pPr>
              <w:spacing w:after="0"/>
              <w:rPr>
                <w:sz w:val="5"/>
                <w:szCs w:val="5"/>
                <w:color w:val="auto"/>
              </w:rPr>
            </w:pPr>
          </w:p>
        </w:tc>
        <w:tc>
          <w:tcPr>
            <w:tcW w:w="1360" w:type="dxa"/>
            <w:vAlign w:val="bottom"/>
            <w:tcBorders>
              <w:bottom w:val="single" w:sz="8" w:color="0E2A35"/>
            </w:tcBorders>
          </w:tcPr>
          <w:p>
            <w:pPr>
              <w:spacing w:after="0"/>
              <w:rPr>
                <w:sz w:val="5"/>
                <w:szCs w:val="5"/>
                <w:color w:val="auto"/>
              </w:rPr>
            </w:pPr>
          </w:p>
        </w:tc>
        <w:tc>
          <w:tcPr>
            <w:tcW w:w="1800" w:type="dxa"/>
            <w:vAlign w:val="bottom"/>
            <w:tcBorders>
              <w:bottom w:val="single" w:sz="8" w:color="0E2A35"/>
            </w:tcBorders>
          </w:tcPr>
          <w:p>
            <w:pPr>
              <w:spacing w:after="0"/>
              <w:rPr>
                <w:sz w:val="5"/>
                <w:szCs w:val="5"/>
                <w:color w:val="auto"/>
              </w:rPr>
            </w:pPr>
          </w:p>
        </w:tc>
        <w:tc>
          <w:tcPr>
            <w:tcW w:w="1900" w:type="dxa"/>
            <w:vAlign w:val="bottom"/>
            <w:tcBorders>
              <w:bottom w:val="single" w:sz="8" w:color="0E2A35"/>
            </w:tcBorders>
          </w:tcPr>
          <w:p>
            <w:pPr>
              <w:spacing w:after="0"/>
              <w:rPr>
                <w:sz w:val="5"/>
                <w:szCs w:val="5"/>
                <w:color w:val="auto"/>
              </w:rPr>
            </w:pPr>
          </w:p>
        </w:tc>
        <w:tc>
          <w:tcPr>
            <w:tcW w:w="1300" w:type="dxa"/>
            <w:vAlign w:val="bottom"/>
            <w:tcBorders>
              <w:bottom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302"/>
        </w:trPr>
        <w:tc>
          <w:tcPr>
            <w:tcW w:w="2920" w:type="dxa"/>
            <w:vAlign w:val="bottom"/>
          </w:tcPr>
          <w:p>
            <w:pPr>
              <w:ind w:left="60"/>
              <w:spacing w:after="0"/>
              <w:rPr>
                <w:sz w:val="20"/>
                <w:szCs w:val="20"/>
                <w:color w:val="auto"/>
              </w:rPr>
            </w:pPr>
            <w:r>
              <w:rPr>
                <w:rFonts w:ascii="Arial" w:cs="Arial" w:eastAsia="Arial" w:hAnsi="Arial"/>
                <w:sz w:val="14"/>
                <w:szCs w:val="14"/>
                <w:color w:val="0E2A35"/>
              </w:rPr>
              <w:t>Kevin E. Bryant*</w:t>
            </w:r>
          </w:p>
        </w:tc>
        <w:tc>
          <w:tcPr>
            <w:tcW w:w="1360" w:type="dxa"/>
            <w:vAlign w:val="bottom"/>
          </w:tcPr>
          <w:p>
            <w:pPr>
              <w:ind w:left="740"/>
              <w:spacing w:after="0"/>
              <w:rPr>
                <w:sz w:val="20"/>
                <w:szCs w:val="20"/>
                <w:color w:val="auto"/>
              </w:rPr>
            </w:pPr>
            <w:r>
              <w:rPr>
                <w:rFonts w:ascii="Arial" w:cs="Arial" w:eastAsia="Arial" w:hAnsi="Arial"/>
                <w:sz w:val="14"/>
                <w:szCs w:val="14"/>
                <w:color w:val="0E2A35"/>
              </w:rPr>
              <w:t>​</w:t>
            </w:r>
          </w:p>
        </w:tc>
        <w:tc>
          <w:tcPr>
            <w:tcW w:w="1800" w:type="dxa"/>
            <w:vAlign w:val="bottom"/>
          </w:tcPr>
          <w:p>
            <w:pPr>
              <w:spacing w:after="0"/>
              <w:rPr>
                <w:sz w:val="24"/>
                <w:szCs w:val="24"/>
                <w:color w:val="auto"/>
              </w:rPr>
            </w:pPr>
          </w:p>
        </w:tc>
        <w:tc>
          <w:tcPr>
            <w:tcW w:w="1900" w:type="dxa"/>
            <w:vAlign w:val="bottom"/>
          </w:tcPr>
          <w:p>
            <w:pPr>
              <w:ind w:left="840"/>
              <w:spacing w:after="0"/>
              <w:rPr>
                <w:sz w:val="20"/>
                <w:szCs w:val="20"/>
                <w:color w:val="auto"/>
              </w:rPr>
            </w:pPr>
            <w:r>
              <w:rPr>
                <w:rFonts w:ascii="Arial" w:cs="Arial" w:eastAsia="Arial" w:hAnsi="Arial"/>
                <w:sz w:val="14"/>
                <w:szCs w:val="14"/>
                <w:color w:val="0E2A35"/>
              </w:rPr>
              <w: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E2A35"/>
                <w:w w:val="98"/>
              </w:rPr>
              <w:t>C</w:t>
            </w:r>
            <w:r>
              <w:rPr>
                <w:rFonts w:ascii="Arial" w:cs="Arial" w:eastAsia="Arial" w:hAnsi="Arial"/>
                <w:sz w:val="14"/>
                <w:szCs w:val="14"/>
                <w:color w:val="0E2A35"/>
                <w:w w:val="98"/>
              </w:rPr>
              <w:t>​</w:t>
            </w:r>
          </w:p>
        </w:tc>
        <w:tc>
          <w:tcPr>
            <w:tcW w:w="0" w:type="dxa"/>
            <w:vAlign w:val="bottom"/>
          </w:tcPr>
          <w:p>
            <w:pPr>
              <w:spacing w:after="0"/>
              <w:rPr>
                <w:sz w:val="1"/>
                <w:szCs w:val="1"/>
                <w:color w:val="auto"/>
              </w:rPr>
            </w:pPr>
          </w:p>
        </w:tc>
      </w:tr>
      <w:tr>
        <w:trPr>
          <w:trHeight w:val="56"/>
        </w:trPr>
        <w:tc>
          <w:tcPr>
            <w:tcW w:w="2920" w:type="dxa"/>
            <w:vAlign w:val="bottom"/>
            <w:tcBorders>
              <w:bottom w:val="single" w:sz="8" w:color="0E2A35"/>
            </w:tcBorders>
          </w:tcPr>
          <w:p>
            <w:pPr>
              <w:spacing w:after="0"/>
              <w:rPr>
                <w:sz w:val="4"/>
                <w:szCs w:val="4"/>
                <w:color w:val="auto"/>
              </w:rPr>
            </w:pPr>
          </w:p>
        </w:tc>
        <w:tc>
          <w:tcPr>
            <w:tcW w:w="1360" w:type="dxa"/>
            <w:vAlign w:val="bottom"/>
            <w:tcBorders>
              <w:bottom w:val="single" w:sz="8" w:color="0E2A35"/>
            </w:tcBorders>
          </w:tcPr>
          <w:p>
            <w:pPr>
              <w:spacing w:after="0"/>
              <w:rPr>
                <w:sz w:val="4"/>
                <w:szCs w:val="4"/>
                <w:color w:val="auto"/>
              </w:rPr>
            </w:pPr>
          </w:p>
        </w:tc>
        <w:tc>
          <w:tcPr>
            <w:tcW w:w="1800" w:type="dxa"/>
            <w:vAlign w:val="bottom"/>
            <w:tcBorders>
              <w:bottom w:val="single" w:sz="8" w:color="0E2A35"/>
            </w:tcBorders>
          </w:tcPr>
          <w:p>
            <w:pPr>
              <w:spacing w:after="0"/>
              <w:rPr>
                <w:sz w:val="4"/>
                <w:szCs w:val="4"/>
                <w:color w:val="auto"/>
              </w:rPr>
            </w:pPr>
          </w:p>
        </w:tc>
        <w:tc>
          <w:tcPr>
            <w:tcW w:w="1900" w:type="dxa"/>
            <w:vAlign w:val="bottom"/>
            <w:tcBorders>
              <w:bottom w:val="single" w:sz="8" w:color="0E2A35"/>
            </w:tcBorders>
          </w:tcPr>
          <w:p>
            <w:pPr>
              <w:spacing w:after="0"/>
              <w:rPr>
                <w:sz w:val="4"/>
                <w:szCs w:val="4"/>
                <w:color w:val="auto"/>
              </w:rPr>
            </w:pPr>
          </w:p>
        </w:tc>
        <w:tc>
          <w:tcPr>
            <w:tcW w:w="1300" w:type="dxa"/>
            <w:vAlign w:val="bottom"/>
            <w:tcBorders>
              <w:bottom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920" w:type="dxa"/>
            <w:vAlign w:val="bottom"/>
          </w:tcPr>
          <w:p>
            <w:pPr>
              <w:ind w:left="60"/>
              <w:spacing w:after="0"/>
              <w:rPr>
                <w:sz w:val="20"/>
                <w:szCs w:val="20"/>
                <w:color w:val="auto"/>
              </w:rPr>
            </w:pPr>
            <w:r>
              <w:rPr>
                <w:rFonts w:ascii="Arial" w:cs="Arial" w:eastAsia="Arial" w:hAnsi="Arial"/>
                <w:sz w:val="14"/>
                <w:szCs w:val="14"/>
                <w:color w:val="0E2A35"/>
              </w:rPr>
              <w:t>William C. Fisher</w:t>
            </w:r>
          </w:p>
        </w:tc>
        <w:tc>
          <w:tcPr>
            <w:tcW w:w="1360" w:type="dxa"/>
            <w:vAlign w:val="bottom"/>
          </w:tcPr>
          <w:p>
            <w:pPr>
              <w:ind w:left="740"/>
              <w:spacing w:after="0"/>
              <w:rPr>
                <w:sz w:val="20"/>
                <w:szCs w:val="20"/>
                <w:color w:val="auto"/>
              </w:rPr>
            </w:pPr>
            <w:r>
              <w:rPr>
                <w:rFonts w:ascii="Arial" w:cs="Arial" w:eastAsia="Arial" w:hAnsi="Arial"/>
                <w:sz w:val="14"/>
                <w:szCs w:val="14"/>
                <w:color w:val="0E2A35"/>
              </w:rPr>
              <w:t>​</w:t>
            </w:r>
          </w:p>
        </w:tc>
        <w:tc>
          <w:tcPr>
            <w:tcW w:w="1800" w:type="dxa"/>
            <w:vAlign w:val="bottom"/>
          </w:tcPr>
          <w:p>
            <w:pPr>
              <w:spacing w:after="0"/>
              <w:rPr>
                <w:sz w:val="24"/>
                <w:szCs w:val="24"/>
                <w:color w:val="auto"/>
              </w:rPr>
            </w:pPr>
          </w:p>
        </w:tc>
        <w:tc>
          <w:tcPr>
            <w:tcW w:w="1900" w:type="dxa"/>
            <w:vAlign w:val="bottom"/>
          </w:tcPr>
          <w:p>
            <w:pPr>
              <w:jc w:val="center"/>
              <w:ind w:right="151"/>
              <w:spacing w:after="0"/>
              <w:rPr>
                <w:sz w:val="20"/>
                <w:szCs w:val="20"/>
                <w:color w:val="auto"/>
              </w:rPr>
            </w:pPr>
            <w:r>
              <w:rPr>
                <w:rFonts w:ascii="Arial" w:cs="Arial" w:eastAsia="Arial" w:hAnsi="Arial"/>
                <w:sz w:val="14"/>
                <w:szCs w:val="14"/>
                <w:b w:val="1"/>
                <w:bCs w:val="1"/>
                <w:color w:val="0E2A35"/>
              </w:rPr>
              <w:t>C</w:t>
            </w:r>
          </w:p>
        </w:tc>
        <w:tc>
          <w:tcPr>
            <w:tcW w:w="1300" w:type="dxa"/>
            <w:vAlign w:val="bottom"/>
          </w:tcPr>
          <w:p>
            <w:pPr>
              <w:ind w:left="66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56"/>
        </w:trPr>
        <w:tc>
          <w:tcPr>
            <w:tcW w:w="2920" w:type="dxa"/>
            <w:vAlign w:val="bottom"/>
            <w:tcBorders>
              <w:bottom w:val="single" w:sz="8" w:color="0E2A35"/>
            </w:tcBorders>
          </w:tcPr>
          <w:p>
            <w:pPr>
              <w:spacing w:after="0"/>
              <w:rPr>
                <w:sz w:val="4"/>
                <w:szCs w:val="4"/>
                <w:color w:val="auto"/>
              </w:rPr>
            </w:pPr>
          </w:p>
        </w:tc>
        <w:tc>
          <w:tcPr>
            <w:tcW w:w="1360" w:type="dxa"/>
            <w:vAlign w:val="bottom"/>
            <w:tcBorders>
              <w:bottom w:val="single" w:sz="8" w:color="0E2A35"/>
            </w:tcBorders>
          </w:tcPr>
          <w:p>
            <w:pPr>
              <w:spacing w:after="0"/>
              <w:rPr>
                <w:sz w:val="4"/>
                <w:szCs w:val="4"/>
                <w:color w:val="auto"/>
              </w:rPr>
            </w:pPr>
          </w:p>
        </w:tc>
        <w:tc>
          <w:tcPr>
            <w:tcW w:w="1800" w:type="dxa"/>
            <w:vAlign w:val="bottom"/>
            <w:tcBorders>
              <w:bottom w:val="single" w:sz="8" w:color="0E2A35"/>
            </w:tcBorders>
          </w:tcPr>
          <w:p>
            <w:pPr>
              <w:spacing w:after="0"/>
              <w:rPr>
                <w:sz w:val="4"/>
                <w:szCs w:val="4"/>
                <w:color w:val="auto"/>
              </w:rPr>
            </w:pPr>
          </w:p>
        </w:tc>
        <w:tc>
          <w:tcPr>
            <w:tcW w:w="1900" w:type="dxa"/>
            <w:vAlign w:val="bottom"/>
            <w:tcBorders>
              <w:bottom w:val="single" w:sz="8" w:color="0E2A35"/>
            </w:tcBorders>
          </w:tcPr>
          <w:p>
            <w:pPr>
              <w:spacing w:after="0"/>
              <w:rPr>
                <w:sz w:val="4"/>
                <w:szCs w:val="4"/>
                <w:color w:val="auto"/>
              </w:rPr>
            </w:pPr>
          </w:p>
        </w:tc>
        <w:tc>
          <w:tcPr>
            <w:tcW w:w="1300" w:type="dxa"/>
            <w:vAlign w:val="bottom"/>
            <w:tcBorders>
              <w:bottom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920" w:type="dxa"/>
            <w:vAlign w:val="bottom"/>
          </w:tcPr>
          <w:p>
            <w:pPr>
              <w:ind w:left="60"/>
              <w:spacing w:after="0"/>
              <w:rPr>
                <w:sz w:val="20"/>
                <w:szCs w:val="20"/>
                <w:color w:val="auto"/>
              </w:rPr>
            </w:pPr>
            <w:r>
              <w:rPr>
                <w:rFonts w:ascii="Arial" w:cs="Arial" w:eastAsia="Arial" w:hAnsi="Arial"/>
                <w:sz w:val="14"/>
                <w:szCs w:val="14"/>
                <w:color w:val="0E2A35"/>
              </w:rPr>
              <w:t>Michael J. Happe</w:t>
            </w:r>
          </w:p>
        </w:tc>
        <w:tc>
          <w:tcPr>
            <w:tcW w:w="1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900" w:type="dxa"/>
            <w:vAlign w:val="bottom"/>
          </w:tcPr>
          <w:p>
            <w:pPr>
              <w:ind w:left="840"/>
              <w:spacing w:after="0"/>
              <w:rPr>
                <w:sz w:val="20"/>
                <w:szCs w:val="20"/>
                <w:color w:val="auto"/>
              </w:rPr>
            </w:pPr>
            <w:r>
              <w:rPr>
                <w:rFonts w:ascii="Arial" w:cs="Arial" w:eastAsia="Arial" w:hAnsi="Arial"/>
                <w:sz w:val="14"/>
                <w:szCs w:val="14"/>
                <w:color w:val="0E2A35"/>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2920" w:type="dxa"/>
            <w:vAlign w:val="bottom"/>
            <w:tcBorders>
              <w:bottom w:val="single" w:sz="8" w:color="0E2A35"/>
            </w:tcBorders>
          </w:tcPr>
          <w:p>
            <w:pPr>
              <w:spacing w:after="0"/>
              <w:rPr>
                <w:sz w:val="5"/>
                <w:szCs w:val="5"/>
                <w:color w:val="auto"/>
              </w:rPr>
            </w:pPr>
          </w:p>
        </w:tc>
        <w:tc>
          <w:tcPr>
            <w:tcW w:w="1360" w:type="dxa"/>
            <w:vAlign w:val="bottom"/>
            <w:tcBorders>
              <w:bottom w:val="single" w:sz="8" w:color="0E2A35"/>
            </w:tcBorders>
          </w:tcPr>
          <w:p>
            <w:pPr>
              <w:spacing w:after="0"/>
              <w:rPr>
                <w:sz w:val="5"/>
                <w:szCs w:val="5"/>
                <w:color w:val="auto"/>
              </w:rPr>
            </w:pPr>
          </w:p>
        </w:tc>
        <w:tc>
          <w:tcPr>
            <w:tcW w:w="1800" w:type="dxa"/>
            <w:vAlign w:val="bottom"/>
            <w:tcBorders>
              <w:bottom w:val="single" w:sz="8" w:color="0E2A35"/>
            </w:tcBorders>
          </w:tcPr>
          <w:p>
            <w:pPr>
              <w:spacing w:after="0"/>
              <w:rPr>
                <w:sz w:val="5"/>
                <w:szCs w:val="5"/>
                <w:color w:val="auto"/>
              </w:rPr>
            </w:pPr>
          </w:p>
        </w:tc>
        <w:tc>
          <w:tcPr>
            <w:tcW w:w="1900" w:type="dxa"/>
            <w:vAlign w:val="bottom"/>
            <w:tcBorders>
              <w:bottom w:val="single" w:sz="8" w:color="0E2A35"/>
            </w:tcBorders>
          </w:tcPr>
          <w:p>
            <w:pPr>
              <w:spacing w:after="0"/>
              <w:rPr>
                <w:sz w:val="5"/>
                <w:szCs w:val="5"/>
                <w:color w:val="auto"/>
              </w:rPr>
            </w:pPr>
          </w:p>
        </w:tc>
        <w:tc>
          <w:tcPr>
            <w:tcW w:w="1300" w:type="dxa"/>
            <w:vAlign w:val="bottom"/>
            <w:tcBorders>
              <w:bottom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920" w:type="dxa"/>
            <w:vAlign w:val="bottom"/>
          </w:tcPr>
          <w:p>
            <w:pPr>
              <w:ind w:left="60"/>
              <w:spacing w:after="0"/>
              <w:rPr>
                <w:sz w:val="20"/>
                <w:szCs w:val="20"/>
                <w:color w:val="auto"/>
              </w:rPr>
            </w:pPr>
            <w:r>
              <w:rPr>
                <w:rFonts w:ascii="Arial" w:cs="Arial" w:eastAsia="Arial" w:hAnsi="Arial"/>
                <w:sz w:val="14"/>
                <w:szCs w:val="14"/>
                <w:color w:val="0E2A35"/>
              </w:rPr>
              <w:t>Staci L. Kroon</w:t>
            </w:r>
          </w:p>
        </w:tc>
        <w:tc>
          <w:tcPr>
            <w:tcW w:w="1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
        </w:trPr>
        <w:tc>
          <w:tcPr>
            <w:tcW w:w="2920" w:type="dxa"/>
            <w:vAlign w:val="bottom"/>
            <w:tcBorders>
              <w:bottom w:val="single" w:sz="8" w:color="0E2A35"/>
            </w:tcBorders>
          </w:tcPr>
          <w:p>
            <w:pPr>
              <w:spacing w:after="0"/>
              <w:rPr>
                <w:sz w:val="6"/>
                <w:szCs w:val="6"/>
                <w:color w:val="auto"/>
              </w:rPr>
            </w:pPr>
          </w:p>
        </w:tc>
        <w:tc>
          <w:tcPr>
            <w:tcW w:w="1360" w:type="dxa"/>
            <w:vAlign w:val="bottom"/>
            <w:tcBorders>
              <w:bottom w:val="single" w:sz="8" w:color="0E2A35"/>
            </w:tcBorders>
          </w:tcPr>
          <w:p>
            <w:pPr>
              <w:spacing w:after="0"/>
              <w:rPr>
                <w:sz w:val="6"/>
                <w:szCs w:val="6"/>
                <w:color w:val="auto"/>
              </w:rPr>
            </w:pPr>
          </w:p>
        </w:tc>
        <w:tc>
          <w:tcPr>
            <w:tcW w:w="1800" w:type="dxa"/>
            <w:vAlign w:val="bottom"/>
            <w:tcBorders>
              <w:bottom w:val="single" w:sz="8" w:color="0E2A35"/>
            </w:tcBorders>
          </w:tcPr>
          <w:p>
            <w:pPr>
              <w:spacing w:after="0"/>
              <w:rPr>
                <w:sz w:val="6"/>
                <w:szCs w:val="6"/>
                <w:color w:val="auto"/>
              </w:rPr>
            </w:pPr>
          </w:p>
        </w:tc>
        <w:tc>
          <w:tcPr>
            <w:tcW w:w="1900" w:type="dxa"/>
            <w:vAlign w:val="bottom"/>
            <w:tcBorders>
              <w:bottom w:val="single" w:sz="8" w:color="0E2A35"/>
            </w:tcBorders>
          </w:tcPr>
          <w:p>
            <w:pPr>
              <w:spacing w:after="0"/>
              <w:rPr>
                <w:sz w:val="6"/>
                <w:szCs w:val="6"/>
                <w:color w:val="auto"/>
              </w:rPr>
            </w:pPr>
          </w:p>
        </w:tc>
        <w:tc>
          <w:tcPr>
            <w:tcW w:w="130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920" w:type="dxa"/>
            <w:vAlign w:val="bottom"/>
          </w:tcPr>
          <w:p>
            <w:pPr>
              <w:ind w:left="60"/>
              <w:spacing w:after="0"/>
              <w:rPr>
                <w:sz w:val="20"/>
                <w:szCs w:val="20"/>
                <w:color w:val="auto"/>
              </w:rPr>
            </w:pPr>
            <w:r>
              <w:rPr>
                <w:rFonts w:ascii="Arial" w:cs="Arial" w:eastAsia="Arial" w:hAnsi="Arial"/>
                <w:sz w:val="14"/>
                <w:szCs w:val="14"/>
                <w:color w:val="0E2A35"/>
              </w:rPr>
              <w:t>David W. Miles (Chair)</w:t>
            </w:r>
          </w:p>
        </w:tc>
        <w:tc>
          <w:tcPr>
            <w:tcW w:w="1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900" w:type="dxa"/>
            <w:vAlign w:val="bottom"/>
          </w:tcPr>
          <w:p>
            <w:pPr>
              <w:ind w:left="840"/>
              <w:spacing w:after="0"/>
              <w:rPr>
                <w:sz w:val="20"/>
                <w:szCs w:val="20"/>
                <w:color w:val="auto"/>
              </w:rPr>
            </w:pPr>
            <w:r>
              <w:rPr>
                <w:rFonts w:ascii="Arial" w:cs="Arial" w:eastAsia="Arial" w:hAnsi="Arial"/>
                <w:sz w:val="14"/>
                <w:szCs w:val="14"/>
                <w:color w:val="0E2A35"/>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2920" w:type="dxa"/>
            <w:vAlign w:val="bottom"/>
            <w:tcBorders>
              <w:bottom w:val="single" w:sz="8" w:color="0E2A35"/>
            </w:tcBorders>
          </w:tcPr>
          <w:p>
            <w:pPr>
              <w:spacing w:after="0"/>
              <w:rPr>
                <w:sz w:val="5"/>
                <w:szCs w:val="5"/>
                <w:color w:val="auto"/>
              </w:rPr>
            </w:pPr>
          </w:p>
        </w:tc>
        <w:tc>
          <w:tcPr>
            <w:tcW w:w="1360" w:type="dxa"/>
            <w:vAlign w:val="bottom"/>
            <w:tcBorders>
              <w:bottom w:val="single" w:sz="8" w:color="0E2A35"/>
            </w:tcBorders>
          </w:tcPr>
          <w:p>
            <w:pPr>
              <w:spacing w:after="0"/>
              <w:rPr>
                <w:sz w:val="5"/>
                <w:szCs w:val="5"/>
                <w:color w:val="auto"/>
              </w:rPr>
            </w:pPr>
          </w:p>
        </w:tc>
        <w:tc>
          <w:tcPr>
            <w:tcW w:w="1800" w:type="dxa"/>
            <w:vAlign w:val="bottom"/>
            <w:tcBorders>
              <w:bottom w:val="single" w:sz="8" w:color="0E2A35"/>
            </w:tcBorders>
          </w:tcPr>
          <w:p>
            <w:pPr>
              <w:spacing w:after="0"/>
              <w:rPr>
                <w:sz w:val="5"/>
                <w:szCs w:val="5"/>
                <w:color w:val="auto"/>
              </w:rPr>
            </w:pPr>
          </w:p>
        </w:tc>
        <w:tc>
          <w:tcPr>
            <w:tcW w:w="1900" w:type="dxa"/>
            <w:vAlign w:val="bottom"/>
            <w:tcBorders>
              <w:bottom w:val="single" w:sz="8" w:color="0E2A35"/>
            </w:tcBorders>
          </w:tcPr>
          <w:p>
            <w:pPr>
              <w:spacing w:after="0"/>
              <w:rPr>
                <w:sz w:val="5"/>
                <w:szCs w:val="5"/>
                <w:color w:val="auto"/>
              </w:rPr>
            </w:pPr>
          </w:p>
        </w:tc>
        <w:tc>
          <w:tcPr>
            <w:tcW w:w="1300" w:type="dxa"/>
            <w:vAlign w:val="bottom"/>
            <w:tcBorders>
              <w:bottom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920" w:type="dxa"/>
            <w:vAlign w:val="bottom"/>
          </w:tcPr>
          <w:p>
            <w:pPr>
              <w:ind w:left="60"/>
              <w:spacing w:after="0"/>
              <w:rPr>
                <w:sz w:val="20"/>
                <w:szCs w:val="20"/>
                <w:color w:val="auto"/>
              </w:rPr>
            </w:pPr>
            <w:r>
              <w:rPr>
                <w:rFonts w:ascii="Arial" w:cs="Arial" w:eastAsia="Arial" w:hAnsi="Arial"/>
                <w:sz w:val="14"/>
                <w:szCs w:val="14"/>
                <w:color w:val="0E2A35"/>
              </w:rPr>
              <w:t>Richard D. Moss*</w:t>
            </w:r>
          </w:p>
        </w:tc>
        <w:tc>
          <w:tcPr>
            <w:tcW w:w="1360" w:type="dxa"/>
            <w:vAlign w:val="bottom"/>
          </w:tcPr>
          <w:p>
            <w:pPr>
              <w:jc w:val="center"/>
              <w:ind w:left="210"/>
              <w:spacing w:after="0"/>
              <w:rPr>
                <w:sz w:val="20"/>
                <w:szCs w:val="20"/>
                <w:color w:val="auto"/>
              </w:rPr>
            </w:pPr>
            <w:r>
              <w:rPr>
                <w:rFonts w:ascii="Arial" w:cs="Arial" w:eastAsia="Arial" w:hAnsi="Arial"/>
                <w:sz w:val="14"/>
                <w:szCs w:val="14"/>
                <w:b w:val="1"/>
                <w:bCs w:val="1"/>
                <w:color w:val="0E2A35"/>
              </w:rPr>
              <w:t>C</w:t>
            </w:r>
          </w:p>
        </w:tc>
        <w:tc>
          <w:tcPr>
            <w:tcW w:w="1800" w:type="dxa"/>
            <w:vAlign w:val="bottom"/>
          </w:tcPr>
          <w:p>
            <w:pPr>
              <w:spacing w:after="0"/>
              <w:rPr>
                <w:sz w:val="23"/>
                <w:szCs w:val="23"/>
                <w:color w:val="auto"/>
              </w:rPr>
            </w:pPr>
          </w:p>
        </w:tc>
        <w:tc>
          <w:tcPr>
            <w:tcW w:w="1900" w:type="dxa"/>
            <w:vAlign w:val="bottom"/>
          </w:tcPr>
          <w:p>
            <w:pPr>
              <w:ind w:left="840"/>
              <w:spacing w:after="0"/>
              <w:rPr>
                <w:sz w:val="20"/>
                <w:szCs w:val="20"/>
                <w:color w:val="auto"/>
              </w:rPr>
            </w:pPr>
            <w:r>
              <w:rPr>
                <w:rFonts w:ascii="Arial" w:cs="Arial" w:eastAsia="Arial" w:hAnsi="Arial"/>
                <w:sz w:val="14"/>
                <w:szCs w:val="14"/>
                <w:color w:val="0E2A35"/>
              </w:rPr>
              <w:t>​</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920" w:type="dxa"/>
            <w:vAlign w:val="bottom"/>
            <w:tcBorders>
              <w:bottom w:val="single" w:sz="8" w:color="0E2A35"/>
            </w:tcBorders>
          </w:tcPr>
          <w:p>
            <w:pPr>
              <w:spacing w:after="0"/>
              <w:rPr>
                <w:sz w:val="4"/>
                <w:szCs w:val="4"/>
                <w:color w:val="auto"/>
              </w:rPr>
            </w:pPr>
          </w:p>
        </w:tc>
        <w:tc>
          <w:tcPr>
            <w:tcW w:w="1360" w:type="dxa"/>
            <w:vAlign w:val="bottom"/>
            <w:tcBorders>
              <w:bottom w:val="single" w:sz="8" w:color="0E2A35"/>
            </w:tcBorders>
          </w:tcPr>
          <w:p>
            <w:pPr>
              <w:spacing w:after="0"/>
              <w:rPr>
                <w:sz w:val="4"/>
                <w:szCs w:val="4"/>
                <w:color w:val="auto"/>
              </w:rPr>
            </w:pPr>
          </w:p>
        </w:tc>
        <w:tc>
          <w:tcPr>
            <w:tcW w:w="1800" w:type="dxa"/>
            <w:vAlign w:val="bottom"/>
            <w:tcBorders>
              <w:bottom w:val="single" w:sz="8" w:color="0E2A35"/>
            </w:tcBorders>
          </w:tcPr>
          <w:p>
            <w:pPr>
              <w:spacing w:after="0"/>
              <w:rPr>
                <w:sz w:val="4"/>
                <w:szCs w:val="4"/>
                <w:color w:val="auto"/>
              </w:rPr>
            </w:pPr>
          </w:p>
        </w:tc>
        <w:tc>
          <w:tcPr>
            <w:tcW w:w="1900" w:type="dxa"/>
            <w:vAlign w:val="bottom"/>
            <w:tcBorders>
              <w:bottom w:val="single" w:sz="8" w:color="0E2A35"/>
            </w:tcBorders>
          </w:tcPr>
          <w:p>
            <w:pPr>
              <w:spacing w:after="0"/>
              <w:rPr>
                <w:sz w:val="4"/>
                <w:szCs w:val="4"/>
                <w:color w:val="auto"/>
              </w:rPr>
            </w:pPr>
          </w:p>
        </w:tc>
        <w:tc>
          <w:tcPr>
            <w:tcW w:w="1300" w:type="dxa"/>
            <w:vAlign w:val="bottom"/>
            <w:tcBorders>
              <w:bottom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920" w:type="dxa"/>
            <w:vAlign w:val="bottom"/>
          </w:tcPr>
          <w:p>
            <w:pPr>
              <w:ind w:left="60"/>
              <w:spacing w:after="0"/>
              <w:rPr>
                <w:sz w:val="20"/>
                <w:szCs w:val="20"/>
                <w:color w:val="auto"/>
              </w:rPr>
            </w:pPr>
            <w:r>
              <w:rPr>
                <w:rFonts w:ascii="Arial" w:cs="Arial" w:eastAsia="Arial" w:hAnsi="Arial"/>
                <w:sz w:val="14"/>
                <w:szCs w:val="14"/>
                <w:color w:val="0E2A35"/>
              </w:rPr>
              <w:t>John M. Murabito</w:t>
            </w:r>
          </w:p>
        </w:tc>
        <w:tc>
          <w:tcPr>
            <w:tcW w:w="136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E2A35"/>
                <w:w w:val="98"/>
              </w:rPr>
              <w:t>C</w:t>
            </w:r>
          </w:p>
        </w:tc>
        <w:tc>
          <w:tcPr>
            <w:tcW w:w="1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2920" w:type="dxa"/>
            <w:vAlign w:val="bottom"/>
            <w:tcBorders>
              <w:bottom w:val="single" w:sz="8" w:color="0E2A35"/>
            </w:tcBorders>
          </w:tcPr>
          <w:p>
            <w:pPr>
              <w:spacing w:after="0"/>
              <w:rPr>
                <w:sz w:val="4"/>
                <w:szCs w:val="4"/>
                <w:color w:val="auto"/>
              </w:rPr>
            </w:pPr>
          </w:p>
        </w:tc>
        <w:tc>
          <w:tcPr>
            <w:tcW w:w="1360" w:type="dxa"/>
            <w:vAlign w:val="bottom"/>
            <w:tcBorders>
              <w:bottom w:val="single" w:sz="8" w:color="0E2A35"/>
            </w:tcBorders>
          </w:tcPr>
          <w:p>
            <w:pPr>
              <w:spacing w:after="0"/>
              <w:rPr>
                <w:sz w:val="4"/>
                <w:szCs w:val="4"/>
                <w:color w:val="auto"/>
              </w:rPr>
            </w:pPr>
          </w:p>
        </w:tc>
        <w:tc>
          <w:tcPr>
            <w:tcW w:w="1800" w:type="dxa"/>
            <w:vAlign w:val="bottom"/>
            <w:tcBorders>
              <w:bottom w:val="single" w:sz="8" w:color="0E2A35"/>
            </w:tcBorders>
          </w:tcPr>
          <w:p>
            <w:pPr>
              <w:spacing w:after="0"/>
              <w:rPr>
                <w:sz w:val="4"/>
                <w:szCs w:val="4"/>
                <w:color w:val="auto"/>
              </w:rPr>
            </w:pPr>
          </w:p>
        </w:tc>
        <w:tc>
          <w:tcPr>
            <w:tcW w:w="1900" w:type="dxa"/>
            <w:vAlign w:val="bottom"/>
            <w:tcBorders>
              <w:bottom w:val="single" w:sz="8" w:color="0E2A35"/>
            </w:tcBorders>
          </w:tcPr>
          <w:p>
            <w:pPr>
              <w:spacing w:after="0"/>
              <w:rPr>
                <w:sz w:val="4"/>
                <w:szCs w:val="4"/>
                <w:color w:val="auto"/>
              </w:rPr>
            </w:pPr>
          </w:p>
        </w:tc>
        <w:tc>
          <w:tcPr>
            <w:tcW w:w="1300" w:type="dxa"/>
            <w:vAlign w:val="bottom"/>
            <w:tcBorders>
              <w:bottom w:val="single" w:sz="8" w:color="0E2A35"/>
            </w:tcBorders>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2920" w:type="dxa"/>
            <w:vAlign w:val="bottom"/>
          </w:tcPr>
          <w:p>
            <w:pPr>
              <w:ind w:left="60"/>
              <w:spacing w:after="0"/>
              <w:rPr>
                <w:sz w:val="20"/>
                <w:szCs w:val="20"/>
                <w:color w:val="auto"/>
              </w:rPr>
            </w:pPr>
            <w:r>
              <w:rPr>
                <w:rFonts w:ascii="Arial" w:cs="Arial" w:eastAsia="Arial" w:hAnsi="Arial"/>
                <w:sz w:val="14"/>
                <w:szCs w:val="14"/>
                <w:color w:val="0E2A35"/>
              </w:rPr>
              <w:t>Jacqueline D. Woods</w:t>
            </w:r>
          </w:p>
        </w:tc>
        <w:tc>
          <w:tcPr>
            <w:tcW w:w="1360" w:type="dxa"/>
            <w:vAlign w:val="bottom"/>
          </w:tcPr>
          <w:p>
            <w:pPr>
              <w:spacing w:after="0"/>
              <w:rPr>
                <w:sz w:val="24"/>
                <w:szCs w:val="24"/>
                <w:color w:val="auto"/>
              </w:rPr>
            </w:pPr>
          </w:p>
        </w:tc>
        <w:tc>
          <w:tcPr>
            <w:tcW w:w="1800" w:type="dxa"/>
            <w:vAlign w:val="bottom"/>
          </w:tcPr>
          <w:p>
            <w:pPr>
              <w:ind w:left="820"/>
              <w:spacing w:after="0"/>
              <w:rPr>
                <w:sz w:val="20"/>
                <w:szCs w:val="20"/>
                <w:color w:val="auto"/>
              </w:rPr>
            </w:pPr>
            <w:r>
              <w:rPr>
                <w:rFonts w:ascii="Arial" w:cs="Arial" w:eastAsia="Arial" w:hAnsi="Arial"/>
                <w:sz w:val="14"/>
                <w:szCs w:val="14"/>
                <w:color w:val="0E2A35"/>
              </w:rPr>
              <w:t>​</w:t>
            </w:r>
          </w:p>
        </w:tc>
        <w:tc>
          <w:tcPr>
            <w:tcW w:w="1900" w:type="dxa"/>
            <w:vAlign w:val="bottom"/>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58978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1911350</wp:posOffset>
            </wp:positionH>
            <wp:positionV relativeFrom="paragraph">
              <wp:posOffset>-2546350</wp:posOffset>
            </wp:positionV>
            <wp:extent cx="3986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86530" cy="825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-2212340</wp:posOffset>
            </wp:positionV>
            <wp:extent cx="111125" cy="111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-2212340</wp:posOffset>
            </wp:positionV>
            <wp:extent cx="111125" cy="111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-1972310</wp:posOffset>
            </wp:positionV>
            <wp:extent cx="111760"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-1972310</wp:posOffset>
            </wp:positionV>
            <wp:extent cx="111125"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-1732280</wp:posOffset>
            </wp:positionV>
            <wp:extent cx="111760"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-1492250</wp:posOffset>
            </wp:positionV>
            <wp:extent cx="111760" cy="1111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-1037590</wp:posOffset>
            </wp:positionV>
            <wp:extent cx="111125"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-1037590</wp:posOffset>
            </wp:positionV>
            <wp:extent cx="111125"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-600710</wp:posOffset>
            </wp:positionV>
            <wp:extent cx="111125" cy="111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-377825</wp:posOffset>
            </wp:positionV>
            <wp:extent cx="111125"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3248660</wp:posOffset>
            </wp:positionH>
            <wp:positionV relativeFrom="paragraph">
              <wp:posOffset>-137795</wp:posOffset>
            </wp:positionV>
            <wp:extent cx="111125"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-137795</wp:posOffset>
            </wp:positionV>
            <wp:extent cx="111125" cy="111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181" w:lineRule="exact"/>
        <w:rPr>
          <w:sz w:val="20"/>
          <w:szCs w:val="20"/>
          <w:color w:val="auto"/>
        </w:rPr>
      </w:pPr>
    </w:p>
    <w:p>
      <w:pPr>
        <w:ind w:left="360" w:hanging="360"/>
        <w:spacing w:after="0"/>
        <w:tabs>
          <w:tab w:leader="none" w:pos="360" w:val="left"/>
        </w:tabs>
        <w:numPr>
          <w:ilvl w:val="0"/>
          <w:numId w:val="9"/>
        </w:numPr>
        <w:rPr>
          <w:rFonts w:ascii="Arial" w:cs="Arial" w:eastAsia="Arial" w:hAnsi="Arial"/>
          <w:sz w:val="13"/>
          <w:szCs w:val="13"/>
          <w:b w:val="1"/>
          <w:bCs w:val="1"/>
          <w:color w:val="0E2A35"/>
        </w:rPr>
      </w:pPr>
      <w:r>
        <w:rPr>
          <w:rFonts w:ascii="Arial" w:cs="Arial" w:eastAsia="Arial" w:hAnsi="Arial"/>
          <w:sz w:val="13"/>
          <w:szCs w:val="13"/>
          <w:color w:val="0E2A35"/>
        </w:rPr>
        <w:t>Chair</w:t>
      </w:r>
    </w:p>
    <w:p>
      <w:pPr>
        <w:spacing w:after="0" w:line="20" w:lineRule="exact"/>
        <w:rPr>
          <w:rFonts w:ascii="Arial" w:cs="Arial" w:eastAsia="Arial" w:hAnsi="Arial"/>
          <w:sz w:val="13"/>
          <w:szCs w:val="13"/>
          <w:b w:val="1"/>
          <w:bCs w:val="1"/>
          <w:color w:val="0E2A35"/>
        </w:rPr>
      </w:pPr>
    </w:p>
    <w:p>
      <w:pPr>
        <w:spacing w:after="0" w:line="150" w:lineRule="exact"/>
        <w:rPr>
          <w:rFonts w:ascii="Arial" w:cs="Arial" w:eastAsia="Arial" w:hAnsi="Arial"/>
          <w:sz w:val="13"/>
          <w:szCs w:val="13"/>
          <w:b w:val="1"/>
          <w:bCs w:val="1"/>
          <w:color w:val="0E2A35"/>
        </w:rPr>
      </w:pPr>
      <w:r>
        <w:rPr>
          <w:rFonts w:ascii="MS PGothic" w:cs="MS PGothic" w:eastAsia="MS PGothic" w:hAnsi="MS PGothic"/>
          <w:sz w:val="13"/>
          <w:szCs w:val="13"/>
          <w:color w:val="0E2A35"/>
        </w:rPr>
        <w:t>✔</w:t>
      </w:r>
      <w:r>
        <w:rPr>
          <w:rFonts w:ascii="Arial" w:cs="Arial" w:eastAsia="Arial" w:hAnsi="Arial"/>
          <w:sz w:val="13"/>
          <w:szCs w:val="13"/>
          <w:color w:val="0E2A35"/>
        </w:rPr>
        <w:t xml:space="preserve">    Member</w:t>
      </w:r>
    </w:p>
    <w:p>
      <w:pPr>
        <w:spacing w:after="0" w:line="72" w:lineRule="exact"/>
        <w:rPr>
          <w:rFonts w:ascii="Arial" w:cs="Arial" w:eastAsia="Arial" w:hAnsi="Arial"/>
          <w:sz w:val="13"/>
          <w:szCs w:val="13"/>
          <w:b w:val="1"/>
          <w:bCs w:val="1"/>
          <w:color w:val="0E2A35"/>
        </w:rPr>
      </w:pPr>
    </w:p>
    <w:p>
      <w:pPr>
        <w:spacing w:after="0"/>
        <w:rPr>
          <w:rFonts w:ascii="Arial" w:cs="Arial" w:eastAsia="Arial" w:hAnsi="Arial"/>
          <w:sz w:val="13"/>
          <w:szCs w:val="13"/>
          <w:b w:val="1"/>
          <w:bCs w:val="1"/>
          <w:color w:val="0E2A35"/>
        </w:rPr>
      </w:pPr>
      <w:r>
        <w:rPr>
          <w:rFonts w:ascii="Arial" w:cs="Arial" w:eastAsia="Arial" w:hAnsi="Arial"/>
          <w:sz w:val="13"/>
          <w:szCs w:val="13"/>
          <w:color w:val="0E2A35"/>
        </w:rPr>
        <w:t>*</w:t>
      </w:r>
      <w:r>
        <w:rPr>
          <w:rFonts w:ascii="Arial" w:cs="Arial" w:eastAsia="Arial" w:hAnsi="Arial"/>
          <w:sz w:val="12"/>
          <w:szCs w:val="12"/>
          <w:color w:val="0E2A35"/>
        </w:rPr>
        <w:t>Designated as an “audit committee financial expert” as that term has been defined by the SEC.</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5897880" cy="18516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97880" cy="185166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57" w:lineRule="exact"/>
        <w:rPr>
          <w:sz w:val="20"/>
          <w:szCs w:val="20"/>
          <w:color w:val="auto"/>
        </w:rPr>
      </w:pPr>
    </w:p>
    <w:p>
      <w:pPr>
        <w:ind w:left="100" w:right="160"/>
        <w:spacing w:after="0" w:line="205" w:lineRule="auto"/>
        <w:rPr>
          <w:sz w:val="20"/>
          <w:szCs w:val="20"/>
          <w:color w:val="auto"/>
        </w:rPr>
      </w:pPr>
      <w:r>
        <w:rPr>
          <w:rFonts w:ascii="Arial" w:cs="Arial" w:eastAsia="Arial" w:hAnsi="Arial"/>
          <w:sz w:val="22"/>
          <w:szCs w:val="22"/>
          <w:b w:val="1"/>
          <w:bCs w:val="1"/>
          <w:color w:val="FFFFFF"/>
        </w:rPr>
        <w:t>Audit Committee</w:t>
      </w:r>
      <w:r>
        <w:rPr>
          <w:rFonts w:ascii="Arial" w:cs="Arial" w:eastAsia="Arial" w:hAnsi="Arial"/>
          <w:sz w:val="35"/>
          <w:szCs w:val="35"/>
          <w:b w:val="1"/>
          <w:bCs w:val="1"/>
          <w:color w:val="FFFFFF"/>
          <w:vertAlign w:val="superscript"/>
        </w:rPr>
        <w:t>1</w:t>
      </w:r>
      <w:r>
        <w:rPr>
          <w:rFonts w:ascii="Arial" w:cs="Arial" w:eastAsia="Arial" w:hAnsi="Arial"/>
          <w:sz w:val="22"/>
          <w:szCs w:val="22"/>
          <w:b w:val="1"/>
          <w:bCs w:val="1"/>
          <w:color w:val="FFFFFF"/>
        </w:rPr>
        <w:t xml:space="preserve">   </w:t>
      </w:r>
    </w:p>
    <w:p>
      <w:pPr>
        <w:ind w:left="100"/>
        <w:spacing w:after="0" w:line="237" w:lineRule="auto"/>
        <w:rPr>
          <w:sz w:val="20"/>
          <w:szCs w:val="20"/>
          <w:color w:val="auto"/>
        </w:rPr>
      </w:pPr>
      <w:r>
        <w:rPr>
          <w:rFonts w:ascii="Arial" w:cs="Arial" w:eastAsia="Arial" w:hAnsi="Arial"/>
          <w:sz w:val="18"/>
          <w:szCs w:val="18"/>
          <w:color w:val="FFFFFF"/>
        </w:rPr>
        <w:t>Members</w:t>
      </w:r>
    </w:p>
    <w:p>
      <w:pPr>
        <w:ind w:left="100" w:right="60"/>
        <w:spacing w:after="0"/>
        <w:rPr>
          <w:sz w:val="20"/>
          <w:szCs w:val="20"/>
          <w:color w:val="auto"/>
        </w:rPr>
      </w:pPr>
      <w:r>
        <w:rPr>
          <w:rFonts w:ascii="Arial" w:cs="Arial" w:eastAsia="Arial" w:hAnsi="Arial"/>
          <w:sz w:val="18"/>
          <w:szCs w:val="18"/>
          <w:color w:val="FFFFFF"/>
        </w:rPr>
        <w:t>Richard D. Moss (</w:t>
      </w:r>
      <w:r>
        <w:rPr>
          <w:rFonts w:ascii="Arial" w:cs="Arial" w:eastAsia="Arial" w:hAnsi="Arial"/>
          <w:sz w:val="18"/>
          <w:szCs w:val="18"/>
          <w:i w:val="1"/>
          <w:iCs w:val="1"/>
          <w:color w:val="FFFFFF"/>
        </w:rPr>
        <w:t>Chair</w:t>
      </w:r>
      <w:r>
        <w:rPr>
          <w:rFonts w:ascii="Arial" w:cs="Arial" w:eastAsia="Arial" w:hAnsi="Arial"/>
          <w:sz w:val="18"/>
          <w:szCs w:val="18"/>
          <w:color w:val="FFFFFF"/>
        </w:rPr>
        <w:t xml:space="preserve">) Christopher J. Braun Kevin E. Bryant William C. Fisher   </w:t>
      </w:r>
    </w:p>
    <w:p>
      <w:pPr>
        <w:spacing w:after="0" w:line="185" w:lineRule="exact"/>
        <w:rPr>
          <w:sz w:val="20"/>
          <w:szCs w:val="20"/>
          <w:color w:val="auto"/>
        </w:rPr>
      </w:pPr>
    </w:p>
    <w:p>
      <w:pPr>
        <w:ind w:left="100" w:right="260"/>
        <w:spacing w:after="0" w:line="247" w:lineRule="auto"/>
        <w:rPr>
          <w:sz w:val="20"/>
          <w:szCs w:val="20"/>
          <w:color w:val="auto"/>
        </w:rPr>
      </w:pPr>
      <w:r>
        <w:rPr>
          <w:rFonts w:ascii="Arial" w:cs="Arial" w:eastAsia="Arial" w:hAnsi="Arial"/>
          <w:sz w:val="18"/>
          <w:szCs w:val="18"/>
          <w:b w:val="1"/>
          <w:bCs w:val="1"/>
          <w:color w:val="FFFFFF"/>
        </w:rPr>
        <w:t>Number of meetings during fiscal 2023: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1482725" cy="19716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82725" cy="197167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00" w:right="360"/>
        <w:spacing w:after="0" w:line="238" w:lineRule="auto"/>
        <w:rPr>
          <w:sz w:val="20"/>
          <w:szCs w:val="20"/>
          <w:color w:val="auto"/>
        </w:rPr>
      </w:pPr>
      <w:r>
        <w:rPr>
          <w:rFonts w:ascii="Arial" w:cs="Arial" w:eastAsia="Arial" w:hAnsi="Arial"/>
          <w:sz w:val="22"/>
          <w:szCs w:val="22"/>
          <w:b w:val="1"/>
          <w:bCs w:val="1"/>
          <w:color w:val="FFFFFF"/>
        </w:rPr>
        <w:t xml:space="preserve">Nominating and Governance Committee   </w:t>
      </w:r>
    </w:p>
    <w:p>
      <w:pPr>
        <w:ind w:left="100"/>
        <w:spacing w:after="0" w:line="235" w:lineRule="auto"/>
        <w:rPr>
          <w:sz w:val="20"/>
          <w:szCs w:val="20"/>
          <w:color w:val="auto"/>
        </w:rPr>
      </w:pPr>
      <w:r>
        <w:rPr>
          <w:rFonts w:ascii="Arial" w:cs="Arial" w:eastAsia="Arial" w:hAnsi="Arial"/>
          <w:sz w:val="18"/>
          <w:szCs w:val="18"/>
          <w:color w:val="FFFFFF"/>
        </w:rPr>
        <w:t>Members</w:t>
      </w:r>
    </w:p>
    <w:p>
      <w:pPr>
        <w:ind w:left="100" w:right="40"/>
        <w:spacing w:after="0"/>
        <w:rPr>
          <w:sz w:val="20"/>
          <w:szCs w:val="20"/>
          <w:color w:val="auto"/>
        </w:rPr>
      </w:pPr>
      <w:r>
        <w:rPr>
          <w:rFonts w:ascii="Arial" w:cs="Arial" w:eastAsia="Arial" w:hAnsi="Arial"/>
          <w:sz w:val="18"/>
          <w:szCs w:val="18"/>
          <w:color w:val="FFFFFF"/>
        </w:rPr>
        <w:t>William C. Fisher (</w:t>
      </w:r>
      <w:r>
        <w:rPr>
          <w:rFonts w:ascii="Arial" w:cs="Arial" w:eastAsia="Arial" w:hAnsi="Arial"/>
          <w:sz w:val="18"/>
          <w:szCs w:val="18"/>
          <w:i w:val="1"/>
          <w:iCs w:val="1"/>
          <w:color w:val="FFFFFF"/>
        </w:rPr>
        <w:t>Chair</w:t>
      </w:r>
      <w:r>
        <w:rPr>
          <w:rFonts w:ascii="Arial" w:cs="Arial" w:eastAsia="Arial" w:hAnsi="Arial"/>
          <w:sz w:val="18"/>
          <w:szCs w:val="18"/>
          <w:color w:val="FFFFFF"/>
        </w:rPr>
        <w:t xml:space="preserve">) Christopher J. Braun John M. Murabito Jacqueline D. Woods   </w:t>
      </w:r>
    </w:p>
    <w:p>
      <w:pPr>
        <w:spacing w:after="0" w:line="185" w:lineRule="exact"/>
        <w:rPr>
          <w:sz w:val="20"/>
          <w:szCs w:val="20"/>
          <w:color w:val="auto"/>
        </w:rPr>
      </w:pPr>
    </w:p>
    <w:p>
      <w:pPr>
        <w:ind w:left="100" w:right="260"/>
        <w:spacing w:after="0" w:line="247" w:lineRule="auto"/>
        <w:rPr>
          <w:sz w:val="20"/>
          <w:szCs w:val="20"/>
          <w:color w:val="auto"/>
        </w:rPr>
      </w:pPr>
      <w:r>
        <w:rPr>
          <w:rFonts w:ascii="Arial" w:cs="Arial" w:eastAsia="Arial" w:hAnsi="Arial"/>
          <w:sz w:val="18"/>
          <w:szCs w:val="18"/>
          <w:b w:val="1"/>
          <w:bCs w:val="1"/>
          <w:color w:val="FFFFFF"/>
        </w:rPr>
        <w:t>Number of meetings during fiscal 2023: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1482725" cy="1637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82725" cy="16370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0"/>
        <w:spacing w:after="0" w:line="245" w:lineRule="auto"/>
        <w:rPr>
          <w:sz w:val="20"/>
          <w:szCs w:val="20"/>
          <w:color w:val="auto"/>
        </w:rPr>
      </w:pPr>
      <w:r>
        <w:rPr>
          <w:rFonts w:ascii="Arial" w:cs="Arial" w:eastAsia="Arial" w:hAnsi="Arial"/>
          <w:sz w:val="22"/>
          <w:szCs w:val="22"/>
          <w:b w:val="1"/>
          <w:bCs w:val="1"/>
          <w:color w:val="FFFFFF"/>
        </w:rPr>
        <w:t xml:space="preserve">Finance Committee   </w:t>
      </w:r>
    </w:p>
    <w:p>
      <w:pPr>
        <w:ind w:left="100"/>
        <w:spacing w:after="0" w:line="236" w:lineRule="auto"/>
        <w:rPr>
          <w:sz w:val="20"/>
          <w:szCs w:val="20"/>
          <w:color w:val="auto"/>
        </w:rPr>
      </w:pPr>
      <w:r>
        <w:rPr>
          <w:rFonts w:ascii="Arial" w:cs="Arial" w:eastAsia="Arial" w:hAnsi="Arial"/>
          <w:sz w:val="18"/>
          <w:szCs w:val="18"/>
          <w:color w:val="FFFFFF"/>
        </w:rPr>
        <w:t>Members</w:t>
      </w:r>
    </w:p>
    <w:p>
      <w:pPr>
        <w:ind w:left="100" w:right="160"/>
        <w:spacing w:after="0" w:line="234" w:lineRule="auto"/>
        <w:rPr>
          <w:sz w:val="20"/>
          <w:szCs w:val="20"/>
          <w:color w:val="auto"/>
        </w:rPr>
      </w:pPr>
      <w:r>
        <w:rPr>
          <w:rFonts w:ascii="Arial" w:cs="Arial" w:eastAsia="Arial" w:hAnsi="Arial"/>
          <w:sz w:val="18"/>
          <w:szCs w:val="18"/>
          <w:color w:val="FFFFFF"/>
        </w:rPr>
        <w:t xml:space="preserve">Kevin E. Bryant </w:t>
      </w:r>
      <w:r>
        <w:rPr>
          <w:rFonts w:ascii="Arial" w:cs="Arial" w:eastAsia="Arial" w:hAnsi="Arial"/>
          <w:sz w:val="18"/>
          <w:szCs w:val="18"/>
          <w:i w:val="1"/>
          <w:iCs w:val="1"/>
          <w:color w:val="FFFFFF"/>
        </w:rPr>
        <w:t>(Chair</w:t>
      </w:r>
      <w:r>
        <w:rPr>
          <w:rFonts w:ascii="Arial" w:cs="Arial" w:eastAsia="Arial" w:hAnsi="Arial"/>
          <w:sz w:val="18"/>
          <w:szCs w:val="18"/>
          <w:color w:val="FFFFFF"/>
        </w:rPr>
        <w:t xml:space="preserve">) Sara E. Armbruster Staci L. Kroon Richard D. Moss   </w:t>
      </w:r>
    </w:p>
    <w:p>
      <w:pPr>
        <w:spacing w:after="0" w:line="3" w:lineRule="exact"/>
        <w:rPr>
          <w:sz w:val="20"/>
          <w:szCs w:val="20"/>
          <w:color w:val="auto"/>
        </w:rPr>
      </w:pPr>
    </w:p>
    <w:p>
      <w:pPr>
        <w:ind w:left="100" w:right="260"/>
        <w:spacing w:after="0" w:line="247" w:lineRule="auto"/>
        <w:rPr>
          <w:sz w:val="20"/>
          <w:szCs w:val="20"/>
          <w:color w:val="auto"/>
        </w:rPr>
      </w:pPr>
      <w:r>
        <w:rPr>
          <w:rFonts w:ascii="Arial" w:cs="Arial" w:eastAsia="Arial" w:hAnsi="Arial"/>
          <w:sz w:val="18"/>
          <w:szCs w:val="18"/>
          <w:b w:val="1"/>
          <w:bCs w:val="1"/>
          <w:color w:val="FFFFFF"/>
        </w:rPr>
        <w:t>Number of meetings during fiscal 2023: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8229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Each​ year, the Audit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committee meeting typically include: the Board Chair; the CEO; the Chief Financial Officer (CFO); the Senior Vice President, General Counsel, Secretary and Corporate Responsibility; and the Corporate Controller.  </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Audit Committee meets at least annually with the CFO, the internal auditors and the independent auditors in separate executive sessions. The committee is also prepared to meet privately at any time at the request of the independent registered public accountant or members of our management to review any special situation arising on any of the above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127000</wp:posOffset>
            </wp:positionV>
            <wp:extent cx="4415155" cy="19716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415155" cy="197167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Governance Committee is primarily responsible for: (1) adopting policies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and procedures for identifying and evaluating director nominees, including nominees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recommended by shareholders; (2) identifying and evaluating individuals qualified to become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Board members, considering director candidates recommended by shareholders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recommending that the Board select the director nominees for the next annual meeting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shareholders; (3) establishing a process by which shareholders and other interested parties 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able to communicate with members of the Board; (4) developing and recommending to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Board a corporate governance policy applicable to the Company; (5) reviewing and approving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related person transactions; and (6) overseeing the Company’s commitment to corporate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responsibility matters, including ESG matters.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Nominating and Governance Committee recommended to the Board the director-nominees proposed in this proxy statement for election by the shareholders. The committee reviews the qualifications of, and recommends to the Board, candidates to fill Board vacancies as they may occur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212725</wp:posOffset>
            </wp:positionV>
            <wp:extent cx="4415155" cy="1637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415155" cy="163703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 xml:space="preserve">The​ Finance Committee is responsible for recommending to the Board financial policies, goals, and budgets that support the financial health, strategic goals, mission, and values of the Company, including the long-range financial plan of the Company, and annual capital budgets, evaluating major capital expenditures and financial transactions.   </w:t>
      </w:r>
    </w:p>
    <w:p>
      <w:pPr>
        <w:spacing w:after="0" w:line="184"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The Finance Committee has oversight of the following specific areas: strategic transactions, capitalization and debt and equity offerings, capital expenditure plans, financial review of business plans, rating agencies and investor relations, dividends, share repurchase authorizations, investment policy, debt management, tax strategies, and financial risk management.</w:t>
      </w:r>
    </w:p>
    <w:p>
      <w:pPr>
        <w:spacing w:after="0" w:line="634" w:lineRule="exact"/>
        <w:rPr>
          <w:sz w:val="20"/>
          <w:szCs w:val="20"/>
          <w:color w:val="auto"/>
        </w:rPr>
      </w:pPr>
    </w:p>
    <w:p>
      <w:pPr>
        <w:sectPr>
          <w:pgSz w:w="11900" w:h="16838" w:orient="portrait"/>
          <w:cols w:equalWidth="0" w:num="2">
            <w:col w:w="2100" w:space="340"/>
            <w:col w:w="6840"/>
          </w:cols>
          <w:pgMar w:left="1300" w:top="265" w:right="1319" w:bottom="1440" w:gutter="0" w:footer="0" w:header="0"/>
          <w:type w:val="continuous"/>
        </w:sectPr>
      </w:pPr>
    </w:p>
    <w:p>
      <w:pPr>
        <w:spacing w:after="0" w:line="8" w:lineRule="exact"/>
        <w:rPr>
          <w:sz w:val="20"/>
          <w:szCs w:val="20"/>
          <w:color w:val="auto"/>
        </w:rPr>
      </w:pPr>
    </w:p>
    <w:p>
      <w:pPr>
        <w:ind w:left="360" w:right="120" w:hanging="360"/>
        <w:spacing w:after="0"/>
        <w:tabs>
          <w:tab w:leader="none" w:pos="360" w:val="left"/>
        </w:tabs>
        <w:numPr>
          <w:ilvl w:val="0"/>
          <w:numId w:val="10"/>
        </w:numPr>
        <w:rPr>
          <w:rFonts w:ascii="Arial" w:cs="Arial" w:eastAsia="Arial" w:hAnsi="Arial"/>
          <w:sz w:val="13"/>
          <w:szCs w:val="13"/>
          <w:color w:val="0E2A35"/>
        </w:rPr>
      </w:pPr>
      <w:r>
        <w:rPr>
          <w:rFonts w:ascii="Arial" w:cs="Arial" w:eastAsia="Arial" w:hAnsi="Arial"/>
          <w:sz w:val="13"/>
          <w:szCs w:val="13"/>
          <w:i w:val="1"/>
          <w:iCs w:val="1"/>
          <w:color w:val="0E2A35"/>
        </w:rPr>
        <w:t>All members of the Audit Committee are non-employee directors who have been determined to be “independent” under applicable listing standards of the New York Stock Exchange (NYSE).</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1482725" cy="29317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82725" cy="2931795"/>
                    </a:xfrm>
                    <a:prstGeom prst="rect">
                      <a:avLst/>
                    </a:prstGeom>
                    <a:noFill/>
                  </pic:spPr>
                </pic:pic>
              </a:graphicData>
            </a:graphic>
          </wp:anchor>
        </w:drawing>
      </w:r>
    </w:p>
    <w:p>
      <w:pPr>
        <w:spacing w:after="0" w:line="228" w:lineRule="exact"/>
        <w:rPr>
          <w:sz w:val="20"/>
          <w:szCs w:val="20"/>
          <w:color w:val="auto"/>
        </w:rPr>
      </w:pPr>
    </w:p>
    <w:p>
      <w:pPr>
        <w:ind w:left="100" w:right="100"/>
        <w:spacing w:after="0"/>
        <w:rPr>
          <w:sz w:val="20"/>
          <w:szCs w:val="20"/>
          <w:color w:val="auto"/>
        </w:rPr>
      </w:pPr>
      <w:r>
        <w:rPr>
          <w:rFonts w:ascii="Arial" w:cs="Arial" w:eastAsia="Arial" w:hAnsi="Arial"/>
          <w:sz w:val="22"/>
          <w:szCs w:val="22"/>
          <w:b w:val="1"/>
          <w:bCs w:val="1"/>
          <w:color w:val="FFFFFF"/>
        </w:rPr>
        <w:t xml:space="preserve">Human Resources Committee   </w:t>
      </w:r>
    </w:p>
    <w:p>
      <w:pPr>
        <w:ind w:left="100"/>
        <w:spacing w:after="0" w:line="236" w:lineRule="auto"/>
        <w:rPr>
          <w:sz w:val="20"/>
          <w:szCs w:val="20"/>
          <w:color w:val="auto"/>
        </w:rPr>
      </w:pPr>
      <w:r>
        <w:rPr>
          <w:rFonts w:ascii="Arial" w:cs="Arial" w:eastAsia="Arial" w:hAnsi="Arial"/>
          <w:sz w:val="18"/>
          <w:szCs w:val="18"/>
          <w:color w:val="FFFFFF"/>
        </w:rPr>
        <w:t>Members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FFFFFF"/>
        </w:rPr>
        <w:t>John M. Murabito (</w:t>
      </w:r>
      <w:r>
        <w:rPr>
          <w:rFonts w:ascii="Arial" w:cs="Arial" w:eastAsia="Arial" w:hAnsi="Arial"/>
          <w:sz w:val="18"/>
          <w:szCs w:val="18"/>
          <w:i w:val="1"/>
          <w:iCs w:val="1"/>
          <w:color w:val="FFFFFF"/>
        </w:rPr>
        <w:t>Chair</w:t>
      </w:r>
      <w:r>
        <w:rPr>
          <w:rFonts w:ascii="Arial" w:cs="Arial" w:eastAsia="Arial" w:hAnsi="Arial"/>
          <w:sz w:val="18"/>
          <w:szCs w:val="18"/>
          <w:color w:val="FFFFFF"/>
        </w:rPr>
        <w:t xml:space="preserve">) Sara E. Armbruster Staci L. Kroon Jacqueline D. Woods   </w:t>
      </w:r>
    </w:p>
    <w:p>
      <w:pPr>
        <w:spacing w:after="0" w:line="185" w:lineRule="exact"/>
        <w:rPr>
          <w:sz w:val="20"/>
          <w:szCs w:val="20"/>
          <w:color w:val="auto"/>
        </w:rPr>
      </w:pPr>
    </w:p>
    <w:p>
      <w:pPr>
        <w:ind w:left="100" w:right="260"/>
        <w:spacing w:after="0" w:line="247" w:lineRule="auto"/>
        <w:rPr>
          <w:sz w:val="20"/>
          <w:szCs w:val="20"/>
          <w:color w:val="auto"/>
        </w:rPr>
      </w:pPr>
      <w:r>
        <w:rPr>
          <w:rFonts w:ascii="Arial" w:cs="Arial" w:eastAsia="Arial" w:hAnsi="Arial"/>
          <w:sz w:val="18"/>
          <w:szCs w:val="18"/>
          <w:b w:val="1"/>
          <w:bCs w:val="1"/>
          <w:color w:val="FFFFFF"/>
        </w:rPr>
        <w:t>Number of meetings during fiscal 2023: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is responsible for: (1) reviewing and approving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-195580</wp:posOffset>
            </wp:positionV>
            <wp:extent cx="4415155" cy="29317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415155" cy="29317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goals and objectives relevant to compensation of our CEO, evaluating performance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of our CEO in light of such goals and objectives and establishing compensation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levels for other executive officers; (2) overseeing the evaluation of our executive officers (other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than the CEO) and approving the general compensation program and salary structure of such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(3) administering and approving awards under our incentive compensation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equity-based plan; (4) reviewing and approving all executive officer compensation,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including any executive employment agreements, severance agreements, and change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control agreements; (5) from time to time, reviewing the list of peer group companies used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purposes; (6) reviewing and approving Board retainer fees, attendance fees,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other compensation, if any, to be paid to non-employee directors; (7) reviewing and discussing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with management the Compensation Discussion and Analysis section and certain other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disclosures, including those relating to compensation advisors, compensation risk and the “say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 pay” vote, as applicable for our Form 10-K and proxy statement; (8) preparing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committee’s annual report on executive compensation for our Form 10-K and proxy statement;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(9) overseeing policies and strategies relating to corporate culture and human capital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management, including DEI.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Human Resources Committee is authorized to retain an outside compensation consultant for matters relating to executive compensation. For fiscal 2023, the committee retained Semler Brossy Consulting Group LLC (Semler Brossy) to advise on certain executive compensation-related matters, as further described in the Compensation Discussion and Analysis section of this proxy statement.</w:t>
      </w:r>
    </w:p>
    <w:p>
      <w:pPr>
        <w:spacing w:after="0" w:line="200" w:lineRule="exact"/>
        <w:rPr>
          <w:sz w:val="20"/>
          <w:szCs w:val="20"/>
          <w:color w:val="auto"/>
        </w:rPr>
      </w:pPr>
    </w:p>
    <w:p>
      <w:pPr>
        <w:sectPr>
          <w:pgSz w:w="11900" w:h="16838" w:orient="portrait"/>
          <w:cols w:equalWidth="0" w:num="2">
            <w:col w:w="2100" w:space="340"/>
            <w:col w:w="6840"/>
          </w:cols>
          <w:pgMar w:left="1300" w:top="265" w:right="1319" w:bottom="1440" w:gutter="0" w:footer="0" w:header="0"/>
        </w:sect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Director Independence</w:t>
      </w:r>
    </w:p>
    <w:p>
      <w:pPr>
        <w:spacing w:after="0" w:line="18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0E2A35"/>
        </w:rPr>
        <w:t>Under our corporate governance policy and NYSE rules, the Board must have a majority of directors who meet the standards for independence. The Board must determine, based on a review of the relevant facts and circumstances, whether each director satisfies the criteria for independence. The Board undertook an annual review of director and director nominee independence. The Board process was designed to identify any transactions and relationships between each director and director nominee or any member of his or her immediate family and the Company and its subsidiaries and affiliates known to the Company. The Board also considered whether there were any transactions or relationships between directors, director nominees or any member of their immediate family (or any entity of which a director, director nominee or an immediate family member is an executive officer, general partner or significant equity holder).</w:t>
      </w:r>
    </w:p>
    <w:p>
      <w:pPr>
        <w:spacing w:after="0" w:line="168"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0E2A35"/>
        </w:rPr>
        <w:t>Based on this review, the Board affirmatively determined that all non-employee directors are independent. Mr. Happe is the only employee director and is not independent.</w:t>
      </w:r>
    </w:p>
    <w:p>
      <w:pPr>
        <w:spacing w:after="0" w:line="130"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0E2A35"/>
        </w:rPr>
        <w:t>As part of the Board’s independence assessment and determination, the Board specifically considered that Ms. Kroon serves as an executive officer of BraunAbility, from which we purchased wheelchair lifts for our Winnebago Specialty Vehicle and Newmar businesses during fiscal 2023. Because the amount involved in these transactions was less than 1% of both the Company’s and BraunAbility’s annual revenues, and Ms. Kroon was not personally involved in these transactions and she received no particular benefit related to these transactions, the Board concluded that these transactions did not impair Ms. Kroon’s independence.</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Risk Management</w:t>
      </w:r>
    </w:p>
    <w:p>
      <w:pPr>
        <w:spacing w:after="0" w:line="20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0E2A35"/>
        </w:rPr>
        <w:t>The Board has responsibility for overseeing Winnebago Industries' overall approach to risk management and is actively engaged in addressing the most significant risks facing the Company, including financial, technological, operational, strategic and competitive risks. The Board manages its risk oversight function both as a full Board and through delegation to Board committees, which meet regularly and report back to the Board. The Board and these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engage from time to time.</w:t>
      </w:r>
    </w:p>
    <w:p>
      <w:pPr>
        <w:spacing w:after="0" w:line="15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0E2A35"/>
        </w:rPr>
        <w:t>While the Board and its committees oversee risk management, the Company's management is responsible for the day-to-day management of risks we face. The Board reviews and monitors our processes for identification, management and mitigation of risk by our management and assesses whether our processes are adequate and functioning as designed. At Board meetings, management makes presentations to the Board regarding our business strategy, operations, financial performance, annual budgets, technology and other matters. Many of these presentations include information relating to the challenges and risks to our business and the Board and management actively engage in discussion on these topics. Each of the Board committees also receives reports from management regarding matters relevant to the work of that committee. These management reports are supplemented by information relating to risk from our advisors. Following committee meetings, the Board receives reports by each committee chair regarding the committee’s considerations and actions. In this way, the Board also receives additional information regarding the risk oversight functions performed by each of the Board committees.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0E2A35"/>
        </w:rPr>
        <w:t> </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7"/>
          <w:szCs w:val="27"/>
          <w:b w:val="1"/>
          <w:bCs w:val="1"/>
          <w:color w:val="0E2A35"/>
        </w:rPr>
        <w:t>Board of Directors​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0E2A35"/>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536575</wp:posOffset>
            </wp:positionV>
            <wp:extent cx="4620260" cy="539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62026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0E2A35"/>
        </w:rPr>
        <w:t xml:space="preserve">  </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60960</wp:posOffset>
            </wp:positionV>
            <wp:extent cx="8255" cy="23914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2391410"/>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60960</wp:posOffset>
            </wp:positionV>
            <wp:extent cx="8890" cy="23914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2391410"/>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60960</wp:posOffset>
            </wp:positionV>
            <wp:extent cx="8255" cy="23914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239141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512"/>
        </w:trPr>
        <w:tc>
          <w:tcPr>
            <w:tcW w:w="1900" w:type="dxa"/>
            <w:vAlign w:val="bottom"/>
            <w:gridSpan w:val="2"/>
            <w:vMerge w:val="restart"/>
            <w:shd w:val="clear" w:color="auto" w:fill="0E2A35"/>
          </w:tcPr>
          <w:p>
            <w:pPr>
              <w:ind w:left="680"/>
              <w:spacing w:after="0"/>
              <w:rPr>
                <w:sz w:val="20"/>
                <w:szCs w:val="20"/>
                <w:color w:val="auto"/>
              </w:rPr>
            </w:pPr>
            <w:r>
              <w:rPr>
                <w:rFonts w:ascii="Arial" w:cs="Arial" w:eastAsia="Arial" w:hAnsi="Arial"/>
                <w:sz w:val="20"/>
                <w:szCs w:val="20"/>
                <w:b w:val="1"/>
                <w:bCs w:val="1"/>
                <w:color w:val="C7D265"/>
              </w:rPr>
              <w:t>Audit</w:t>
            </w:r>
          </w:p>
        </w:tc>
        <w:tc>
          <w:tcPr>
            <w:tcW w:w="2440" w:type="dxa"/>
            <w:vAlign w:val="bottom"/>
            <w:shd w:val="clear" w:color="auto" w:fill="0E2A35"/>
          </w:tcPr>
          <w:p>
            <w:pPr>
              <w:jc w:val="center"/>
              <w:ind w:left="481"/>
              <w:spacing w:after="0"/>
              <w:rPr>
                <w:sz w:val="20"/>
                <w:szCs w:val="20"/>
                <w:color w:val="auto"/>
              </w:rPr>
            </w:pPr>
            <w:r>
              <w:rPr>
                <w:rFonts w:ascii="Arial" w:cs="Arial" w:eastAsia="Arial" w:hAnsi="Arial"/>
                <w:sz w:val="20"/>
                <w:szCs w:val="20"/>
                <w:b w:val="1"/>
                <w:bCs w:val="1"/>
                <w:color w:val="C7D265"/>
                <w:w w:val="98"/>
              </w:rPr>
              <w:t>Nominating &amp;</w:t>
            </w:r>
          </w:p>
        </w:tc>
        <w:tc>
          <w:tcPr>
            <w:tcW w:w="2740" w:type="dxa"/>
            <w:vAlign w:val="bottom"/>
            <w:shd w:val="clear" w:color="auto" w:fill="0E2A35"/>
          </w:tcPr>
          <w:p>
            <w:pPr>
              <w:spacing w:after="0"/>
              <w:rPr>
                <w:sz w:val="24"/>
                <w:szCs w:val="24"/>
                <w:color w:val="auto"/>
              </w:rPr>
            </w:pPr>
          </w:p>
        </w:tc>
        <w:tc>
          <w:tcPr>
            <w:tcW w:w="2200" w:type="dxa"/>
            <w:vAlign w:val="bottom"/>
            <w:vMerge w:val="restart"/>
            <w:shd w:val="clear" w:color="auto" w:fill="0E2A35"/>
          </w:tcPr>
          <w:p>
            <w:pPr>
              <w:jc w:val="center"/>
              <w:ind w:left="224"/>
              <w:spacing w:after="0"/>
              <w:rPr>
                <w:sz w:val="20"/>
                <w:szCs w:val="20"/>
                <w:color w:val="auto"/>
              </w:rPr>
            </w:pPr>
            <w:r>
              <w:rPr>
                <w:rFonts w:ascii="Arial" w:cs="Arial" w:eastAsia="Arial" w:hAnsi="Arial"/>
                <w:sz w:val="20"/>
                <w:szCs w:val="20"/>
                <w:b w:val="1"/>
                <w:bCs w:val="1"/>
                <w:color w:val="C7D265"/>
                <w:w w:val="99"/>
              </w:rPr>
              <w:t>Human Resources</w:t>
            </w:r>
          </w:p>
        </w:tc>
        <w:tc>
          <w:tcPr>
            <w:tcW w:w="0" w:type="dxa"/>
            <w:vAlign w:val="bottom"/>
          </w:tcPr>
          <w:p>
            <w:pPr>
              <w:spacing w:after="0"/>
              <w:rPr>
                <w:sz w:val="1"/>
                <w:szCs w:val="1"/>
                <w:color w:val="auto"/>
              </w:rPr>
            </w:pPr>
          </w:p>
        </w:tc>
      </w:tr>
      <w:tr>
        <w:trPr>
          <w:trHeight w:val="216"/>
        </w:trPr>
        <w:tc>
          <w:tcPr>
            <w:tcW w:w="1900" w:type="dxa"/>
            <w:vAlign w:val="bottom"/>
            <w:gridSpan w:val="2"/>
            <w:vMerge w:val="continue"/>
            <w:shd w:val="clear" w:color="auto" w:fill="0E2A35"/>
          </w:tcPr>
          <w:p>
            <w:pPr>
              <w:spacing w:after="0"/>
              <w:rPr>
                <w:sz w:val="18"/>
                <w:szCs w:val="18"/>
                <w:color w:val="auto"/>
              </w:rPr>
            </w:pPr>
          </w:p>
        </w:tc>
        <w:tc>
          <w:tcPr>
            <w:tcW w:w="2440" w:type="dxa"/>
            <w:vAlign w:val="bottom"/>
            <w:shd w:val="clear" w:color="auto" w:fill="0E2A35"/>
          </w:tcPr>
          <w:p>
            <w:pPr>
              <w:jc w:val="center"/>
              <w:ind w:left="501"/>
              <w:spacing w:after="0" w:line="216" w:lineRule="exact"/>
              <w:rPr>
                <w:sz w:val="20"/>
                <w:szCs w:val="20"/>
                <w:color w:val="auto"/>
              </w:rPr>
            </w:pPr>
            <w:r>
              <w:rPr>
                <w:rFonts w:ascii="Arial" w:cs="Arial" w:eastAsia="Arial" w:hAnsi="Arial"/>
                <w:sz w:val="20"/>
                <w:szCs w:val="20"/>
                <w:b w:val="1"/>
                <w:bCs w:val="1"/>
                <w:color w:val="C7D265"/>
                <w:w w:val="98"/>
              </w:rPr>
              <w:t>Governance</w:t>
            </w:r>
          </w:p>
        </w:tc>
        <w:tc>
          <w:tcPr>
            <w:tcW w:w="2740" w:type="dxa"/>
            <w:vAlign w:val="bottom"/>
            <w:vMerge w:val="restart"/>
            <w:shd w:val="clear" w:color="auto" w:fill="0E2A35"/>
          </w:tcPr>
          <w:p>
            <w:pPr>
              <w:ind w:left="620"/>
              <w:spacing w:after="0"/>
              <w:rPr>
                <w:sz w:val="20"/>
                <w:szCs w:val="20"/>
                <w:color w:val="auto"/>
              </w:rPr>
            </w:pPr>
            <w:r>
              <w:rPr>
                <w:rFonts w:ascii="Arial" w:cs="Arial" w:eastAsia="Arial" w:hAnsi="Arial"/>
                <w:sz w:val="20"/>
                <w:szCs w:val="20"/>
                <w:b w:val="1"/>
                <w:bCs w:val="1"/>
                <w:color w:val="C7D265"/>
              </w:rPr>
              <w:t>Finance Committee</w:t>
            </w:r>
          </w:p>
        </w:tc>
        <w:tc>
          <w:tcPr>
            <w:tcW w:w="2200" w:type="dxa"/>
            <w:vAlign w:val="bottom"/>
            <w:vMerge w:val="continue"/>
            <w:shd w:val="clear" w:color="auto" w:fill="0E2A35"/>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900" w:type="dxa"/>
            <w:vAlign w:val="bottom"/>
            <w:gridSpan w:val="2"/>
            <w:shd w:val="clear" w:color="auto" w:fill="0E2A35"/>
          </w:tcPr>
          <w:p>
            <w:pPr>
              <w:ind w:left="440"/>
              <w:spacing w:after="0"/>
              <w:rPr>
                <w:sz w:val="20"/>
                <w:szCs w:val="20"/>
                <w:color w:val="auto"/>
              </w:rPr>
            </w:pPr>
            <w:r>
              <w:rPr>
                <w:rFonts w:ascii="Arial" w:cs="Arial" w:eastAsia="Arial" w:hAnsi="Arial"/>
                <w:sz w:val="20"/>
                <w:szCs w:val="20"/>
                <w:b w:val="1"/>
                <w:bCs w:val="1"/>
                <w:color w:val="C7D265"/>
              </w:rPr>
              <w:t>Committee</w:t>
            </w:r>
          </w:p>
        </w:tc>
        <w:tc>
          <w:tcPr>
            <w:tcW w:w="2440" w:type="dxa"/>
            <w:vAlign w:val="bottom"/>
            <w:shd w:val="clear" w:color="auto" w:fill="0E2A35"/>
          </w:tcPr>
          <w:p>
            <w:pPr>
              <w:jc w:val="center"/>
              <w:ind w:left="501"/>
              <w:spacing w:after="0"/>
              <w:rPr>
                <w:sz w:val="20"/>
                <w:szCs w:val="20"/>
                <w:color w:val="auto"/>
              </w:rPr>
            </w:pPr>
            <w:r>
              <w:rPr>
                <w:rFonts w:ascii="Arial" w:cs="Arial" w:eastAsia="Arial" w:hAnsi="Arial"/>
                <w:sz w:val="20"/>
                <w:szCs w:val="20"/>
                <w:b w:val="1"/>
                <w:bCs w:val="1"/>
                <w:color w:val="C7D265"/>
                <w:w w:val="98"/>
              </w:rPr>
              <w:t>Committee</w:t>
            </w:r>
          </w:p>
        </w:tc>
        <w:tc>
          <w:tcPr>
            <w:tcW w:w="2740" w:type="dxa"/>
            <w:vAlign w:val="bottom"/>
            <w:vMerge w:val="continue"/>
            <w:shd w:val="clear" w:color="auto" w:fill="0E2A35"/>
          </w:tcPr>
          <w:p>
            <w:pPr>
              <w:spacing w:after="0"/>
              <w:rPr>
                <w:sz w:val="24"/>
                <w:szCs w:val="24"/>
                <w:color w:val="auto"/>
              </w:rPr>
            </w:pPr>
          </w:p>
        </w:tc>
        <w:tc>
          <w:tcPr>
            <w:tcW w:w="2200" w:type="dxa"/>
            <w:vAlign w:val="bottom"/>
            <w:shd w:val="clear" w:color="auto" w:fill="0E2A35"/>
          </w:tcPr>
          <w:p>
            <w:pPr>
              <w:jc w:val="center"/>
              <w:ind w:left="224"/>
              <w:spacing w:after="0"/>
              <w:rPr>
                <w:sz w:val="20"/>
                <w:szCs w:val="20"/>
                <w:color w:val="auto"/>
              </w:rPr>
            </w:pPr>
            <w:r>
              <w:rPr>
                <w:rFonts w:ascii="Arial" w:cs="Arial" w:eastAsia="Arial" w:hAnsi="Arial"/>
                <w:sz w:val="20"/>
                <w:szCs w:val="20"/>
                <w:b w:val="1"/>
                <w:bCs w:val="1"/>
                <w:color w:val="C7D265"/>
                <w:w w:val="98"/>
              </w:rPr>
              <w:t>Committee</w:t>
            </w:r>
          </w:p>
        </w:tc>
        <w:tc>
          <w:tcPr>
            <w:tcW w:w="0" w:type="dxa"/>
            <w:vAlign w:val="bottom"/>
          </w:tcPr>
          <w:p>
            <w:pPr>
              <w:spacing w:after="0"/>
              <w:rPr>
                <w:sz w:val="1"/>
                <w:szCs w:val="1"/>
                <w:color w:val="auto"/>
              </w:rPr>
            </w:pPr>
          </w:p>
        </w:tc>
      </w:tr>
      <w:tr>
        <w:trPr>
          <w:trHeight w:val="305"/>
        </w:trPr>
        <w:tc>
          <w:tcPr>
            <w:tcW w:w="1900" w:type="dxa"/>
            <w:vAlign w:val="bottom"/>
            <w:gridSpan w:val="2"/>
            <w:shd w:val="clear" w:color="auto" w:fill="0E2A35"/>
          </w:tcPr>
          <w:p>
            <w:pPr>
              <w:ind w:left="220"/>
              <w:spacing w:after="0"/>
              <w:rPr>
                <w:sz w:val="20"/>
                <w:szCs w:val="20"/>
                <w:color w:val="auto"/>
              </w:rPr>
            </w:pPr>
            <w:r>
              <w:rPr>
                <w:rFonts w:ascii="Arial" w:cs="Arial" w:eastAsia="Arial" w:hAnsi="Arial"/>
                <w:sz w:val="14"/>
                <w:szCs w:val="14"/>
                <w:color w:val="FFFFFF"/>
              </w:rPr>
              <w:t>Primary Risk Oversight</w:t>
            </w:r>
          </w:p>
        </w:tc>
        <w:tc>
          <w:tcPr>
            <w:tcW w:w="2440" w:type="dxa"/>
            <w:vAlign w:val="bottom"/>
            <w:shd w:val="clear" w:color="auto" w:fill="0E2A35"/>
          </w:tcPr>
          <w:p>
            <w:pPr>
              <w:jc w:val="center"/>
              <w:ind w:left="481"/>
              <w:spacing w:after="0"/>
              <w:rPr>
                <w:sz w:val="20"/>
                <w:szCs w:val="20"/>
                <w:color w:val="auto"/>
              </w:rPr>
            </w:pPr>
            <w:r>
              <w:rPr>
                <w:rFonts w:ascii="Arial" w:cs="Arial" w:eastAsia="Arial" w:hAnsi="Arial"/>
                <w:sz w:val="14"/>
                <w:szCs w:val="14"/>
                <w:color w:val="FFFFFF"/>
              </w:rPr>
              <w:t>Primary Risk Oversight</w:t>
            </w:r>
          </w:p>
        </w:tc>
        <w:tc>
          <w:tcPr>
            <w:tcW w:w="2740" w:type="dxa"/>
            <w:vAlign w:val="bottom"/>
            <w:shd w:val="clear" w:color="auto" w:fill="0E2A35"/>
          </w:tcPr>
          <w:p>
            <w:pPr>
              <w:ind w:left="800"/>
              <w:spacing w:after="0"/>
              <w:rPr>
                <w:sz w:val="20"/>
                <w:szCs w:val="20"/>
                <w:color w:val="auto"/>
              </w:rPr>
            </w:pPr>
            <w:r>
              <w:rPr>
                <w:rFonts w:ascii="Arial" w:cs="Arial" w:eastAsia="Arial" w:hAnsi="Arial"/>
                <w:sz w:val="14"/>
                <w:szCs w:val="14"/>
                <w:color w:val="FFFFFF"/>
              </w:rPr>
              <w:t>Primary Risk Oversight</w:t>
            </w:r>
          </w:p>
        </w:tc>
        <w:tc>
          <w:tcPr>
            <w:tcW w:w="2200" w:type="dxa"/>
            <w:vAlign w:val="bottom"/>
            <w:shd w:val="clear" w:color="auto" w:fill="0E2A35"/>
          </w:tcPr>
          <w:p>
            <w:pPr>
              <w:jc w:val="center"/>
              <w:ind w:left="244"/>
              <w:spacing w:after="0"/>
              <w:rPr>
                <w:sz w:val="20"/>
                <w:szCs w:val="20"/>
                <w:color w:val="auto"/>
              </w:rPr>
            </w:pPr>
            <w:r>
              <w:rPr>
                <w:rFonts w:ascii="Arial" w:cs="Arial" w:eastAsia="Arial" w:hAnsi="Arial"/>
                <w:sz w:val="14"/>
                <w:szCs w:val="14"/>
                <w:color w:val="FFFFFF"/>
              </w:rPr>
              <w:t>Primary Risk Oversight</w:t>
            </w:r>
          </w:p>
        </w:tc>
        <w:tc>
          <w:tcPr>
            <w:tcW w:w="0" w:type="dxa"/>
            <w:vAlign w:val="bottom"/>
          </w:tcPr>
          <w:p>
            <w:pPr>
              <w:spacing w:after="0"/>
              <w:rPr>
                <w:sz w:val="1"/>
                <w:szCs w:val="1"/>
                <w:color w:val="auto"/>
              </w:rPr>
            </w:pPr>
          </w:p>
        </w:tc>
      </w:tr>
      <w:tr>
        <w:trPr>
          <w:trHeight w:val="324"/>
        </w:trPr>
        <w:tc>
          <w:tcPr>
            <w:tcW w:w="740" w:type="dxa"/>
            <w:vAlign w:val="bottom"/>
            <w:shd w:val="clear" w:color="auto" w:fill="0E2A35"/>
          </w:tcPr>
          <w:p>
            <w:pPr>
              <w:ind w:left="400"/>
              <w:spacing w:after="0"/>
              <w:rPr>
                <w:sz w:val="20"/>
                <w:szCs w:val="20"/>
                <w:color w:val="auto"/>
              </w:rPr>
            </w:pPr>
            <w:r>
              <w:rPr>
                <w:rFonts w:ascii="Arial" w:cs="Arial" w:eastAsia="Arial" w:hAnsi="Arial"/>
                <w:sz w:val="14"/>
                <w:szCs w:val="14"/>
                <w:color w:val="FFFFFF"/>
              </w:rPr>
              <w:t>​</w:t>
            </w:r>
          </w:p>
        </w:tc>
        <w:tc>
          <w:tcPr>
            <w:tcW w:w="1160" w:type="dxa"/>
            <w:vAlign w:val="bottom"/>
            <w:shd w:val="clear" w:color="auto" w:fill="0E2A35"/>
          </w:tcPr>
          <w:p>
            <w:pPr>
              <w:spacing w:after="0"/>
              <w:rPr>
                <w:sz w:val="24"/>
                <w:szCs w:val="24"/>
                <w:color w:val="auto"/>
              </w:rPr>
            </w:pPr>
          </w:p>
        </w:tc>
        <w:tc>
          <w:tcPr>
            <w:tcW w:w="2440" w:type="dxa"/>
            <w:vAlign w:val="bottom"/>
            <w:shd w:val="clear" w:color="auto" w:fill="0E2A35"/>
          </w:tcPr>
          <w:p>
            <w:pPr>
              <w:ind w:left="940"/>
              <w:spacing w:after="0"/>
              <w:rPr>
                <w:sz w:val="20"/>
                <w:szCs w:val="20"/>
                <w:color w:val="auto"/>
              </w:rPr>
            </w:pPr>
            <w:r>
              <w:rPr>
                <w:rFonts w:ascii="Arial" w:cs="Arial" w:eastAsia="Arial" w:hAnsi="Arial"/>
                <w:sz w:val="14"/>
                <w:szCs w:val="14"/>
                <w:color w:val="FFFFFF"/>
              </w:rPr>
              <w:t>​</w:t>
            </w:r>
          </w:p>
        </w:tc>
        <w:tc>
          <w:tcPr>
            <w:tcW w:w="2740" w:type="dxa"/>
            <w:vAlign w:val="bottom"/>
            <w:shd w:val="clear" w:color="auto" w:fill="0E2A35"/>
          </w:tcPr>
          <w:p>
            <w:pPr>
              <w:ind w:left="960"/>
              <w:spacing w:after="0"/>
              <w:rPr>
                <w:sz w:val="20"/>
                <w:szCs w:val="20"/>
                <w:color w:val="auto"/>
              </w:rPr>
            </w:pPr>
            <w:r>
              <w:rPr>
                <w:rFonts w:ascii="Arial" w:cs="Arial" w:eastAsia="Arial" w:hAnsi="Arial"/>
                <w:sz w:val="14"/>
                <w:szCs w:val="14"/>
                <w:color w:val="FFFFFF"/>
              </w:rPr>
              <w:t>​</w:t>
            </w:r>
          </w:p>
        </w:tc>
        <w:tc>
          <w:tcPr>
            <w:tcW w:w="2200" w:type="dxa"/>
            <w:vAlign w:val="bottom"/>
            <w:shd w:val="clear" w:color="auto" w:fill="0E2A35"/>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740" w:type="dxa"/>
            <w:vAlign w:val="bottom"/>
            <w:shd w:val="clear" w:color="auto" w:fill="0E2A35"/>
          </w:tcPr>
          <w:p>
            <w:pPr>
              <w:ind w:left="100"/>
              <w:spacing w:after="0"/>
              <w:rPr>
                <w:sz w:val="20"/>
                <w:szCs w:val="20"/>
                <w:color w:val="auto"/>
              </w:rPr>
            </w:pPr>
            <w:r>
              <w:rPr>
                <w:rFonts w:ascii="Arial" w:cs="Arial" w:eastAsia="Arial" w:hAnsi="Arial"/>
                <w:sz w:val="14"/>
                <w:szCs w:val="14"/>
                <w:color w:val="FFFFFF"/>
              </w:rPr>
              <w:t>Oversees​</w:t>
            </w:r>
          </w:p>
        </w:tc>
        <w:tc>
          <w:tcPr>
            <w:tcW w:w="1160" w:type="dxa"/>
            <w:vAlign w:val="bottom"/>
            <w:shd w:val="clear" w:color="auto" w:fill="0E2A35"/>
          </w:tcPr>
          <w:p>
            <w:pPr>
              <w:ind w:left="20"/>
              <w:spacing w:after="0"/>
              <w:rPr>
                <w:sz w:val="20"/>
                <w:szCs w:val="20"/>
                <w:color w:val="auto"/>
              </w:rPr>
            </w:pPr>
            <w:r>
              <w:rPr>
                <w:rFonts w:ascii="Arial" w:cs="Arial" w:eastAsia="Arial" w:hAnsi="Arial"/>
                <w:sz w:val="14"/>
                <w:szCs w:val="14"/>
                <w:color w:val="FFFFFF"/>
              </w:rPr>
              <w:t>the</w:t>
            </w:r>
          </w:p>
        </w:tc>
        <w:tc>
          <w:tcPr>
            <w:tcW w:w="2440" w:type="dxa"/>
            <w:vAlign w:val="bottom"/>
            <w:shd w:val="clear" w:color="auto" w:fill="0E2A35"/>
          </w:tcPr>
          <w:p>
            <w:pPr>
              <w:ind w:left="560"/>
              <w:spacing w:after="0"/>
              <w:rPr>
                <w:sz w:val="20"/>
                <w:szCs w:val="20"/>
                <w:color w:val="auto"/>
              </w:rPr>
            </w:pPr>
            <w:r>
              <w:rPr>
                <w:rFonts w:ascii="Arial" w:cs="Arial" w:eastAsia="Arial" w:hAnsi="Arial"/>
                <w:sz w:val="14"/>
                <w:szCs w:val="14"/>
                <w:color w:val="FFFFFF"/>
              </w:rPr>
              <w:t>Oversees the</w:t>
            </w:r>
          </w:p>
        </w:tc>
        <w:tc>
          <w:tcPr>
            <w:tcW w:w="274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Oversees the</w:t>
            </w:r>
          </w:p>
        </w:tc>
        <w:tc>
          <w:tcPr>
            <w:tcW w:w="220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Oversees the</w:t>
            </w:r>
          </w:p>
        </w:tc>
        <w:tc>
          <w:tcPr>
            <w:tcW w:w="0" w:type="dxa"/>
            <w:vAlign w:val="bottom"/>
          </w:tcPr>
          <w:p>
            <w:pPr>
              <w:spacing w:after="0"/>
              <w:rPr>
                <w:sz w:val="1"/>
                <w:szCs w:val="1"/>
                <w:color w:val="auto"/>
              </w:rPr>
            </w:pPr>
          </w:p>
        </w:tc>
      </w:tr>
      <w:tr>
        <w:trPr>
          <w:trHeight w:val="162"/>
        </w:trPr>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management of risks</w:t>
            </w:r>
          </w:p>
        </w:tc>
        <w:tc>
          <w:tcPr>
            <w:tcW w:w="2440" w:type="dxa"/>
            <w:vAlign w:val="bottom"/>
            <w:shd w:val="clear" w:color="auto" w:fill="0E2A35"/>
          </w:tcPr>
          <w:p>
            <w:pPr>
              <w:ind w:left="560"/>
              <w:spacing w:after="0"/>
              <w:rPr>
                <w:sz w:val="20"/>
                <w:szCs w:val="20"/>
                <w:color w:val="auto"/>
              </w:rPr>
            </w:pPr>
            <w:r>
              <w:rPr>
                <w:rFonts w:ascii="Arial" w:cs="Arial" w:eastAsia="Arial" w:hAnsi="Arial"/>
                <w:sz w:val="14"/>
                <w:szCs w:val="14"/>
                <w:color w:val="FFFFFF"/>
              </w:rPr>
              <w:t>management of risks</w:t>
            </w:r>
          </w:p>
        </w:tc>
        <w:tc>
          <w:tcPr>
            <w:tcW w:w="274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management of risks</w:t>
            </w:r>
          </w:p>
        </w:tc>
        <w:tc>
          <w:tcPr>
            <w:tcW w:w="220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management of risks</w:t>
            </w:r>
          </w:p>
        </w:tc>
        <w:tc>
          <w:tcPr>
            <w:tcW w:w="0" w:type="dxa"/>
            <w:vAlign w:val="bottom"/>
          </w:tcPr>
          <w:p>
            <w:pPr>
              <w:spacing w:after="0"/>
              <w:rPr>
                <w:sz w:val="1"/>
                <w:szCs w:val="1"/>
                <w:color w:val="auto"/>
              </w:rPr>
            </w:pPr>
          </w:p>
        </w:tc>
      </w:tr>
      <w:tr>
        <w:trPr>
          <w:trHeight w:val="162"/>
        </w:trPr>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related to financial</w:t>
            </w:r>
          </w:p>
        </w:tc>
        <w:tc>
          <w:tcPr>
            <w:tcW w:w="2440" w:type="dxa"/>
            <w:vAlign w:val="bottom"/>
            <w:shd w:val="clear" w:color="auto" w:fill="0E2A35"/>
          </w:tcPr>
          <w:p>
            <w:pPr>
              <w:ind w:left="560"/>
              <w:spacing w:after="0"/>
              <w:rPr>
                <w:sz w:val="20"/>
                <w:szCs w:val="20"/>
                <w:color w:val="auto"/>
              </w:rPr>
            </w:pPr>
            <w:r>
              <w:rPr>
                <w:rFonts w:ascii="Arial" w:cs="Arial" w:eastAsia="Arial" w:hAnsi="Arial"/>
                <w:sz w:val="14"/>
                <w:szCs w:val="14"/>
                <w:color w:val="FFFFFF"/>
              </w:rPr>
              <w:t>related to our corporate</w:t>
            </w:r>
          </w:p>
        </w:tc>
        <w:tc>
          <w:tcPr>
            <w:tcW w:w="274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related to the Company’s</w:t>
            </w:r>
          </w:p>
        </w:tc>
        <w:tc>
          <w:tcPr>
            <w:tcW w:w="220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related to the Company’s</w:t>
            </w:r>
          </w:p>
        </w:tc>
        <w:tc>
          <w:tcPr>
            <w:tcW w:w="0" w:type="dxa"/>
            <w:vAlign w:val="bottom"/>
          </w:tcPr>
          <w:p>
            <w:pPr>
              <w:spacing w:after="0"/>
              <w:rPr>
                <w:sz w:val="1"/>
                <w:szCs w:val="1"/>
                <w:color w:val="auto"/>
              </w:rPr>
            </w:pPr>
          </w:p>
        </w:tc>
      </w:tr>
      <w:tr>
        <w:trPr>
          <w:trHeight w:val="162"/>
        </w:trPr>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statement integrity and</w:t>
            </w:r>
          </w:p>
        </w:tc>
        <w:tc>
          <w:tcPr>
            <w:tcW w:w="2440" w:type="dxa"/>
            <w:vAlign w:val="bottom"/>
            <w:shd w:val="clear" w:color="auto" w:fill="0E2A35"/>
          </w:tcPr>
          <w:p>
            <w:pPr>
              <w:ind w:left="560"/>
              <w:spacing w:after="0"/>
              <w:rPr>
                <w:sz w:val="20"/>
                <w:szCs w:val="20"/>
                <w:color w:val="auto"/>
              </w:rPr>
            </w:pPr>
            <w:r>
              <w:rPr>
                <w:rFonts w:ascii="Arial" w:cs="Arial" w:eastAsia="Arial" w:hAnsi="Arial"/>
                <w:sz w:val="14"/>
                <w:szCs w:val="14"/>
                <w:color w:val="FFFFFF"/>
              </w:rPr>
              <w:t>governance structure;</w:t>
            </w:r>
          </w:p>
        </w:tc>
        <w:tc>
          <w:tcPr>
            <w:tcW w:w="274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financial condition and</w:t>
            </w:r>
          </w:p>
        </w:tc>
        <w:tc>
          <w:tcPr>
            <w:tcW w:w="220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compensation policies</w:t>
            </w:r>
          </w:p>
        </w:tc>
        <w:tc>
          <w:tcPr>
            <w:tcW w:w="0" w:type="dxa"/>
            <w:vAlign w:val="bottom"/>
          </w:tcPr>
          <w:p>
            <w:pPr>
              <w:spacing w:after="0"/>
              <w:rPr>
                <w:sz w:val="1"/>
                <w:szCs w:val="1"/>
                <w:color w:val="auto"/>
              </w:rPr>
            </w:pPr>
          </w:p>
        </w:tc>
      </w:tr>
      <w:tr>
        <w:trPr>
          <w:trHeight w:val="162"/>
        </w:trPr>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reporting, internal</w:t>
            </w:r>
          </w:p>
        </w:tc>
        <w:tc>
          <w:tcPr>
            <w:tcW w:w="2440" w:type="dxa"/>
            <w:vAlign w:val="bottom"/>
            <w:shd w:val="clear" w:color="auto" w:fill="0E2A35"/>
          </w:tcPr>
          <w:p>
            <w:pPr>
              <w:ind w:left="560"/>
              <w:spacing w:after="0"/>
              <w:rPr>
                <w:sz w:val="20"/>
                <w:szCs w:val="20"/>
                <w:color w:val="auto"/>
              </w:rPr>
            </w:pPr>
            <w:r>
              <w:rPr>
                <w:rFonts w:ascii="Arial" w:cs="Arial" w:eastAsia="Arial" w:hAnsi="Arial"/>
                <w:sz w:val="14"/>
                <w:szCs w:val="14"/>
                <w:color w:val="FFFFFF"/>
              </w:rPr>
              <w:t>the Board’s succession</w:t>
            </w:r>
          </w:p>
        </w:tc>
        <w:tc>
          <w:tcPr>
            <w:tcW w:w="274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capital structure; its</w:t>
            </w:r>
          </w:p>
        </w:tc>
        <w:tc>
          <w:tcPr>
            <w:tcW w:w="220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and practices; executive</w:t>
            </w:r>
          </w:p>
        </w:tc>
        <w:tc>
          <w:tcPr>
            <w:tcW w:w="0" w:type="dxa"/>
            <w:vAlign w:val="bottom"/>
          </w:tcPr>
          <w:p>
            <w:pPr>
              <w:spacing w:after="0"/>
              <w:rPr>
                <w:sz w:val="1"/>
                <w:szCs w:val="1"/>
                <w:color w:val="auto"/>
              </w:rPr>
            </w:pPr>
          </w:p>
        </w:tc>
      </w:tr>
      <w:tr>
        <w:trPr>
          <w:trHeight w:val="162"/>
        </w:trPr>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control over financial</w:t>
            </w:r>
          </w:p>
        </w:tc>
        <w:tc>
          <w:tcPr>
            <w:tcW w:w="2440" w:type="dxa"/>
            <w:vAlign w:val="bottom"/>
            <w:shd w:val="clear" w:color="auto" w:fill="0E2A35"/>
          </w:tcPr>
          <w:p>
            <w:pPr>
              <w:ind w:left="560"/>
              <w:spacing w:after="0"/>
              <w:rPr>
                <w:sz w:val="20"/>
                <w:szCs w:val="20"/>
                <w:color w:val="auto"/>
              </w:rPr>
            </w:pPr>
            <w:r>
              <w:rPr>
                <w:rFonts w:ascii="Arial" w:cs="Arial" w:eastAsia="Arial" w:hAnsi="Arial"/>
                <w:sz w:val="14"/>
                <w:szCs w:val="14"/>
                <w:color w:val="FFFFFF"/>
              </w:rPr>
              <w:t>plans; and ESG matters</w:t>
            </w:r>
          </w:p>
        </w:tc>
        <w:tc>
          <w:tcPr>
            <w:tcW w:w="274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financing, acquisition,</w:t>
            </w:r>
          </w:p>
        </w:tc>
        <w:tc>
          <w:tcPr>
            <w:tcW w:w="220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compensation program;</w:t>
            </w:r>
          </w:p>
        </w:tc>
        <w:tc>
          <w:tcPr>
            <w:tcW w:w="0" w:type="dxa"/>
            <w:vAlign w:val="bottom"/>
          </w:tcPr>
          <w:p>
            <w:pPr>
              <w:spacing w:after="0"/>
              <w:rPr>
                <w:sz w:val="1"/>
                <w:szCs w:val="1"/>
                <w:color w:val="auto"/>
              </w:rPr>
            </w:pPr>
          </w:p>
        </w:tc>
      </w:tr>
      <w:tr>
        <w:trPr>
          <w:trHeight w:val="162"/>
        </w:trPr>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reporting and the</w:t>
            </w:r>
          </w:p>
        </w:tc>
        <w:tc>
          <w:tcPr>
            <w:tcW w:w="2440" w:type="dxa"/>
            <w:vAlign w:val="bottom"/>
            <w:shd w:val="clear" w:color="auto" w:fill="0E2A35"/>
          </w:tcPr>
          <w:p>
            <w:pPr>
              <w:spacing w:after="0"/>
              <w:rPr>
                <w:sz w:val="14"/>
                <w:szCs w:val="14"/>
                <w:color w:val="auto"/>
              </w:rPr>
            </w:pPr>
          </w:p>
        </w:tc>
        <w:tc>
          <w:tcPr>
            <w:tcW w:w="274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divestiture and</w:t>
            </w:r>
          </w:p>
        </w:tc>
        <w:tc>
          <w:tcPr>
            <w:tcW w:w="220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management succession</w:t>
            </w:r>
          </w:p>
        </w:tc>
        <w:tc>
          <w:tcPr>
            <w:tcW w:w="0" w:type="dxa"/>
            <w:vAlign w:val="bottom"/>
          </w:tcPr>
          <w:p>
            <w:pPr>
              <w:spacing w:after="0"/>
              <w:rPr>
                <w:sz w:val="1"/>
                <w:szCs w:val="1"/>
                <w:color w:val="auto"/>
              </w:rPr>
            </w:pPr>
          </w:p>
        </w:tc>
      </w:tr>
      <w:tr>
        <w:trPr>
          <w:trHeight w:val="162"/>
        </w:trPr>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internal audit function;</w:t>
            </w:r>
          </w:p>
        </w:tc>
        <w:tc>
          <w:tcPr>
            <w:tcW w:w="2440" w:type="dxa"/>
            <w:vAlign w:val="bottom"/>
            <w:shd w:val="clear" w:color="auto" w:fill="0E2A35"/>
          </w:tcPr>
          <w:p>
            <w:pPr>
              <w:spacing w:after="0"/>
              <w:rPr>
                <w:sz w:val="14"/>
                <w:szCs w:val="14"/>
                <w:color w:val="auto"/>
              </w:rPr>
            </w:pPr>
          </w:p>
        </w:tc>
        <w:tc>
          <w:tcPr>
            <w:tcW w:w="274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investment transactions;</w:t>
            </w:r>
          </w:p>
        </w:tc>
        <w:tc>
          <w:tcPr>
            <w:tcW w:w="220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and development; and</w:t>
            </w:r>
          </w:p>
        </w:tc>
        <w:tc>
          <w:tcPr>
            <w:tcW w:w="0" w:type="dxa"/>
            <w:vAlign w:val="bottom"/>
          </w:tcPr>
          <w:p>
            <w:pPr>
              <w:spacing w:after="0"/>
              <w:rPr>
                <w:sz w:val="1"/>
                <w:szCs w:val="1"/>
                <w:color w:val="auto"/>
              </w:rPr>
            </w:pPr>
          </w:p>
        </w:tc>
      </w:tr>
      <w:tr>
        <w:trPr>
          <w:trHeight w:val="182"/>
        </w:trPr>
        <w:tc>
          <w:tcPr>
            <w:tcW w:w="1900" w:type="dxa"/>
            <w:vAlign w:val="bottom"/>
            <w:gridSpan w:val="2"/>
            <w:shd w:val="clear" w:color="auto" w:fill="0E2A35"/>
          </w:tcPr>
          <w:p>
            <w:pPr>
              <w:ind w:left="100"/>
              <w:spacing w:after="0"/>
              <w:rPr>
                <w:sz w:val="20"/>
                <w:szCs w:val="20"/>
                <w:color w:val="auto"/>
              </w:rPr>
            </w:pPr>
            <w:r>
              <w:rPr>
                <w:rFonts w:ascii="Arial" w:cs="Arial" w:eastAsia="Arial" w:hAnsi="Arial"/>
                <w:sz w:val="14"/>
                <w:szCs w:val="14"/>
                <w:color w:val="FFFFFF"/>
              </w:rPr>
              <w:t>and information security</w:t>
            </w:r>
          </w:p>
        </w:tc>
        <w:tc>
          <w:tcPr>
            <w:tcW w:w="2440" w:type="dxa"/>
            <w:vAlign w:val="bottom"/>
            <w:shd w:val="clear" w:color="auto" w:fill="0E2A35"/>
          </w:tcPr>
          <w:p>
            <w:pPr>
              <w:spacing w:after="0"/>
              <w:rPr>
                <w:sz w:val="15"/>
                <w:szCs w:val="15"/>
                <w:color w:val="auto"/>
              </w:rPr>
            </w:pPr>
          </w:p>
        </w:tc>
        <w:tc>
          <w:tcPr>
            <w:tcW w:w="2740" w:type="dxa"/>
            <w:vAlign w:val="bottom"/>
            <w:shd w:val="clear" w:color="auto" w:fill="0E2A35"/>
          </w:tcPr>
          <w:p>
            <w:pPr>
              <w:ind w:left="580"/>
              <w:spacing w:after="0"/>
              <w:rPr>
                <w:sz w:val="20"/>
                <w:szCs w:val="20"/>
                <w:color w:val="auto"/>
              </w:rPr>
            </w:pPr>
            <w:r>
              <w:rPr>
                <w:rFonts w:ascii="Arial" w:cs="Arial" w:eastAsia="Arial" w:hAnsi="Arial"/>
                <w:sz w:val="14"/>
                <w:szCs w:val="14"/>
                <w:color w:val="FFFFFF"/>
              </w:rPr>
              <w:t>and related matters</w:t>
            </w:r>
          </w:p>
        </w:tc>
        <w:tc>
          <w:tcPr>
            <w:tcW w:w="2200" w:type="dxa"/>
            <w:vAlign w:val="bottom"/>
            <w:shd w:val="clear" w:color="auto" w:fill="0E2A35"/>
          </w:tcPr>
          <w:p>
            <w:pPr>
              <w:ind w:left="300"/>
              <w:spacing w:after="0"/>
              <w:rPr>
                <w:sz w:val="20"/>
                <w:szCs w:val="20"/>
                <w:color w:val="auto"/>
              </w:rPr>
            </w:pPr>
            <w:r>
              <w:rPr>
                <w:rFonts w:ascii="Arial" w:cs="Arial" w:eastAsia="Arial" w:hAnsi="Arial"/>
                <w:sz w:val="14"/>
                <w:szCs w:val="14"/>
                <w:color w:val="FFFFFF"/>
              </w:rPr>
              <w:t>human capital management</w:t>
            </w:r>
          </w:p>
        </w:tc>
        <w:tc>
          <w:tcPr>
            <w:tcW w:w="0" w:type="dxa"/>
            <w:vAlign w:val="bottom"/>
          </w:tcPr>
          <w:p>
            <w:pPr>
              <w:spacing w:after="0"/>
              <w:rPr>
                <w:sz w:val="1"/>
                <w:szCs w:val="1"/>
                <w:color w:val="auto"/>
              </w:rPr>
            </w:pPr>
          </w:p>
        </w:tc>
      </w:tr>
      <w:tr>
        <w:trPr>
          <w:trHeight w:val="309"/>
        </w:trPr>
        <w:tc>
          <w:tcPr>
            <w:tcW w:w="740" w:type="dxa"/>
            <w:vAlign w:val="bottom"/>
            <w:shd w:val="clear" w:color="auto" w:fill="0E2A35"/>
          </w:tcPr>
          <w:p>
            <w:pPr>
              <w:spacing w:after="0"/>
              <w:rPr>
                <w:sz w:val="24"/>
                <w:szCs w:val="24"/>
                <w:color w:val="auto"/>
              </w:rPr>
            </w:pPr>
          </w:p>
        </w:tc>
        <w:tc>
          <w:tcPr>
            <w:tcW w:w="1160" w:type="dxa"/>
            <w:vAlign w:val="bottom"/>
            <w:shd w:val="clear" w:color="auto" w:fill="0E2A35"/>
          </w:tcPr>
          <w:p>
            <w:pPr>
              <w:spacing w:after="0"/>
              <w:rPr>
                <w:sz w:val="24"/>
                <w:szCs w:val="24"/>
                <w:color w:val="auto"/>
              </w:rPr>
            </w:pPr>
          </w:p>
        </w:tc>
        <w:tc>
          <w:tcPr>
            <w:tcW w:w="2440" w:type="dxa"/>
            <w:vAlign w:val="bottom"/>
            <w:shd w:val="clear" w:color="auto" w:fill="0E2A35"/>
          </w:tcPr>
          <w:p>
            <w:pPr>
              <w:spacing w:after="0"/>
              <w:rPr>
                <w:sz w:val="24"/>
                <w:szCs w:val="24"/>
                <w:color w:val="auto"/>
              </w:rPr>
            </w:pPr>
          </w:p>
        </w:tc>
        <w:tc>
          <w:tcPr>
            <w:tcW w:w="2740" w:type="dxa"/>
            <w:vAlign w:val="bottom"/>
            <w:shd w:val="clear" w:color="auto" w:fill="0E2A35"/>
          </w:tcPr>
          <w:p>
            <w:pPr>
              <w:spacing w:after="0"/>
              <w:rPr>
                <w:sz w:val="24"/>
                <w:szCs w:val="24"/>
                <w:color w:val="auto"/>
              </w:rPr>
            </w:pPr>
          </w:p>
        </w:tc>
        <w:tc>
          <w:tcPr>
            <w:tcW w:w="2200" w:type="dxa"/>
            <w:vAlign w:val="bottom"/>
            <w:shd w:val="clear" w:color="auto" w:fill="0E2A3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-1388110</wp:posOffset>
            </wp:positionV>
            <wp:extent cx="6858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1825625</wp:posOffset>
            </wp:positionH>
            <wp:positionV relativeFrom="paragraph">
              <wp:posOffset>-1388110</wp:posOffset>
            </wp:positionV>
            <wp:extent cx="6858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3394710</wp:posOffset>
            </wp:positionH>
            <wp:positionV relativeFrom="paragraph">
              <wp:posOffset>-1388110</wp:posOffset>
            </wp:positionV>
            <wp:extent cx="6858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-1456690</wp:posOffset>
            </wp:positionV>
            <wp:extent cx="6858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Board Refreshment</w:t>
      </w:r>
    </w:p>
    <w:p>
      <w:pPr>
        <w:spacing w:after="0" w:line="201"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0E2A35"/>
        </w:rPr>
        <w:t>The Nominating and Governance Committee is responsible for identifying individuals qualified to become Board members and making recommendations on director nominees to the Board. The committee considers potential new candidates that may be proposed by current directors, management, professional search firms, and shareholders. The committee retains third-party search firms from time to time to assist in identifying potential Board members who have expertise and experience that would complement the current Board.</w:t>
      </w:r>
    </w:p>
    <w:p>
      <w:pPr>
        <w:spacing w:after="0" w:line="151"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0E2A35"/>
        </w:rPr>
        <w:t>The Nominating and Governance Committee considers the then-current composition of the Board, the operating requirements of the Company and the long-term interests of all shareholders in its assessment of potential director candidates. The committee seeks directors who have the skills and experience to guide management in the operation of the Company’s business given the then-current and anticipated future needs of the Board and the Company while maintaining a balance of perspectives, qualifications, qualities and skills on the Board. The Board does not have a specific diversity policy but understands and fully appreciates the value of diversity and inclusion and has added three independent, diverse directors to the Board since 2021.</w:t>
      </w:r>
    </w:p>
    <w:p>
      <w:pPr>
        <w:spacing w:after="0" w:line="150"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0E2A35"/>
        </w:rPr>
        <w:t>Staci L. Kroon was appointed to the Board effective October 11, 2023. The Nominating and Governance Committee led the process for identifying director candidates, selecting Ms. Kroon as a director nominee and recommending her selection to the Board. A third party search firm, Russell Reynolds Associates, assisted the committee with its recruitment efforts and identified Ms. Kroon as a candidate. Ms. Kroon was identified and recommended as a director candidate due to a number of factors, including her strategy development and execution skills, her automotive industry experience, and her significant experience in operations, quality, and supply chain management.</w:t>
      </w:r>
    </w:p>
    <w:p>
      <w:pPr>
        <w:spacing w:after="0" w:line="164"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0E2A35"/>
        </w:rPr>
        <w:t>To promote Board refreshment and effectiveness, the Board and its committees engage in an annual self-assessment process. The Nominating and Governance Committee leads the Board’s annual self-evaluation to assess the performance of the Board and its committees. The assessment focuses on the Board’s contribution to the Company and specifically focuses on areas where the Board or management believes that the Board could improve.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Board Commitments</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E2A35"/>
        </w:rPr>
        <w:t>To ensure that each director does not have other board commitments that would impair a director’s ability to fulfill his or her duties on the Board, the Board has adopted limitations on the number of public company boards on which a director may serve. Any director who serves as an executive officer of a public company may serve on one other public company board of directors approved by the Board, and any director who does not serve in such capacity may serve on the board of directors of up to three other public companies. No director may join another board of directors without first obtaining approval from the Board Chair.</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Code of Conduct and Corporate Governance Documents</w:t>
      </w:r>
    </w:p>
    <w:p>
      <w:pPr>
        <w:spacing w:after="0" w:line="188"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0E2A35"/>
        </w:rPr>
        <w:t>We have adopted a Code of Conduct applicable to all of our directors, officers, employees and business partners. A copy of the Code of Conduct is available on our website.</w:t>
      </w:r>
    </w:p>
    <w:p>
      <w:pPr>
        <w:spacing w:after="0" w:line="144" w:lineRule="exact"/>
        <w:rPr>
          <w:sz w:val="20"/>
          <w:szCs w:val="20"/>
          <w:color w:val="auto"/>
        </w:rPr>
      </w:pPr>
    </w:p>
    <w:p>
      <w:pPr>
        <w:ind w:right="420"/>
        <w:spacing w:after="0" w:line="261" w:lineRule="auto"/>
        <w:rPr>
          <w:sz w:val="20"/>
          <w:szCs w:val="20"/>
          <w:color w:val="auto"/>
        </w:rPr>
      </w:pPr>
      <w:r>
        <w:rPr>
          <w:rFonts w:ascii="Arial" w:cs="Arial" w:eastAsia="Arial" w:hAnsi="Arial"/>
          <w:sz w:val="16"/>
          <w:szCs w:val="16"/>
          <w:color w:val="0E2A35"/>
        </w:rPr>
        <w:t>Our human rights policy, which applies to all of our directors, officers, employees and business partners, describes our commitment to upholding and promoting fundamental human rights, including with respect to maintaining a safe and healthy workplace, a respectful work environment, diversity and inclusion, and fair labor practices.</w:t>
      </w:r>
    </w:p>
    <w:p>
      <w:pPr>
        <w:spacing w:after="0" w:line="142"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0E2A35"/>
        </w:rPr>
        <w:t xml:space="preserve">Our Code of Conduct, human rights policy, committee charters, supplier code of conduct, and other governance documents are available under “Corporate Governance” in the “Investors” section of our website at </w:t>
      </w:r>
      <w:r>
        <w:rPr>
          <w:rFonts w:ascii="Arial" w:cs="Arial" w:eastAsia="Arial" w:hAnsi="Arial"/>
          <w:sz w:val="16"/>
          <w:szCs w:val="16"/>
          <w:b w:val="1"/>
          <w:bCs w:val="1"/>
          <w:color w:val="0E2A35"/>
        </w:rPr>
        <w:t>www.winnebagoind.com</w:t>
      </w:r>
      <w:r>
        <w:rPr>
          <w:rFonts w:ascii="Arial" w:cs="Arial" w:eastAsia="Arial" w:hAnsi="Arial"/>
          <w:sz w:val="16"/>
          <w:szCs w:val="16"/>
          <w:color w:val="0E2A35"/>
        </w:rPr>
        <w:t>. This website and the materials available through it are not incorporated by reference into this proxy statement.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Policy on Transactions with Related Persons</w:t>
      </w:r>
    </w:p>
    <w:p>
      <w:pPr>
        <w:spacing w:after="0" w:line="18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0E2A35"/>
        </w:rPr>
        <w:t>We have adopted a written policy for review of transactions involving more than $120,000 in any calendar year in which Winnebago Industries is a participant and in which any executive officer, director, director nominee, greater than 5% shareholder or any immediate family member of any of these persons has a direct or indirect material</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0E2A35"/>
        </w:rPr>
        <w:t>interest. Our Nominating and Governance Committee must review and approve any such transaction before it is entered into, except that the Human Resources Committee reviews and approves the compensation of any employee who is an immediate family member of a director or executive officer and whose compensation exceeds $120,000. If advance approval by the Nominating and Governance Committee is not possible, then the related-party transaction will be considered and, if the committee determines it to be appropriate, ratified by the committee.</w:t>
      </w:r>
    </w:p>
    <w:p>
      <w:pPr>
        <w:spacing w:after="0" w:line="272" w:lineRule="exact"/>
        <w:rPr>
          <w:sz w:val="20"/>
          <w:szCs w:val="20"/>
          <w:color w:val="auto"/>
        </w:rPr>
      </w:pPr>
    </w:p>
    <w:p>
      <w:pPr>
        <w:spacing w:after="0" w:line="252" w:lineRule="auto"/>
        <w:rPr>
          <w:sz w:val="20"/>
          <w:szCs w:val="20"/>
          <w:color w:val="auto"/>
        </w:rPr>
      </w:pPr>
      <w:r>
        <w:rPr>
          <w:rFonts w:ascii="Arial" w:cs="Arial" w:eastAsia="Arial" w:hAnsi="Arial"/>
          <w:sz w:val="16"/>
          <w:szCs w:val="16"/>
          <w:color w:val="0E2A35"/>
        </w:rPr>
        <w:t>In determining whether to approve or ratify any potential related-party transaction, the Nominating and Governance Committee considers the relevant facts and circumstances, including (if applicable) but not limited to: whether the transaction is on terms no less favorable to the Company than terms generally available to unrelated parties and the extent of the related person’s interest in the transaction. No director may participate in any review, approval, or ratification of any transaction if the director, or the director’s immediate family member, has a direct or indirect material interest in the transaction. The committee will not approve any related person transaction that is inconsistent with the interests of the Company and its shareholders.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6"/>
          <w:szCs w:val="16"/>
          <w:color w:val="0E2A35"/>
        </w:rPr>
        <w:t>During fiscal 2023, the only related party transaction involved Donald Clark, one of our executive officers. Mr. Clark has a 20% ownership interest in Three Oaks, LLC (Three Oaks), an entity which owns certain land and buildings that Grand Design RV, LLC (Grand Design) leases in order to operate its business. Grand Design paid $1,573,189 to Three Oaks under its existing lease with Three Oaks, which was entered into on October 2, 2016 and amended on October 4, 2019. The transaction with Three Oaks was approved by the Nominating and Governance Committee.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Communications with Directors</w:t>
      </w:r>
    </w:p>
    <w:p>
      <w:pPr>
        <w:spacing w:after="0" w:line="188" w:lineRule="exact"/>
        <w:rPr>
          <w:sz w:val="20"/>
          <w:szCs w:val="20"/>
          <w:color w:val="auto"/>
        </w:rPr>
      </w:pPr>
    </w:p>
    <w:p>
      <w:pPr>
        <w:spacing w:after="0" w:line="249" w:lineRule="auto"/>
        <w:rPr>
          <w:sz w:val="20"/>
          <w:szCs w:val="20"/>
          <w:color w:val="auto"/>
        </w:rPr>
      </w:pPr>
      <w:r>
        <w:rPr>
          <w:rFonts w:ascii="Arial" w:cs="Arial" w:eastAsia="Arial" w:hAnsi="Arial"/>
          <w:sz w:val="16"/>
          <w:szCs w:val="16"/>
          <w:color w:val="0E2A35"/>
        </w:rPr>
        <w:t>Shareholders and other interested parties seeking to communicate with our directors or a particular director may write to: Winnebago Industries, Inc., Attn: Senior Vice President, General Counsel, Secretary and Corporate Responsibility, 13200 Pioneer Trail, Eden Prairie, MN 55347 or email: SLBogart@winnebagoind.com. All communications must be accompanied by the following information: (1) if the person submitting the communication is a shareholder, a statement of the number of shares of common stock that the person holds; (2) if the person submitting the communication is not a shareholder and is submitting the communication to the non-employee directors as an interested party, the nature of the person’s interest in the Company; (3) any special interest, meaning an interest not in the capacity of a shareholder, of the person in the subject matter of the communication; and (4) the address, telephone number and e-mail address, if any, of the person submitting the communication. All communications received from shareholders and other interested parties will be reviewed by the Senior Vice President, General Counsel, Secretary and Corporate Responsibility, or such other person designated by all non-employee directors of the Board, and if they are relevant and appropriate, they will be forwarded to the Board Chair or applicable Board member or members as soon as reasonably practicable.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Anti-Hedging and Anti-Pledging Policy</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0E2A35"/>
        </w:rPr>
        <w:t>We adopted a policy that prohibits employees and directors from engaging in transactions intended to hedge or offset the market value of any Winnebago Industries securities owned by them. This policy also prohibits employees and directors from holding Winnebago Industries securities in a margin account or otherwise pledging Winnebago Industries securities as collateral for a loan. These restrictions also apply to family members of employees and directors and anyone designated to engage in securities transactions on their behalf.</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Proposal 1 – Election of Directors</w:t>
      </w:r>
    </w:p>
    <w:p>
      <w:pPr>
        <w:spacing w:after="0" w:line="20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0E2A35"/>
        </w:rPr>
        <w:t>Our bylaws provide that our Board is comprised of between three and fifteen directors. Ms. Staci L. Kroon was elected as a Class III director at a regular meeting of the Board on October 11, 2023, at which time the size of the Board was increased to ten.</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6"/>
          <w:szCs w:val="16"/>
          <w:color w:val="0E2A35"/>
        </w:rPr>
        <w:t>The Board adopted a majority voting policy for the election of directors in uncontested elections. Under this policy, in any uncontested election of directors, if any nominee receives less than a majority of the votes cast for the nominee, that nominee will still be elected, but must tender his or her resignation to the full Board for consideration at the next regularly scheduled meeting of the Board. The Board will only not accept the tendered resignation for, in its judgment, a compelling reason. If the Board, with the affected director not participating, does not accept the resignation at the regularly scheduled meeting following the election, then the nominee will be considered elected and may serve out the term to which he or she was elected. In any contested election of directors where the number of nominees exceeds the number of available positions, strict plurality voting will apply.</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E2A35"/>
        </w:rPr>
        <w:t>Based on the recommendation of the Nominating and Governance Committee, our Board has nominated Ms. Sara E. Armbruster, Mr. William C. Fisher, Mr. Michael J. Happe, and Ms. Staci L. Kroon for election to serve as Class III directors for three-year terms expiring at the annual meeting of shareholders following fiscal 2026.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27940</wp:posOffset>
            </wp:positionV>
            <wp:extent cx="4714875" cy="6254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14875" cy="625475"/>
                    </a:xfrm>
                    <a:prstGeom prst="rect">
                      <a:avLst/>
                    </a:prstGeom>
                    <a:noFill/>
                  </pic:spPr>
                </pic:pic>
              </a:graphicData>
            </a:graphic>
          </wp:anchor>
        </w:drawing>
      </w:r>
    </w:p>
    <w:p>
      <w:pPr>
        <w:spacing w:after="0" w:line="280" w:lineRule="exact"/>
        <w:rPr>
          <w:sz w:val="20"/>
          <w:szCs w:val="20"/>
          <w:color w:val="auto"/>
        </w:rPr>
      </w:pPr>
    </w:p>
    <w:p>
      <w:pPr>
        <w:ind w:left="1480" w:right="1500" w:hanging="616"/>
        <w:spacing w:after="0" w:line="182" w:lineRule="auto"/>
        <w:tabs>
          <w:tab w:leader="none" w:pos="1480" w:val="left"/>
        </w:tabs>
        <w:numPr>
          <w:ilvl w:val="0"/>
          <w:numId w:val="11"/>
        </w:numPr>
        <w:rPr>
          <w:rFonts w:ascii="MS PGothic" w:cs="MS PGothic" w:eastAsia="MS PGothic" w:hAnsi="MS PGothic"/>
          <w:sz w:val="44"/>
          <w:szCs w:val="44"/>
          <w:color w:val="FFFFFF"/>
        </w:rPr>
      </w:pPr>
      <w:r>
        <w:rPr>
          <w:rFonts w:ascii="Arial" w:cs="Arial" w:eastAsia="Arial" w:hAnsi="Arial"/>
          <w:sz w:val="18"/>
          <w:szCs w:val="18"/>
          <w:b w:val="1"/>
          <w:bCs w:val="1"/>
          <w:color w:val="FFFFFF"/>
        </w:rPr>
        <w:t>THE​ BOARD UNANIMOUSLY RECOMMENDS THAT YOU VOTE FOR THE ELECTION OF EACH OF THE DIRECTOR NOMINEES.​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FFFFFF"/>
        </w:rPr>
        <w:t>  </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color w:val="C7D265"/>
        </w:rPr>
        <w:t>Director Nominees — Class III (Term Ending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5897880" cy="2837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97880" cy="28371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xml:space="preserve">  </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Sara E. Armbruster</w:t>
      </w:r>
    </w:p>
    <w:p>
      <w:pPr>
        <w:ind w:left="100"/>
        <w:spacing w:after="0" w:line="217" w:lineRule="auto"/>
        <w:rPr>
          <w:sz w:val="20"/>
          <w:szCs w:val="20"/>
          <w:color w:val="auto"/>
        </w:rPr>
      </w:pPr>
      <w:r>
        <w:rPr>
          <w:rFonts w:ascii="Arial" w:cs="Arial" w:eastAsia="Arial" w:hAnsi="Arial"/>
          <w:sz w:val="13"/>
          <w:szCs w:val="13"/>
          <w:b w:val="1"/>
          <w:bCs w:val="1"/>
          <w:color w:val="FFFFFF"/>
        </w:rPr>
        <w:t xml:space="preserve">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52</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2019</w:t>
      </w:r>
    </w:p>
    <w:p>
      <w:pPr>
        <w:ind w:left="100"/>
        <w:spacing w:after="0" w:line="217" w:lineRule="auto"/>
        <w:rPr>
          <w:sz w:val="20"/>
          <w:szCs w:val="20"/>
          <w:color w:val="auto"/>
        </w:rPr>
      </w:pPr>
      <w:r>
        <w:rPr>
          <w:rFonts w:ascii="Arial" w:cs="Arial" w:eastAsia="Arial" w:hAnsi="Arial"/>
          <w:sz w:val="13"/>
          <w:szCs w:val="13"/>
          <w:color w:val="FFFFFF"/>
        </w:rPr>
        <w:t xml:space="preserve">  </w:t>
      </w:r>
    </w:p>
    <w:p>
      <w:pPr>
        <w:ind w:left="100"/>
        <w:spacing w:after="0" w:line="217"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Finance</w:t>
      </w:r>
    </w:p>
    <w:p>
      <w:pPr>
        <w:ind w:left="100"/>
        <w:spacing w:after="0"/>
        <w:rPr>
          <w:sz w:val="20"/>
          <w:szCs w:val="20"/>
          <w:color w:val="auto"/>
        </w:rPr>
      </w:pPr>
      <w:r>
        <w:rPr>
          <w:rFonts w:ascii="Arial" w:cs="Arial" w:eastAsia="Arial" w:hAnsi="Arial"/>
          <w:sz w:val="13"/>
          <w:szCs w:val="13"/>
          <w:color w:val="FFFFFF"/>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148"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​Public/Private Company CEO</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Global Experience</w:t>
      </w:r>
    </w:p>
    <w:p>
      <w:pPr>
        <w:spacing w:after="0" w:line="140" w:lineRule="exact"/>
        <w:rPr>
          <w:sz w:val="20"/>
          <w:szCs w:val="20"/>
          <w:color w:val="auto"/>
        </w:rPr>
      </w:pPr>
    </w:p>
    <w:p>
      <w:pPr>
        <w:ind w:left="660" w:hanging="399"/>
        <w:spacing w:after="0"/>
        <w:tabs>
          <w:tab w:leader="none" w:pos="660" w:val="left"/>
        </w:tabs>
        <w:numPr>
          <w:ilvl w:val="0"/>
          <w:numId w:val="12"/>
        </w:numPr>
        <w:rPr>
          <w:rFonts w:ascii="Arial" w:cs="Arial" w:eastAsia="Arial" w:hAnsi="Arial"/>
          <w:sz w:val="16"/>
          <w:szCs w:val="16"/>
          <w:color w:val="0E2A35"/>
        </w:rPr>
      </w:pPr>
      <w:r>
        <w:rPr>
          <w:rFonts w:ascii="Arial" w:cs="Arial" w:eastAsia="Arial" w:hAnsi="Arial"/>
          <w:sz w:val="16"/>
          <w:szCs w:val="16"/>
          <w:color w:val="0E2A35"/>
        </w:rPr>
        <w:t>Strategic Transformation</w:t>
      </w:r>
    </w:p>
    <w:p>
      <w:pPr>
        <w:spacing w:after="0" w:line="31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0E2A35"/>
        </w:rPr>
        <w:t>Sara E. Armbruster is President and Chief Executive Officer of Steelcase Inc., a global office furniture manufacturer, a position she has held since October 2021. Ms. Armbruster also serves on the board of directors of Steelcase. Ms. Armbruster has held several leadership positions since joining Steelcase in 2007 as Vice President of Corporate Strategy, including as Vice President, Strategy, Research and Digital Transformation and Executive Vice President. In her roles, Ms. Armbruster oversaw Steelcase’s technology efforts and was responsible for advancing the embrace of digital technologies and for digital transformation of Steelcase. Ms. Armbruster also has had responsibility for a range of innovation activities, including global design research, the design and implementation of new business models, and the development of external growth opportunities, including acquisitions and partnerships. Before joining Steelcase, Ms. Armbruster was Vice President of Business Development at Banta Corporation, a contract printing company. Ms. Armbruster brings substantial experience in strategy, innovation, information technology, and digital transformation to our Board. As a senior executive of a public company with primary responsibility in these areas, she provides valuable strategic insights and expertise with respect to growth opportunities for the Company and areas of critical business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227330</wp:posOffset>
            </wp:positionV>
            <wp:extent cx="5897880" cy="2802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97880" cy="2802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320"/>
            <w:col w:w="7300"/>
          </w:cols>
          <w:pgMar w:left="1300" w:top="265"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William C. Fisher</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69</w:t>
      </w:r>
    </w:p>
    <w:p>
      <w:pPr>
        <w:spacing w:after="0" w:line="1" w:lineRule="exact"/>
        <w:rPr>
          <w:sz w:val="20"/>
          <w:szCs w:val="20"/>
          <w:color w:val="auto"/>
        </w:rPr>
      </w:pPr>
    </w:p>
    <w:p>
      <w:pPr>
        <w:ind w:left="100" w:right="460"/>
        <w:spacing w:after="0" w:line="216"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r>
        <w:rPr>
          <w:rFonts w:ascii="Arial" w:cs="Arial" w:eastAsia="Arial" w:hAnsi="Arial"/>
          <w:sz w:val="13"/>
          <w:szCs w:val="13"/>
          <w:b w:val="1"/>
          <w:bCs w:val="1"/>
          <w:color w:val="FFFFFF"/>
        </w:rPr>
        <w:t xml:space="preserve"> </w:t>
      </w:r>
      <w:r>
        <w:rPr>
          <w:rFonts w:ascii="Arial" w:cs="Arial" w:eastAsia="Arial" w:hAnsi="Arial"/>
          <w:sz w:val="13"/>
          <w:szCs w:val="13"/>
          <w:color w:val="FFFFFF"/>
        </w:rPr>
        <w:t xml:space="preserve">  </w:t>
      </w:r>
    </w:p>
    <w:p>
      <w:pPr>
        <w:ind w:left="100"/>
        <w:spacing w:after="0" w:line="218"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Audit</w:t>
      </w:r>
    </w:p>
    <w:p>
      <w:pPr>
        <w:spacing w:after="0" w:line="1" w:lineRule="exact"/>
        <w:rPr>
          <w:sz w:val="20"/>
          <w:szCs w:val="20"/>
          <w:color w:val="auto"/>
        </w:rPr>
      </w:pPr>
    </w:p>
    <w:p>
      <w:pPr>
        <w:ind w:left="100"/>
        <w:spacing w:after="0" w:line="230" w:lineRule="auto"/>
        <w:rPr>
          <w:sz w:val="20"/>
          <w:szCs w:val="20"/>
          <w:color w:val="auto"/>
        </w:rPr>
      </w:pPr>
      <w:r>
        <w:rPr>
          <w:rFonts w:ascii="Arial" w:cs="Arial" w:eastAsia="Arial" w:hAnsi="Arial"/>
          <w:sz w:val="13"/>
          <w:szCs w:val="13"/>
          <w:color w:val="FFFFFF"/>
        </w:rPr>
        <w:t>Nominating and 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148"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Operations Optimization</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Mobility Ecosystem</w:t>
      </w:r>
    </w:p>
    <w:p>
      <w:pPr>
        <w:spacing w:after="0" w:line="14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Global Experience</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​Technology Leader/Data &amp; Analytics</w:t>
      </w:r>
    </w:p>
    <w:p>
      <w:pPr>
        <w:spacing w:after="0" w:line="140" w:lineRule="exact"/>
        <w:rPr>
          <w:sz w:val="20"/>
          <w:szCs w:val="20"/>
          <w:color w:val="auto"/>
        </w:rPr>
      </w:pPr>
    </w:p>
    <w:p>
      <w:pPr>
        <w:ind w:left="660" w:hanging="399"/>
        <w:spacing w:after="0"/>
        <w:tabs>
          <w:tab w:leader="none" w:pos="660" w:val="left"/>
        </w:tabs>
        <w:numPr>
          <w:ilvl w:val="0"/>
          <w:numId w:val="13"/>
        </w:numPr>
        <w:rPr>
          <w:rFonts w:ascii="Arial" w:cs="Arial" w:eastAsia="Arial" w:hAnsi="Arial"/>
          <w:sz w:val="16"/>
          <w:szCs w:val="16"/>
          <w:color w:val="0E2A35"/>
        </w:rPr>
      </w:pPr>
      <w:r>
        <w:rPr>
          <w:rFonts w:ascii="Arial" w:cs="Arial" w:eastAsia="Arial" w:hAnsi="Arial"/>
          <w:sz w:val="16"/>
          <w:szCs w:val="16"/>
          <w:color w:val="0E2A35"/>
        </w:rPr>
        <w:t>Channel Development</w:t>
      </w:r>
    </w:p>
    <w:p>
      <w:pPr>
        <w:spacing w:after="0" w:line="316"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0E2A35"/>
        </w:rPr>
        <w:t>William C. Fisher was the Chief Information Officer of Polaris Industries Inc., a manufacturer of power sports products, from 1999 until his retirement in 2015. During his tenure at Polaris, he also served as the General Manager of Service from 2005 until 2014 overseeing all technical, dealer, and consumer service operations. Prior to joining Polaris, Mr. Fisher was employed by MTS Systems for 15 years in various positions in information services, software engineering (applications and embedded control systems), factory automation, vehicle testing, and general management. Before that time, Mr. Fisher worked as a civil engineer for Anderson-Nichols and he later joined Autocon Industries, where he developed process control software. Mr. Fisher’s experience as Chief Information Officer at Polaris has provided substantial experience with information technology and cybersecurity issues. His experience as an engineer and in executive positions in service and consumer service operations provides valuable insight for our customer service function as well as relationships with channel partners. His familiarity with highly discretionary consumer products is a key asset as we focus on improved service and operational efficiency.</w:t>
      </w:r>
    </w:p>
    <w:p>
      <w:pPr>
        <w:spacing w:after="0" w:line="200" w:lineRule="exact"/>
        <w:rPr>
          <w:sz w:val="20"/>
          <w:szCs w:val="20"/>
          <w:color w:val="auto"/>
        </w:rPr>
      </w:pPr>
    </w:p>
    <w:p>
      <w:pPr>
        <w:sectPr>
          <w:pgSz w:w="11900" w:h="16838" w:orient="portrait"/>
          <w:cols w:equalWidth="0" w:num="2">
            <w:col w:w="1720" w:space="260"/>
            <w:col w:w="7300"/>
          </w:cols>
          <w:pgMar w:left="1300" w:top="265" w:right="1319" w:bottom="1440" w:gutter="0" w:footer="0" w:header="0"/>
          <w:type w:val="continuous"/>
        </w:sectPr>
      </w:pPr>
    </w:p>
    <w:p>
      <w:pPr>
        <w:spacing w:after="0" w:line="236"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208915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4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Michael J. Happe</w:t>
      </w:r>
    </w:p>
    <w:p>
      <w:pPr>
        <w:ind w:left="100"/>
        <w:spacing w:after="0" w:line="217" w:lineRule="auto"/>
        <w:rPr>
          <w:sz w:val="20"/>
          <w:szCs w:val="20"/>
          <w:color w:val="auto"/>
        </w:rPr>
      </w:pPr>
      <w:r>
        <w:rPr>
          <w:rFonts w:ascii="Arial" w:cs="Arial" w:eastAsia="Arial" w:hAnsi="Arial"/>
          <w:sz w:val="13"/>
          <w:szCs w:val="13"/>
          <w:b w:val="1"/>
          <w:bCs w:val="1"/>
          <w:color w:val="FFFFFF"/>
        </w:rPr>
        <w:t xml:space="preserve">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r>
        <w:rPr>
          <w:rFonts w:ascii="Arial" w:cs="Arial" w:eastAsia="Arial" w:hAnsi="Arial"/>
          <w:sz w:val="16"/>
          <w:szCs w:val="16"/>
          <w:color w:val="0E2A3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-318770</wp:posOffset>
            </wp:positionV>
            <wp:extent cx="5897880" cy="32829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97880" cy="3282950"/>
                    </a:xfrm>
                    <a:prstGeom prst="rect">
                      <a:avLst/>
                    </a:prstGeom>
                    <a:noFill/>
                  </pic:spPr>
                </pic:pic>
              </a:graphicData>
            </a:graphic>
          </wp:anchor>
        </w:drawing>
      </w:r>
    </w:p>
    <w:p>
      <w:pPr>
        <w:spacing w:after="0" w:line="128"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​Public/Private Company CEO</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​Strategic Transformation</w:t>
      </w:r>
    </w:p>
    <w:p>
      <w:pPr>
        <w:spacing w:after="0" w:line="14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Marketing/Sales/Branding</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Global Experience</w:t>
      </w:r>
    </w:p>
    <w:p>
      <w:pPr>
        <w:spacing w:after="0" w:line="140" w:lineRule="exact"/>
        <w:rPr>
          <w:sz w:val="20"/>
          <w:szCs w:val="20"/>
          <w:color w:val="auto"/>
        </w:rPr>
      </w:pPr>
    </w:p>
    <w:p>
      <w:pPr>
        <w:ind w:left="660" w:hanging="399"/>
        <w:spacing w:after="0"/>
        <w:tabs>
          <w:tab w:leader="none" w:pos="660" w:val="left"/>
        </w:tabs>
        <w:numPr>
          <w:ilvl w:val="0"/>
          <w:numId w:val="14"/>
        </w:numPr>
        <w:rPr>
          <w:rFonts w:ascii="Arial" w:cs="Arial" w:eastAsia="Arial" w:hAnsi="Arial"/>
          <w:sz w:val="16"/>
          <w:szCs w:val="16"/>
          <w:color w:val="0E2A35"/>
        </w:rPr>
      </w:pPr>
      <w:r>
        <w:rPr>
          <w:rFonts w:ascii="Arial" w:cs="Arial" w:eastAsia="Arial" w:hAnsi="Arial"/>
          <w:sz w:val="16"/>
          <w:szCs w:val="16"/>
          <w:color w:val="0E2A35"/>
        </w:rPr>
        <w:t>Channel Development</w:t>
      </w:r>
    </w:p>
    <w:p>
      <w:pPr>
        <w:spacing w:after="0" w:line="31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0E2A35"/>
        </w:rPr>
        <w:t>Michael J. Happe joined Winnebago Industries in January 2016, as the President, Chief Executive Officer and a director. Mr. Happe has led a transformation of the Company into an outdoor recreation/lifestyle enterprise. Under his leadership, Winnebago Industries has grown both organically and inorganically, completed five acquisitions, including Grand Design RV, Chris-Craft, Newmar, Barletta Boats, and Lithionics Battery, and expanded its industry and geographic footprint. Winnebago Industries’ net sales, net income, RV and marine market share, and total shareholder returns have all grown significantly under Mr. Happe’s leadership, as has the Company’s commitment to corporate responsibility. He worked previously at The Toro Company, a global manufacturer of turf and landscape maintenance and development solutions, where he most recently served as an Executive Officer and Group Vice President of Toro’s Residential and Contractor business until 2015. A 19-year veteran of The Toro Company, Mr. Happe held a series of senior leadership positions throughout his career across a variety of the company’s domestic and international divisions. Mr. Happe also serves as a director for H.B. Fuller Company. His knowledge of all aspects of the Winnebago Industries business positions him well to serve on the Board. Mr. Happe’s extensive experience and positions rising in complexity and breadth at Toro, including global business affairs, as well as his director position at H.B. Fuller, brings further expertise in corporate leadership and development and execution of profitable business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422910</wp:posOffset>
            </wp:positionV>
            <wp:extent cx="5897880" cy="22371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97880" cy="22371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440"/>
            <w:col w:w="7300"/>
          </w:cols>
          <w:pgMar w:left="1300" w:top="26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Staci L. Kroon</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50</w:t>
      </w:r>
    </w:p>
    <w:p>
      <w:pPr>
        <w:ind w:left="100"/>
        <w:spacing w:after="0" w:line="235" w:lineRule="auto"/>
        <w:rPr>
          <w:sz w:val="20"/>
          <w:szCs w:val="20"/>
          <w:color w:val="auto"/>
        </w:rPr>
      </w:pPr>
      <w:r>
        <w:rPr>
          <w:rFonts w:ascii="Arial" w:cs="Arial" w:eastAsia="Arial" w:hAnsi="Arial"/>
          <w:sz w:val="12"/>
          <w:szCs w:val="12"/>
          <w:b w:val="1"/>
          <w:bCs w:val="1"/>
          <w:color w:val="FFFFFF"/>
        </w:rPr>
        <w:t xml:space="preserve">Director since </w:t>
      </w:r>
      <w:r>
        <w:rPr>
          <w:rFonts w:ascii="Arial" w:cs="Arial" w:eastAsia="Arial" w:hAnsi="Arial"/>
          <w:sz w:val="12"/>
          <w:szCs w:val="12"/>
          <w:color w:val="FFFFFF"/>
        </w:rPr>
        <w:t>2023</w:t>
      </w:r>
    </w:p>
    <w:p>
      <w:pPr>
        <w:ind w:left="100"/>
        <w:spacing w:after="0" w:line="217" w:lineRule="auto"/>
        <w:rPr>
          <w:sz w:val="20"/>
          <w:szCs w:val="20"/>
          <w:color w:val="auto"/>
        </w:rPr>
      </w:pPr>
      <w:r>
        <w:rPr>
          <w:rFonts w:ascii="Arial" w:cs="Arial" w:eastAsia="Arial" w:hAnsi="Arial"/>
          <w:sz w:val="13"/>
          <w:szCs w:val="13"/>
          <w:color w:val="FFFFFF"/>
        </w:rPr>
        <w:t xml:space="preserve">  </w:t>
      </w:r>
    </w:p>
    <w:p>
      <w:pPr>
        <w:ind w:left="100"/>
        <w:spacing w:after="0" w:line="217"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Finance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FFFFFF"/>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1465580" cy="939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r>
        <w:rPr>
          <w:rFonts w:ascii="Arial" w:cs="Arial" w:eastAsia="Arial" w:hAnsi="Arial"/>
          <w:sz w:val="16"/>
          <w:szCs w:val="16"/>
          <w:color w:val="0E2A35"/>
        </w:rPr>
        <w:t>​</w:t>
      </w:r>
    </w:p>
    <w:p>
      <w:pPr>
        <w:spacing w:after="0" w:line="148"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Public/Private Company CEO</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Mobility Ecosystem</w:t>
      </w:r>
    </w:p>
    <w:p>
      <w:pPr>
        <w:spacing w:after="0" w:line="140" w:lineRule="exact"/>
        <w:rPr>
          <w:sz w:val="20"/>
          <w:szCs w:val="20"/>
          <w:color w:val="auto"/>
        </w:rPr>
      </w:pPr>
    </w:p>
    <w:p>
      <w:pPr>
        <w:ind w:left="660" w:hanging="399"/>
        <w:spacing w:after="0"/>
        <w:tabs>
          <w:tab w:leader="none" w:pos="660" w:val="left"/>
        </w:tabs>
        <w:numPr>
          <w:ilvl w:val="0"/>
          <w:numId w:val="15"/>
        </w:numPr>
        <w:rPr>
          <w:rFonts w:ascii="Arial" w:cs="Arial" w:eastAsia="Arial" w:hAnsi="Arial"/>
          <w:sz w:val="16"/>
          <w:szCs w:val="16"/>
          <w:color w:val="0E2A35"/>
        </w:rPr>
      </w:pPr>
      <w:r>
        <w:rPr>
          <w:rFonts w:ascii="Arial" w:cs="Arial" w:eastAsia="Arial" w:hAnsi="Arial"/>
          <w:sz w:val="16"/>
          <w:szCs w:val="16"/>
          <w:color w:val="0E2A35"/>
        </w:rPr>
        <w:t>Operations Optimization</w:t>
      </w:r>
    </w:p>
    <w:p>
      <w:pPr>
        <w:spacing w:after="0" w:line="316"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0E2A35"/>
        </w:rPr>
        <w:t>Staci L. Kroon is President and Chief Executive Officer of BraunAbility, a global manufacturer of mobility vehicles and other mobility solutions, a position she has held since 2017. Ms. Kroon also serves as a director of BraunAbility. In her role at BraunAbility, she is dedicated to growing the company through mobility innovation and cultivating a purpose-driven culture and has diversified the company’s business model, completing six acquisitions and a majority stake joint venture. Before joining BraunAbility, Ms. Kroon spent 20 years at Eaton Corporation, a global power management company, holding several roles with increasing scope and complexity in operations, business development and general management before being named Executive Vice President of Eaton Business System in September 2015. Ms. Kroon brings substantial experience in operational excellence, strategic growth, and product innovation.</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193040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260" w:space="720"/>
            <w:col w:w="7300"/>
          </w:cols>
          <w:pgMar w:left="1300" w:top="265" w:right="13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color w:val="C7D265"/>
        </w:rPr>
        <w:t>Directors Continuing in Office — Class I (Term Ending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5897880" cy="23571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97880" cy="235712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xml:space="preserve">  </w:t>
      </w:r>
    </w:p>
    <w:p>
      <w:pPr>
        <w:ind w:left="100"/>
        <w:spacing w:after="0" w:line="232" w:lineRule="auto"/>
        <w:rPr>
          <w:sz w:val="20"/>
          <w:szCs w:val="20"/>
          <w:color w:val="auto"/>
        </w:rPr>
      </w:pPr>
      <w:r>
        <w:rPr>
          <w:rFonts w:ascii="Arial" w:cs="Arial" w:eastAsia="Arial" w:hAnsi="Arial"/>
          <w:sz w:val="17"/>
          <w:szCs w:val="17"/>
          <w:b w:val="1"/>
          <w:bCs w:val="1"/>
          <w:color w:val="FFFFFF"/>
        </w:rPr>
        <w:t>Christopher J.</w:t>
      </w:r>
    </w:p>
    <w:p>
      <w:pPr>
        <w:ind w:left="100"/>
        <w:spacing w:after="0" w:line="232" w:lineRule="auto"/>
        <w:rPr>
          <w:sz w:val="20"/>
          <w:szCs w:val="20"/>
          <w:color w:val="auto"/>
        </w:rPr>
      </w:pPr>
      <w:r>
        <w:rPr>
          <w:rFonts w:ascii="Arial" w:cs="Arial" w:eastAsia="Arial" w:hAnsi="Arial"/>
          <w:sz w:val="17"/>
          <w:szCs w:val="17"/>
          <w:b w:val="1"/>
          <w:bCs w:val="1"/>
          <w:color w:val="FFFFFF"/>
        </w:rPr>
        <w:t>Braun</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63</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ind w:left="100"/>
        <w:spacing w:after="0" w:line="217" w:lineRule="auto"/>
        <w:rPr>
          <w:sz w:val="20"/>
          <w:szCs w:val="20"/>
          <w:color w:val="auto"/>
        </w:rPr>
      </w:pPr>
      <w:r>
        <w:rPr>
          <w:rFonts w:ascii="Arial" w:cs="Arial" w:eastAsia="Arial" w:hAnsi="Arial"/>
          <w:sz w:val="13"/>
          <w:szCs w:val="13"/>
          <w:color w:val="FFFFFF"/>
        </w:rPr>
        <w:t xml:space="preserve">  </w:t>
      </w:r>
    </w:p>
    <w:p>
      <w:pPr>
        <w:ind w:left="100"/>
        <w:spacing w:after="0" w:line="217"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Audit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2"/>
          <w:szCs w:val="12"/>
          <w:color w:val="FFFFFF"/>
        </w:rPr>
        <w:t>Nominating and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xml:space="preserve">  </w:t>
      </w:r>
    </w:p>
    <w:p>
      <w:pPr>
        <w:ind w:left="100"/>
        <w:spacing w:after="0" w:line="232" w:lineRule="auto"/>
        <w:rPr>
          <w:sz w:val="20"/>
          <w:szCs w:val="20"/>
          <w:color w:val="auto"/>
        </w:rPr>
      </w:pPr>
      <w:r>
        <w:rPr>
          <w:rFonts w:ascii="Arial" w:cs="Arial" w:eastAsia="Arial" w:hAnsi="Arial"/>
          <w:sz w:val="17"/>
          <w:szCs w:val="17"/>
          <w:b w:val="1"/>
          <w:bCs w:val="1"/>
          <w:color w:val="FFFFFF"/>
        </w:rPr>
        <w:t>David W. Miles</w:t>
      </w:r>
    </w:p>
    <w:p>
      <w:pPr>
        <w:ind w:left="100"/>
        <w:spacing w:after="0" w:line="217" w:lineRule="auto"/>
        <w:rPr>
          <w:sz w:val="20"/>
          <w:szCs w:val="20"/>
          <w:color w:val="auto"/>
        </w:rPr>
      </w:pPr>
      <w:r>
        <w:rPr>
          <w:rFonts w:ascii="Arial" w:cs="Arial" w:eastAsia="Arial" w:hAnsi="Arial"/>
          <w:sz w:val="13"/>
          <w:szCs w:val="13"/>
          <w:b w:val="1"/>
          <w:bCs w:val="1"/>
          <w:color w:val="FFFFFF"/>
        </w:rPr>
        <w:t xml:space="preserve">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66</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ind w:left="100"/>
        <w:spacing w:after="0" w:line="217" w:lineRule="auto"/>
        <w:rPr>
          <w:sz w:val="20"/>
          <w:szCs w:val="20"/>
          <w:color w:val="auto"/>
        </w:rPr>
      </w:pPr>
      <w:r>
        <w:rPr>
          <w:rFonts w:ascii="Arial" w:cs="Arial" w:eastAsia="Arial" w:hAnsi="Arial"/>
          <w:sz w:val="13"/>
          <w:szCs w:val="13"/>
          <w:color w:val="FFFFFF"/>
        </w:rPr>
        <w:t xml:space="preserve">  </w:t>
      </w:r>
    </w:p>
    <w:p>
      <w:pPr>
        <w:ind w:left="100"/>
        <w:spacing w:after="0"/>
        <w:rPr>
          <w:sz w:val="20"/>
          <w:szCs w:val="20"/>
          <w:color w:val="auto"/>
        </w:rPr>
      </w:pPr>
      <w:r>
        <w:rPr>
          <w:rFonts w:ascii="Arial" w:cs="Arial" w:eastAsia="Arial" w:hAnsi="Arial"/>
          <w:sz w:val="13"/>
          <w:szCs w:val="13"/>
          <w:color w:val="FFFFFF"/>
        </w:rPr>
        <w:t>Chair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148"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​Global Experience</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​Operations Optimization</w:t>
      </w:r>
    </w:p>
    <w:p>
      <w:pPr>
        <w:spacing w:after="0" w:line="140" w:lineRule="exact"/>
        <w:rPr>
          <w:sz w:val="20"/>
          <w:szCs w:val="20"/>
          <w:color w:val="auto"/>
        </w:rPr>
      </w:pPr>
    </w:p>
    <w:p>
      <w:pPr>
        <w:ind w:left="260"/>
        <w:spacing w:after="0"/>
        <w:tabs>
          <w:tab w:leader="none" w:pos="64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​Channel Development</w:t>
      </w:r>
    </w:p>
    <w:p>
      <w:pPr>
        <w:spacing w:after="0" w:line="316"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0E2A35"/>
        </w:rPr>
        <w:t>Christopher J. Braun has over 30 years of leadership experience encompassing manufacturing, finance and sales. Most recently, he was self-employed as a management consultant from 2014 through February 2020. He founded Teton Buildings in 2008 and held the position of CEO through 2013. His previous experience includes CEO of Teton Homes, Executive Vice President – RV Group at Fleetwood Enterprises and various senior management positions within PACCAR Inc., a manufacturer of Kenworth and Peterbilt trucks. As a recognized leader in the RV industry, Mr. Braun provides keen insights to the Board. His prior experience in the RV industry, combined with his vast manufacturing background and his role as a former CEO make him well-positioned to critically and thoughtfully review and guide the Company’s strategy.  </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233680</wp:posOffset>
            </wp:positionV>
            <wp:extent cx="5897880" cy="27171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9788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148"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​Public/Private Company CEO</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Technology Leader/Data &amp; Analytics</w:t>
      </w:r>
    </w:p>
    <w:p>
      <w:pPr>
        <w:spacing w:after="0" w:line="140"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Strategic Transformation</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Public Affairs/Stakeholder Management</w:t>
      </w:r>
    </w:p>
    <w:p>
      <w:pPr>
        <w:spacing w:after="0" w:line="316"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0E2A35"/>
        </w:rPr>
        <w:t>David W. Miles, a financial adviser, entrepreneur and investor, was elected as Chair of the Board in June 2019. Mr. Miles is co-founder and Managing Principal of ManchesterStory Group, an early stage venture capital firm, and founder and manager of The Miles Group, LLC, which makes direct and indirect private equity investments. He is also a director and chair of the Audit Committee of Northwest Financial Corporation. Until the company’s sale in March 2020, Mr. Miles was the principal owner of Miles Capital, Inc., an institutional asset management firm serving insurance companies, public bodies, foundations and endowments, and high net worth investors, where he worked for over 23 years. Mr. Miles served as Executive Vice President, Principal Mutual Funds, and Executive Vice President, AMCORE Financial, Inc., where he was responsible for asset management, trust, private banking, brokerage, employee benefits and insurance services. During his career, Mr. Miles has served as a director or officer of more than 60 public mutual funds with total assets exceeding</w:t>
      </w:r>
    </w:p>
    <w:p>
      <w:pPr>
        <w:spacing w:after="0" w:line="8" w:lineRule="exact"/>
        <w:rPr>
          <w:sz w:val="20"/>
          <w:szCs w:val="20"/>
          <w:color w:val="auto"/>
        </w:rPr>
      </w:pPr>
    </w:p>
    <w:p>
      <w:pPr>
        <w:spacing w:after="0" w:line="253" w:lineRule="auto"/>
        <w:rPr>
          <w:sz w:val="20"/>
          <w:szCs w:val="20"/>
          <w:color w:val="auto"/>
        </w:rPr>
      </w:pPr>
      <w:r>
        <w:rPr>
          <w:rFonts w:ascii="Arial" w:cs="Arial" w:eastAsia="Arial" w:hAnsi="Arial"/>
          <w:sz w:val="16"/>
          <w:szCs w:val="16"/>
          <w:color w:val="0E2A35"/>
        </w:rPr>
        <w:t>$30 billion. Mr. Miles brings legal and investment transaction experience to the Board and holds a J.D. from Harvard Law School. He also brings significant expertise in financial reporting and capital allocation strategy.</w:t>
      </w:r>
    </w:p>
    <w:p>
      <w:pPr>
        <w:spacing w:after="0" w:line="200" w:lineRule="exact"/>
        <w:rPr>
          <w:sz w:val="20"/>
          <w:szCs w:val="20"/>
          <w:color w:val="auto"/>
        </w:rPr>
      </w:pPr>
    </w:p>
    <w:p>
      <w:pPr>
        <w:sectPr>
          <w:pgSz w:w="11900" w:h="16838" w:orient="portrait"/>
          <w:cols w:equalWidth="0" w:num="2">
            <w:col w:w="1720" w:space="260"/>
            <w:col w:w="7300"/>
          </w:cols>
          <w:pgMar w:left="1300" w:top="265" w:right="1319" w:bottom="1440" w:gutter="0" w:footer="0" w:header="0"/>
          <w:type w:val="continuous"/>
        </w:sectPr>
      </w:pPr>
    </w:p>
    <w:p>
      <w:pPr>
        <w:spacing w:after="0" w:line="234"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208915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39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Jacqueline D.</w:t>
      </w:r>
    </w:p>
    <w:p>
      <w:pPr>
        <w:ind w:left="100"/>
        <w:spacing w:after="0" w:line="232" w:lineRule="auto"/>
        <w:rPr>
          <w:sz w:val="20"/>
          <w:szCs w:val="20"/>
          <w:color w:val="auto"/>
        </w:rPr>
      </w:pPr>
      <w:r>
        <w:rPr>
          <w:rFonts w:ascii="Arial" w:cs="Arial" w:eastAsia="Arial" w:hAnsi="Arial"/>
          <w:sz w:val="17"/>
          <w:szCs w:val="17"/>
          <w:b w:val="1"/>
          <w:bCs w:val="1"/>
          <w:color w:val="FFFFFF"/>
        </w:rPr>
        <w:t>Woods</w:t>
      </w:r>
    </w:p>
    <w:p>
      <w:pPr>
        <w:ind w:left="100"/>
        <w:spacing w:after="0" w:line="217" w:lineRule="auto"/>
        <w:rPr>
          <w:sz w:val="20"/>
          <w:szCs w:val="20"/>
          <w:color w:val="auto"/>
        </w:rPr>
      </w:pPr>
      <w:r>
        <w:rPr>
          <w:rFonts w:ascii="Arial" w:cs="Arial" w:eastAsia="Arial" w:hAnsi="Arial"/>
          <w:sz w:val="13"/>
          <w:szCs w:val="13"/>
          <w:b w:val="1"/>
          <w:bCs w:val="1"/>
          <w:color w:val="FFFFFF"/>
        </w:rPr>
        <w:t xml:space="preserve">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61</w:t>
      </w:r>
    </w:p>
    <w:p>
      <w:pPr>
        <w:spacing w:after="0" w:line="1" w:lineRule="exact"/>
        <w:rPr>
          <w:sz w:val="20"/>
          <w:szCs w:val="20"/>
          <w:color w:val="auto"/>
        </w:rPr>
      </w:pPr>
    </w:p>
    <w:p>
      <w:pPr>
        <w:ind w:left="100" w:right="460"/>
        <w:spacing w:after="0" w:line="216"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2021</w:t>
      </w:r>
      <w:r>
        <w:rPr>
          <w:rFonts w:ascii="Arial" w:cs="Arial" w:eastAsia="Arial" w:hAnsi="Arial"/>
          <w:sz w:val="13"/>
          <w:szCs w:val="13"/>
          <w:b w:val="1"/>
          <w:bCs w:val="1"/>
          <w:color w:val="FFFFFF"/>
        </w:rPr>
        <w:t xml:space="preserve"> </w:t>
      </w:r>
      <w:r>
        <w:rPr>
          <w:rFonts w:ascii="Arial" w:cs="Arial" w:eastAsia="Arial" w:hAnsi="Arial"/>
          <w:sz w:val="13"/>
          <w:szCs w:val="13"/>
          <w:color w:val="FFFFFF"/>
        </w:rPr>
        <w:t xml:space="preserve">  </w:t>
      </w:r>
    </w:p>
    <w:p>
      <w:pPr>
        <w:ind w:left="100"/>
        <w:spacing w:after="0" w:line="218"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Human Resources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2"/>
          <w:szCs w:val="12"/>
          <w:color w:val="FFFFFF"/>
        </w:rPr>
        <w:t>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-318770</wp:posOffset>
            </wp:positionV>
            <wp:extent cx="5897880" cy="2957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97880" cy="2957830"/>
                    </a:xfrm>
                    <a:prstGeom prst="rect">
                      <a:avLst/>
                    </a:prstGeom>
                    <a:noFill/>
                  </pic:spPr>
                </pic:pic>
              </a:graphicData>
            </a:graphic>
          </wp:anchor>
        </w:drawing>
      </w:r>
    </w:p>
    <w:p>
      <w:pPr>
        <w:spacing w:after="0" w:line="128"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​Global Experience</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​Technology Leader/Data &amp; Analytics</w:t>
      </w:r>
    </w:p>
    <w:p>
      <w:pPr>
        <w:spacing w:after="0" w:line="140" w:lineRule="exact"/>
        <w:rPr>
          <w:sz w:val="20"/>
          <w:szCs w:val="20"/>
          <w:color w:val="auto"/>
        </w:rPr>
      </w:pPr>
    </w:p>
    <w:p>
      <w:pPr>
        <w:ind w:left="660" w:hanging="399"/>
        <w:spacing w:after="0"/>
        <w:tabs>
          <w:tab w:leader="none" w:pos="660" w:val="left"/>
        </w:tabs>
        <w:numPr>
          <w:ilvl w:val="0"/>
          <w:numId w:val="16"/>
        </w:numPr>
        <w:rPr>
          <w:rFonts w:ascii="Arial" w:cs="Arial" w:eastAsia="Arial" w:hAnsi="Arial"/>
          <w:sz w:val="16"/>
          <w:szCs w:val="16"/>
          <w:color w:val="0E2A35"/>
        </w:rPr>
      </w:pPr>
      <w:r>
        <w:rPr>
          <w:rFonts w:ascii="Arial" w:cs="Arial" w:eastAsia="Arial" w:hAnsi="Arial"/>
          <w:sz w:val="16"/>
          <w:szCs w:val="16"/>
          <w:color w:val="0E2A35"/>
        </w:rPr>
        <w:t>Marketing/Sales/Branding​</w:t>
      </w:r>
    </w:p>
    <w:p>
      <w:pPr>
        <w:spacing w:after="0" w:line="31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0E2A35"/>
        </w:rPr>
        <w:t>Jacqueline D. Woods is the Chief Marketing Officer at Teradata Corporation, a multi-cloud data platform for enterprise analytics, where she oversees strategic marketing planning and delivery, digital and social properties, and customer experience enrichment. Ms. Woods joined Teradata from NielsenIQ, an industry leader in global measurement and data analytics, where she was the Chief Marketing and Communications Officer from 2019 to 2021. Prior to joining NielsenIQ, Ms. Woods held Chief Marketing Officer roles at IBM, a global technology company, from 2010 to 2019 and also held roles of increasing responsibility at Oracle Corporation, a computer software company, for 10 years, helping lead the company’s e-business standardization. Ms. Woods serves on the Board of Trustees for Community Reinvestment Fund USA, a not-for-profit organization dedicated to improving communities through innovative financial solutions. She also serves on board of the Greater Fairfield County Foundation, Inc., a not-for-profit organization helping under-served communities in southern Connecticut, and Avaya Holdings Corporation, a privately held multinational technology company providing workstream collaboration services. Ms. Woods brings deep expertise in all aspects of marketing, branding, pricing, customer insights and strategy.  </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0" w:lineRule="exact"/>
        <w:rPr>
          <w:sz w:val="20"/>
          <w:szCs w:val="20"/>
          <w:color w:val="auto"/>
        </w:rPr>
      </w:pPr>
    </w:p>
    <w:p>
      <w:pPr>
        <w:sectPr>
          <w:pgSz w:w="11900" w:h="16838" w:orient="portrait"/>
          <w:cols w:equalWidth="0" w:num="2">
            <w:col w:w="1720" w:space="260"/>
            <w:col w:w="7300"/>
          </w:cols>
          <w:pgMar w:left="1300" w:top="26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C7D265"/>
        </w:rPr>
        <w:t>Director Continuing in Office — Class II (Term Ending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5897880" cy="2837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97880" cy="28371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Kevin E. Bryant</w:t>
      </w:r>
    </w:p>
    <w:p>
      <w:pPr>
        <w:ind w:left="100"/>
        <w:spacing w:after="0" w:line="217" w:lineRule="auto"/>
        <w:rPr>
          <w:sz w:val="20"/>
          <w:szCs w:val="20"/>
          <w:color w:val="auto"/>
        </w:rPr>
      </w:pPr>
      <w:r>
        <w:rPr>
          <w:rFonts w:ascii="Arial" w:cs="Arial" w:eastAsia="Arial" w:hAnsi="Arial"/>
          <w:sz w:val="13"/>
          <w:szCs w:val="13"/>
          <w:b w:val="1"/>
          <w:bCs w:val="1"/>
          <w:color w:val="FFFFFF"/>
        </w:rPr>
        <w:t>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48</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2021</w:t>
      </w:r>
    </w:p>
    <w:p>
      <w:pPr>
        <w:ind w:left="100"/>
        <w:spacing w:after="0" w:line="217" w:lineRule="auto"/>
        <w:rPr>
          <w:sz w:val="20"/>
          <w:szCs w:val="20"/>
          <w:color w:val="auto"/>
        </w:rPr>
      </w:pPr>
      <w:r>
        <w:rPr>
          <w:rFonts w:ascii="Arial" w:cs="Arial" w:eastAsia="Arial" w:hAnsi="Arial"/>
          <w:sz w:val="13"/>
          <w:szCs w:val="13"/>
          <w:color w:val="FFFFFF"/>
        </w:rPr>
        <w:t> </w:t>
      </w:r>
    </w:p>
    <w:p>
      <w:pPr>
        <w:ind w:left="100"/>
        <w:spacing w:after="0" w:line="217"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Audit</w:t>
      </w:r>
    </w:p>
    <w:p>
      <w:pPr>
        <w:ind w:left="100"/>
        <w:spacing w:after="0"/>
        <w:rPr>
          <w:sz w:val="20"/>
          <w:szCs w:val="20"/>
          <w:color w:val="auto"/>
        </w:rPr>
      </w:pPr>
      <w:r>
        <w:rPr>
          <w:rFonts w:ascii="Arial" w:cs="Arial" w:eastAsia="Arial" w:hAnsi="Arial"/>
          <w:sz w:val="13"/>
          <w:szCs w:val="13"/>
          <w:color w:val="FFFFFF"/>
        </w:rPr>
        <w:t>Finance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148"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Financial Expert</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Strategic Transformation</w:t>
      </w:r>
    </w:p>
    <w:p>
      <w:pPr>
        <w:spacing w:after="0" w:line="140" w:lineRule="exact"/>
        <w:rPr>
          <w:sz w:val="20"/>
          <w:szCs w:val="20"/>
          <w:color w:val="auto"/>
        </w:rPr>
      </w:pPr>
    </w:p>
    <w:p>
      <w:pPr>
        <w:ind w:left="660" w:hanging="399"/>
        <w:spacing w:after="0"/>
        <w:tabs>
          <w:tab w:leader="none" w:pos="660" w:val="left"/>
        </w:tabs>
        <w:numPr>
          <w:ilvl w:val="0"/>
          <w:numId w:val="17"/>
        </w:numPr>
        <w:rPr>
          <w:rFonts w:ascii="Arial" w:cs="Arial" w:eastAsia="Arial" w:hAnsi="Arial"/>
          <w:sz w:val="16"/>
          <w:szCs w:val="16"/>
          <w:color w:val="0E2A35"/>
        </w:rPr>
      </w:pPr>
      <w:r>
        <w:rPr>
          <w:rFonts w:ascii="Arial" w:cs="Arial" w:eastAsia="Arial" w:hAnsi="Arial"/>
          <w:sz w:val="16"/>
          <w:szCs w:val="16"/>
          <w:color w:val="0E2A35"/>
        </w:rPr>
        <w:t>Operations Optimization</w:t>
      </w:r>
    </w:p>
    <w:p>
      <w:pPr>
        <w:spacing w:after="0" w:line="31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0E2A35"/>
        </w:rPr>
        <w:t xml:space="preserve">Kevin E. Bryant is Executive Vice President and Chief Operating Officer of Evergy, Inc., an electric utility company, a position he has held since June 2018. In this role, Mr. Bryant has management responsibility for utility operations, including generation operations and generation services, transmission operations, transmission and delivery services, distribution operations, resource planning, safety and training. Since joining Evergy in 2003, Mr. Bryant has held several positions that have drawn on his strategic insight and finance and marketing experience. Prior to his current position, Mr. Bryant served as Vice President of Investor Relations and Treasurer, Vice President of Strategic Planning and President of KLT Inc., a subsidiary of Evergy. He was named Executive Vice President Finance &amp; Strategy and Chief Financial Officer in 2015. Before joining Evergy, Mr. Bryant held roles at THQ, Inc., UBS Group AG and Hallmark Cards, Inc. Mr. Bryant also serves on the members committee of the Southwest Power Pool and on the board of directors of the National Association of Corporate Directors, Midwest Chapter. Mr. Bryant brings financial, operational, business development and energy platform expertise to the Company.   </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0" w:lineRule="exact"/>
        <w:rPr>
          <w:sz w:val="20"/>
          <w:szCs w:val="20"/>
          <w:color w:val="auto"/>
        </w:rPr>
      </w:pPr>
    </w:p>
    <w:p>
      <w:pPr>
        <w:sectPr>
          <w:pgSz w:w="11900" w:h="16838" w:orient="portrait"/>
          <w:cols w:equalWidth="0" w:num="2">
            <w:col w:w="1380" w:space="600"/>
            <w:col w:w="7300"/>
          </w:cols>
          <w:pgMar w:left="1300" w:top="265" w:right="1319" w:bottom="1440" w:gutter="0" w:footer="0" w:header="0"/>
          <w:type w:val="continuous"/>
        </w:sectPr>
      </w:pPr>
    </w:p>
    <w:p>
      <w:pPr>
        <w:spacing w:after="0" w:line="254"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200660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3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ind w:left="100"/>
        <w:spacing w:after="0" w:line="232" w:lineRule="auto"/>
        <w:rPr>
          <w:sz w:val="20"/>
          <w:szCs w:val="20"/>
          <w:color w:val="auto"/>
        </w:rPr>
      </w:pPr>
      <w:r>
        <w:rPr>
          <w:rFonts w:ascii="Arial" w:cs="Arial" w:eastAsia="Arial" w:hAnsi="Arial"/>
          <w:sz w:val="17"/>
          <w:szCs w:val="17"/>
          <w:b w:val="1"/>
          <w:bCs w:val="1"/>
          <w:color w:val="FFFFFF"/>
        </w:rPr>
        <w:t>Richard (Rick) D.</w:t>
      </w:r>
    </w:p>
    <w:p>
      <w:pPr>
        <w:ind w:left="100"/>
        <w:spacing w:after="0" w:line="232" w:lineRule="auto"/>
        <w:rPr>
          <w:sz w:val="20"/>
          <w:szCs w:val="20"/>
          <w:color w:val="auto"/>
        </w:rPr>
      </w:pPr>
      <w:r>
        <w:rPr>
          <w:rFonts w:ascii="Arial" w:cs="Arial" w:eastAsia="Arial" w:hAnsi="Arial"/>
          <w:sz w:val="17"/>
          <w:szCs w:val="17"/>
          <w:b w:val="1"/>
          <w:bCs w:val="1"/>
          <w:color w:val="FFFFFF"/>
        </w:rPr>
        <w:t>Moss</w:t>
      </w:r>
    </w:p>
    <w:p>
      <w:pPr>
        <w:ind w:left="100"/>
        <w:spacing w:after="0" w:line="217" w:lineRule="auto"/>
        <w:rPr>
          <w:sz w:val="20"/>
          <w:szCs w:val="20"/>
          <w:color w:val="auto"/>
        </w:rPr>
      </w:pPr>
      <w:r>
        <w:rPr>
          <w:rFonts w:ascii="Arial" w:cs="Arial" w:eastAsia="Arial" w:hAnsi="Arial"/>
          <w:sz w:val="13"/>
          <w:szCs w:val="13"/>
          <w:b w:val="1"/>
          <w:bCs w:val="1"/>
          <w:color w:val="FFFFFF"/>
        </w:rPr>
        <w:t xml:space="preserve">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65</w:t>
      </w:r>
    </w:p>
    <w:p>
      <w:pPr>
        <w:spacing w:after="0" w:line="1" w:lineRule="exact"/>
        <w:rPr>
          <w:sz w:val="20"/>
          <w:szCs w:val="20"/>
          <w:color w:val="auto"/>
        </w:rPr>
      </w:pPr>
    </w:p>
    <w:p>
      <w:pPr>
        <w:ind w:left="100" w:right="460"/>
        <w:spacing w:after="0" w:line="216"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2017</w:t>
      </w:r>
      <w:r>
        <w:rPr>
          <w:rFonts w:ascii="Arial" w:cs="Arial" w:eastAsia="Arial" w:hAnsi="Arial"/>
          <w:sz w:val="13"/>
          <w:szCs w:val="13"/>
          <w:b w:val="1"/>
          <w:bCs w:val="1"/>
          <w:color w:val="FFFFFF"/>
        </w:rPr>
        <w:t xml:space="preserve"> </w:t>
      </w:r>
      <w:r>
        <w:rPr>
          <w:rFonts w:ascii="Arial" w:cs="Arial" w:eastAsia="Arial" w:hAnsi="Arial"/>
          <w:sz w:val="13"/>
          <w:szCs w:val="13"/>
          <w:color w:val="FFFFFF"/>
        </w:rPr>
        <w:t xml:space="preserve">  </w:t>
      </w:r>
    </w:p>
    <w:p>
      <w:pPr>
        <w:ind w:left="100"/>
        <w:spacing w:after="0" w:line="218" w:lineRule="auto"/>
        <w:rPr>
          <w:sz w:val="20"/>
          <w:szCs w:val="20"/>
          <w:color w:val="auto"/>
        </w:rPr>
      </w:pPr>
      <w:r>
        <w:rPr>
          <w:rFonts w:ascii="Arial" w:cs="Arial" w:eastAsia="Arial" w:hAnsi="Arial"/>
          <w:sz w:val="13"/>
          <w:szCs w:val="13"/>
          <w:b w:val="1"/>
          <w:bCs w:val="1"/>
          <w:color w:val="FFFFFF"/>
        </w:rPr>
        <w:t>Committees:</w:t>
      </w:r>
    </w:p>
    <w:p>
      <w:pPr>
        <w:ind w:left="100"/>
        <w:spacing w:after="0" w:line="216" w:lineRule="auto"/>
        <w:rPr>
          <w:sz w:val="20"/>
          <w:szCs w:val="20"/>
          <w:color w:val="auto"/>
        </w:rPr>
      </w:pPr>
      <w:r>
        <w:rPr>
          <w:rFonts w:ascii="Arial" w:cs="Arial" w:eastAsia="Arial" w:hAnsi="Arial"/>
          <w:sz w:val="13"/>
          <w:szCs w:val="13"/>
          <w:color w:val="FFFFFF"/>
        </w:rPr>
        <w:t>Audit (Chair)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FFFFFF"/>
        </w:rPr>
        <w:t>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FFFFFF"/>
        </w:rPr>
        <w:t xml:space="preserve">  </w:t>
      </w:r>
    </w:p>
    <w:p>
      <w:pPr>
        <w:ind w:left="100"/>
        <w:spacing w:after="0" w:line="232" w:lineRule="auto"/>
        <w:rPr>
          <w:sz w:val="20"/>
          <w:szCs w:val="20"/>
          <w:color w:val="auto"/>
        </w:rPr>
      </w:pPr>
      <w:r>
        <w:rPr>
          <w:rFonts w:ascii="Arial" w:cs="Arial" w:eastAsia="Arial" w:hAnsi="Arial"/>
          <w:sz w:val="17"/>
          <w:szCs w:val="17"/>
          <w:b w:val="1"/>
          <w:bCs w:val="1"/>
          <w:color w:val="FFFFFF"/>
        </w:rPr>
        <w:t>John M. Murabito</w:t>
      </w:r>
    </w:p>
    <w:p>
      <w:pPr>
        <w:ind w:left="100"/>
        <w:spacing w:after="0" w:line="217" w:lineRule="auto"/>
        <w:rPr>
          <w:sz w:val="20"/>
          <w:szCs w:val="20"/>
          <w:color w:val="auto"/>
        </w:rPr>
      </w:pPr>
      <w:r>
        <w:rPr>
          <w:rFonts w:ascii="Arial" w:cs="Arial" w:eastAsia="Arial" w:hAnsi="Arial"/>
          <w:sz w:val="13"/>
          <w:szCs w:val="13"/>
          <w:b w:val="1"/>
          <w:bCs w:val="1"/>
          <w:color w:val="FFFFFF"/>
        </w:rPr>
        <w:t xml:space="preserve">  </w:t>
      </w:r>
    </w:p>
    <w:p>
      <w:pPr>
        <w:ind w:left="10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64</w:t>
      </w:r>
    </w:p>
    <w:p>
      <w:pPr>
        <w:ind w:left="10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2017</w:t>
      </w:r>
    </w:p>
    <w:p>
      <w:pPr>
        <w:ind w:left="100"/>
        <w:spacing w:after="0" w:line="217" w:lineRule="auto"/>
        <w:rPr>
          <w:sz w:val="20"/>
          <w:szCs w:val="20"/>
          <w:color w:val="auto"/>
        </w:rPr>
      </w:pPr>
      <w:r>
        <w:rPr>
          <w:rFonts w:ascii="Arial" w:cs="Arial" w:eastAsia="Arial" w:hAnsi="Arial"/>
          <w:sz w:val="13"/>
          <w:szCs w:val="13"/>
          <w:color w:val="FFFFFF"/>
        </w:rPr>
        <w:t xml:space="preserve">  </w:t>
      </w:r>
    </w:p>
    <w:p>
      <w:pPr>
        <w:ind w:left="100"/>
        <w:spacing w:after="0" w:line="217" w:lineRule="auto"/>
        <w:rPr>
          <w:sz w:val="20"/>
          <w:szCs w:val="20"/>
          <w:color w:val="auto"/>
        </w:rPr>
      </w:pPr>
      <w:r>
        <w:rPr>
          <w:rFonts w:ascii="Arial" w:cs="Arial" w:eastAsia="Arial" w:hAnsi="Arial"/>
          <w:sz w:val="13"/>
          <w:szCs w:val="13"/>
          <w:b w:val="1"/>
          <w:bCs w:val="1"/>
          <w:color w:val="FFFFFF"/>
        </w:rPr>
        <w:t>Committees:</w:t>
      </w:r>
    </w:p>
    <w:p>
      <w:pPr>
        <w:ind w:left="100"/>
        <w:spacing w:after="0" w:line="259" w:lineRule="auto"/>
        <w:rPr>
          <w:sz w:val="20"/>
          <w:szCs w:val="20"/>
          <w:color w:val="auto"/>
        </w:rPr>
      </w:pPr>
      <w:r>
        <w:rPr>
          <w:rFonts w:ascii="Arial" w:cs="Arial" w:eastAsia="Arial" w:hAnsi="Arial"/>
          <w:sz w:val="12"/>
          <w:szCs w:val="12"/>
          <w:color w:val="FFFFFF"/>
        </w:rPr>
        <w:t>Human Resources (Chair) Nominating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894715</wp:posOffset>
            </wp:positionV>
            <wp:extent cx="1465580" cy="94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-318770</wp:posOffset>
            </wp:positionV>
            <wp:extent cx="5897880" cy="27171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97880" cy="2717165"/>
                    </a:xfrm>
                    <a:prstGeom prst="rect">
                      <a:avLst/>
                    </a:prstGeom>
                    <a:noFill/>
                  </pic:spPr>
                </pic:pic>
              </a:graphicData>
            </a:graphic>
          </wp:anchor>
        </w:drawing>
      </w:r>
    </w:p>
    <w:p>
      <w:pPr>
        <w:spacing w:after="0" w:line="128"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Financial Expert</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Strategic Transformation</w:t>
      </w:r>
    </w:p>
    <w:p>
      <w:pPr>
        <w:spacing w:after="0" w:line="140" w:lineRule="exact"/>
        <w:rPr>
          <w:sz w:val="20"/>
          <w:szCs w:val="20"/>
          <w:color w:val="auto"/>
        </w:rPr>
      </w:pPr>
    </w:p>
    <w:p>
      <w:pPr>
        <w:ind w:left="660" w:hanging="399"/>
        <w:spacing w:after="0"/>
        <w:tabs>
          <w:tab w:leader="none" w:pos="660" w:val="left"/>
        </w:tabs>
        <w:numPr>
          <w:ilvl w:val="0"/>
          <w:numId w:val="18"/>
        </w:numPr>
        <w:rPr>
          <w:rFonts w:ascii="Arial" w:cs="Arial" w:eastAsia="Arial" w:hAnsi="Arial"/>
          <w:sz w:val="16"/>
          <w:szCs w:val="16"/>
          <w:color w:val="0E2A35"/>
        </w:rPr>
      </w:pPr>
      <w:r>
        <w:rPr>
          <w:rFonts w:ascii="Arial" w:cs="Arial" w:eastAsia="Arial" w:hAnsi="Arial"/>
          <w:sz w:val="16"/>
          <w:szCs w:val="16"/>
          <w:color w:val="0E2A35"/>
        </w:rPr>
        <w:t>Operations Optimization</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0E2A35"/>
        </w:rPr>
        <w:t>Richard​ (Rick) D. Moss most recently served as the Chief Financial Officer of Hanesbrands, Inc., a</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0E2A35"/>
        </w:rPr>
        <w:t>leading global basic apparel manufacturer, from 2011 until his retirement in December 2017. Mr. Moss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joined Hanesbrands as Senior Vice President – Finance and Treasurer and had several roles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increasing in scope and complexity prior to becoming Chief Financial Officer. Prior to his roles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Hanesbrands, Mr. Moss served as Chief Financial Officer of Chattem Inc., a consumer products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company. Mr. Moss has been a director of Nature’s Sunshine Products, Inc. since May 2018 and was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appointed as Chairman in May 2022. Mr. Moss has been a director of Hydrofarm Holdings Group,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since November 2020 and also serves on the board of Piedmont Opera, a not-for-profit organization.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With his many years of experience as a chief financial officer and executive at a public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Mr. Moss provides the Board expertise in financial and strategic planning, mergers, acquisitions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integration of businesses following mergers and acquisitions, as well as capital allocation strategies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and complex financial issues.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430530</wp:posOffset>
            </wp:positionV>
            <wp:extent cx="5897880" cy="2837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9788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Skills and Qualifications:</w:t>
      </w:r>
    </w:p>
    <w:p>
      <w:pPr>
        <w:spacing w:after="0" w:line="148" w:lineRule="exact"/>
        <w:rPr>
          <w:sz w:val="20"/>
          <w:szCs w:val="20"/>
          <w:color w:val="auto"/>
        </w:rPr>
      </w:pPr>
    </w:p>
    <w:p>
      <w:pPr>
        <w:ind w:left="260"/>
        <w:spacing w:after="0"/>
        <w:tabs>
          <w:tab w:leader="none" w:pos="640" w:val="left"/>
          <w:tab w:leader="none" w:pos="3560" w:val="left"/>
          <w:tab w:leader="none" w:pos="3960" w:val="left"/>
        </w:tabs>
        <w:rPr>
          <w:sz w:val="20"/>
          <w:szCs w:val="20"/>
          <w:color w:val="auto"/>
        </w:rPr>
      </w:pP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Global Experience</w:t>
      </w:r>
      <w:r>
        <w:rPr>
          <w:sz w:val="20"/>
          <w:szCs w:val="20"/>
          <w:color w:val="auto"/>
        </w:rPr>
        <w:tab/>
      </w:r>
      <w:r>
        <w:rPr>
          <w:rFonts w:ascii="Arial" w:cs="Arial" w:eastAsia="Arial" w:hAnsi="Arial"/>
          <w:sz w:val="16"/>
          <w:szCs w:val="16"/>
          <w:color w:val="0E2A35"/>
        </w:rPr>
        <w:t>•</w:t>
      </w:r>
      <w:r>
        <w:rPr>
          <w:sz w:val="20"/>
          <w:szCs w:val="20"/>
          <w:color w:val="auto"/>
        </w:rPr>
        <w:tab/>
      </w:r>
      <w:r>
        <w:rPr>
          <w:rFonts w:ascii="Arial" w:cs="Arial" w:eastAsia="Arial" w:hAnsi="Arial"/>
          <w:sz w:val="16"/>
          <w:szCs w:val="16"/>
          <w:color w:val="0E2A35"/>
        </w:rPr>
        <w:t>Strategic Transformation</w:t>
      </w:r>
    </w:p>
    <w:p>
      <w:pPr>
        <w:spacing w:after="0" w:line="140" w:lineRule="exact"/>
        <w:rPr>
          <w:sz w:val="20"/>
          <w:szCs w:val="20"/>
          <w:color w:val="auto"/>
        </w:rPr>
      </w:pPr>
    </w:p>
    <w:p>
      <w:pPr>
        <w:ind w:left="660" w:right="4180" w:hanging="399"/>
        <w:spacing w:after="0" w:line="276" w:lineRule="auto"/>
        <w:tabs>
          <w:tab w:leader="none" w:pos="660" w:val="left"/>
        </w:tabs>
        <w:numPr>
          <w:ilvl w:val="0"/>
          <w:numId w:val="19"/>
        </w:numPr>
        <w:rPr>
          <w:rFonts w:ascii="Arial" w:cs="Arial" w:eastAsia="Arial" w:hAnsi="Arial"/>
          <w:sz w:val="16"/>
          <w:szCs w:val="16"/>
          <w:color w:val="0E2A35"/>
        </w:rPr>
      </w:pPr>
      <w:r>
        <w:rPr>
          <w:rFonts w:ascii="Arial" w:cs="Arial" w:eastAsia="Arial" w:hAnsi="Arial"/>
          <w:sz w:val="16"/>
          <w:szCs w:val="16"/>
          <w:color w:val="0E2A35"/>
        </w:rPr>
        <w:t>Human Capital Management/Compensation/DE&amp;I</w:t>
      </w:r>
    </w:p>
    <w:p>
      <w:pPr>
        <w:spacing w:after="0" w:line="265" w:lineRule="exact"/>
        <w:rPr>
          <w:sz w:val="20"/>
          <w:szCs w:val="20"/>
          <w:color w:val="auto"/>
        </w:rPr>
      </w:pPr>
    </w:p>
    <w:p>
      <w:pPr>
        <w:spacing w:after="0" w:line="248" w:lineRule="auto"/>
        <w:rPr>
          <w:sz w:val="20"/>
          <w:szCs w:val="20"/>
          <w:color w:val="auto"/>
        </w:rPr>
      </w:pPr>
      <w:r>
        <w:rPr>
          <w:rFonts w:ascii="Arial" w:cs="Arial" w:eastAsia="Arial" w:hAnsi="Arial"/>
          <w:sz w:val="16"/>
          <w:szCs w:val="16"/>
          <w:color w:val="0E2A35"/>
        </w:rPr>
        <w:t>John M. Murabito most recently served as Executive Vice President at Cigna Corporation, a global healthcare services company, from 2003 until his retirement in April 2022. Mr. Murabito joined Cigna as its Chief Human Resources Officer and served in that role for 18 years before becoming Chief Administrative Officer in 2021. In that role, he had oversight of human resources, enterprise marketing, security and aviation, and diversity, equity &amp; inclusion, civic affairs, and the Cigna Foundation, of which he was the president. Earlier in his career, he served as Senior Vice President of Human Resources and Corporate Services at the Monsanto Company. His background includes over 40 years of extensive related experience with the Frito-Lay division of PepsiCo, Symbion, Inc., and The Trane Company. Mr. Murabito is a Fellow of the National Academy of Human Resources and serves as Chair of the Board. He also chairs the Board of Trustees for his alma mater, Augustana College. Mr. Murabito brings strong executive business leadership and talent management expertise to our Board as a former senior executive of a Fortune 20 public company. He provides valuable insights on human capital, executive compensation, leadership development and succession planning to the Board.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193040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720" w:space="260"/>
            <w:col w:w="7300"/>
          </w:cols>
          <w:pgMar w:left="1300" w:top="265" w:right="1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Director Compensation</w:t>
      </w:r>
    </w:p>
    <w:p>
      <w:pPr>
        <w:spacing w:after="0" w:line="201"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0E2A35"/>
        </w:rPr>
        <w:t>The Board approves non-employee director compensation based on recommendations of the Human Resources Committee. The Human Resources Committee has engaged Semler Brossy to analyze the total compensation paid to the Board. Semler Brossy assisted the committee in reviewing the market data and made recommendations regarding the types and amounts of compensation we pay our non-employee directors. Based on the committee’s review of our director compensation program with Semler Brossy, the committee recommended and the Board approved, an increase to certain components of the non-employee directors’ compensation, effective August 27, 2023, as described below.</w:t>
      </w:r>
    </w:p>
    <w:p>
      <w:pPr>
        <w:spacing w:after="0" w:line="164" w:lineRule="exact"/>
        <w:rPr>
          <w:sz w:val="20"/>
          <w:szCs w:val="20"/>
          <w:color w:val="auto"/>
        </w:rPr>
      </w:pPr>
    </w:p>
    <w:p>
      <w:pPr>
        <w:ind w:right="460"/>
        <w:spacing w:after="0" w:line="276" w:lineRule="auto"/>
        <w:rPr>
          <w:sz w:val="20"/>
          <w:szCs w:val="20"/>
          <w:color w:val="auto"/>
        </w:rPr>
      </w:pPr>
      <w:r>
        <w:rPr>
          <w:rFonts w:ascii="Arial" w:cs="Arial" w:eastAsia="Arial" w:hAnsi="Arial"/>
          <w:sz w:val="16"/>
          <w:szCs w:val="16"/>
          <w:color w:val="0E2A35"/>
        </w:rPr>
        <w:t>Employee directors receive no additional compensation for serving on the Board or its committees. Non-employee directors receive the following for their service on the Board: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90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Compensation Element</w:t>
            </w:r>
          </w:p>
        </w:tc>
        <w:tc>
          <w:tcPr>
            <w:tcW w:w="2320" w:type="dxa"/>
            <w:vAlign w:val="bottom"/>
            <w:shd w:val="clear" w:color="auto" w:fill="0E2A35"/>
          </w:tcPr>
          <w:p>
            <w:pPr>
              <w:spacing w:after="0"/>
              <w:rPr>
                <w:sz w:val="22"/>
                <w:szCs w:val="22"/>
                <w:color w:val="auto"/>
              </w:rPr>
            </w:pPr>
          </w:p>
        </w:tc>
        <w:tc>
          <w:tcPr>
            <w:tcW w:w="1800" w:type="dxa"/>
            <w:vAlign w:val="bottom"/>
            <w:gridSpan w:val="2"/>
            <w:shd w:val="clear" w:color="auto" w:fill="0E2A35"/>
          </w:tcPr>
          <w:p>
            <w:pPr>
              <w:ind w:left="580"/>
              <w:spacing w:after="0"/>
              <w:rPr>
                <w:sz w:val="20"/>
                <w:szCs w:val="20"/>
                <w:color w:val="auto"/>
              </w:rPr>
            </w:pPr>
            <w:r>
              <w:rPr>
                <w:rFonts w:ascii="Arial" w:cs="Arial" w:eastAsia="Arial" w:hAnsi="Arial"/>
                <w:sz w:val="13"/>
                <w:szCs w:val="13"/>
                <w:b w:val="1"/>
                <w:bCs w:val="1"/>
                <w:color w:val="FFFFFF"/>
              </w:rPr>
              <w:t>Fiscal 2023</w:t>
            </w:r>
          </w:p>
        </w:tc>
        <w:tc>
          <w:tcPr>
            <w:tcW w:w="1260" w:type="dxa"/>
            <w:vAlign w:val="bottom"/>
            <w:gridSpan w:val="2"/>
            <w:shd w:val="clear" w:color="auto" w:fill="0E2A35"/>
          </w:tcPr>
          <w:p>
            <w:pPr>
              <w:ind w:left="560"/>
              <w:spacing w:after="0"/>
              <w:rPr>
                <w:sz w:val="20"/>
                <w:szCs w:val="20"/>
                <w:color w:val="auto"/>
              </w:rPr>
            </w:pPr>
            <w:r>
              <w:rPr>
                <w:rFonts w:ascii="Arial" w:cs="Arial" w:eastAsia="Arial" w:hAnsi="Arial"/>
                <w:sz w:val="13"/>
                <w:szCs w:val="13"/>
                <w:b w:val="1"/>
                <w:bCs w:val="1"/>
                <w:color w:val="FFFFFF"/>
                <w:w w:val="97"/>
              </w:rPr>
              <w:t>Fiscal 2024</w:t>
            </w:r>
          </w:p>
        </w:tc>
      </w:tr>
      <w:tr>
        <w:trPr>
          <w:trHeight w:val="89"/>
        </w:trPr>
        <w:tc>
          <w:tcPr>
            <w:tcW w:w="3900" w:type="dxa"/>
            <w:vAlign w:val="bottom"/>
            <w:shd w:val="clear" w:color="auto" w:fill="0E2A35"/>
          </w:tcPr>
          <w:p>
            <w:pPr>
              <w:spacing w:after="0"/>
              <w:rPr>
                <w:sz w:val="7"/>
                <w:szCs w:val="7"/>
                <w:color w:val="auto"/>
              </w:rPr>
            </w:pPr>
          </w:p>
        </w:tc>
        <w:tc>
          <w:tcPr>
            <w:tcW w:w="2320" w:type="dxa"/>
            <w:vAlign w:val="bottom"/>
            <w:shd w:val="clear" w:color="auto" w:fill="0E2A35"/>
          </w:tcPr>
          <w:p>
            <w:pPr>
              <w:spacing w:after="0"/>
              <w:rPr>
                <w:sz w:val="7"/>
                <w:szCs w:val="7"/>
                <w:color w:val="auto"/>
              </w:rPr>
            </w:pPr>
          </w:p>
        </w:tc>
        <w:tc>
          <w:tcPr>
            <w:tcW w:w="720" w:type="dxa"/>
            <w:vAlign w:val="bottom"/>
            <w:shd w:val="clear" w:color="auto" w:fill="0E2A35"/>
          </w:tcPr>
          <w:p>
            <w:pPr>
              <w:spacing w:after="0"/>
              <w:rPr>
                <w:sz w:val="7"/>
                <w:szCs w:val="7"/>
                <w:color w:val="auto"/>
              </w:rPr>
            </w:pPr>
          </w:p>
        </w:tc>
        <w:tc>
          <w:tcPr>
            <w:tcW w:w="1080" w:type="dxa"/>
            <w:vAlign w:val="bottom"/>
            <w:shd w:val="clear" w:color="auto" w:fill="0E2A35"/>
          </w:tcPr>
          <w:p>
            <w:pPr>
              <w:spacing w:after="0"/>
              <w:rPr>
                <w:sz w:val="7"/>
                <w:szCs w:val="7"/>
                <w:color w:val="auto"/>
              </w:rPr>
            </w:pPr>
          </w:p>
        </w:tc>
        <w:tc>
          <w:tcPr>
            <w:tcW w:w="680" w:type="dxa"/>
            <w:vAlign w:val="bottom"/>
            <w:shd w:val="clear" w:color="auto" w:fill="0E2A35"/>
          </w:tcPr>
          <w:p>
            <w:pPr>
              <w:spacing w:after="0"/>
              <w:rPr>
                <w:sz w:val="7"/>
                <w:szCs w:val="7"/>
                <w:color w:val="auto"/>
              </w:rPr>
            </w:pPr>
          </w:p>
        </w:tc>
        <w:tc>
          <w:tcPr>
            <w:tcW w:w="580" w:type="dxa"/>
            <w:vAlign w:val="bottom"/>
            <w:shd w:val="clear" w:color="auto" w:fill="0E2A35"/>
          </w:tcPr>
          <w:p>
            <w:pPr>
              <w:spacing w:after="0"/>
              <w:rPr>
                <w:sz w:val="7"/>
                <w:szCs w:val="7"/>
                <w:color w:val="auto"/>
              </w:rPr>
            </w:pPr>
          </w:p>
        </w:tc>
      </w:tr>
      <w:tr>
        <w:trPr>
          <w:trHeight w:val="295"/>
        </w:trPr>
        <w:tc>
          <w:tcPr>
            <w:tcW w:w="3900" w:type="dxa"/>
            <w:vAlign w:val="bottom"/>
          </w:tcPr>
          <w:p>
            <w:pPr>
              <w:ind w:left="60"/>
              <w:spacing w:after="0"/>
              <w:rPr>
                <w:sz w:val="20"/>
                <w:szCs w:val="20"/>
                <w:color w:val="auto"/>
              </w:rPr>
            </w:pPr>
            <w:r>
              <w:rPr>
                <w:rFonts w:ascii="Arial" w:cs="Arial" w:eastAsia="Arial" w:hAnsi="Arial"/>
                <w:sz w:val="14"/>
                <w:szCs w:val="14"/>
                <w:b w:val="1"/>
                <w:bCs w:val="1"/>
                <w:color w:val="0E2A35"/>
              </w:rPr>
              <w:t>Annual Board Cash Retainer</w:t>
            </w:r>
          </w:p>
        </w:tc>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78"/>
        </w:trPr>
        <w:tc>
          <w:tcPr>
            <w:tcW w:w="3900" w:type="dxa"/>
            <w:vAlign w:val="bottom"/>
          </w:tcPr>
          <w:p>
            <w:pPr>
              <w:ind w:left="60"/>
              <w:spacing w:after="0"/>
              <w:rPr>
                <w:sz w:val="20"/>
                <w:szCs w:val="20"/>
                <w:color w:val="auto"/>
              </w:rPr>
            </w:pPr>
            <w:r>
              <w:rPr>
                <w:rFonts w:ascii="Arial" w:cs="Arial" w:eastAsia="Arial" w:hAnsi="Arial"/>
                <w:sz w:val="14"/>
                <w:szCs w:val="14"/>
                <w:color w:val="0E2A35"/>
              </w:rPr>
              <w:t> • </w:t>
            </w:r>
            <w:r>
              <w:rPr>
                <w:rFonts w:ascii="Arial" w:cs="Arial" w:eastAsia="Arial" w:hAnsi="Arial"/>
                <w:sz w:val="14"/>
                <w:szCs w:val="14"/>
                <w:b w:val="1"/>
                <w:bCs w:val="1"/>
                <w:color w:val="0E2A35"/>
              </w:rPr>
              <w:t>Payable in quarterly installments in arrears</w:t>
            </w:r>
          </w:p>
        </w:tc>
        <w:tc>
          <w:tcPr>
            <w:tcW w:w="2320" w:type="dxa"/>
            <w:vAlign w:val="bottom"/>
          </w:tcPr>
          <w:p>
            <w:pPr>
              <w:spacing w:after="0"/>
              <w:rPr>
                <w:sz w:val="24"/>
                <w:szCs w:val="24"/>
                <w:color w:val="auto"/>
              </w:rPr>
            </w:pPr>
          </w:p>
        </w:tc>
        <w:tc>
          <w:tcPr>
            <w:tcW w:w="720" w:type="dxa"/>
            <w:vAlign w:val="bottom"/>
          </w:tcPr>
          <w:p>
            <w:pPr>
              <w:ind w:left="600"/>
              <w:spacing w:after="0"/>
              <w:rPr>
                <w:sz w:val="20"/>
                <w:szCs w:val="20"/>
                <w:color w:val="auto"/>
              </w:rPr>
            </w:pPr>
            <w:r>
              <w:rPr>
                <w:rFonts w:ascii="Arial" w:cs="Arial" w:eastAsia="Arial" w:hAnsi="Arial"/>
                <w:sz w:val="14"/>
                <w:szCs w:val="14"/>
                <w:color w:val="0E2A35"/>
              </w:rPr>
              <w:t>$</w:t>
            </w:r>
          </w:p>
        </w:tc>
        <w:tc>
          <w:tcPr>
            <w:tcW w:w="1080" w:type="dxa"/>
            <w:vAlign w:val="bottom"/>
          </w:tcPr>
          <w:p>
            <w:pPr>
              <w:jc w:val="right"/>
              <w:ind w:right="528"/>
              <w:spacing w:after="0"/>
              <w:rPr>
                <w:sz w:val="20"/>
                <w:szCs w:val="20"/>
                <w:color w:val="auto"/>
              </w:rPr>
            </w:pPr>
            <w:r>
              <w:rPr>
                <w:rFonts w:ascii="Arial" w:cs="Arial" w:eastAsia="Arial" w:hAnsi="Arial"/>
                <w:sz w:val="14"/>
                <w:szCs w:val="14"/>
                <w:color w:val="0E2A35"/>
              </w:rPr>
              <w:t>90,000</w:t>
            </w:r>
          </w:p>
        </w:tc>
        <w:tc>
          <w:tcPr>
            <w:tcW w:w="680" w:type="dxa"/>
            <w:vAlign w:val="bottom"/>
          </w:tcPr>
          <w:p>
            <w:pPr>
              <w:ind w:left="560"/>
              <w:spacing w:after="0"/>
              <w:rPr>
                <w:sz w:val="20"/>
                <w:szCs w:val="20"/>
                <w:color w:val="auto"/>
              </w:rPr>
            </w:pPr>
            <w:r>
              <w:rPr>
                <w:rFonts w:ascii="Arial" w:cs="Arial" w:eastAsia="Arial" w:hAnsi="Arial"/>
                <w:sz w:val="14"/>
                <w:szCs w:val="14"/>
                <w:color w:val="0E2A35"/>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0E2A35"/>
              </w:rPr>
              <w:t>90,000</w:t>
            </w:r>
          </w:p>
        </w:tc>
      </w:tr>
      <w:tr>
        <w:trPr>
          <w:trHeight w:val="83"/>
        </w:trPr>
        <w:tc>
          <w:tcPr>
            <w:tcW w:w="3900" w:type="dxa"/>
            <w:vAlign w:val="bottom"/>
            <w:tcBorders>
              <w:bottom w:val="single" w:sz="8" w:color="0E2A35"/>
            </w:tcBorders>
          </w:tcPr>
          <w:p>
            <w:pPr>
              <w:spacing w:after="0"/>
              <w:rPr>
                <w:sz w:val="7"/>
                <w:szCs w:val="7"/>
                <w:color w:val="auto"/>
              </w:rPr>
            </w:pPr>
          </w:p>
        </w:tc>
        <w:tc>
          <w:tcPr>
            <w:tcW w:w="2320" w:type="dxa"/>
            <w:vAlign w:val="bottom"/>
            <w:tcBorders>
              <w:bottom w:val="single" w:sz="8" w:color="0E2A35"/>
            </w:tcBorders>
          </w:tcPr>
          <w:p>
            <w:pPr>
              <w:spacing w:after="0"/>
              <w:rPr>
                <w:sz w:val="7"/>
                <w:szCs w:val="7"/>
                <w:color w:val="auto"/>
              </w:rPr>
            </w:pPr>
          </w:p>
        </w:tc>
        <w:tc>
          <w:tcPr>
            <w:tcW w:w="72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r>
      <w:tr>
        <w:trPr>
          <w:trHeight w:val="250"/>
        </w:trPr>
        <w:tc>
          <w:tcPr>
            <w:tcW w:w="3900" w:type="dxa"/>
            <w:vAlign w:val="bottom"/>
          </w:tcPr>
          <w:p>
            <w:pPr>
              <w:ind w:left="60"/>
              <w:spacing w:after="0"/>
              <w:rPr>
                <w:sz w:val="20"/>
                <w:szCs w:val="20"/>
                <w:color w:val="auto"/>
              </w:rPr>
            </w:pPr>
            <w:r>
              <w:rPr>
                <w:rFonts w:ascii="Arial" w:cs="Arial" w:eastAsia="Arial" w:hAnsi="Arial"/>
                <w:sz w:val="14"/>
                <w:szCs w:val="14"/>
                <w:b w:val="1"/>
                <w:bCs w:val="1"/>
                <w:color w:val="0E2A35"/>
              </w:rPr>
              <w:t>Annual Board/New Board Member Equity</w:t>
            </w:r>
          </w:p>
        </w:tc>
        <w:tc>
          <w:tcPr>
            <w:tcW w:w="2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00"/>
        </w:trPr>
        <w:tc>
          <w:tcPr>
            <w:tcW w:w="3900" w:type="dxa"/>
            <w:vAlign w:val="bottom"/>
          </w:tcPr>
          <w:p>
            <w:pPr>
              <w:ind w:left="220"/>
              <w:spacing w:after="0"/>
              <w:rPr>
                <w:sz w:val="20"/>
                <w:szCs w:val="20"/>
                <w:color w:val="auto"/>
              </w:rPr>
            </w:pPr>
            <w:r>
              <w:rPr>
                <w:rFonts w:ascii="Arial" w:cs="Arial" w:eastAsia="Arial" w:hAnsi="Arial"/>
                <w:sz w:val="14"/>
                <w:szCs w:val="14"/>
                <w:b w:val="1"/>
                <w:bCs w:val="1"/>
                <w:color w:val="0E2A35"/>
              </w:rPr>
              <w:t>Retainer</w:t>
            </w:r>
          </w:p>
        </w:tc>
        <w:tc>
          <w:tcPr>
            <w:tcW w:w="2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40"/>
        </w:trPr>
        <w:tc>
          <w:tcPr>
            <w:tcW w:w="3900" w:type="dxa"/>
            <w:vAlign w:val="bottom"/>
          </w:tcPr>
          <w:p>
            <w:pPr>
              <w:ind w:left="60"/>
              <w:spacing w:after="0"/>
              <w:rPr>
                <w:sz w:val="20"/>
                <w:szCs w:val="20"/>
                <w:color w:val="auto"/>
              </w:rPr>
            </w:pPr>
            <w:r>
              <w:rPr>
                <w:rFonts w:ascii="Arial" w:cs="Arial" w:eastAsia="Arial" w:hAnsi="Arial"/>
                <w:sz w:val="14"/>
                <w:szCs w:val="14"/>
                <w:color w:val="0E2A35"/>
              </w:rPr>
              <w:t> • </w:t>
            </w:r>
            <w:r>
              <w:rPr>
                <w:rFonts w:ascii="Arial" w:cs="Arial" w:eastAsia="Arial" w:hAnsi="Arial"/>
                <w:sz w:val="14"/>
                <w:szCs w:val="14"/>
                <w:b w:val="1"/>
                <w:bCs w:val="1"/>
                <w:color w:val="0E2A35"/>
              </w:rPr>
              <w:t>Granted in the form of restricted stock</w:t>
            </w:r>
          </w:p>
        </w:tc>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0"/>
        </w:trPr>
        <w:tc>
          <w:tcPr>
            <w:tcW w:w="3900" w:type="dxa"/>
            <w:vAlign w:val="bottom"/>
          </w:tcPr>
          <w:p>
            <w:pPr>
              <w:ind w:left="400"/>
              <w:spacing w:after="0"/>
              <w:rPr>
                <w:sz w:val="20"/>
                <w:szCs w:val="20"/>
                <w:color w:val="auto"/>
              </w:rPr>
            </w:pPr>
            <w:r>
              <w:rPr>
                <w:rFonts w:ascii="Arial" w:cs="Arial" w:eastAsia="Arial" w:hAnsi="Arial"/>
                <w:sz w:val="14"/>
                <w:szCs w:val="14"/>
                <w:b w:val="1"/>
                <w:bCs w:val="1"/>
                <w:color w:val="0E2A35"/>
              </w:rPr>
              <w:t>units for the upcoming year</w:t>
            </w:r>
          </w:p>
        </w:tc>
        <w:tc>
          <w:tcPr>
            <w:tcW w:w="2320" w:type="dxa"/>
            <w:vAlign w:val="bottom"/>
          </w:tcPr>
          <w:p>
            <w:pPr>
              <w:spacing w:after="0"/>
              <w:rPr>
                <w:sz w:val="17"/>
                <w:szCs w:val="17"/>
                <w:color w:val="auto"/>
              </w:rPr>
            </w:pPr>
          </w:p>
        </w:tc>
        <w:tc>
          <w:tcPr>
            <w:tcW w:w="1800" w:type="dxa"/>
            <w:vAlign w:val="bottom"/>
            <w:gridSpan w:val="2"/>
          </w:tcPr>
          <w:p>
            <w:pPr>
              <w:jc w:val="right"/>
              <w:ind w:right="528"/>
              <w:spacing w:after="0"/>
              <w:rPr>
                <w:sz w:val="20"/>
                <w:szCs w:val="20"/>
                <w:color w:val="auto"/>
              </w:rPr>
            </w:pPr>
            <w:r>
              <w:rPr>
                <w:rFonts w:ascii="Arial" w:cs="Arial" w:eastAsia="Arial" w:hAnsi="Arial"/>
                <w:sz w:val="14"/>
                <w:szCs w:val="14"/>
                <w:color w:val="0E2A35"/>
              </w:rPr>
              <w:t>$125,000</w:t>
            </w: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0E2A35"/>
              </w:rPr>
              <w:t>$150,000</w:t>
            </w:r>
          </w:p>
        </w:tc>
      </w:tr>
      <w:tr>
        <w:trPr>
          <w:trHeight w:val="83"/>
        </w:trPr>
        <w:tc>
          <w:tcPr>
            <w:tcW w:w="3900" w:type="dxa"/>
            <w:vAlign w:val="bottom"/>
            <w:tcBorders>
              <w:bottom w:val="single" w:sz="8" w:color="0E2A35"/>
            </w:tcBorders>
          </w:tcPr>
          <w:p>
            <w:pPr>
              <w:spacing w:after="0"/>
              <w:rPr>
                <w:sz w:val="7"/>
                <w:szCs w:val="7"/>
                <w:color w:val="auto"/>
              </w:rPr>
            </w:pPr>
          </w:p>
        </w:tc>
        <w:tc>
          <w:tcPr>
            <w:tcW w:w="2320" w:type="dxa"/>
            <w:vAlign w:val="bottom"/>
            <w:tcBorders>
              <w:bottom w:val="single" w:sz="8" w:color="0E2A35"/>
            </w:tcBorders>
          </w:tcPr>
          <w:p>
            <w:pPr>
              <w:spacing w:after="0"/>
              <w:rPr>
                <w:sz w:val="7"/>
                <w:szCs w:val="7"/>
                <w:color w:val="auto"/>
              </w:rPr>
            </w:pPr>
          </w:p>
        </w:tc>
        <w:tc>
          <w:tcPr>
            <w:tcW w:w="72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r>
      <w:tr>
        <w:trPr>
          <w:trHeight w:val="288"/>
        </w:trPr>
        <w:tc>
          <w:tcPr>
            <w:tcW w:w="3900" w:type="dxa"/>
            <w:vAlign w:val="bottom"/>
          </w:tcPr>
          <w:p>
            <w:pPr>
              <w:ind w:left="60"/>
              <w:spacing w:after="0"/>
              <w:rPr>
                <w:sz w:val="20"/>
                <w:szCs w:val="20"/>
                <w:color w:val="auto"/>
              </w:rPr>
            </w:pPr>
            <w:r>
              <w:rPr>
                <w:rFonts w:ascii="Arial" w:cs="Arial" w:eastAsia="Arial" w:hAnsi="Arial"/>
                <w:sz w:val="14"/>
                <w:szCs w:val="14"/>
                <w:b w:val="1"/>
                <w:bCs w:val="1"/>
                <w:color w:val="0E2A35"/>
              </w:rPr>
              <w:t>Annual Board Chair Cash Retainer</w:t>
            </w:r>
          </w:p>
        </w:tc>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78"/>
        </w:trPr>
        <w:tc>
          <w:tcPr>
            <w:tcW w:w="3900" w:type="dxa"/>
            <w:vAlign w:val="bottom"/>
          </w:tcPr>
          <w:p>
            <w:pPr>
              <w:ind w:left="60"/>
              <w:spacing w:after="0"/>
              <w:rPr>
                <w:sz w:val="20"/>
                <w:szCs w:val="20"/>
                <w:color w:val="auto"/>
              </w:rPr>
            </w:pPr>
            <w:r>
              <w:rPr>
                <w:rFonts w:ascii="Arial" w:cs="Arial" w:eastAsia="Arial" w:hAnsi="Arial"/>
                <w:sz w:val="14"/>
                <w:szCs w:val="14"/>
                <w:color w:val="0E2A35"/>
              </w:rPr>
              <w:t> • </w:t>
            </w:r>
            <w:r>
              <w:rPr>
                <w:rFonts w:ascii="Arial" w:cs="Arial" w:eastAsia="Arial" w:hAnsi="Arial"/>
                <w:sz w:val="14"/>
                <w:szCs w:val="14"/>
                <w:b w:val="1"/>
                <w:bCs w:val="1"/>
                <w:color w:val="0E2A35"/>
              </w:rPr>
              <w:t>Payable in quarterly installments in arrears</w:t>
            </w:r>
          </w:p>
        </w:tc>
        <w:tc>
          <w:tcPr>
            <w:tcW w:w="2320" w:type="dxa"/>
            <w:vAlign w:val="bottom"/>
          </w:tcPr>
          <w:p>
            <w:pPr>
              <w:spacing w:after="0"/>
              <w:rPr>
                <w:sz w:val="24"/>
                <w:szCs w:val="24"/>
                <w:color w:val="auto"/>
              </w:rPr>
            </w:pPr>
          </w:p>
        </w:tc>
        <w:tc>
          <w:tcPr>
            <w:tcW w:w="1800" w:type="dxa"/>
            <w:vAlign w:val="bottom"/>
            <w:gridSpan w:val="2"/>
          </w:tcPr>
          <w:p>
            <w:pPr>
              <w:jc w:val="right"/>
              <w:ind w:right="528"/>
              <w:spacing w:after="0"/>
              <w:rPr>
                <w:sz w:val="20"/>
                <w:szCs w:val="20"/>
                <w:color w:val="auto"/>
              </w:rPr>
            </w:pPr>
            <w:r>
              <w:rPr>
                <w:rFonts w:ascii="Arial" w:cs="Arial" w:eastAsia="Arial" w:hAnsi="Arial"/>
                <w:sz w:val="14"/>
                <w:szCs w:val="14"/>
                <w:color w:val="0E2A35"/>
              </w:rPr>
              <w:t>$125,000</w:t>
            </w: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0E2A35"/>
              </w:rPr>
              <w:t>$125,000</w:t>
            </w:r>
          </w:p>
        </w:tc>
      </w:tr>
      <w:tr>
        <w:trPr>
          <w:trHeight w:val="83"/>
        </w:trPr>
        <w:tc>
          <w:tcPr>
            <w:tcW w:w="3900" w:type="dxa"/>
            <w:vAlign w:val="bottom"/>
            <w:tcBorders>
              <w:bottom w:val="single" w:sz="8" w:color="0E2A35"/>
            </w:tcBorders>
          </w:tcPr>
          <w:p>
            <w:pPr>
              <w:spacing w:after="0"/>
              <w:rPr>
                <w:sz w:val="7"/>
                <w:szCs w:val="7"/>
                <w:color w:val="auto"/>
              </w:rPr>
            </w:pPr>
          </w:p>
        </w:tc>
        <w:tc>
          <w:tcPr>
            <w:tcW w:w="2320" w:type="dxa"/>
            <w:vAlign w:val="bottom"/>
            <w:tcBorders>
              <w:bottom w:val="single" w:sz="8" w:color="0E2A35"/>
            </w:tcBorders>
          </w:tcPr>
          <w:p>
            <w:pPr>
              <w:spacing w:after="0"/>
              <w:rPr>
                <w:sz w:val="7"/>
                <w:szCs w:val="7"/>
                <w:color w:val="auto"/>
              </w:rPr>
            </w:pPr>
          </w:p>
        </w:tc>
        <w:tc>
          <w:tcPr>
            <w:tcW w:w="72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r>
      <w:tr>
        <w:trPr>
          <w:trHeight w:val="288"/>
        </w:trPr>
        <w:tc>
          <w:tcPr>
            <w:tcW w:w="3900" w:type="dxa"/>
            <w:vAlign w:val="bottom"/>
          </w:tcPr>
          <w:p>
            <w:pPr>
              <w:ind w:left="60"/>
              <w:spacing w:after="0"/>
              <w:rPr>
                <w:sz w:val="20"/>
                <w:szCs w:val="20"/>
                <w:color w:val="auto"/>
              </w:rPr>
            </w:pPr>
            <w:r>
              <w:rPr>
                <w:rFonts w:ascii="Arial" w:cs="Arial" w:eastAsia="Arial" w:hAnsi="Arial"/>
                <w:sz w:val="14"/>
                <w:szCs w:val="14"/>
                <w:b w:val="1"/>
                <w:bCs w:val="1"/>
                <w:color w:val="0E2A35"/>
              </w:rPr>
              <w:t>Annual Committee Chair Cash Retainer</w:t>
            </w:r>
          </w:p>
        </w:tc>
        <w:tc>
          <w:tcPr>
            <w:tcW w:w="2320" w:type="dxa"/>
            <w:vAlign w:val="bottom"/>
          </w:tcPr>
          <w:p>
            <w:pPr>
              <w:jc w:val="center"/>
              <w:spacing w:after="0"/>
              <w:rPr>
                <w:sz w:val="20"/>
                <w:szCs w:val="20"/>
                <w:color w:val="auto"/>
              </w:rPr>
            </w:pPr>
            <w:r>
              <w:rPr>
                <w:rFonts w:ascii="Arial" w:cs="Arial" w:eastAsia="Arial" w:hAnsi="Arial"/>
                <w:sz w:val="14"/>
                <w:szCs w:val="14"/>
                <w:color w:val="0E2A35"/>
              </w:rPr>
              <w:t>Audit Committee</w:t>
            </w:r>
          </w:p>
        </w:tc>
        <w:tc>
          <w:tcPr>
            <w:tcW w:w="720" w:type="dxa"/>
            <w:vAlign w:val="bottom"/>
          </w:tcPr>
          <w:p>
            <w:pPr>
              <w:ind w:left="600"/>
              <w:spacing w:after="0"/>
              <w:rPr>
                <w:sz w:val="20"/>
                <w:szCs w:val="20"/>
                <w:color w:val="auto"/>
              </w:rPr>
            </w:pPr>
            <w:r>
              <w:rPr>
                <w:rFonts w:ascii="Arial" w:cs="Arial" w:eastAsia="Arial" w:hAnsi="Arial"/>
                <w:sz w:val="14"/>
                <w:szCs w:val="14"/>
                <w:color w:val="0E2A35"/>
              </w:rPr>
              <w:t>$</w:t>
            </w:r>
          </w:p>
        </w:tc>
        <w:tc>
          <w:tcPr>
            <w:tcW w:w="1080" w:type="dxa"/>
            <w:vAlign w:val="bottom"/>
          </w:tcPr>
          <w:p>
            <w:pPr>
              <w:jc w:val="right"/>
              <w:ind w:right="528"/>
              <w:spacing w:after="0"/>
              <w:rPr>
                <w:sz w:val="20"/>
                <w:szCs w:val="20"/>
                <w:color w:val="auto"/>
              </w:rPr>
            </w:pPr>
            <w:r>
              <w:rPr>
                <w:rFonts w:ascii="Arial" w:cs="Arial" w:eastAsia="Arial" w:hAnsi="Arial"/>
                <w:sz w:val="14"/>
                <w:szCs w:val="14"/>
                <w:color w:val="0E2A35"/>
              </w:rPr>
              <w:t>15,000</w:t>
            </w:r>
          </w:p>
        </w:tc>
        <w:tc>
          <w:tcPr>
            <w:tcW w:w="680" w:type="dxa"/>
            <w:vAlign w:val="bottom"/>
          </w:tcPr>
          <w:p>
            <w:pPr>
              <w:ind w:left="560"/>
              <w:spacing w:after="0"/>
              <w:rPr>
                <w:sz w:val="20"/>
                <w:szCs w:val="20"/>
                <w:color w:val="auto"/>
              </w:rPr>
            </w:pPr>
            <w:r>
              <w:rPr>
                <w:rFonts w:ascii="Arial" w:cs="Arial" w:eastAsia="Arial" w:hAnsi="Arial"/>
                <w:sz w:val="14"/>
                <w:szCs w:val="14"/>
                <w:color w:val="0E2A35"/>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0E2A35"/>
              </w:rPr>
              <w:t>20,000</w:t>
            </w:r>
          </w:p>
        </w:tc>
      </w:tr>
      <w:tr>
        <w:trPr>
          <w:trHeight w:val="378"/>
        </w:trPr>
        <w:tc>
          <w:tcPr>
            <w:tcW w:w="3900" w:type="dxa"/>
            <w:vAlign w:val="bottom"/>
          </w:tcPr>
          <w:p>
            <w:pPr>
              <w:ind w:left="60"/>
              <w:spacing w:after="0"/>
              <w:rPr>
                <w:sz w:val="20"/>
                <w:szCs w:val="20"/>
                <w:color w:val="auto"/>
              </w:rPr>
            </w:pPr>
            <w:r>
              <w:rPr>
                <w:rFonts w:ascii="Arial" w:cs="Arial" w:eastAsia="Arial" w:hAnsi="Arial"/>
                <w:sz w:val="14"/>
                <w:szCs w:val="14"/>
                <w:color w:val="0E2A35"/>
              </w:rPr>
              <w:t> • </w:t>
            </w:r>
            <w:r>
              <w:rPr>
                <w:rFonts w:ascii="Arial" w:cs="Arial" w:eastAsia="Arial" w:hAnsi="Arial"/>
                <w:sz w:val="14"/>
                <w:szCs w:val="14"/>
                <w:b w:val="1"/>
                <w:bCs w:val="1"/>
                <w:color w:val="0E2A35"/>
              </w:rPr>
              <w:t>Payable in quarterly installments in arrears</w:t>
            </w:r>
          </w:p>
        </w:tc>
        <w:tc>
          <w:tcPr>
            <w:tcW w:w="2320" w:type="dxa"/>
            <w:vAlign w:val="bottom"/>
          </w:tcPr>
          <w:p>
            <w:pPr>
              <w:jc w:val="center"/>
              <w:spacing w:after="0"/>
              <w:rPr>
                <w:sz w:val="20"/>
                <w:szCs w:val="20"/>
                <w:color w:val="auto"/>
              </w:rPr>
            </w:pPr>
            <w:r>
              <w:rPr>
                <w:rFonts w:ascii="Arial" w:cs="Arial" w:eastAsia="Arial" w:hAnsi="Arial"/>
                <w:sz w:val="14"/>
                <w:szCs w:val="14"/>
                <w:color w:val="0E2A35"/>
              </w:rPr>
              <w:t>Other Committees</w:t>
            </w:r>
          </w:p>
        </w:tc>
        <w:tc>
          <w:tcPr>
            <w:tcW w:w="720" w:type="dxa"/>
            <w:vAlign w:val="bottom"/>
          </w:tcPr>
          <w:p>
            <w:pPr>
              <w:ind w:left="600"/>
              <w:spacing w:after="0"/>
              <w:rPr>
                <w:sz w:val="20"/>
                <w:szCs w:val="20"/>
                <w:color w:val="auto"/>
              </w:rPr>
            </w:pPr>
            <w:r>
              <w:rPr>
                <w:rFonts w:ascii="Arial" w:cs="Arial" w:eastAsia="Arial" w:hAnsi="Arial"/>
                <w:sz w:val="14"/>
                <w:szCs w:val="14"/>
                <w:color w:val="0E2A35"/>
              </w:rPr>
              <w:t>$</w:t>
            </w:r>
          </w:p>
        </w:tc>
        <w:tc>
          <w:tcPr>
            <w:tcW w:w="1080" w:type="dxa"/>
            <w:vAlign w:val="bottom"/>
          </w:tcPr>
          <w:p>
            <w:pPr>
              <w:jc w:val="right"/>
              <w:ind w:right="528"/>
              <w:spacing w:after="0"/>
              <w:rPr>
                <w:sz w:val="20"/>
                <w:szCs w:val="20"/>
                <w:color w:val="auto"/>
              </w:rPr>
            </w:pPr>
            <w:r>
              <w:rPr>
                <w:rFonts w:ascii="Arial" w:cs="Arial" w:eastAsia="Arial" w:hAnsi="Arial"/>
                <w:sz w:val="14"/>
                <w:szCs w:val="14"/>
                <w:color w:val="0E2A35"/>
              </w:rPr>
              <w:t>10,000</w:t>
            </w:r>
          </w:p>
        </w:tc>
        <w:tc>
          <w:tcPr>
            <w:tcW w:w="680" w:type="dxa"/>
            <w:vAlign w:val="bottom"/>
          </w:tcPr>
          <w:p>
            <w:pPr>
              <w:ind w:left="560"/>
              <w:spacing w:after="0"/>
              <w:rPr>
                <w:sz w:val="20"/>
                <w:szCs w:val="20"/>
                <w:color w:val="auto"/>
              </w:rPr>
            </w:pPr>
            <w:r>
              <w:rPr>
                <w:rFonts w:ascii="Arial" w:cs="Arial" w:eastAsia="Arial" w:hAnsi="Arial"/>
                <w:sz w:val="14"/>
                <w:szCs w:val="14"/>
                <w:color w:val="0E2A35"/>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0E2A35"/>
              </w:rPr>
              <w:t>15,000</w:t>
            </w:r>
          </w:p>
        </w:tc>
      </w:tr>
      <w:tr>
        <w:trPr>
          <w:trHeight w:val="83"/>
        </w:trPr>
        <w:tc>
          <w:tcPr>
            <w:tcW w:w="3900" w:type="dxa"/>
            <w:vAlign w:val="bottom"/>
            <w:tcBorders>
              <w:bottom w:val="single" w:sz="8" w:color="0E2A35"/>
            </w:tcBorders>
          </w:tcPr>
          <w:p>
            <w:pPr>
              <w:spacing w:after="0"/>
              <w:rPr>
                <w:sz w:val="7"/>
                <w:szCs w:val="7"/>
                <w:color w:val="auto"/>
              </w:rPr>
            </w:pPr>
          </w:p>
        </w:tc>
        <w:tc>
          <w:tcPr>
            <w:tcW w:w="2320" w:type="dxa"/>
            <w:vAlign w:val="bottom"/>
            <w:tcBorders>
              <w:bottom w:val="single" w:sz="8" w:color="0E2A35"/>
            </w:tcBorders>
          </w:tcPr>
          <w:p>
            <w:pPr>
              <w:spacing w:after="0"/>
              <w:rPr>
                <w:sz w:val="7"/>
                <w:szCs w:val="7"/>
                <w:color w:val="auto"/>
              </w:rPr>
            </w:pPr>
          </w:p>
        </w:tc>
        <w:tc>
          <w:tcPr>
            <w:tcW w:w="720" w:type="dxa"/>
            <w:vAlign w:val="bottom"/>
            <w:tcBorders>
              <w:bottom w:val="single" w:sz="8" w:color="0E2A35"/>
            </w:tcBorders>
          </w:tcPr>
          <w:p>
            <w:pPr>
              <w:spacing w:after="0"/>
              <w:rPr>
                <w:sz w:val="7"/>
                <w:szCs w:val="7"/>
                <w:color w:val="auto"/>
              </w:rPr>
            </w:pPr>
          </w:p>
        </w:tc>
        <w:tc>
          <w:tcPr>
            <w:tcW w:w="1080" w:type="dxa"/>
            <w:vAlign w:val="bottom"/>
            <w:tcBorders>
              <w:bottom w:val="single" w:sz="8" w:color="0E2A35"/>
            </w:tcBorders>
          </w:tcPr>
          <w:p>
            <w:pPr>
              <w:spacing w:after="0"/>
              <w:rPr>
                <w:sz w:val="7"/>
                <w:szCs w:val="7"/>
                <w:color w:val="auto"/>
              </w:rPr>
            </w:pPr>
          </w:p>
        </w:tc>
        <w:tc>
          <w:tcPr>
            <w:tcW w:w="68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r>
    </w:tbl>
    <w:p>
      <w:pPr>
        <w:spacing w:after="0" w:line="27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E2A35"/>
        </w:rPr>
        <w:t>Director equity awards are granted prospectively for the upcoming year. This means that any new directors will receive a prorated award at the next regularly scheduled Board meeting, if the next regularly scheduled Board meeting is not the meeting at which annual awards are granted. Directors who joined the Board before we began prospectively granting equity awards will receive an award of the annual grant prior to separation of service from the Board that provides for accelerated vesting of the award upon retirement from the Board at the conclusion of his or her term.</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Use of Winnebago Industries Products</w:t>
      </w:r>
    </w:p>
    <w:p>
      <w:pPr>
        <w:spacing w:after="0" w:line="20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0E2A35"/>
        </w:rPr>
        <w:t>We encourage each of our independent directors to use our recreational vehicles and boats on a periodic and temporary basis at no charge to gain a first-hand understanding of the outdoor lifestyle experienced by our customers and to provide our directors with the opportunity to evaluate product design and efficiency.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Director Compensation Table</w:t>
      </w:r>
    </w:p>
    <w:p>
      <w:pPr>
        <w:spacing w:after="0" w:line="188" w:lineRule="exact"/>
        <w:rPr>
          <w:sz w:val="20"/>
          <w:szCs w:val="20"/>
          <w:color w:val="auto"/>
        </w:rPr>
      </w:pPr>
    </w:p>
    <w:p>
      <w:pPr>
        <w:ind w:right="1080"/>
        <w:spacing w:after="0" w:line="276" w:lineRule="auto"/>
        <w:rPr>
          <w:sz w:val="20"/>
          <w:szCs w:val="20"/>
          <w:color w:val="auto"/>
        </w:rPr>
      </w:pPr>
      <w:r>
        <w:rPr>
          <w:rFonts w:ascii="Arial" w:cs="Arial" w:eastAsia="Arial" w:hAnsi="Arial"/>
          <w:sz w:val="16"/>
          <w:szCs w:val="16"/>
          <w:color w:val="0E2A35"/>
        </w:rPr>
        <w:t>The following table sets forth the total compensation paid to each non-employee director for fiscal 2023, other than reimbursement for travel expenses: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20" w:type="dxa"/>
            <w:vAlign w:val="bottom"/>
            <w:shd w:val="clear" w:color="auto" w:fill="0E2A35"/>
          </w:tcPr>
          <w:p>
            <w:pPr>
              <w:spacing w:after="0"/>
              <w:rPr>
                <w:sz w:val="19"/>
                <w:szCs w:val="19"/>
                <w:color w:val="auto"/>
              </w:rPr>
            </w:pPr>
          </w:p>
        </w:tc>
        <w:tc>
          <w:tcPr>
            <w:tcW w:w="2380" w:type="dxa"/>
            <w:vAlign w:val="bottom"/>
            <w:shd w:val="clear" w:color="auto" w:fill="0E2A35"/>
          </w:tcPr>
          <w:p>
            <w:pPr>
              <w:jc w:val="center"/>
              <w:ind w:left="792"/>
              <w:spacing w:after="0"/>
              <w:rPr>
                <w:sz w:val="20"/>
                <w:szCs w:val="20"/>
                <w:color w:val="auto"/>
              </w:rPr>
            </w:pPr>
            <w:r>
              <w:rPr>
                <w:rFonts w:ascii="Arial" w:cs="Arial" w:eastAsia="Arial" w:hAnsi="Arial"/>
                <w:sz w:val="13"/>
                <w:szCs w:val="13"/>
                <w:b w:val="1"/>
                <w:bCs w:val="1"/>
                <w:color w:val="FFFFFF"/>
                <w:w w:val="98"/>
              </w:rPr>
              <w:t>Fees Earned</w:t>
            </w:r>
          </w:p>
        </w:tc>
        <w:tc>
          <w:tcPr>
            <w:tcW w:w="128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16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All</w:t>
            </w:r>
          </w:p>
        </w:tc>
        <w:tc>
          <w:tcPr>
            <w:tcW w:w="128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720" w:type="dxa"/>
            <w:vAlign w:val="bottom"/>
            <w:shd w:val="clear" w:color="auto" w:fill="0E2A35"/>
          </w:tcPr>
          <w:p>
            <w:pPr>
              <w:spacing w:after="0"/>
              <w:rPr>
                <w:sz w:val="12"/>
                <w:szCs w:val="12"/>
                <w:color w:val="auto"/>
              </w:rPr>
            </w:pPr>
          </w:p>
        </w:tc>
        <w:tc>
          <w:tcPr>
            <w:tcW w:w="2380" w:type="dxa"/>
            <w:vAlign w:val="bottom"/>
            <w:shd w:val="clear" w:color="auto" w:fill="0E2A35"/>
          </w:tcPr>
          <w:p>
            <w:pPr>
              <w:jc w:val="center"/>
              <w:ind w:left="772"/>
              <w:spacing w:after="0" w:line="145" w:lineRule="exact"/>
              <w:rPr>
                <w:sz w:val="20"/>
                <w:szCs w:val="20"/>
                <w:color w:val="auto"/>
              </w:rPr>
            </w:pPr>
            <w:r>
              <w:rPr>
                <w:rFonts w:ascii="Arial" w:cs="Arial" w:eastAsia="Arial" w:hAnsi="Arial"/>
                <w:sz w:val="13"/>
                <w:szCs w:val="13"/>
                <w:b w:val="1"/>
                <w:bCs w:val="1"/>
                <w:color w:val="FFFFFF"/>
                <w:w w:val="97"/>
              </w:rPr>
              <w:t>or Paid in</w:t>
            </w:r>
          </w:p>
        </w:tc>
        <w:tc>
          <w:tcPr>
            <w:tcW w:w="1280" w:type="dxa"/>
            <w:vAlign w:val="bottom"/>
            <w:vMerge w:val="continue"/>
            <w:shd w:val="clear" w:color="auto" w:fill="0E2A35"/>
          </w:tcPr>
          <w:p>
            <w:pPr>
              <w:spacing w:after="0"/>
              <w:rPr>
                <w:sz w:val="12"/>
                <w:szCs w:val="12"/>
                <w:color w:val="auto"/>
              </w:rPr>
            </w:pPr>
          </w:p>
        </w:tc>
        <w:tc>
          <w:tcPr>
            <w:tcW w:w="1620" w:type="dxa"/>
            <w:vAlign w:val="bottom"/>
            <w:shd w:val="clear" w:color="auto" w:fill="0E2A35"/>
          </w:tcPr>
          <w:p>
            <w:pPr>
              <w:jc w:val="center"/>
              <w:spacing w:after="0" w:line="145" w:lineRule="exact"/>
              <w:rPr>
                <w:sz w:val="20"/>
                <w:szCs w:val="20"/>
                <w:color w:val="auto"/>
              </w:rPr>
            </w:pPr>
            <w:r>
              <w:rPr>
                <w:rFonts w:ascii="Arial" w:cs="Arial" w:eastAsia="Arial" w:hAnsi="Arial"/>
                <w:sz w:val="13"/>
                <w:szCs w:val="13"/>
                <w:b w:val="1"/>
                <w:bCs w:val="1"/>
                <w:color w:val="FFFFFF"/>
                <w:w w:val="97"/>
              </w:rPr>
              <w:t>Other</w:t>
            </w:r>
          </w:p>
        </w:tc>
        <w:tc>
          <w:tcPr>
            <w:tcW w:w="1280" w:type="dxa"/>
            <w:vAlign w:val="bottom"/>
            <w:shd w:val="clear" w:color="auto" w:fill="0E2A35"/>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72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Director</w:t>
            </w:r>
          </w:p>
        </w:tc>
        <w:tc>
          <w:tcPr>
            <w:tcW w:w="2380" w:type="dxa"/>
            <w:vAlign w:val="bottom"/>
            <w:shd w:val="clear" w:color="auto" w:fill="0E2A35"/>
          </w:tcPr>
          <w:p>
            <w:pPr>
              <w:jc w:val="center"/>
              <w:ind w:left="832"/>
              <w:spacing w:after="0" w:line="166" w:lineRule="exact"/>
              <w:rPr>
                <w:sz w:val="20"/>
                <w:szCs w:val="20"/>
                <w:color w:val="auto"/>
              </w:rPr>
            </w:pPr>
            <w:r>
              <w:rPr>
                <w:rFonts w:ascii="Arial" w:cs="Arial" w:eastAsia="Arial" w:hAnsi="Arial"/>
                <w:sz w:val="19"/>
                <w:szCs w:val="19"/>
                <w:b w:val="1"/>
                <w:bCs w:val="1"/>
                <w:color w:val="FFFFFF"/>
                <w:vertAlign w:val="subscript"/>
              </w:rPr>
              <w:t>Cash</w:t>
            </w:r>
            <w:r>
              <w:rPr>
                <w:rFonts w:ascii="Arial" w:cs="Arial" w:eastAsia="Arial" w:hAnsi="Arial"/>
                <w:sz w:val="9"/>
                <w:szCs w:val="9"/>
                <w:b w:val="1"/>
                <w:bCs w:val="1"/>
                <w:color w:val="FFFFFF"/>
              </w:rPr>
              <w:t>(1)(2)</w:t>
            </w:r>
          </w:p>
        </w:tc>
        <w:tc>
          <w:tcPr>
            <w:tcW w:w="1280" w:type="dxa"/>
            <w:vAlign w:val="bottom"/>
            <w:shd w:val="clear" w:color="auto" w:fill="0E2A35"/>
          </w:tcPr>
          <w:p>
            <w:pPr>
              <w:jc w:val="center"/>
              <w:spacing w:after="0" w:line="166" w:lineRule="exact"/>
              <w:rPr>
                <w:sz w:val="20"/>
                <w:szCs w:val="20"/>
                <w:color w:val="auto"/>
              </w:rPr>
            </w:pPr>
            <w:r>
              <w:rPr>
                <w:rFonts w:ascii="Arial" w:cs="Arial" w:eastAsia="Arial" w:hAnsi="Arial"/>
                <w:sz w:val="12"/>
                <w:szCs w:val="12"/>
                <w:b w:val="1"/>
                <w:bCs w:val="1"/>
                <w:color w:val="FFFFFF"/>
                <w:w w:val="98"/>
              </w:rPr>
              <w:t>Awards</w:t>
            </w:r>
            <w:r>
              <w:rPr>
                <w:rFonts w:ascii="Arial" w:cs="Arial" w:eastAsia="Arial" w:hAnsi="Arial"/>
                <w:sz w:val="19"/>
                <w:szCs w:val="19"/>
                <w:b w:val="1"/>
                <w:bCs w:val="1"/>
                <w:color w:val="FFFFFF"/>
                <w:w w:val="98"/>
                <w:vertAlign w:val="superscript"/>
              </w:rPr>
              <w:t>(3)</w:t>
            </w:r>
          </w:p>
        </w:tc>
        <w:tc>
          <w:tcPr>
            <w:tcW w:w="1620" w:type="dxa"/>
            <w:vAlign w:val="bottom"/>
            <w:shd w:val="clear" w:color="auto" w:fill="0E2A35"/>
          </w:tcPr>
          <w:p>
            <w:pPr>
              <w:jc w:val="center"/>
              <w:spacing w:after="0" w:line="166"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(4)</w:t>
            </w:r>
          </w:p>
        </w:tc>
        <w:tc>
          <w:tcPr>
            <w:tcW w:w="1280" w:type="dxa"/>
            <w:vAlign w:val="bottom"/>
            <w:shd w:val="clear" w:color="auto" w:fill="0E2A35"/>
          </w:tcPr>
          <w:p>
            <w:pPr>
              <w:ind w:left="46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6"/>
        </w:trPr>
        <w:tc>
          <w:tcPr>
            <w:tcW w:w="2720" w:type="dxa"/>
            <w:vAlign w:val="bottom"/>
            <w:vMerge w:val="continue"/>
            <w:shd w:val="clear" w:color="auto" w:fill="0E2A35"/>
          </w:tcPr>
          <w:p>
            <w:pPr>
              <w:spacing w:after="0"/>
              <w:rPr>
                <w:sz w:val="15"/>
                <w:szCs w:val="15"/>
                <w:color w:val="auto"/>
              </w:rPr>
            </w:pPr>
          </w:p>
        </w:tc>
        <w:tc>
          <w:tcPr>
            <w:tcW w:w="2380" w:type="dxa"/>
            <w:vAlign w:val="bottom"/>
            <w:shd w:val="clear" w:color="auto" w:fill="0E2A35"/>
          </w:tcPr>
          <w:p>
            <w:pPr>
              <w:jc w:val="center"/>
              <w:ind w:left="832"/>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6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280" w:type="dxa"/>
            <w:vAlign w:val="bottom"/>
            <w:shd w:val="clear" w:color="auto" w:fill="0E2A35"/>
          </w:tcPr>
          <w:p>
            <w:pPr>
              <w:ind w:left="54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89"/>
        </w:trPr>
        <w:tc>
          <w:tcPr>
            <w:tcW w:w="2720" w:type="dxa"/>
            <w:vAlign w:val="bottom"/>
            <w:shd w:val="clear" w:color="auto" w:fill="0E2A35"/>
          </w:tcPr>
          <w:p>
            <w:pPr>
              <w:spacing w:after="0"/>
              <w:rPr>
                <w:sz w:val="7"/>
                <w:szCs w:val="7"/>
                <w:color w:val="auto"/>
              </w:rPr>
            </w:pPr>
          </w:p>
        </w:tc>
        <w:tc>
          <w:tcPr>
            <w:tcW w:w="2380" w:type="dxa"/>
            <w:vAlign w:val="bottom"/>
            <w:shd w:val="clear" w:color="auto" w:fill="0E2A35"/>
          </w:tcPr>
          <w:p>
            <w:pPr>
              <w:spacing w:after="0"/>
              <w:rPr>
                <w:sz w:val="7"/>
                <w:szCs w:val="7"/>
                <w:color w:val="auto"/>
              </w:rPr>
            </w:pPr>
          </w:p>
        </w:tc>
        <w:tc>
          <w:tcPr>
            <w:tcW w:w="1280" w:type="dxa"/>
            <w:vAlign w:val="bottom"/>
            <w:shd w:val="clear" w:color="auto" w:fill="0E2A35"/>
          </w:tcPr>
          <w:p>
            <w:pPr>
              <w:spacing w:after="0"/>
              <w:rPr>
                <w:sz w:val="7"/>
                <w:szCs w:val="7"/>
                <w:color w:val="auto"/>
              </w:rPr>
            </w:pPr>
          </w:p>
        </w:tc>
        <w:tc>
          <w:tcPr>
            <w:tcW w:w="1620" w:type="dxa"/>
            <w:vAlign w:val="bottom"/>
            <w:shd w:val="clear" w:color="auto" w:fill="0E2A35"/>
          </w:tcPr>
          <w:p>
            <w:pPr>
              <w:spacing w:after="0"/>
              <w:rPr>
                <w:sz w:val="7"/>
                <w:szCs w:val="7"/>
                <w:color w:val="auto"/>
              </w:rPr>
            </w:pPr>
          </w:p>
        </w:tc>
        <w:tc>
          <w:tcPr>
            <w:tcW w:w="128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720" w:type="dxa"/>
            <w:vAlign w:val="bottom"/>
          </w:tcPr>
          <w:p>
            <w:pPr>
              <w:ind w:left="60"/>
              <w:spacing w:after="0"/>
              <w:rPr>
                <w:sz w:val="20"/>
                <w:szCs w:val="20"/>
                <w:color w:val="auto"/>
              </w:rPr>
            </w:pPr>
            <w:r>
              <w:rPr>
                <w:rFonts w:ascii="Arial" w:cs="Arial" w:eastAsia="Arial" w:hAnsi="Arial"/>
                <w:sz w:val="14"/>
                <w:szCs w:val="14"/>
                <w:color w:val="0E2A35"/>
              </w:rPr>
              <w:t>Sara E. Armbruster</w:t>
            </w:r>
          </w:p>
        </w:tc>
        <w:tc>
          <w:tcPr>
            <w:tcW w:w="2380" w:type="dxa"/>
            <w:vAlign w:val="bottom"/>
          </w:tcPr>
          <w:p>
            <w:pPr>
              <w:jc w:val="right"/>
              <w:ind w:right="452"/>
              <w:spacing w:after="0"/>
              <w:rPr>
                <w:sz w:val="20"/>
                <w:szCs w:val="20"/>
                <w:color w:val="auto"/>
              </w:rPr>
            </w:pPr>
            <w:r>
              <w:rPr>
                <w:rFonts w:ascii="Arial" w:cs="Arial" w:eastAsia="Arial" w:hAnsi="Arial"/>
                <w:sz w:val="14"/>
                <w:szCs w:val="14"/>
                <w:color w:val="0E2A35"/>
              </w:rPr>
              <w:t>​90,000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280" w:type="dxa"/>
            <w:vAlign w:val="bottom"/>
          </w:tcPr>
          <w:p>
            <w:pPr>
              <w:ind w:left="300"/>
              <w:spacing w:after="0"/>
              <w:rPr>
                <w:sz w:val="20"/>
                <w:szCs w:val="20"/>
                <w:color w:val="auto"/>
              </w:rPr>
            </w:pPr>
            <w:r>
              <w:rPr>
                <w:rFonts w:ascii="Arial" w:cs="Arial" w:eastAsia="Arial" w:hAnsi="Arial"/>
                <w:sz w:val="14"/>
                <w:szCs w:val="14"/>
                <w:color w:val="0E2A35"/>
              </w:rPr>
              <w:t>215,000​</w:t>
            </w:r>
          </w:p>
        </w:tc>
        <w:tc>
          <w:tcPr>
            <w:tcW w:w="0" w:type="dxa"/>
            <w:vAlign w:val="bottom"/>
          </w:tcPr>
          <w:p>
            <w:pPr>
              <w:spacing w:after="0"/>
              <w:rPr>
                <w:sz w:val="1"/>
                <w:szCs w:val="1"/>
                <w:color w:val="auto"/>
              </w:rPr>
            </w:pPr>
          </w:p>
        </w:tc>
      </w:tr>
      <w:tr>
        <w:trPr>
          <w:trHeight w:val="93"/>
        </w:trPr>
        <w:tc>
          <w:tcPr>
            <w:tcW w:w="272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2720" w:type="dxa"/>
            <w:vAlign w:val="bottom"/>
          </w:tcPr>
          <w:p>
            <w:pPr>
              <w:ind w:left="60"/>
              <w:spacing w:after="0"/>
              <w:rPr>
                <w:sz w:val="20"/>
                <w:szCs w:val="20"/>
                <w:color w:val="auto"/>
              </w:rPr>
            </w:pPr>
            <w:r>
              <w:rPr>
                <w:rFonts w:ascii="Arial" w:cs="Arial" w:eastAsia="Arial" w:hAnsi="Arial"/>
                <w:sz w:val="14"/>
                <w:szCs w:val="14"/>
                <w:color w:val="0E2A35"/>
              </w:rPr>
              <w:t>Christopher J. Braun</w:t>
            </w:r>
          </w:p>
        </w:tc>
        <w:tc>
          <w:tcPr>
            <w:tcW w:w="2380" w:type="dxa"/>
            <w:vAlign w:val="bottom"/>
          </w:tcPr>
          <w:p>
            <w:pPr>
              <w:jc w:val="right"/>
              <w:ind w:right="452"/>
              <w:spacing w:after="0"/>
              <w:rPr>
                <w:sz w:val="20"/>
                <w:szCs w:val="20"/>
                <w:color w:val="auto"/>
              </w:rPr>
            </w:pPr>
            <w:r>
              <w:rPr>
                <w:rFonts w:ascii="Arial" w:cs="Arial" w:eastAsia="Arial" w:hAnsi="Arial"/>
                <w:sz w:val="14"/>
                <w:szCs w:val="14"/>
                <w:color w:val="0E2A35"/>
              </w:rPr>
              <w:t>​90,000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280" w:type="dxa"/>
            <w:vAlign w:val="bottom"/>
          </w:tcPr>
          <w:p>
            <w:pPr>
              <w:ind w:left="300"/>
              <w:spacing w:after="0"/>
              <w:rPr>
                <w:sz w:val="20"/>
                <w:szCs w:val="20"/>
                <w:color w:val="auto"/>
              </w:rPr>
            </w:pPr>
            <w:r>
              <w:rPr>
                <w:rFonts w:ascii="Arial" w:cs="Arial" w:eastAsia="Arial" w:hAnsi="Arial"/>
                <w:sz w:val="14"/>
                <w:szCs w:val="14"/>
                <w:color w:val="0E2A35"/>
              </w:rPr>
              <w:t>215,000​</w:t>
            </w:r>
          </w:p>
        </w:tc>
        <w:tc>
          <w:tcPr>
            <w:tcW w:w="0" w:type="dxa"/>
            <w:vAlign w:val="bottom"/>
          </w:tcPr>
          <w:p>
            <w:pPr>
              <w:spacing w:after="0"/>
              <w:rPr>
                <w:sz w:val="1"/>
                <w:szCs w:val="1"/>
                <w:color w:val="auto"/>
              </w:rPr>
            </w:pPr>
          </w:p>
        </w:tc>
      </w:tr>
      <w:tr>
        <w:trPr>
          <w:trHeight w:val="93"/>
        </w:trPr>
        <w:tc>
          <w:tcPr>
            <w:tcW w:w="272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2720" w:type="dxa"/>
            <w:vAlign w:val="bottom"/>
          </w:tcPr>
          <w:p>
            <w:pPr>
              <w:ind w:left="60"/>
              <w:spacing w:after="0"/>
              <w:rPr>
                <w:sz w:val="20"/>
                <w:szCs w:val="20"/>
                <w:color w:val="auto"/>
              </w:rPr>
            </w:pPr>
            <w:r>
              <w:rPr>
                <w:rFonts w:ascii="Arial" w:cs="Arial" w:eastAsia="Arial" w:hAnsi="Arial"/>
                <w:sz w:val="14"/>
                <w:szCs w:val="14"/>
                <w:color w:val="0E2A35"/>
              </w:rPr>
              <w:t>Kevin E. Bryant</w:t>
            </w:r>
          </w:p>
        </w:tc>
        <w:tc>
          <w:tcPr>
            <w:tcW w:w="2380" w:type="dxa"/>
            <w:vAlign w:val="bottom"/>
          </w:tcPr>
          <w:p>
            <w:pPr>
              <w:jc w:val="right"/>
              <w:ind w:right="452"/>
              <w:spacing w:after="0"/>
              <w:rPr>
                <w:sz w:val="20"/>
                <w:szCs w:val="20"/>
                <w:color w:val="auto"/>
              </w:rPr>
            </w:pPr>
            <w:r>
              <w:rPr>
                <w:rFonts w:ascii="Arial" w:cs="Arial" w:eastAsia="Arial" w:hAnsi="Arial"/>
                <w:sz w:val="14"/>
                <w:szCs w:val="14"/>
                <w:color w:val="0E2A35"/>
              </w:rPr>
              <w:t>100,000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280" w:type="dxa"/>
            <w:vAlign w:val="bottom"/>
          </w:tcPr>
          <w:p>
            <w:pPr>
              <w:ind w:left="300"/>
              <w:spacing w:after="0"/>
              <w:rPr>
                <w:sz w:val="20"/>
                <w:szCs w:val="20"/>
                <w:color w:val="auto"/>
              </w:rPr>
            </w:pPr>
            <w:r>
              <w:rPr>
                <w:rFonts w:ascii="Arial" w:cs="Arial" w:eastAsia="Arial" w:hAnsi="Arial"/>
                <w:sz w:val="14"/>
                <w:szCs w:val="14"/>
                <w:color w:val="0E2A35"/>
              </w:rPr>
              <w:t>225,000</w:t>
            </w:r>
          </w:p>
        </w:tc>
        <w:tc>
          <w:tcPr>
            <w:tcW w:w="0" w:type="dxa"/>
            <w:vAlign w:val="bottom"/>
          </w:tcPr>
          <w:p>
            <w:pPr>
              <w:spacing w:after="0"/>
              <w:rPr>
                <w:sz w:val="1"/>
                <w:szCs w:val="1"/>
                <w:color w:val="auto"/>
              </w:rPr>
            </w:pPr>
          </w:p>
        </w:tc>
      </w:tr>
      <w:tr>
        <w:trPr>
          <w:trHeight w:val="93"/>
        </w:trPr>
        <w:tc>
          <w:tcPr>
            <w:tcW w:w="272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272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Robert M. Chiusano</w:t>
            </w:r>
            <w:r>
              <w:rPr>
                <w:rFonts w:ascii="Arial" w:cs="Arial" w:eastAsia="Arial" w:hAnsi="Arial"/>
                <w:sz w:val="23"/>
                <w:szCs w:val="23"/>
                <w:color w:val="0E2A35"/>
                <w:vertAlign w:val="superscript"/>
              </w:rPr>
              <w:t>(5)</w:t>
            </w:r>
          </w:p>
        </w:tc>
        <w:tc>
          <w:tcPr>
            <w:tcW w:w="2380" w:type="dxa"/>
            <w:vAlign w:val="bottom"/>
            <w:tcBorders>
              <w:bottom w:val="single" w:sz="8" w:color="0E2A35"/>
            </w:tcBorders>
          </w:tcPr>
          <w:p>
            <w:pPr>
              <w:jc w:val="right"/>
              <w:ind w:right="452"/>
              <w:spacing w:after="0"/>
              <w:rPr>
                <w:sz w:val="20"/>
                <w:szCs w:val="20"/>
                <w:color w:val="auto"/>
              </w:rPr>
            </w:pPr>
            <w:r>
              <w:rPr>
                <w:rFonts w:ascii="Arial" w:cs="Arial" w:eastAsia="Arial" w:hAnsi="Arial"/>
                <w:sz w:val="14"/>
                <w:szCs w:val="14"/>
                <w:color w:val="0E2A35"/>
              </w:rPr>
              <w:t>​22,500</w:t>
            </w:r>
          </w:p>
        </w:tc>
        <w:tc>
          <w:tcPr>
            <w:tcW w:w="128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w w:val="99"/>
              </w:rPr>
              <w:t>—​</w:t>
            </w:r>
          </w:p>
        </w:tc>
        <w:tc>
          <w:tcPr>
            <w:tcW w:w="1280" w:type="dxa"/>
            <w:vAlign w:val="bottom"/>
            <w:tcBorders>
              <w:bottom w:val="single" w:sz="8" w:color="0E2A35"/>
            </w:tcBorders>
          </w:tcPr>
          <w:p>
            <w:pPr>
              <w:ind w:left="300"/>
              <w:spacing w:after="0"/>
              <w:rPr>
                <w:sz w:val="20"/>
                <w:szCs w:val="20"/>
                <w:color w:val="auto"/>
              </w:rPr>
            </w:pPr>
            <w:r>
              <w:rPr>
                <w:rFonts w:ascii="Arial" w:cs="Arial" w:eastAsia="Arial" w:hAnsi="Arial"/>
                <w:sz w:val="14"/>
                <w:szCs w:val="14"/>
                <w:color w:val="0E2A35"/>
              </w:rPr>
              <w:t>147,500</w:t>
            </w:r>
          </w:p>
        </w:tc>
        <w:tc>
          <w:tcPr>
            <w:tcW w:w="0" w:type="dxa"/>
            <w:vAlign w:val="bottom"/>
          </w:tcPr>
          <w:p>
            <w:pPr>
              <w:spacing w:after="0"/>
              <w:rPr>
                <w:sz w:val="1"/>
                <w:szCs w:val="1"/>
                <w:color w:val="auto"/>
              </w:rPr>
            </w:pPr>
          </w:p>
        </w:tc>
      </w:tr>
      <w:tr>
        <w:trPr>
          <w:trHeight w:val="278"/>
        </w:trPr>
        <w:tc>
          <w:tcPr>
            <w:tcW w:w="2720" w:type="dxa"/>
            <w:vAlign w:val="bottom"/>
          </w:tcPr>
          <w:p>
            <w:pPr>
              <w:ind w:left="60"/>
              <w:spacing w:after="0"/>
              <w:rPr>
                <w:sz w:val="20"/>
                <w:szCs w:val="20"/>
                <w:color w:val="auto"/>
              </w:rPr>
            </w:pPr>
            <w:r>
              <w:rPr>
                <w:rFonts w:ascii="Arial" w:cs="Arial" w:eastAsia="Arial" w:hAnsi="Arial"/>
                <w:sz w:val="14"/>
                <w:szCs w:val="14"/>
                <w:color w:val="0E2A35"/>
              </w:rPr>
              <w:t>William C. Fisher</w:t>
            </w:r>
          </w:p>
        </w:tc>
        <w:tc>
          <w:tcPr>
            <w:tcW w:w="2380" w:type="dxa"/>
            <w:vAlign w:val="bottom"/>
          </w:tcPr>
          <w:p>
            <w:pPr>
              <w:jc w:val="right"/>
              <w:ind w:right="452"/>
              <w:spacing w:after="0"/>
              <w:rPr>
                <w:sz w:val="20"/>
                <w:szCs w:val="20"/>
                <w:color w:val="auto"/>
              </w:rPr>
            </w:pPr>
            <w:r>
              <w:rPr>
                <w:rFonts w:ascii="Arial" w:cs="Arial" w:eastAsia="Arial" w:hAnsi="Arial"/>
                <w:sz w:val="14"/>
                <w:szCs w:val="14"/>
                <w:color w:val="0E2A35"/>
              </w:rPr>
              <w:t>​100,000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280" w:type="dxa"/>
            <w:vAlign w:val="bottom"/>
          </w:tcPr>
          <w:p>
            <w:pPr>
              <w:ind w:left="300"/>
              <w:spacing w:after="0"/>
              <w:rPr>
                <w:sz w:val="20"/>
                <w:szCs w:val="20"/>
                <w:color w:val="auto"/>
              </w:rPr>
            </w:pPr>
            <w:r>
              <w:rPr>
                <w:rFonts w:ascii="Arial" w:cs="Arial" w:eastAsia="Arial" w:hAnsi="Arial"/>
                <w:sz w:val="14"/>
                <w:szCs w:val="14"/>
                <w:color w:val="0E2A35"/>
              </w:rPr>
              <w:t>225,000​</w:t>
            </w:r>
          </w:p>
        </w:tc>
        <w:tc>
          <w:tcPr>
            <w:tcW w:w="0" w:type="dxa"/>
            <w:vAlign w:val="bottom"/>
          </w:tcPr>
          <w:p>
            <w:pPr>
              <w:spacing w:after="0"/>
              <w:rPr>
                <w:sz w:val="1"/>
                <w:szCs w:val="1"/>
                <w:color w:val="auto"/>
              </w:rPr>
            </w:pPr>
          </w:p>
        </w:tc>
      </w:tr>
      <w:tr>
        <w:trPr>
          <w:trHeight w:val="93"/>
        </w:trPr>
        <w:tc>
          <w:tcPr>
            <w:tcW w:w="272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2720" w:type="dxa"/>
            <w:vAlign w:val="bottom"/>
          </w:tcPr>
          <w:p>
            <w:pPr>
              <w:ind w:left="60"/>
              <w:spacing w:after="0"/>
              <w:rPr>
                <w:sz w:val="20"/>
                <w:szCs w:val="20"/>
                <w:color w:val="auto"/>
              </w:rPr>
            </w:pPr>
            <w:r>
              <w:rPr>
                <w:rFonts w:ascii="Arial" w:cs="Arial" w:eastAsia="Arial" w:hAnsi="Arial"/>
                <w:sz w:val="14"/>
                <w:szCs w:val="14"/>
                <w:color w:val="0E2A35"/>
              </w:rPr>
              <w:t>David W. Miles</w:t>
            </w:r>
          </w:p>
        </w:tc>
        <w:tc>
          <w:tcPr>
            <w:tcW w:w="2380" w:type="dxa"/>
            <w:vAlign w:val="bottom"/>
          </w:tcPr>
          <w:p>
            <w:pPr>
              <w:jc w:val="right"/>
              <w:ind w:right="452"/>
              <w:spacing w:after="0"/>
              <w:rPr>
                <w:sz w:val="20"/>
                <w:szCs w:val="20"/>
                <w:color w:val="auto"/>
              </w:rPr>
            </w:pPr>
            <w:r>
              <w:rPr>
                <w:rFonts w:ascii="Arial" w:cs="Arial" w:eastAsia="Arial" w:hAnsi="Arial"/>
                <w:sz w:val="14"/>
                <w:szCs w:val="14"/>
                <w:color w:val="0E2A35"/>
              </w:rPr>
              <w:t>​215,000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280" w:type="dxa"/>
            <w:vAlign w:val="bottom"/>
          </w:tcPr>
          <w:p>
            <w:pPr>
              <w:ind w:left="300"/>
              <w:spacing w:after="0"/>
              <w:rPr>
                <w:sz w:val="20"/>
                <w:szCs w:val="20"/>
                <w:color w:val="auto"/>
              </w:rPr>
            </w:pPr>
            <w:r>
              <w:rPr>
                <w:rFonts w:ascii="Arial" w:cs="Arial" w:eastAsia="Arial" w:hAnsi="Arial"/>
                <w:sz w:val="14"/>
                <w:szCs w:val="14"/>
                <w:color w:val="0E2A35"/>
              </w:rPr>
              <w:t>340,000​</w:t>
            </w:r>
          </w:p>
        </w:tc>
        <w:tc>
          <w:tcPr>
            <w:tcW w:w="0" w:type="dxa"/>
            <w:vAlign w:val="bottom"/>
          </w:tcPr>
          <w:p>
            <w:pPr>
              <w:spacing w:after="0"/>
              <w:rPr>
                <w:sz w:val="1"/>
                <w:szCs w:val="1"/>
                <w:color w:val="auto"/>
              </w:rPr>
            </w:pPr>
          </w:p>
        </w:tc>
      </w:tr>
      <w:tr>
        <w:trPr>
          <w:trHeight w:val="93"/>
        </w:trPr>
        <w:tc>
          <w:tcPr>
            <w:tcW w:w="272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2720" w:type="dxa"/>
            <w:vAlign w:val="bottom"/>
          </w:tcPr>
          <w:p>
            <w:pPr>
              <w:ind w:left="60"/>
              <w:spacing w:after="0"/>
              <w:rPr>
                <w:sz w:val="20"/>
                <w:szCs w:val="20"/>
                <w:color w:val="auto"/>
              </w:rPr>
            </w:pPr>
            <w:r>
              <w:rPr>
                <w:rFonts w:ascii="Arial" w:cs="Arial" w:eastAsia="Arial" w:hAnsi="Arial"/>
                <w:sz w:val="14"/>
                <w:szCs w:val="14"/>
                <w:color w:val="0E2A35"/>
              </w:rPr>
              <w:t>Richard D. Moss</w:t>
            </w:r>
          </w:p>
        </w:tc>
        <w:tc>
          <w:tcPr>
            <w:tcW w:w="2380" w:type="dxa"/>
            <w:vAlign w:val="bottom"/>
          </w:tcPr>
          <w:p>
            <w:pPr>
              <w:jc w:val="right"/>
              <w:ind w:right="452"/>
              <w:spacing w:after="0"/>
              <w:rPr>
                <w:sz w:val="20"/>
                <w:szCs w:val="20"/>
                <w:color w:val="auto"/>
              </w:rPr>
            </w:pPr>
            <w:r>
              <w:rPr>
                <w:rFonts w:ascii="Arial" w:cs="Arial" w:eastAsia="Arial" w:hAnsi="Arial"/>
                <w:sz w:val="14"/>
                <w:szCs w:val="14"/>
                <w:color w:val="0E2A35"/>
              </w:rPr>
              <w:t>​105,000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280" w:type="dxa"/>
            <w:vAlign w:val="bottom"/>
          </w:tcPr>
          <w:p>
            <w:pPr>
              <w:ind w:left="300"/>
              <w:spacing w:after="0"/>
              <w:rPr>
                <w:sz w:val="20"/>
                <w:szCs w:val="20"/>
                <w:color w:val="auto"/>
              </w:rPr>
            </w:pPr>
            <w:r>
              <w:rPr>
                <w:rFonts w:ascii="Arial" w:cs="Arial" w:eastAsia="Arial" w:hAnsi="Arial"/>
                <w:sz w:val="14"/>
                <w:szCs w:val="14"/>
                <w:color w:val="0E2A35"/>
              </w:rPr>
              <w:t>230,000​</w:t>
            </w:r>
          </w:p>
        </w:tc>
        <w:tc>
          <w:tcPr>
            <w:tcW w:w="0" w:type="dxa"/>
            <w:vAlign w:val="bottom"/>
          </w:tcPr>
          <w:p>
            <w:pPr>
              <w:spacing w:after="0"/>
              <w:rPr>
                <w:sz w:val="1"/>
                <w:szCs w:val="1"/>
                <w:color w:val="auto"/>
              </w:rPr>
            </w:pPr>
          </w:p>
        </w:tc>
      </w:tr>
      <w:tr>
        <w:trPr>
          <w:trHeight w:val="93"/>
        </w:trPr>
        <w:tc>
          <w:tcPr>
            <w:tcW w:w="272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720" w:type="dxa"/>
            <w:vAlign w:val="bottom"/>
          </w:tcPr>
          <w:p>
            <w:pPr>
              <w:ind w:left="60"/>
              <w:spacing w:after="0"/>
              <w:rPr>
                <w:sz w:val="20"/>
                <w:szCs w:val="20"/>
                <w:color w:val="auto"/>
              </w:rPr>
            </w:pPr>
            <w:r>
              <w:rPr>
                <w:rFonts w:ascii="Arial" w:cs="Arial" w:eastAsia="Arial" w:hAnsi="Arial"/>
                <w:sz w:val="14"/>
                <w:szCs w:val="14"/>
                <w:color w:val="0E2A35"/>
              </w:rPr>
              <w:t>John M. Murabito</w:t>
            </w:r>
          </w:p>
        </w:tc>
        <w:tc>
          <w:tcPr>
            <w:tcW w:w="2380" w:type="dxa"/>
            <w:vAlign w:val="bottom"/>
          </w:tcPr>
          <w:p>
            <w:pPr>
              <w:jc w:val="right"/>
              <w:ind w:right="452"/>
              <w:spacing w:after="0"/>
              <w:rPr>
                <w:sz w:val="20"/>
                <w:szCs w:val="20"/>
                <w:color w:val="auto"/>
              </w:rPr>
            </w:pPr>
            <w:r>
              <w:rPr>
                <w:rFonts w:ascii="Arial" w:cs="Arial" w:eastAsia="Arial" w:hAnsi="Arial"/>
                <w:sz w:val="14"/>
                <w:szCs w:val="14"/>
                <w:color w:val="0E2A35"/>
              </w:rPr>
              <w:t>​100,000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280" w:type="dxa"/>
            <w:vAlign w:val="bottom"/>
          </w:tcPr>
          <w:p>
            <w:pPr>
              <w:ind w:left="300"/>
              <w:spacing w:after="0"/>
              <w:rPr>
                <w:sz w:val="20"/>
                <w:szCs w:val="20"/>
                <w:color w:val="auto"/>
              </w:rPr>
            </w:pPr>
            <w:r>
              <w:rPr>
                <w:rFonts w:ascii="Arial" w:cs="Arial" w:eastAsia="Arial" w:hAnsi="Arial"/>
                <w:sz w:val="14"/>
                <w:szCs w:val="14"/>
                <w:color w:val="0E2A35"/>
              </w:rPr>
              <w:t>225,000​</w:t>
            </w:r>
          </w:p>
        </w:tc>
        <w:tc>
          <w:tcPr>
            <w:tcW w:w="0" w:type="dxa"/>
            <w:vAlign w:val="bottom"/>
          </w:tcPr>
          <w:p>
            <w:pPr>
              <w:spacing w:after="0"/>
              <w:rPr>
                <w:sz w:val="1"/>
                <w:szCs w:val="1"/>
                <w:color w:val="auto"/>
              </w:rPr>
            </w:pPr>
          </w:p>
        </w:tc>
      </w:tr>
      <w:tr>
        <w:trPr>
          <w:trHeight w:val="93"/>
        </w:trPr>
        <w:tc>
          <w:tcPr>
            <w:tcW w:w="2720" w:type="dxa"/>
            <w:vAlign w:val="bottom"/>
            <w:tcBorders>
              <w:bottom w:val="single" w:sz="8" w:color="0E2A35"/>
            </w:tcBorders>
          </w:tcPr>
          <w:p>
            <w:pPr>
              <w:spacing w:after="0"/>
              <w:rPr>
                <w:sz w:val="8"/>
                <w:szCs w:val="8"/>
                <w:color w:val="auto"/>
              </w:rPr>
            </w:pPr>
          </w:p>
        </w:tc>
        <w:tc>
          <w:tcPr>
            <w:tcW w:w="238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162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720" w:type="dxa"/>
            <w:vAlign w:val="bottom"/>
          </w:tcPr>
          <w:p>
            <w:pPr>
              <w:ind w:left="60"/>
              <w:spacing w:after="0"/>
              <w:rPr>
                <w:sz w:val="20"/>
                <w:szCs w:val="20"/>
                <w:color w:val="auto"/>
              </w:rPr>
            </w:pPr>
            <w:r>
              <w:rPr>
                <w:rFonts w:ascii="Arial" w:cs="Arial" w:eastAsia="Arial" w:hAnsi="Arial"/>
                <w:sz w:val="14"/>
                <w:szCs w:val="14"/>
                <w:color w:val="0E2A35"/>
              </w:rPr>
              <w:t>Jacqueline D. Woods</w:t>
            </w:r>
          </w:p>
        </w:tc>
        <w:tc>
          <w:tcPr>
            <w:tcW w:w="2380" w:type="dxa"/>
            <w:vAlign w:val="bottom"/>
          </w:tcPr>
          <w:p>
            <w:pPr>
              <w:jc w:val="right"/>
              <w:ind w:right="452"/>
              <w:spacing w:after="0"/>
              <w:rPr>
                <w:sz w:val="20"/>
                <w:szCs w:val="20"/>
                <w:color w:val="auto"/>
              </w:rPr>
            </w:pPr>
            <w:r>
              <w:rPr>
                <w:rFonts w:ascii="Arial" w:cs="Arial" w:eastAsia="Arial" w:hAnsi="Arial"/>
                <w:sz w:val="14"/>
                <w:szCs w:val="14"/>
                <w:color w:val="0E2A35"/>
              </w:rPr>
              <w:t>90,000</w:t>
            </w:r>
          </w:p>
        </w:tc>
        <w:tc>
          <w:tcPr>
            <w:tcW w:w="1280" w:type="dxa"/>
            <w:vAlign w:val="bottom"/>
          </w:tcPr>
          <w:p>
            <w:pPr>
              <w:jc w:val="center"/>
              <w:spacing w:after="0"/>
              <w:rPr>
                <w:sz w:val="20"/>
                <w:szCs w:val="20"/>
                <w:color w:val="auto"/>
              </w:rPr>
            </w:pPr>
            <w:r>
              <w:rPr>
                <w:rFonts w:ascii="Arial" w:cs="Arial" w:eastAsia="Arial" w:hAnsi="Arial"/>
                <w:sz w:val="14"/>
                <w:szCs w:val="14"/>
                <w:color w:val="0E2A35"/>
              </w:rPr>
              <w:t>125,000</w:t>
            </w:r>
          </w:p>
        </w:tc>
        <w:tc>
          <w:tcPr>
            <w:tcW w:w="162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280" w:type="dxa"/>
            <w:vAlign w:val="bottom"/>
          </w:tcPr>
          <w:p>
            <w:pPr>
              <w:ind w:left="300"/>
              <w:spacing w:after="0"/>
              <w:rPr>
                <w:sz w:val="20"/>
                <w:szCs w:val="20"/>
                <w:color w:val="auto"/>
              </w:rPr>
            </w:pPr>
            <w:r>
              <w:rPr>
                <w:rFonts w:ascii="Arial" w:cs="Arial" w:eastAsia="Arial" w:hAnsi="Arial"/>
                <w:sz w:val="14"/>
                <w:szCs w:val="14"/>
                <w:color w:val="0E2A35"/>
              </w:rPr>
              <w:t>215,000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58978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81" w:lineRule="exact"/>
        <w:rPr>
          <w:sz w:val="20"/>
          <w:szCs w:val="20"/>
          <w:color w:val="auto"/>
        </w:rPr>
      </w:pPr>
    </w:p>
    <w:p>
      <w:pPr>
        <w:ind w:left="360" w:hanging="360"/>
        <w:spacing w:after="0"/>
        <w:tabs>
          <w:tab w:leader="none" w:pos="360" w:val="left"/>
        </w:tabs>
        <w:numPr>
          <w:ilvl w:val="0"/>
          <w:numId w:val="20"/>
        </w:numPr>
        <w:rPr>
          <w:rFonts w:ascii="Arial" w:cs="Arial" w:eastAsia="Arial" w:hAnsi="Arial"/>
          <w:sz w:val="13"/>
          <w:szCs w:val="13"/>
          <w:color w:val="0E2A35"/>
        </w:rPr>
      </w:pPr>
      <w:r>
        <w:rPr>
          <w:rFonts w:ascii="Arial" w:cs="Arial" w:eastAsia="Arial" w:hAnsi="Arial"/>
          <w:sz w:val="13"/>
          <w:szCs w:val="13"/>
          <w:color w:val="0E2A35"/>
        </w:rPr>
        <w:t>Our directors may elect to receive retainer fees in cash or may defer their retainer fees into the Directors’ Deferred Plan.</w:t>
      </w:r>
    </w:p>
    <w:p>
      <w:pPr>
        <w:spacing w:after="0" w:line="39" w:lineRule="exact"/>
        <w:rPr>
          <w:rFonts w:ascii="Arial" w:cs="Arial" w:eastAsia="Arial" w:hAnsi="Arial"/>
          <w:sz w:val="13"/>
          <w:szCs w:val="13"/>
          <w:color w:val="0E2A35"/>
        </w:rPr>
      </w:pPr>
    </w:p>
    <w:p>
      <w:pPr>
        <w:ind w:left="360" w:right="100" w:hanging="360"/>
        <w:spacing w:after="0" w:line="236" w:lineRule="auto"/>
        <w:tabs>
          <w:tab w:leader="none" w:pos="360" w:val="left"/>
        </w:tabs>
        <w:numPr>
          <w:ilvl w:val="0"/>
          <w:numId w:val="20"/>
        </w:numPr>
        <w:rPr>
          <w:rFonts w:ascii="Arial" w:cs="Arial" w:eastAsia="Arial" w:hAnsi="Arial"/>
          <w:sz w:val="13"/>
          <w:szCs w:val="13"/>
          <w:color w:val="0E2A35"/>
        </w:rPr>
      </w:pPr>
      <w:r>
        <w:rPr>
          <w:rFonts w:ascii="Arial" w:cs="Arial" w:eastAsia="Arial" w:hAnsi="Arial"/>
          <w:sz w:val="13"/>
          <w:szCs w:val="13"/>
          <w:color w:val="0E2A35"/>
        </w:rPr>
        <w:t>During fiscal 2023, the Chair of the Board received an additional $125,000 per year, the Audit Committee Chair received an additional $15,000 annual retainer, and the Chairs of the other Board committees received an additional $10,000 annual retainer, each of which are reflected in these figures.</w:t>
      </w:r>
    </w:p>
    <w:p>
      <w:pPr>
        <w:spacing w:after="0" w:line="29" w:lineRule="exact"/>
        <w:rPr>
          <w:rFonts w:ascii="Arial" w:cs="Arial" w:eastAsia="Arial" w:hAnsi="Arial"/>
          <w:sz w:val="13"/>
          <w:szCs w:val="13"/>
          <w:color w:val="0E2A35"/>
        </w:rPr>
      </w:pPr>
    </w:p>
    <w:p>
      <w:pPr>
        <w:ind w:left="360" w:hanging="360"/>
        <w:spacing w:after="0"/>
        <w:tabs>
          <w:tab w:leader="none" w:pos="360" w:val="left"/>
        </w:tabs>
        <w:numPr>
          <w:ilvl w:val="0"/>
          <w:numId w:val="20"/>
        </w:numPr>
        <w:rPr>
          <w:rFonts w:ascii="Arial" w:cs="Arial" w:eastAsia="Arial" w:hAnsi="Arial"/>
          <w:sz w:val="13"/>
          <w:szCs w:val="13"/>
          <w:color w:val="0E2A35"/>
        </w:rPr>
      </w:pPr>
      <w:r>
        <w:rPr>
          <w:rFonts w:ascii="Arial" w:cs="Arial" w:eastAsia="Arial" w:hAnsi="Arial"/>
          <w:sz w:val="13"/>
          <w:szCs w:val="13"/>
          <w:color w:val="0E2A35"/>
        </w:rPr>
        <w:t>These awards are valued at $56.09 per share, the closing stock price on October 11, 2022, the date of the restricted stock unit grant.</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20"/>
        </w:numPr>
        <w:rPr>
          <w:rFonts w:ascii="Arial" w:cs="Arial" w:eastAsia="Arial" w:hAnsi="Arial"/>
          <w:sz w:val="13"/>
          <w:szCs w:val="13"/>
          <w:color w:val="0E2A35"/>
        </w:rPr>
      </w:pPr>
      <w:r>
        <w:rPr>
          <w:rFonts w:ascii="Arial" w:cs="Arial" w:eastAsia="Arial" w:hAnsi="Arial"/>
          <w:sz w:val="13"/>
          <w:szCs w:val="13"/>
          <w:color w:val="0E2A35"/>
        </w:rPr>
        <w:t>None of the directors received perquisites and other personal benefits in an aggregate amount of $10,000 or more.</w:t>
      </w:r>
    </w:p>
    <w:p>
      <w:pPr>
        <w:spacing w:after="0" w:line="39" w:lineRule="exact"/>
        <w:rPr>
          <w:rFonts w:ascii="Arial" w:cs="Arial" w:eastAsia="Arial" w:hAnsi="Arial"/>
          <w:sz w:val="13"/>
          <w:szCs w:val="13"/>
          <w:color w:val="0E2A35"/>
        </w:rPr>
      </w:pPr>
    </w:p>
    <w:p>
      <w:pPr>
        <w:ind w:left="360" w:right="60" w:hanging="360"/>
        <w:spacing w:after="0" w:line="230" w:lineRule="auto"/>
        <w:tabs>
          <w:tab w:leader="none" w:pos="360" w:val="left"/>
        </w:tabs>
        <w:numPr>
          <w:ilvl w:val="0"/>
          <w:numId w:val="20"/>
        </w:numPr>
        <w:rPr>
          <w:rFonts w:ascii="Arial" w:cs="Arial" w:eastAsia="Arial" w:hAnsi="Arial"/>
          <w:sz w:val="13"/>
          <w:szCs w:val="13"/>
          <w:color w:val="0E2A35"/>
        </w:rPr>
      </w:pPr>
      <w:r>
        <w:rPr>
          <w:rFonts w:ascii="Arial" w:cs="Arial" w:eastAsia="Arial" w:hAnsi="Arial"/>
          <w:sz w:val="13"/>
          <w:szCs w:val="13"/>
          <w:color w:val="0E2A35"/>
        </w:rPr>
        <w:t>Mr. Chiusano served on the Board until his retirement upon the expiration of his term at the Company’s 2022 annual meeting of shareholders. Mr. Chiusano joined the Board before the Company began prospectively granting equity awards. As a result, Mr. Chiusano received the annual equity award in October 2022, which provided for accelerated vesting of the award upon his retirement.</w:t>
      </w:r>
    </w:p>
    <w:p>
      <w:pPr>
        <w:spacing w:after="0" w:line="291"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200660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39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Non-Employee Director Equity Awards Outstanding as of August 26, 2023</w:t>
      </w:r>
    </w:p>
    <w:p>
      <w:pPr>
        <w:spacing w:after="0" w:line="201" w:lineRule="exact"/>
        <w:rPr>
          <w:sz w:val="20"/>
          <w:szCs w:val="20"/>
          <w:color w:val="auto"/>
        </w:rPr>
      </w:pPr>
    </w:p>
    <w:p>
      <w:pPr>
        <w:ind w:right="300"/>
        <w:spacing w:after="0" w:line="276" w:lineRule="auto"/>
        <w:rPr>
          <w:sz w:val="20"/>
          <w:szCs w:val="20"/>
          <w:color w:val="auto"/>
        </w:rPr>
      </w:pPr>
      <w:r>
        <w:rPr>
          <w:rFonts w:ascii="Arial" w:cs="Arial" w:eastAsia="Arial" w:hAnsi="Arial"/>
          <w:sz w:val="16"/>
          <w:szCs w:val="16"/>
          <w:color w:val="0E2A35"/>
        </w:rPr>
        <w:t>As of August 26, 2023, our non-employee directors held the restricted stock awards and stock units set forth below. The stock units in the right column were granted under the Directors’ Deferred Plan described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00" w:type="dxa"/>
            <w:vAlign w:val="bottom"/>
            <w:shd w:val="clear" w:color="auto" w:fill="0E2A35"/>
          </w:tcPr>
          <w:p>
            <w:pPr>
              <w:spacing w:after="0"/>
              <w:rPr>
                <w:sz w:val="19"/>
                <w:szCs w:val="19"/>
                <w:color w:val="auto"/>
              </w:rPr>
            </w:pPr>
          </w:p>
        </w:tc>
        <w:tc>
          <w:tcPr>
            <w:tcW w:w="4100" w:type="dxa"/>
            <w:vAlign w:val="bottom"/>
            <w:shd w:val="clear" w:color="auto" w:fill="0E2A35"/>
          </w:tcPr>
          <w:p>
            <w:pPr>
              <w:jc w:val="center"/>
              <w:ind w:left="2290"/>
              <w:spacing w:after="0"/>
              <w:rPr>
                <w:sz w:val="20"/>
                <w:szCs w:val="20"/>
                <w:color w:val="auto"/>
              </w:rPr>
            </w:pPr>
            <w:r>
              <w:rPr>
                <w:rFonts w:ascii="Arial" w:cs="Arial" w:eastAsia="Arial" w:hAnsi="Arial"/>
                <w:sz w:val="13"/>
                <w:szCs w:val="13"/>
                <w:b w:val="1"/>
                <w:bCs w:val="1"/>
                <w:color w:val="FFFFFF"/>
                <w:w w:val="97"/>
              </w:rPr>
              <w:t>Restricted</w:t>
            </w:r>
          </w:p>
        </w:tc>
        <w:tc>
          <w:tcPr>
            <w:tcW w:w="980" w:type="dxa"/>
            <w:vAlign w:val="bottom"/>
            <w:shd w:val="clear" w:color="auto" w:fill="0E2A35"/>
          </w:tcPr>
          <w:p>
            <w:pPr>
              <w:jc w:val="center"/>
              <w:ind w:left="310"/>
              <w:spacing w:after="0"/>
              <w:rPr>
                <w:sz w:val="20"/>
                <w:szCs w:val="20"/>
                <w:color w:val="auto"/>
              </w:rPr>
            </w:pPr>
            <w:r>
              <w:rPr>
                <w:rFonts w:ascii="Arial" w:cs="Arial" w:eastAsia="Arial" w:hAnsi="Arial"/>
                <w:sz w:val="13"/>
                <w:szCs w:val="13"/>
                <w:b w:val="1"/>
                <w:bCs w:val="1"/>
                <w:color w:val="FFFFFF"/>
                <w:w w:val="97"/>
              </w:rPr>
              <w:t>Deferred</w:t>
            </w:r>
          </w:p>
        </w:tc>
        <w:tc>
          <w:tcPr>
            <w:tcW w:w="0" w:type="dxa"/>
            <w:vAlign w:val="bottom"/>
          </w:tcPr>
          <w:p>
            <w:pPr>
              <w:spacing w:after="0"/>
              <w:rPr>
                <w:sz w:val="1"/>
                <w:szCs w:val="1"/>
                <w:color w:val="auto"/>
              </w:rPr>
            </w:pPr>
          </w:p>
        </w:tc>
      </w:tr>
      <w:tr>
        <w:trPr>
          <w:trHeight w:val="135"/>
        </w:trPr>
        <w:tc>
          <w:tcPr>
            <w:tcW w:w="420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Director</w:t>
            </w:r>
          </w:p>
        </w:tc>
        <w:tc>
          <w:tcPr>
            <w:tcW w:w="4100" w:type="dxa"/>
            <w:vAlign w:val="bottom"/>
            <w:shd w:val="clear" w:color="auto" w:fill="0E2A35"/>
          </w:tcPr>
          <w:p>
            <w:pPr>
              <w:jc w:val="center"/>
              <w:ind w:left="2290"/>
              <w:spacing w:after="0" w:line="135" w:lineRule="exact"/>
              <w:rPr>
                <w:sz w:val="20"/>
                <w:szCs w:val="20"/>
                <w:color w:val="auto"/>
              </w:rPr>
            </w:pPr>
            <w:r>
              <w:rPr>
                <w:rFonts w:ascii="Arial" w:cs="Arial" w:eastAsia="Arial" w:hAnsi="Arial"/>
                <w:sz w:val="13"/>
                <w:szCs w:val="13"/>
                <w:b w:val="1"/>
                <w:bCs w:val="1"/>
                <w:color w:val="FFFFFF"/>
                <w:w w:val="96"/>
              </w:rPr>
              <w:t>Stock Awards /</w:t>
            </w:r>
          </w:p>
        </w:tc>
        <w:tc>
          <w:tcPr>
            <w:tcW w:w="980" w:type="dxa"/>
            <w:vAlign w:val="bottom"/>
            <w:shd w:val="clear" w:color="auto" w:fill="0E2A35"/>
          </w:tcPr>
          <w:p>
            <w:pPr>
              <w:jc w:val="center"/>
              <w:ind w:left="290"/>
              <w:spacing w:after="0" w:line="135" w:lineRule="exact"/>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76"/>
        </w:trPr>
        <w:tc>
          <w:tcPr>
            <w:tcW w:w="4200" w:type="dxa"/>
            <w:vAlign w:val="bottom"/>
            <w:vMerge w:val="continue"/>
            <w:shd w:val="clear" w:color="auto" w:fill="0E2A35"/>
          </w:tcPr>
          <w:p>
            <w:pPr>
              <w:spacing w:after="0"/>
              <w:rPr>
                <w:sz w:val="15"/>
                <w:szCs w:val="15"/>
                <w:color w:val="auto"/>
              </w:rPr>
            </w:pPr>
          </w:p>
        </w:tc>
        <w:tc>
          <w:tcPr>
            <w:tcW w:w="4100" w:type="dxa"/>
            <w:vAlign w:val="bottom"/>
            <w:shd w:val="clear" w:color="auto" w:fill="0E2A35"/>
          </w:tcPr>
          <w:p>
            <w:pPr>
              <w:jc w:val="center"/>
              <w:ind w:left="2310"/>
              <w:spacing w:after="0"/>
              <w:rPr>
                <w:sz w:val="20"/>
                <w:szCs w:val="20"/>
                <w:color w:val="auto"/>
              </w:rPr>
            </w:pPr>
            <w:r>
              <w:rPr>
                <w:rFonts w:ascii="Arial" w:cs="Arial" w:eastAsia="Arial" w:hAnsi="Arial"/>
                <w:sz w:val="13"/>
                <w:szCs w:val="13"/>
                <w:b w:val="1"/>
                <w:bCs w:val="1"/>
                <w:color w:val="FFFFFF"/>
                <w:w w:val="98"/>
              </w:rPr>
              <w:t>Units</w:t>
            </w:r>
          </w:p>
        </w:tc>
        <w:tc>
          <w:tcPr>
            <w:tcW w:w="980" w:type="dxa"/>
            <w:vAlign w:val="bottom"/>
            <w:shd w:val="clear" w:color="auto" w:fill="0E2A35"/>
          </w:tcPr>
          <w:p>
            <w:pPr>
              <w:jc w:val="center"/>
              <w:ind w:left="330"/>
              <w:spacing w:after="0"/>
              <w:rPr>
                <w:sz w:val="20"/>
                <w:szCs w:val="20"/>
                <w:color w:val="auto"/>
              </w:rPr>
            </w:pPr>
            <w:r>
              <w:rPr>
                <w:rFonts w:ascii="Arial" w:cs="Arial" w:eastAsia="Arial" w:hAnsi="Arial"/>
                <w:sz w:val="13"/>
                <w:szCs w:val="13"/>
                <w:b w:val="1"/>
                <w:bCs w:val="1"/>
                <w:color w:val="FFFFFF"/>
                <w:w w:val="92"/>
              </w:rPr>
              <w:t>Units</w:t>
            </w:r>
          </w:p>
        </w:tc>
        <w:tc>
          <w:tcPr>
            <w:tcW w:w="0" w:type="dxa"/>
            <w:vAlign w:val="bottom"/>
          </w:tcPr>
          <w:p>
            <w:pPr>
              <w:spacing w:after="0"/>
              <w:rPr>
                <w:sz w:val="1"/>
                <w:szCs w:val="1"/>
                <w:color w:val="auto"/>
              </w:rPr>
            </w:pPr>
          </w:p>
        </w:tc>
      </w:tr>
      <w:tr>
        <w:trPr>
          <w:trHeight w:val="89"/>
        </w:trPr>
        <w:tc>
          <w:tcPr>
            <w:tcW w:w="4200" w:type="dxa"/>
            <w:vAlign w:val="bottom"/>
            <w:shd w:val="clear" w:color="auto" w:fill="0E2A35"/>
          </w:tcPr>
          <w:p>
            <w:pPr>
              <w:spacing w:after="0"/>
              <w:rPr>
                <w:sz w:val="7"/>
                <w:szCs w:val="7"/>
                <w:color w:val="auto"/>
              </w:rPr>
            </w:pPr>
          </w:p>
        </w:tc>
        <w:tc>
          <w:tcPr>
            <w:tcW w:w="4100" w:type="dxa"/>
            <w:vAlign w:val="bottom"/>
            <w:shd w:val="clear" w:color="auto" w:fill="0E2A35"/>
          </w:tcPr>
          <w:p>
            <w:pPr>
              <w:spacing w:after="0"/>
              <w:rPr>
                <w:sz w:val="7"/>
                <w:szCs w:val="7"/>
                <w:color w:val="auto"/>
              </w:rPr>
            </w:pPr>
          </w:p>
        </w:tc>
        <w:tc>
          <w:tcPr>
            <w:tcW w:w="98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4200" w:type="dxa"/>
            <w:vAlign w:val="bottom"/>
          </w:tcPr>
          <w:p>
            <w:pPr>
              <w:ind w:left="60"/>
              <w:spacing w:after="0"/>
              <w:rPr>
                <w:sz w:val="20"/>
                <w:szCs w:val="20"/>
                <w:color w:val="auto"/>
              </w:rPr>
            </w:pPr>
            <w:r>
              <w:rPr>
                <w:rFonts w:ascii="Arial" w:cs="Arial" w:eastAsia="Arial" w:hAnsi="Arial"/>
                <w:sz w:val="14"/>
                <w:szCs w:val="14"/>
                <w:color w:val="0E2A35"/>
              </w:rPr>
              <w:t>Sara E. Armbruster</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7,482​</w:t>
            </w:r>
          </w:p>
        </w:tc>
        <w:tc>
          <w:tcPr>
            <w:tcW w:w="980" w:type="dxa"/>
            <w:vAlign w:val="bottom"/>
          </w:tcPr>
          <w:p>
            <w:pPr>
              <w:jc w:val="right"/>
              <w:ind w:right="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4200" w:type="dxa"/>
            <w:vAlign w:val="bottom"/>
            <w:tcBorders>
              <w:bottom w:val="single" w:sz="8" w:color="0E2A35"/>
            </w:tcBorders>
          </w:tcPr>
          <w:p>
            <w:pPr>
              <w:spacing w:after="0"/>
              <w:rPr>
                <w:sz w:val="8"/>
                <w:szCs w:val="8"/>
                <w:color w:val="auto"/>
              </w:rPr>
            </w:pPr>
          </w:p>
        </w:tc>
        <w:tc>
          <w:tcPr>
            <w:tcW w:w="41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4200" w:type="dxa"/>
            <w:vAlign w:val="bottom"/>
          </w:tcPr>
          <w:p>
            <w:pPr>
              <w:ind w:left="60"/>
              <w:spacing w:after="0"/>
              <w:rPr>
                <w:sz w:val="20"/>
                <w:szCs w:val="20"/>
                <w:color w:val="auto"/>
              </w:rPr>
            </w:pPr>
            <w:r>
              <w:rPr>
                <w:rFonts w:ascii="Arial" w:cs="Arial" w:eastAsia="Arial" w:hAnsi="Arial"/>
                <w:sz w:val="14"/>
                <w:szCs w:val="14"/>
                <w:color w:val="0E2A35"/>
              </w:rPr>
              <w:t>Christopher J. Braun</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16,586</w:t>
            </w:r>
          </w:p>
        </w:tc>
        <w:tc>
          <w:tcPr>
            <w:tcW w:w="980" w:type="dxa"/>
            <w:vAlign w:val="bottom"/>
          </w:tcPr>
          <w:p>
            <w:pPr>
              <w:jc w:val="right"/>
              <w:ind w:right="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4200" w:type="dxa"/>
            <w:vAlign w:val="bottom"/>
            <w:tcBorders>
              <w:bottom w:val="single" w:sz="8" w:color="0E2A35"/>
            </w:tcBorders>
          </w:tcPr>
          <w:p>
            <w:pPr>
              <w:spacing w:after="0"/>
              <w:rPr>
                <w:sz w:val="8"/>
                <w:szCs w:val="8"/>
                <w:color w:val="auto"/>
              </w:rPr>
            </w:pPr>
          </w:p>
        </w:tc>
        <w:tc>
          <w:tcPr>
            <w:tcW w:w="41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4200" w:type="dxa"/>
            <w:vAlign w:val="bottom"/>
          </w:tcPr>
          <w:p>
            <w:pPr>
              <w:ind w:left="60"/>
              <w:spacing w:after="0"/>
              <w:rPr>
                <w:sz w:val="20"/>
                <w:szCs w:val="20"/>
                <w:color w:val="auto"/>
              </w:rPr>
            </w:pPr>
            <w:r>
              <w:rPr>
                <w:rFonts w:ascii="Arial" w:cs="Arial" w:eastAsia="Arial" w:hAnsi="Arial"/>
                <w:sz w:val="14"/>
                <w:szCs w:val="14"/>
                <w:color w:val="0E2A35"/>
              </w:rPr>
              <w:t>Kevin E. Bryant</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4,451</w:t>
            </w:r>
          </w:p>
        </w:tc>
        <w:tc>
          <w:tcPr>
            <w:tcW w:w="980" w:type="dxa"/>
            <w:vAlign w:val="bottom"/>
          </w:tcPr>
          <w:p>
            <w:pPr>
              <w:jc w:val="right"/>
              <w:ind w:right="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4200" w:type="dxa"/>
            <w:vAlign w:val="bottom"/>
            <w:tcBorders>
              <w:bottom w:val="single" w:sz="8" w:color="0E2A35"/>
            </w:tcBorders>
          </w:tcPr>
          <w:p>
            <w:pPr>
              <w:spacing w:after="0"/>
              <w:rPr>
                <w:sz w:val="8"/>
                <w:szCs w:val="8"/>
                <w:color w:val="auto"/>
              </w:rPr>
            </w:pPr>
          </w:p>
        </w:tc>
        <w:tc>
          <w:tcPr>
            <w:tcW w:w="41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4200" w:type="dxa"/>
            <w:vAlign w:val="bottom"/>
          </w:tcPr>
          <w:p>
            <w:pPr>
              <w:ind w:left="60"/>
              <w:spacing w:after="0"/>
              <w:rPr>
                <w:sz w:val="20"/>
                <w:szCs w:val="20"/>
                <w:color w:val="auto"/>
              </w:rPr>
            </w:pPr>
            <w:r>
              <w:rPr>
                <w:rFonts w:ascii="Arial" w:cs="Arial" w:eastAsia="Arial" w:hAnsi="Arial"/>
                <w:sz w:val="14"/>
                <w:szCs w:val="14"/>
                <w:color w:val="0E2A35"/>
              </w:rPr>
              <w:t>William C. Fisher</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20,655​</w:t>
            </w:r>
          </w:p>
        </w:tc>
        <w:tc>
          <w:tcPr>
            <w:tcW w:w="980" w:type="dxa"/>
            <w:vAlign w:val="bottom"/>
          </w:tcPr>
          <w:p>
            <w:pPr>
              <w:jc w:val="right"/>
              <w:ind w:right="50"/>
              <w:spacing w:after="0"/>
              <w:rPr>
                <w:sz w:val="20"/>
                <w:szCs w:val="20"/>
                <w:color w:val="auto"/>
              </w:rPr>
            </w:pPr>
            <w:r>
              <w:rPr>
                <w:rFonts w:ascii="Arial" w:cs="Arial" w:eastAsia="Arial" w:hAnsi="Arial"/>
                <w:sz w:val="14"/>
                <w:szCs w:val="14"/>
                <w:color w:val="0E2A35"/>
              </w:rPr>
              <w:t>6,835</w:t>
            </w:r>
          </w:p>
        </w:tc>
        <w:tc>
          <w:tcPr>
            <w:tcW w:w="0" w:type="dxa"/>
            <w:vAlign w:val="bottom"/>
          </w:tcPr>
          <w:p>
            <w:pPr>
              <w:spacing w:after="0"/>
              <w:rPr>
                <w:sz w:val="1"/>
                <w:szCs w:val="1"/>
                <w:color w:val="auto"/>
              </w:rPr>
            </w:pPr>
          </w:p>
        </w:tc>
      </w:tr>
      <w:tr>
        <w:trPr>
          <w:trHeight w:val="93"/>
        </w:trPr>
        <w:tc>
          <w:tcPr>
            <w:tcW w:w="4200" w:type="dxa"/>
            <w:vAlign w:val="bottom"/>
            <w:tcBorders>
              <w:bottom w:val="single" w:sz="8" w:color="0E2A35"/>
            </w:tcBorders>
          </w:tcPr>
          <w:p>
            <w:pPr>
              <w:spacing w:after="0"/>
              <w:rPr>
                <w:sz w:val="8"/>
                <w:szCs w:val="8"/>
                <w:color w:val="auto"/>
              </w:rPr>
            </w:pPr>
          </w:p>
        </w:tc>
        <w:tc>
          <w:tcPr>
            <w:tcW w:w="41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4200" w:type="dxa"/>
            <w:vAlign w:val="bottom"/>
          </w:tcPr>
          <w:p>
            <w:pPr>
              <w:ind w:left="60"/>
              <w:spacing w:after="0"/>
              <w:rPr>
                <w:sz w:val="20"/>
                <w:szCs w:val="20"/>
                <w:color w:val="auto"/>
              </w:rPr>
            </w:pPr>
            <w:r>
              <w:rPr>
                <w:rFonts w:ascii="Arial" w:cs="Arial" w:eastAsia="Arial" w:hAnsi="Arial"/>
                <w:sz w:val="14"/>
                <w:szCs w:val="14"/>
                <w:color w:val="0E2A35"/>
              </w:rPr>
              <w:t>David W. Miles</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16,586​</w:t>
            </w:r>
          </w:p>
        </w:tc>
        <w:tc>
          <w:tcPr>
            <w:tcW w:w="980" w:type="dxa"/>
            <w:vAlign w:val="bottom"/>
          </w:tcPr>
          <w:p>
            <w:pPr>
              <w:jc w:val="right"/>
              <w:ind w:right="50"/>
              <w:spacing w:after="0"/>
              <w:rPr>
                <w:sz w:val="20"/>
                <w:szCs w:val="20"/>
                <w:color w:val="auto"/>
              </w:rPr>
            </w:pPr>
            <w:r>
              <w:rPr>
                <w:rFonts w:ascii="Arial" w:cs="Arial" w:eastAsia="Arial" w:hAnsi="Arial"/>
                <w:sz w:val="14"/>
                <w:szCs w:val="14"/>
                <w:color w:val="0E2A35"/>
              </w:rPr>
              <w:t>7,663​</w:t>
            </w:r>
          </w:p>
        </w:tc>
        <w:tc>
          <w:tcPr>
            <w:tcW w:w="0" w:type="dxa"/>
            <w:vAlign w:val="bottom"/>
          </w:tcPr>
          <w:p>
            <w:pPr>
              <w:spacing w:after="0"/>
              <w:rPr>
                <w:sz w:val="1"/>
                <w:szCs w:val="1"/>
                <w:color w:val="auto"/>
              </w:rPr>
            </w:pPr>
          </w:p>
        </w:tc>
      </w:tr>
      <w:tr>
        <w:trPr>
          <w:trHeight w:val="93"/>
        </w:trPr>
        <w:tc>
          <w:tcPr>
            <w:tcW w:w="4200" w:type="dxa"/>
            <w:vAlign w:val="bottom"/>
            <w:tcBorders>
              <w:bottom w:val="single" w:sz="8" w:color="0E2A35"/>
            </w:tcBorders>
          </w:tcPr>
          <w:p>
            <w:pPr>
              <w:spacing w:after="0"/>
              <w:rPr>
                <w:sz w:val="8"/>
                <w:szCs w:val="8"/>
                <w:color w:val="auto"/>
              </w:rPr>
            </w:pPr>
          </w:p>
        </w:tc>
        <w:tc>
          <w:tcPr>
            <w:tcW w:w="41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4200" w:type="dxa"/>
            <w:vAlign w:val="bottom"/>
          </w:tcPr>
          <w:p>
            <w:pPr>
              <w:ind w:left="60"/>
              <w:spacing w:after="0"/>
              <w:rPr>
                <w:sz w:val="20"/>
                <w:szCs w:val="20"/>
                <w:color w:val="auto"/>
              </w:rPr>
            </w:pPr>
            <w:r>
              <w:rPr>
                <w:rFonts w:ascii="Arial" w:cs="Arial" w:eastAsia="Arial" w:hAnsi="Arial"/>
                <w:sz w:val="14"/>
                <w:szCs w:val="14"/>
                <w:color w:val="0E2A35"/>
              </w:rPr>
              <w:t>Richard D. Moss</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13,986​</w:t>
            </w:r>
          </w:p>
        </w:tc>
        <w:tc>
          <w:tcPr>
            <w:tcW w:w="980" w:type="dxa"/>
            <w:vAlign w:val="bottom"/>
          </w:tcPr>
          <w:p>
            <w:pPr>
              <w:jc w:val="right"/>
              <w:ind w:right="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4200" w:type="dxa"/>
            <w:vAlign w:val="bottom"/>
            <w:tcBorders>
              <w:bottom w:val="single" w:sz="8" w:color="0E2A35"/>
            </w:tcBorders>
          </w:tcPr>
          <w:p>
            <w:pPr>
              <w:spacing w:after="0"/>
              <w:rPr>
                <w:sz w:val="8"/>
                <w:szCs w:val="8"/>
                <w:color w:val="auto"/>
              </w:rPr>
            </w:pPr>
          </w:p>
        </w:tc>
        <w:tc>
          <w:tcPr>
            <w:tcW w:w="41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4200" w:type="dxa"/>
            <w:vAlign w:val="bottom"/>
          </w:tcPr>
          <w:p>
            <w:pPr>
              <w:ind w:left="60"/>
              <w:spacing w:after="0"/>
              <w:rPr>
                <w:sz w:val="20"/>
                <w:szCs w:val="20"/>
                <w:color w:val="auto"/>
              </w:rPr>
            </w:pPr>
            <w:r>
              <w:rPr>
                <w:rFonts w:ascii="Arial" w:cs="Arial" w:eastAsia="Arial" w:hAnsi="Arial"/>
                <w:sz w:val="14"/>
                <w:szCs w:val="14"/>
                <w:color w:val="0E2A35"/>
              </w:rPr>
              <w:t>John M. Murabito</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13,986​</w:t>
            </w:r>
          </w:p>
        </w:tc>
        <w:tc>
          <w:tcPr>
            <w:tcW w:w="980" w:type="dxa"/>
            <w:vAlign w:val="bottom"/>
          </w:tcPr>
          <w:p>
            <w:pPr>
              <w:jc w:val="right"/>
              <w:ind w:right="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4200" w:type="dxa"/>
            <w:vAlign w:val="bottom"/>
            <w:tcBorders>
              <w:bottom w:val="single" w:sz="8" w:color="0E2A35"/>
            </w:tcBorders>
          </w:tcPr>
          <w:p>
            <w:pPr>
              <w:spacing w:after="0"/>
              <w:rPr>
                <w:sz w:val="8"/>
                <w:szCs w:val="8"/>
                <w:color w:val="auto"/>
              </w:rPr>
            </w:pPr>
          </w:p>
        </w:tc>
        <w:tc>
          <w:tcPr>
            <w:tcW w:w="41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4200" w:type="dxa"/>
            <w:vAlign w:val="bottom"/>
          </w:tcPr>
          <w:p>
            <w:pPr>
              <w:ind w:left="60"/>
              <w:spacing w:after="0"/>
              <w:rPr>
                <w:sz w:val="20"/>
                <w:szCs w:val="20"/>
                <w:color w:val="auto"/>
              </w:rPr>
            </w:pPr>
            <w:r>
              <w:rPr>
                <w:rFonts w:ascii="Arial" w:cs="Arial" w:eastAsia="Arial" w:hAnsi="Arial"/>
                <w:sz w:val="14"/>
                <w:szCs w:val="14"/>
                <w:color w:val="0E2A35"/>
              </w:rPr>
              <w:t>Jacqueline D. Woods</w:t>
            </w:r>
          </w:p>
        </w:tc>
        <w:tc>
          <w:tcPr>
            <w:tcW w:w="4100" w:type="dxa"/>
            <w:vAlign w:val="bottom"/>
          </w:tcPr>
          <w:p>
            <w:pPr>
              <w:jc w:val="right"/>
              <w:ind w:right="570"/>
              <w:spacing w:after="0"/>
              <w:rPr>
                <w:sz w:val="20"/>
                <w:szCs w:val="20"/>
                <w:color w:val="auto"/>
              </w:rPr>
            </w:pPr>
            <w:r>
              <w:rPr>
                <w:rFonts w:ascii="Arial" w:cs="Arial" w:eastAsia="Arial" w:hAnsi="Arial"/>
                <w:sz w:val="14"/>
                <w:szCs w:val="14"/>
                <w:color w:val="0E2A35"/>
              </w:rPr>
              <w:t>4,451</w:t>
            </w:r>
          </w:p>
        </w:tc>
        <w:tc>
          <w:tcPr>
            <w:tcW w:w="980" w:type="dxa"/>
            <w:vAlign w:val="bottom"/>
          </w:tcPr>
          <w:p>
            <w:pPr>
              <w:jc w:val="right"/>
              <w:ind w:right="50"/>
              <w:spacing w:after="0"/>
              <w:rPr>
                <w:sz w:val="20"/>
                <w:szCs w:val="20"/>
                <w:color w:val="auto"/>
              </w:rPr>
            </w:pPr>
            <w:r>
              <w:rPr>
                <w:rFonts w:ascii="Arial" w:cs="Arial" w:eastAsia="Arial" w:hAnsi="Arial"/>
                <w:sz w:val="14"/>
                <w:szCs w:val="14"/>
                <w:color w:val="0E2A35"/>
              </w:rPr>
              <w:t>2,984</w:t>
            </w:r>
          </w:p>
        </w:tc>
        <w:tc>
          <w:tcPr>
            <w:tcW w:w="0" w:type="dxa"/>
            <w:vAlign w:val="bottom"/>
          </w:tcPr>
          <w:p>
            <w:pPr>
              <w:spacing w:after="0"/>
              <w:rPr>
                <w:sz w:val="1"/>
                <w:szCs w:val="1"/>
                <w:color w:val="auto"/>
              </w:rPr>
            </w:pPr>
          </w:p>
        </w:tc>
      </w:tr>
      <w:tr>
        <w:trPr>
          <w:trHeight w:val="93"/>
        </w:trPr>
        <w:tc>
          <w:tcPr>
            <w:tcW w:w="4200" w:type="dxa"/>
            <w:vAlign w:val="bottom"/>
            <w:tcBorders>
              <w:bottom w:val="single" w:sz="8" w:color="0E2A35"/>
            </w:tcBorders>
          </w:tcPr>
          <w:p>
            <w:pPr>
              <w:spacing w:after="0"/>
              <w:rPr>
                <w:sz w:val="8"/>
                <w:szCs w:val="8"/>
                <w:color w:val="auto"/>
              </w:rPr>
            </w:pPr>
          </w:p>
        </w:tc>
        <w:tc>
          <w:tcPr>
            <w:tcW w:w="41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Director Ownership Guidelines</w:t>
      </w:r>
    </w:p>
    <w:p>
      <w:pPr>
        <w:spacing w:after="0" w:line="18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0E2A35"/>
        </w:rPr>
        <w:t>Our corporate governance policy requires us to maintain guidelines encouraging non-employee director stock ownership. Our current guidelines require non-employee directors to hold common stock, stock units or other equity equivalents having a market value of at least 500% of their annual cash retainer of $90,000 (as well as any additional cash retainer amounts earned relating to his or her chair positions),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Directors’ Deferred Compensation Plan</w:t>
      </w:r>
    </w:p>
    <w:p>
      <w:pPr>
        <w:spacing w:after="0" w:line="18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0E2A35"/>
        </w:rPr>
        <w:t>We maintain the Winnebago Industries, Inc. Directors’ Deferred Compensation Plan (the Directors’ Deferred Plan) for all non-employee directors. A non-employee director can defer 50% or 100% of the retainer and fee payments that would otherwise be paid to him or her in cash and can defer taxes on such compensation.</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0E2A35"/>
        </w:rPr>
        <w:t>A participant may elect to apply his or her annual cash retainer amounts to either, but not both, money credits or Winnebago stock units.</w:t>
      </w:r>
    </w:p>
    <w:p>
      <w:pPr>
        <w:spacing w:after="0" w:line="156"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0E2A35"/>
        </w:rPr>
        <w:t>Money credits are units credited in the form of dollars to a participant’s account established by the Company. The money credits accrue interest from the credit date. Presently, the interest rate to be applied to money credits is the 30-year Treasury bond yield as of the first business day of the plan year.</w:t>
      </w:r>
    </w:p>
    <w:p>
      <w:pPr>
        <w:spacing w:after="0" w:line="14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0E2A35"/>
        </w:rPr>
        <w:t>Winnebago Industries stock units are credited in the form of the Company’s common stock. The shares of our common stock issued in connection with our Directors’ Deferred Plan consist of our treasury shares and like all of our common stock, generally, will accrue dividends, if any, paid by us on our common stock. Winnebago Industries stock units will be recorded in a participant’s account based on the closing price of a share of our common stock on the NYSE on the date upon which the account is credited.</w:t>
      </w:r>
    </w:p>
    <w:p>
      <w:pPr>
        <w:spacing w:after="0" w:line="14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E2A35"/>
        </w:rPr>
        <w:t>A participant will generally receive payment of his or her Directors’ Deferred Plan account (either in a lump sum payment or annual installments, as elected by the participant) at the earlier of a “change in control” of the Company, as defined in the Directors’ Deferred Plan, termination of service as a director, or, if elected by the participant, at the time elected by the participant; provided that a participant will receive a lump-sum distribution of his or her account within 30 days following his or her termination of service as a director after such change in control.</w:t>
      </w:r>
    </w:p>
    <w:p>
      <w:pPr>
        <w:spacing w:after="0" w:line="164"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0E2A35"/>
        </w:rPr>
        <w:t>The Winnebago Industries stock units credited to a participant’s account are included in the “Security Ownership of Certain Beneficial Owners and Management” table in this proxy statement. The directors, however, do not have any rights to vote or dispose of any shares of common stock underlying the Winnebago Industries stock units until their service as a director ends or when he or she reaches the age 69-1/2 while serving as a director.</w:t>
      </w:r>
    </w:p>
    <w:p>
      <w:pPr>
        <w:spacing w:after="0" w:line="283"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200660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39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Director Annual Equity Grants</w:t>
      </w: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The fiscal 2023 equity awards granted in October 2022 were made pursuant to the Winnebago Industries, Inc. 2019 Omnibus Incentive Plan, which limits the aggregate grant date fair value of all equity awards to a non-employee director during a calendar year to not more than $400,000, excluding awards granted at a director’s request in lieu of cash retainers or other fees payable in cash.</w:t>
      </w:r>
    </w:p>
    <w:p>
      <w:pPr>
        <w:spacing w:after="0" w:line="14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0E2A35"/>
        </w:rPr>
        <w:t>Beginning with the fiscal 2019 annual equity awards, we began to grant restricted stock units rather than restricted stock to our non-employee directors. Each director equity award, awarded in the form of restricted stock units, will vest approximately one year from the date of the applicable grant, provided that participants are restricted from selling, pledging or transferring the common stock underlying the vested restricted stock units until the date the participant separates from service on the Board. If a participant terminates his or her service as a director prior to the vesting of the underlying restricted stock unit award, the award will be forfeited by the director, except as follows: (i) in the event of the director’s death or disability prior to vesting, all unvested restricted stock units will vest as of the termination date and (ii) in the event of a change in control while the director is serving on the Board, all unvested restricted stock units will vest on the date of termination. Directors may also elect to defer settlement of their vested restricted stock units until the director’s service to the Company terminates or, if earlier, upon a change in control.</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-10160</wp:posOffset>
            </wp:positionV>
            <wp:extent cx="6995160" cy="90436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121285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Compensation Discussion and Analysis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0E2A35"/>
        </w:rPr>
        <w:t>The following Compensation Discussion and Analysis describes the material elements of our executive compensation program.</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0E2A35"/>
        </w:rPr>
        <w:t>Throughout this discussion, we refer to named executive officers (NEOs). The following individuals are our NEOs for fiscal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92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360" w:type="dxa"/>
            <w:vAlign w:val="bottom"/>
            <w:gridSpan w:val="2"/>
            <w:shd w:val="clear" w:color="auto" w:fill="0E2A35"/>
          </w:tcPr>
          <w:p>
            <w:pPr>
              <w:ind w:left="680"/>
              <w:spacing w:after="0"/>
              <w:rPr>
                <w:sz w:val="20"/>
                <w:szCs w:val="20"/>
                <w:color w:val="auto"/>
              </w:rPr>
            </w:pPr>
            <w:r>
              <w:rPr>
                <w:rFonts w:ascii="Arial" w:cs="Arial" w:eastAsia="Arial" w:hAnsi="Arial"/>
                <w:sz w:val="13"/>
                <w:szCs w:val="13"/>
                <w:b w:val="1"/>
                <w:bCs w:val="1"/>
                <w:color w:val="FFFFFF"/>
              </w:rPr>
              <w:t>Position</w:t>
            </w:r>
          </w:p>
        </w:tc>
        <w:tc>
          <w:tcPr>
            <w:tcW w:w="6000" w:type="dxa"/>
            <w:vAlign w:val="bottom"/>
            <w:shd w:val="clear" w:color="auto" w:fill="0E2A35"/>
          </w:tcPr>
          <w:p>
            <w:pPr>
              <w:spacing w:after="0"/>
              <w:rPr>
                <w:sz w:val="22"/>
                <w:szCs w:val="22"/>
                <w:color w:val="auto"/>
              </w:rPr>
            </w:pPr>
          </w:p>
        </w:tc>
      </w:tr>
      <w:tr>
        <w:trPr>
          <w:trHeight w:val="116"/>
        </w:trPr>
        <w:tc>
          <w:tcPr>
            <w:tcW w:w="1920" w:type="dxa"/>
            <w:vAlign w:val="bottom"/>
            <w:shd w:val="clear" w:color="auto" w:fill="0E2A35"/>
          </w:tcPr>
          <w:p>
            <w:pPr>
              <w:spacing w:after="0"/>
              <w:rPr>
                <w:sz w:val="10"/>
                <w:szCs w:val="10"/>
                <w:color w:val="auto"/>
              </w:rPr>
            </w:pPr>
          </w:p>
        </w:tc>
        <w:tc>
          <w:tcPr>
            <w:tcW w:w="7360" w:type="dxa"/>
            <w:vAlign w:val="bottom"/>
            <w:gridSpan w:val="3"/>
            <w:shd w:val="clear" w:color="auto" w:fill="0E2A35"/>
          </w:tcPr>
          <w:p>
            <w:pPr>
              <w:spacing w:after="0"/>
              <w:rPr>
                <w:sz w:val="10"/>
                <w:szCs w:val="10"/>
                <w:color w:val="auto"/>
              </w:rPr>
            </w:pPr>
          </w:p>
        </w:tc>
      </w:tr>
      <w:tr>
        <w:trPr>
          <w:trHeight w:val="322"/>
        </w:trPr>
        <w:tc>
          <w:tcPr>
            <w:tcW w:w="1920" w:type="dxa"/>
            <w:vAlign w:val="bottom"/>
          </w:tcPr>
          <w:p>
            <w:pPr>
              <w:ind w:left="60"/>
              <w:spacing w:after="0"/>
              <w:rPr>
                <w:sz w:val="20"/>
                <w:szCs w:val="20"/>
                <w:color w:val="auto"/>
              </w:rPr>
            </w:pPr>
            <w:r>
              <w:rPr>
                <w:rFonts w:ascii="Arial" w:cs="Arial" w:eastAsia="Arial" w:hAnsi="Arial"/>
                <w:sz w:val="14"/>
                <w:szCs w:val="14"/>
                <w:b w:val="1"/>
                <w:bCs w:val="1"/>
                <w:color w:val="0E2A35"/>
              </w:rPr>
              <w:t>Michael J. Happe</w:t>
            </w:r>
          </w:p>
        </w:tc>
        <w:tc>
          <w:tcPr>
            <w:tcW w:w="7360" w:type="dxa"/>
            <w:vAlign w:val="bottom"/>
            <w:gridSpan w:val="3"/>
          </w:tcPr>
          <w:p>
            <w:pPr>
              <w:ind w:left="680"/>
              <w:spacing w:after="0"/>
              <w:rPr>
                <w:sz w:val="20"/>
                <w:szCs w:val="20"/>
                <w:color w:val="auto"/>
              </w:rPr>
            </w:pPr>
            <w:r>
              <w:rPr>
                <w:rFonts w:ascii="Arial" w:cs="Arial" w:eastAsia="Arial" w:hAnsi="Arial"/>
                <w:sz w:val="14"/>
                <w:szCs w:val="14"/>
                <w:color w:val="0E2A35"/>
              </w:rPr>
              <w:t>Chief Executive Officer and President</w:t>
            </w:r>
          </w:p>
        </w:tc>
      </w:tr>
      <w:tr>
        <w:trPr>
          <w:trHeight w:val="123"/>
        </w:trPr>
        <w:tc>
          <w:tcPr>
            <w:tcW w:w="1920" w:type="dxa"/>
            <w:vAlign w:val="bottom"/>
            <w:tcBorders>
              <w:bottom w:val="single" w:sz="8" w:color="0E2A35"/>
            </w:tcBorders>
          </w:tcPr>
          <w:p>
            <w:pPr>
              <w:spacing w:after="0"/>
              <w:rPr>
                <w:sz w:val="10"/>
                <w:szCs w:val="10"/>
                <w:color w:val="auto"/>
              </w:rPr>
            </w:pPr>
          </w:p>
        </w:tc>
        <w:tc>
          <w:tcPr>
            <w:tcW w:w="7360" w:type="dxa"/>
            <w:vAlign w:val="bottom"/>
            <w:tcBorders>
              <w:bottom w:val="single" w:sz="8" w:color="0E2A35"/>
            </w:tcBorders>
            <w:gridSpan w:val="3"/>
          </w:tcPr>
          <w:p>
            <w:pPr>
              <w:spacing w:after="0"/>
              <w:rPr>
                <w:sz w:val="10"/>
                <w:szCs w:val="10"/>
                <w:color w:val="auto"/>
              </w:rPr>
            </w:pPr>
          </w:p>
        </w:tc>
      </w:tr>
      <w:tr>
        <w:trPr>
          <w:trHeight w:val="329"/>
        </w:trPr>
        <w:tc>
          <w:tcPr>
            <w:tcW w:w="1920" w:type="dxa"/>
            <w:vAlign w:val="bottom"/>
          </w:tcPr>
          <w:p>
            <w:pPr>
              <w:ind w:left="60"/>
              <w:spacing w:after="0"/>
              <w:rPr>
                <w:sz w:val="20"/>
                <w:szCs w:val="20"/>
                <w:color w:val="auto"/>
              </w:rPr>
            </w:pPr>
            <w:r>
              <w:rPr>
                <w:rFonts w:ascii="Arial" w:cs="Arial" w:eastAsia="Arial" w:hAnsi="Arial"/>
                <w:sz w:val="14"/>
                <w:szCs w:val="14"/>
                <w:b w:val="1"/>
                <w:bCs w:val="1"/>
                <w:color w:val="0E2A35"/>
              </w:rPr>
              <w:t>Bryan L. Hughes</w:t>
            </w:r>
          </w:p>
        </w:tc>
        <w:tc>
          <w:tcPr>
            <w:tcW w:w="7360" w:type="dxa"/>
            <w:vAlign w:val="bottom"/>
            <w:gridSpan w:val="3"/>
          </w:tcPr>
          <w:p>
            <w:pPr>
              <w:ind w:left="680"/>
              <w:spacing w:after="0"/>
              <w:rPr>
                <w:sz w:val="20"/>
                <w:szCs w:val="20"/>
                <w:color w:val="auto"/>
              </w:rPr>
            </w:pPr>
            <w:r>
              <w:rPr>
                <w:rFonts w:ascii="Arial" w:cs="Arial" w:eastAsia="Arial" w:hAnsi="Arial"/>
                <w:sz w:val="14"/>
                <w:szCs w:val="14"/>
                <w:color w:val="0E2A35"/>
              </w:rPr>
              <w:t>Chief Financial Officer, Senior Vice President, Finance, IT and Strategic Planning</w:t>
            </w:r>
          </w:p>
        </w:tc>
      </w:tr>
      <w:tr>
        <w:trPr>
          <w:trHeight w:val="123"/>
        </w:trPr>
        <w:tc>
          <w:tcPr>
            <w:tcW w:w="1920" w:type="dxa"/>
            <w:vAlign w:val="bottom"/>
            <w:tcBorders>
              <w:bottom w:val="single" w:sz="8" w:color="0E2A35"/>
            </w:tcBorders>
          </w:tcPr>
          <w:p>
            <w:pPr>
              <w:spacing w:after="0"/>
              <w:rPr>
                <w:sz w:val="10"/>
                <w:szCs w:val="10"/>
                <w:color w:val="auto"/>
              </w:rPr>
            </w:pPr>
          </w:p>
        </w:tc>
        <w:tc>
          <w:tcPr>
            <w:tcW w:w="1120" w:type="dxa"/>
            <w:vAlign w:val="bottom"/>
            <w:tcBorders>
              <w:bottom w:val="single" w:sz="8" w:color="0E2A35"/>
            </w:tcBorders>
          </w:tcPr>
          <w:p>
            <w:pPr>
              <w:spacing w:after="0"/>
              <w:rPr>
                <w:sz w:val="10"/>
                <w:szCs w:val="10"/>
                <w:color w:val="auto"/>
              </w:rPr>
            </w:pPr>
          </w:p>
        </w:tc>
        <w:tc>
          <w:tcPr>
            <w:tcW w:w="6240" w:type="dxa"/>
            <w:vAlign w:val="bottom"/>
            <w:tcBorders>
              <w:bottom w:val="single" w:sz="8" w:color="0E2A35"/>
            </w:tcBorders>
            <w:gridSpan w:val="2"/>
          </w:tcPr>
          <w:p>
            <w:pPr>
              <w:spacing w:after="0"/>
              <w:rPr>
                <w:sz w:val="10"/>
                <w:szCs w:val="10"/>
                <w:color w:val="auto"/>
              </w:rPr>
            </w:pPr>
          </w:p>
        </w:tc>
      </w:tr>
      <w:tr>
        <w:trPr>
          <w:trHeight w:val="329"/>
        </w:trPr>
        <w:tc>
          <w:tcPr>
            <w:tcW w:w="1920" w:type="dxa"/>
            <w:vAlign w:val="bottom"/>
          </w:tcPr>
          <w:p>
            <w:pPr>
              <w:ind w:left="60"/>
              <w:spacing w:after="0"/>
              <w:rPr>
                <w:sz w:val="20"/>
                <w:szCs w:val="20"/>
                <w:color w:val="auto"/>
              </w:rPr>
            </w:pPr>
            <w:r>
              <w:rPr>
                <w:rFonts w:ascii="Arial" w:cs="Arial" w:eastAsia="Arial" w:hAnsi="Arial"/>
                <w:sz w:val="14"/>
                <w:szCs w:val="14"/>
                <w:b w:val="1"/>
                <w:bCs w:val="1"/>
                <w:color w:val="0E2A35"/>
              </w:rPr>
              <w:t>Stacy L. Bogart</w:t>
            </w:r>
          </w:p>
        </w:tc>
        <w:tc>
          <w:tcPr>
            <w:tcW w:w="1120" w:type="dxa"/>
            <w:vAlign w:val="bottom"/>
          </w:tcPr>
          <w:p>
            <w:pPr>
              <w:ind w:left="680"/>
              <w:spacing w:after="0"/>
              <w:rPr>
                <w:sz w:val="20"/>
                <w:szCs w:val="20"/>
                <w:color w:val="auto"/>
              </w:rPr>
            </w:pPr>
            <w:r>
              <w:rPr>
                <w:rFonts w:ascii="Arial" w:cs="Arial" w:eastAsia="Arial" w:hAnsi="Arial"/>
                <w:sz w:val="14"/>
                <w:szCs w:val="14"/>
                <w:color w:val="0E2A35"/>
              </w:rPr>
              <w:t>Senior​</w:t>
            </w:r>
          </w:p>
        </w:tc>
        <w:tc>
          <w:tcPr>
            <w:tcW w:w="6240" w:type="dxa"/>
            <w:vAlign w:val="bottom"/>
            <w:gridSpan w:val="2"/>
          </w:tcPr>
          <w:p>
            <w:pPr>
              <w:ind w:left="20"/>
              <w:spacing w:after="0"/>
              <w:rPr>
                <w:sz w:val="20"/>
                <w:szCs w:val="20"/>
                <w:color w:val="auto"/>
              </w:rPr>
            </w:pPr>
            <w:r>
              <w:rPr>
                <w:rFonts w:ascii="Arial" w:cs="Arial" w:eastAsia="Arial" w:hAnsi="Arial"/>
                <w:sz w:val="14"/>
                <w:szCs w:val="14"/>
                <w:color w:val="0E2A35"/>
              </w:rPr>
              <w:t>Vice President, General Counsel, Secretary and Corporate Responsibility</w:t>
            </w:r>
          </w:p>
        </w:tc>
      </w:tr>
      <w:tr>
        <w:trPr>
          <w:trHeight w:val="123"/>
        </w:trPr>
        <w:tc>
          <w:tcPr>
            <w:tcW w:w="1920" w:type="dxa"/>
            <w:vAlign w:val="bottom"/>
            <w:tcBorders>
              <w:bottom w:val="single" w:sz="8" w:color="0E2A35"/>
            </w:tcBorders>
          </w:tcPr>
          <w:p>
            <w:pPr>
              <w:spacing w:after="0"/>
              <w:rPr>
                <w:sz w:val="10"/>
                <w:szCs w:val="10"/>
                <w:color w:val="auto"/>
              </w:rPr>
            </w:pPr>
          </w:p>
        </w:tc>
        <w:tc>
          <w:tcPr>
            <w:tcW w:w="7360" w:type="dxa"/>
            <w:vAlign w:val="bottom"/>
            <w:tcBorders>
              <w:bottom w:val="single" w:sz="8" w:color="0E2A35"/>
            </w:tcBorders>
            <w:gridSpan w:val="3"/>
          </w:tcPr>
          <w:p>
            <w:pPr>
              <w:spacing w:after="0"/>
              <w:rPr>
                <w:sz w:val="10"/>
                <w:szCs w:val="10"/>
                <w:color w:val="auto"/>
              </w:rPr>
            </w:pPr>
          </w:p>
        </w:tc>
      </w:tr>
      <w:tr>
        <w:trPr>
          <w:trHeight w:val="329"/>
        </w:trPr>
        <w:tc>
          <w:tcPr>
            <w:tcW w:w="1920" w:type="dxa"/>
            <w:vAlign w:val="bottom"/>
          </w:tcPr>
          <w:p>
            <w:pPr>
              <w:ind w:left="60"/>
              <w:spacing w:after="0"/>
              <w:rPr>
                <w:sz w:val="20"/>
                <w:szCs w:val="20"/>
                <w:color w:val="auto"/>
              </w:rPr>
            </w:pPr>
            <w:r>
              <w:rPr>
                <w:rFonts w:ascii="Arial" w:cs="Arial" w:eastAsia="Arial" w:hAnsi="Arial"/>
                <w:sz w:val="14"/>
                <w:szCs w:val="14"/>
                <w:b w:val="1"/>
                <w:bCs w:val="1"/>
                <w:color w:val="0E2A35"/>
              </w:rPr>
              <w:t>Huw S. Bower</w:t>
            </w:r>
          </w:p>
        </w:tc>
        <w:tc>
          <w:tcPr>
            <w:tcW w:w="7360" w:type="dxa"/>
            <w:vAlign w:val="bottom"/>
            <w:gridSpan w:val="3"/>
          </w:tcPr>
          <w:p>
            <w:pPr>
              <w:ind w:left="680"/>
              <w:spacing w:after="0"/>
              <w:rPr>
                <w:sz w:val="20"/>
                <w:szCs w:val="20"/>
                <w:color w:val="auto"/>
              </w:rPr>
            </w:pPr>
            <w:r>
              <w:rPr>
                <w:rFonts w:ascii="Arial" w:cs="Arial" w:eastAsia="Arial" w:hAnsi="Arial"/>
                <w:sz w:val="14"/>
                <w:szCs w:val="14"/>
                <w:color w:val="0E2A35"/>
              </w:rPr>
              <w:t>President, Winnebago Outdoors</w:t>
            </w:r>
          </w:p>
        </w:tc>
      </w:tr>
      <w:tr>
        <w:trPr>
          <w:trHeight w:val="123"/>
        </w:trPr>
        <w:tc>
          <w:tcPr>
            <w:tcW w:w="1920" w:type="dxa"/>
            <w:vAlign w:val="bottom"/>
            <w:tcBorders>
              <w:bottom w:val="single" w:sz="8" w:color="0E2A35"/>
            </w:tcBorders>
          </w:tcPr>
          <w:p>
            <w:pPr>
              <w:spacing w:after="0"/>
              <w:rPr>
                <w:sz w:val="10"/>
                <w:szCs w:val="10"/>
                <w:color w:val="auto"/>
              </w:rPr>
            </w:pPr>
          </w:p>
        </w:tc>
        <w:tc>
          <w:tcPr>
            <w:tcW w:w="1360" w:type="dxa"/>
            <w:vAlign w:val="bottom"/>
            <w:tcBorders>
              <w:bottom w:val="single" w:sz="8" w:color="0E2A35"/>
            </w:tcBorders>
            <w:gridSpan w:val="2"/>
          </w:tcPr>
          <w:p>
            <w:pPr>
              <w:spacing w:after="0"/>
              <w:rPr>
                <w:sz w:val="10"/>
                <w:szCs w:val="10"/>
                <w:color w:val="auto"/>
              </w:rPr>
            </w:pPr>
          </w:p>
        </w:tc>
        <w:tc>
          <w:tcPr>
            <w:tcW w:w="6000" w:type="dxa"/>
            <w:vAlign w:val="bottom"/>
            <w:tcBorders>
              <w:bottom w:val="single" w:sz="8" w:color="0E2A35"/>
            </w:tcBorders>
          </w:tcPr>
          <w:p>
            <w:pPr>
              <w:spacing w:after="0"/>
              <w:rPr>
                <w:sz w:val="10"/>
                <w:szCs w:val="10"/>
                <w:color w:val="auto"/>
              </w:rPr>
            </w:pPr>
          </w:p>
        </w:tc>
      </w:tr>
      <w:tr>
        <w:trPr>
          <w:trHeight w:val="329"/>
        </w:trPr>
        <w:tc>
          <w:tcPr>
            <w:tcW w:w="1920" w:type="dxa"/>
            <w:vAlign w:val="bottom"/>
          </w:tcPr>
          <w:p>
            <w:pPr>
              <w:ind w:left="60"/>
              <w:spacing w:after="0"/>
              <w:rPr>
                <w:sz w:val="20"/>
                <w:szCs w:val="20"/>
                <w:color w:val="auto"/>
              </w:rPr>
            </w:pPr>
            <w:r>
              <w:rPr>
                <w:rFonts w:ascii="Arial" w:cs="Arial" w:eastAsia="Arial" w:hAnsi="Arial"/>
                <w:sz w:val="14"/>
                <w:szCs w:val="14"/>
                <w:b w:val="1"/>
                <w:bCs w:val="1"/>
                <w:color w:val="0E2A35"/>
              </w:rPr>
              <w:t>Donald J. Clark</w:t>
            </w:r>
          </w:p>
        </w:tc>
        <w:tc>
          <w:tcPr>
            <w:tcW w:w="1360" w:type="dxa"/>
            <w:vAlign w:val="bottom"/>
            <w:gridSpan w:val="2"/>
          </w:tcPr>
          <w:p>
            <w:pPr>
              <w:ind w:left="680"/>
              <w:spacing w:after="0"/>
              <w:rPr>
                <w:sz w:val="20"/>
                <w:szCs w:val="20"/>
                <w:color w:val="auto"/>
              </w:rPr>
            </w:pPr>
            <w:r>
              <w:rPr>
                <w:rFonts w:ascii="Arial" w:cs="Arial" w:eastAsia="Arial" w:hAnsi="Arial"/>
                <w:sz w:val="14"/>
                <w:szCs w:val="14"/>
                <w:color w:val="0E2A35"/>
              </w:rPr>
              <w:t>President,​</w:t>
            </w:r>
          </w:p>
        </w:tc>
        <w:tc>
          <w:tcPr>
            <w:tcW w:w="6000" w:type="dxa"/>
            <w:vAlign w:val="bottom"/>
          </w:tcPr>
          <w:p>
            <w:pPr>
              <w:ind w:left="20"/>
              <w:spacing w:after="0"/>
              <w:rPr>
                <w:sz w:val="20"/>
                <w:szCs w:val="20"/>
                <w:color w:val="auto"/>
              </w:rPr>
            </w:pPr>
            <w:r>
              <w:rPr>
                <w:rFonts w:ascii="Arial" w:cs="Arial" w:eastAsia="Arial" w:hAnsi="Arial"/>
                <w:sz w:val="14"/>
                <w:szCs w:val="14"/>
                <w:color w:val="0E2A35"/>
              </w:rPr>
              <w:t>Grand Design</w:t>
            </w:r>
          </w:p>
        </w:tc>
      </w:tr>
      <w:tr>
        <w:trPr>
          <w:trHeight w:val="83"/>
        </w:trPr>
        <w:tc>
          <w:tcPr>
            <w:tcW w:w="1920" w:type="dxa"/>
            <w:vAlign w:val="bottom"/>
            <w:tcBorders>
              <w:bottom w:val="single" w:sz="8" w:color="0E2A35"/>
            </w:tcBorders>
          </w:tcPr>
          <w:p>
            <w:pPr>
              <w:spacing w:after="0"/>
              <w:rPr>
                <w:sz w:val="7"/>
                <w:szCs w:val="7"/>
                <w:color w:val="auto"/>
              </w:rPr>
            </w:pPr>
          </w:p>
        </w:tc>
        <w:tc>
          <w:tcPr>
            <w:tcW w:w="1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6000" w:type="dxa"/>
            <w:vAlign w:val="bottom"/>
            <w:tcBorders>
              <w:bottom w:val="single" w:sz="8" w:color="0E2A35"/>
            </w:tcBorders>
          </w:tcPr>
          <w:p>
            <w:pPr>
              <w:spacing w:after="0"/>
              <w:rPr>
                <w:sz w:val="7"/>
                <w:szCs w:val="7"/>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Executive Summary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Executive Compensation Philosophy and Program Objectives</w:t>
      </w:r>
    </w:p>
    <w:p>
      <w:pPr>
        <w:spacing w:after="0" w:line="20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0E2A35"/>
        </w:rPr>
        <w:t>The Human Resources Committee (referred to in this Compensation Discussion and Analysis section as the “committee”) believes that the most effective compensation program is one that is designed to reward the achievement of our specific annual, long-term and strategic goals, and which aligns executives’ interests with those of our shareholders by rewarding performance above established thresholds,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the compensation paid to similarly situated executives of our compensation peer group. Accordingly, the committee believes executive compensation packages provided to our executives, including the NEOs, should include both cash and stock-based compensation that reward performance as measured against established goals.</w:t>
      </w:r>
    </w:p>
    <w:p>
      <w:pPr>
        <w:spacing w:after="0" w:line="15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0E2A35"/>
        </w:rPr>
        <w:t>The committee has worked with management and its independent compensation consultant, Semler Brossy, to design the current executive compensation programs, following the belief that compensation should reflect the value created for our shareholders while furthering our strategic goals. In doing so, we instituted our compensation programs to achieve the following goals:</w:t>
      </w:r>
    </w:p>
    <w:p>
      <w:pPr>
        <w:spacing w:after="0" w:line="142" w:lineRule="exact"/>
        <w:rPr>
          <w:sz w:val="20"/>
          <w:szCs w:val="20"/>
          <w:color w:val="auto"/>
        </w:rPr>
      </w:pPr>
    </w:p>
    <w:p>
      <w:pPr>
        <w:ind w:left="720" w:hanging="360"/>
        <w:spacing w:after="0"/>
        <w:tabs>
          <w:tab w:leader="none" w:pos="720" w:val="left"/>
        </w:tabs>
        <w:numPr>
          <w:ilvl w:val="0"/>
          <w:numId w:val="21"/>
        </w:numPr>
        <w:rPr>
          <w:rFonts w:ascii="Arial" w:cs="Arial" w:eastAsia="Arial" w:hAnsi="Arial"/>
          <w:sz w:val="16"/>
          <w:szCs w:val="16"/>
          <w:color w:val="C7D265"/>
        </w:rPr>
      </w:pPr>
      <w:r>
        <w:rPr>
          <w:rFonts w:ascii="Arial" w:cs="Arial" w:eastAsia="Arial" w:hAnsi="Arial"/>
          <w:sz w:val="16"/>
          <w:szCs w:val="16"/>
          <w:color w:val="0E2A35"/>
        </w:rPr>
        <w:t>Align the interests of management with those of our shareholders</w:t>
      </w:r>
    </w:p>
    <w:p>
      <w:pPr>
        <w:spacing w:after="0" w:line="194" w:lineRule="exact"/>
        <w:rPr>
          <w:rFonts w:ascii="Arial" w:cs="Arial" w:eastAsia="Arial" w:hAnsi="Arial"/>
          <w:sz w:val="16"/>
          <w:szCs w:val="16"/>
          <w:color w:val="C7D265"/>
        </w:rPr>
      </w:pPr>
    </w:p>
    <w:p>
      <w:pPr>
        <w:ind w:left="720" w:hanging="360"/>
        <w:spacing w:after="0"/>
        <w:tabs>
          <w:tab w:leader="none" w:pos="720" w:val="left"/>
        </w:tabs>
        <w:numPr>
          <w:ilvl w:val="0"/>
          <w:numId w:val="21"/>
        </w:numPr>
        <w:rPr>
          <w:rFonts w:ascii="Arial" w:cs="Arial" w:eastAsia="Arial" w:hAnsi="Arial"/>
          <w:sz w:val="16"/>
          <w:szCs w:val="16"/>
          <w:color w:val="C7D265"/>
        </w:rPr>
      </w:pPr>
      <w:r>
        <w:rPr>
          <w:rFonts w:ascii="Arial" w:cs="Arial" w:eastAsia="Arial" w:hAnsi="Arial"/>
          <w:sz w:val="16"/>
          <w:szCs w:val="16"/>
          <w:color w:val="0E2A35"/>
        </w:rPr>
        <w:t>Provide fair and competitive compensation</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1"/>
        </w:numPr>
        <w:rPr>
          <w:rFonts w:ascii="Arial" w:cs="Arial" w:eastAsia="Arial" w:hAnsi="Arial"/>
          <w:sz w:val="16"/>
          <w:szCs w:val="16"/>
          <w:color w:val="C7D265"/>
        </w:rPr>
      </w:pPr>
      <w:r>
        <w:rPr>
          <w:rFonts w:ascii="Arial" w:cs="Arial" w:eastAsia="Arial" w:hAnsi="Arial"/>
          <w:sz w:val="16"/>
          <w:szCs w:val="16"/>
          <w:color w:val="0E2A35"/>
        </w:rPr>
        <w:t>Integrate compensation with our business plans</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1"/>
        </w:numPr>
        <w:rPr>
          <w:rFonts w:ascii="Arial" w:cs="Arial" w:eastAsia="Arial" w:hAnsi="Arial"/>
          <w:sz w:val="16"/>
          <w:szCs w:val="16"/>
          <w:color w:val="C7D265"/>
        </w:rPr>
      </w:pPr>
      <w:r>
        <w:rPr>
          <w:rFonts w:ascii="Arial" w:cs="Arial" w:eastAsia="Arial" w:hAnsi="Arial"/>
          <w:sz w:val="16"/>
          <w:szCs w:val="16"/>
          <w:color w:val="0E2A35"/>
        </w:rPr>
        <w:t>Reward both business and individual performance</w:t>
      </w:r>
    </w:p>
    <w:p>
      <w:pPr>
        <w:spacing w:after="0" w:line="194" w:lineRule="exact"/>
        <w:rPr>
          <w:rFonts w:ascii="Arial" w:cs="Arial" w:eastAsia="Arial" w:hAnsi="Arial"/>
          <w:sz w:val="16"/>
          <w:szCs w:val="16"/>
          <w:color w:val="C7D265"/>
        </w:rPr>
      </w:pPr>
    </w:p>
    <w:p>
      <w:pPr>
        <w:ind w:left="720" w:hanging="360"/>
        <w:spacing w:after="0"/>
        <w:tabs>
          <w:tab w:leader="none" w:pos="720" w:val="left"/>
        </w:tabs>
        <w:numPr>
          <w:ilvl w:val="0"/>
          <w:numId w:val="21"/>
        </w:numPr>
        <w:rPr>
          <w:rFonts w:ascii="Arial" w:cs="Arial" w:eastAsia="Arial" w:hAnsi="Arial"/>
          <w:sz w:val="16"/>
          <w:szCs w:val="16"/>
          <w:color w:val="C7D265"/>
        </w:rPr>
      </w:pPr>
      <w:r>
        <w:rPr>
          <w:rFonts w:ascii="Arial" w:cs="Arial" w:eastAsia="Arial" w:hAnsi="Arial"/>
          <w:sz w:val="16"/>
          <w:szCs w:val="16"/>
          <w:color w:val="0E2A35"/>
        </w:rPr>
        <w:t>Attract and retain key executives critical to our success</w:t>
      </w:r>
    </w:p>
    <w:p>
      <w:pPr>
        <w:spacing w:after="0" w:line="181"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0E2A35"/>
        </w:rPr>
        <w:t>These objectives emphasize pay for performance by providing an incentive opportunity for performance that meets or exceeds Company objectives.</w:t>
      </w:r>
    </w:p>
    <w:p>
      <w:pPr>
        <w:spacing w:after="0" w:line="267"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200660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39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6694805" cy="3008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94805" cy="300863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auto"/>
        </w:rPr>
        <w:t>Fiscal 2023 Performance Results</w:t>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financial results tied to annual incentive compensation measures for fiscal 2023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23" w:lineRule="exact"/>
        <w:rPr>
          <w:sz w:val="20"/>
          <w:szCs w:val="20"/>
          <w:color w:val="auto"/>
        </w:rPr>
      </w:pPr>
    </w:p>
    <w:tbl>
      <w:tblPr>
        <w:tblLayout w:type="fixed"/>
        <w:tblInd w:w="800" w:type="dxa"/>
        <w:tblCellMar>
          <w:top w:w="0" w:type="dxa"/>
          <w:left w:w="0" w:type="dxa"/>
          <w:bottom w:w="0" w:type="dxa"/>
          <w:right w:w="0" w:type="dxa"/>
        </w:tblCellMar>
      </w:tblPr>
      <w:tr>
        <w:trPr>
          <w:trHeight w:val="262"/>
        </w:trPr>
        <w:tc>
          <w:tcPr>
            <w:tcW w:w="660" w:type="dxa"/>
            <w:vAlign w:val="bottom"/>
            <w:shd w:val="clear" w:color="auto" w:fill="0E2A35"/>
          </w:tcPr>
          <w:p>
            <w:pPr>
              <w:spacing w:after="0"/>
              <w:rPr>
                <w:sz w:val="22"/>
                <w:szCs w:val="22"/>
                <w:color w:val="auto"/>
              </w:rPr>
            </w:pPr>
          </w:p>
        </w:tc>
        <w:tc>
          <w:tcPr>
            <w:tcW w:w="3900" w:type="dxa"/>
            <w:vAlign w:val="bottom"/>
            <w:shd w:val="clear" w:color="auto" w:fill="0E2A35"/>
          </w:tcPr>
          <w:p>
            <w:pPr>
              <w:spacing w:after="0"/>
              <w:rPr>
                <w:sz w:val="22"/>
                <w:szCs w:val="22"/>
                <w:color w:val="auto"/>
              </w:rPr>
            </w:pPr>
          </w:p>
        </w:tc>
        <w:tc>
          <w:tcPr>
            <w:tcW w:w="1880" w:type="dxa"/>
            <w:vAlign w:val="bottom"/>
            <w:gridSpan w:val="2"/>
            <w:shd w:val="clear" w:color="auto" w:fill="0E2A35"/>
          </w:tcPr>
          <w:p>
            <w:pPr>
              <w:ind w:left="580"/>
              <w:spacing w:after="0"/>
              <w:rPr>
                <w:sz w:val="20"/>
                <w:szCs w:val="20"/>
                <w:color w:val="auto"/>
              </w:rPr>
            </w:pPr>
            <w:r>
              <w:rPr>
                <w:rFonts w:ascii="Arial" w:cs="Arial" w:eastAsia="Arial" w:hAnsi="Arial"/>
                <w:sz w:val="13"/>
                <w:szCs w:val="13"/>
                <w:b w:val="1"/>
                <w:bCs w:val="1"/>
                <w:color w:val="FFFFFF"/>
              </w:rPr>
              <w:t>Incentive Plan</w:t>
            </w:r>
          </w:p>
        </w:tc>
        <w:tc>
          <w:tcPr>
            <w:tcW w:w="480" w:type="dxa"/>
            <w:vAlign w:val="bottom"/>
            <w:shd w:val="clear" w:color="auto" w:fill="0E2A35"/>
          </w:tcPr>
          <w:p>
            <w:pPr>
              <w:spacing w:after="0"/>
              <w:rPr>
                <w:sz w:val="22"/>
                <w:szCs w:val="22"/>
                <w:color w:val="auto"/>
              </w:rPr>
            </w:pPr>
          </w:p>
        </w:tc>
        <w:tc>
          <w:tcPr>
            <w:tcW w:w="1640" w:type="dxa"/>
            <w:vAlign w:val="bottom"/>
            <w:gridSpan w:val="2"/>
            <w:shd w:val="clear" w:color="auto" w:fill="0E2A35"/>
          </w:tcPr>
          <w:p>
            <w:pPr>
              <w:jc w:val="right"/>
              <w:ind w:right="430"/>
              <w:spacing w:after="0"/>
              <w:rPr>
                <w:sz w:val="20"/>
                <w:szCs w:val="20"/>
                <w:color w:val="auto"/>
              </w:rPr>
            </w:pPr>
            <w:r>
              <w:rPr>
                <w:rFonts w:ascii="Arial" w:cs="Arial" w:eastAsia="Arial" w:hAnsi="Arial"/>
                <w:sz w:val="13"/>
                <w:szCs w:val="13"/>
                <w:b w:val="1"/>
                <w:bCs w:val="1"/>
                <w:color w:val="FFFFFF"/>
              </w:rPr>
              <w:t>Performance</w:t>
            </w:r>
          </w:p>
        </w:tc>
      </w:tr>
      <w:tr>
        <w:trPr>
          <w:trHeight w:val="494"/>
        </w:trPr>
        <w:tc>
          <w:tcPr>
            <w:tcW w:w="66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Measure</w:t>
            </w:r>
          </w:p>
        </w:tc>
        <w:tc>
          <w:tcPr>
            <w:tcW w:w="3900" w:type="dxa"/>
            <w:vAlign w:val="bottom"/>
            <w:shd w:val="clear" w:color="auto" w:fill="0E2A35"/>
          </w:tcPr>
          <w:p>
            <w:pPr>
              <w:spacing w:after="0"/>
              <w:rPr>
                <w:sz w:val="24"/>
                <w:szCs w:val="24"/>
                <w:color w:val="auto"/>
              </w:rPr>
            </w:pPr>
          </w:p>
        </w:tc>
        <w:tc>
          <w:tcPr>
            <w:tcW w:w="880" w:type="dxa"/>
            <w:vAlign w:val="bottom"/>
            <w:shd w:val="clear" w:color="auto" w:fill="0E2A35"/>
          </w:tcPr>
          <w:p>
            <w:pPr>
              <w:jc w:val="center"/>
              <w:ind w:right="11"/>
              <w:spacing w:after="0"/>
              <w:rPr>
                <w:sz w:val="20"/>
                <w:szCs w:val="20"/>
                <w:color w:val="auto"/>
              </w:rPr>
            </w:pPr>
            <w:r>
              <w:rPr>
                <w:rFonts w:ascii="Arial" w:cs="Arial" w:eastAsia="Arial" w:hAnsi="Arial"/>
                <w:sz w:val="13"/>
                <w:szCs w:val="13"/>
                <w:b w:val="1"/>
                <w:bCs w:val="1"/>
                <w:color w:val="FFFFFF"/>
                <w:w w:val="92"/>
              </w:rPr>
              <w:t>Annual</w:t>
            </w:r>
            <w:r>
              <w:rPr>
                <w:rFonts w:ascii="Arial" w:cs="Arial" w:eastAsia="Arial" w:hAnsi="Arial"/>
                <w:sz w:val="20"/>
                <w:szCs w:val="20"/>
                <w:b w:val="1"/>
                <w:bCs w:val="1"/>
                <w:color w:val="FFFFFF"/>
                <w:w w:val="92"/>
                <w:vertAlign w:val="superscript"/>
              </w:rPr>
              <w:t>(3)</w:t>
            </w:r>
          </w:p>
        </w:tc>
        <w:tc>
          <w:tcPr>
            <w:tcW w:w="1000" w:type="dxa"/>
            <w:vAlign w:val="bottom"/>
            <w:shd w:val="clear" w:color="auto" w:fill="0E2A35"/>
          </w:tcPr>
          <w:p>
            <w:pPr>
              <w:jc w:val="center"/>
              <w:ind w:left="70"/>
              <w:spacing w:after="0"/>
              <w:rPr>
                <w:sz w:val="20"/>
                <w:szCs w:val="20"/>
                <w:color w:val="auto"/>
              </w:rPr>
            </w:pPr>
            <w:r>
              <w:rPr>
                <w:rFonts w:ascii="Arial" w:cs="Arial" w:eastAsia="Arial" w:hAnsi="Arial"/>
                <w:sz w:val="13"/>
                <w:szCs w:val="13"/>
                <w:b w:val="1"/>
                <w:bCs w:val="1"/>
                <w:color w:val="FFFFFF"/>
                <w:w w:val="92"/>
              </w:rPr>
              <w:t>Long-Term</w:t>
            </w:r>
            <w:r>
              <w:rPr>
                <w:rFonts w:ascii="Arial" w:cs="Arial" w:eastAsia="Arial" w:hAnsi="Arial"/>
                <w:sz w:val="20"/>
                <w:szCs w:val="20"/>
                <w:b w:val="1"/>
                <w:bCs w:val="1"/>
                <w:color w:val="FFFFFF"/>
                <w:w w:val="92"/>
                <w:vertAlign w:val="superscript"/>
              </w:rPr>
              <w:t>(4)</w:t>
            </w:r>
          </w:p>
        </w:tc>
        <w:tc>
          <w:tcPr>
            <w:tcW w:w="480" w:type="dxa"/>
            <w:vAlign w:val="bottom"/>
            <w:shd w:val="clear" w:color="auto" w:fill="0E2A35"/>
          </w:tcPr>
          <w:p>
            <w:pPr>
              <w:spacing w:after="0"/>
              <w:rPr>
                <w:sz w:val="24"/>
                <w:szCs w:val="24"/>
                <w:color w:val="auto"/>
              </w:rPr>
            </w:pPr>
          </w:p>
        </w:tc>
        <w:tc>
          <w:tcPr>
            <w:tcW w:w="900" w:type="dxa"/>
            <w:vAlign w:val="bottom"/>
            <w:shd w:val="clear" w:color="auto" w:fill="0E2A35"/>
          </w:tcPr>
          <w:p>
            <w:pPr>
              <w:jc w:val="right"/>
              <w:ind w:right="351"/>
              <w:spacing w:after="0"/>
              <w:rPr>
                <w:sz w:val="20"/>
                <w:szCs w:val="20"/>
                <w:color w:val="auto"/>
              </w:rPr>
            </w:pPr>
            <w:r>
              <w:rPr>
                <w:rFonts w:ascii="Arial" w:cs="Arial" w:eastAsia="Arial" w:hAnsi="Arial"/>
                <w:sz w:val="13"/>
                <w:szCs w:val="13"/>
                <w:b w:val="1"/>
                <w:bCs w:val="1"/>
                <w:color w:val="FFFFFF"/>
              </w:rPr>
              <w:t>1-year</w:t>
            </w:r>
          </w:p>
        </w:tc>
        <w:tc>
          <w:tcPr>
            <w:tcW w:w="740" w:type="dxa"/>
            <w:vAlign w:val="bottom"/>
            <w:shd w:val="clear" w:color="auto" w:fill="0E2A35"/>
          </w:tcPr>
          <w:p>
            <w:pPr>
              <w:jc w:val="right"/>
              <w:spacing w:after="0"/>
              <w:rPr>
                <w:sz w:val="20"/>
                <w:szCs w:val="20"/>
                <w:color w:val="auto"/>
              </w:rPr>
            </w:pPr>
            <w:r>
              <w:rPr>
                <w:rFonts w:ascii="Arial" w:cs="Arial" w:eastAsia="Arial" w:hAnsi="Arial"/>
                <w:sz w:val="13"/>
                <w:szCs w:val="13"/>
                <w:b w:val="1"/>
                <w:bCs w:val="1"/>
                <w:color w:val="FFFFFF"/>
              </w:rPr>
              <w:t>3-year</w:t>
            </w:r>
            <w:r>
              <w:rPr>
                <w:rFonts w:ascii="Arial" w:cs="Arial" w:eastAsia="Arial" w:hAnsi="Arial"/>
                <w:sz w:val="20"/>
                <w:szCs w:val="20"/>
                <w:b w:val="1"/>
                <w:bCs w:val="1"/>
                <w:color w:val="FFFFFF"/>
                <w:vertAlign w:val="superscript"/>
              </w:rPr>
              <w:t>(5)</w:t>
            </w:r>
          </w:p>
        </w:tc>
      </w:tr>
      <w:tr>
        <w:trPr>
          <w:trHeight w:val="405"/>
        </w:trPr>
        <w:tc>
          <w:tcPr>
            <w:tcW w:w="4560" w:type="dxa"/>
            <w:vAlign w:val="bottom"/>
            <w:tcBorders>
              <w:bottom w:val="single" w:sz="8" w:color="0E2A35"/>
            </w:tcBorders>
            <w:gridSpan w:val="2"/>
          </w:tcPr>
          <w:p>
            <w:pPr>
              <w:ind w:left="60"/>
              <w:spacing w:after="0"/>
              <w:rPr>
                <w:sz w:val="20"/>
                <w:szCs w:val="20"/>
                <w:color w:val="auto"/>
              </w:rPr>
            </w:pPr>
            <w:r>
              <w:rPr>
                <w:rFonts w:ascii="Arial" w:cs="Arial" w:eastAsia="Arial" w:hAnsi="Arial"/>
                <w:sz w:val="14"/>
                <w:szCs w:val="14"/>
                <w:color w:val="0E2A35"/>
              </w:rPr>
              <w:t xml:space="preserve">Net Revenue </w:t>
            </w:r>
            <w:r>
              <w:rPr>
                <w:rFonts w:ascii="Arial" w:cs="Arial" w:eastAsia="Arial" w:hAnsi="Arial"/>
                <w:sz w:val="14"/>
                <w:szCs w:val="14"/>
                <w:i w:val="1"/>
                <w:iCs w:val="1"/>
                <w:color w:val="0E2A35"/>
              </w:rPr>
              <w:t>($ in thousands)</w:t>
            </w:r>
            <w:r>
              <w:rPr>
                <w:rFonts w:ascii="Arial" w:cs="Arial" w:eastAsia="Arial" w:hAnsi="Arial"/>
                <w:sz w:val="23"/>
                <w:szCs w:val="23"/>
                <w:color w:val="0E2A35"/>
                <w:vertAlign w:val="superscript"/>
              </w:rPr>
              <w:t>(1)</w:t>
            </w:r>
          </w:p>
        </w:tc>
        <w:tc>
          <w:tcPr>
            <w:tcW w:w="880" w:type="dxa"/>
            <w:vAlign w:val="bottom"/>
            <w:tcBorders>
              <w:bottom w:val="single" w:sz="8" w:color="0E2A35"/>
            </w:tcBorders>
          </w:tcPr>
          <w:p>
            <w:pPr>
              <w:jc w:val="center"/>
              <w:spacing w:after="0" w:line="141" w:lineRule="exact"/>
              <w:rPr>
                <w:sz w:val="20"/>
                <w:szCs w:val="20"/>
                <w:color w:val="auto"/>
              </w:rPr>
            </w:pPr>
            <w:r>
              <w:rPr>
                <w:rFonts w:ascii="MS PGothic" w:cs="MS PGothic" w:eastAsia="MS PGothic" w:hAnsi="MS PGothic"/>
                <w:sz w:val="14"/>
                <w:szCs w:val="14"/>
                <w:color w:val="0E2A35"/>
                <w:w w:val="85"/>
              </w:rPr>
              <w:t>✔</w:t>
            </w:r>
          </w:p>
        </w:tc>
        <w:tc>
          <w:tcPr>
            <w:tcW w:w="1000" w:type="dxa"/>
            <w:vAlign w:val="bottom"/>
            <w:tcBorders>
              <w:bottom w:val="single" w:sz="8" w:color="0E2A35"/>
            </w:tcBorders>
          </w:tcPr>
          <w:p>
            <w:pPr>
              <w:ind w:left="620"/>
              <w:spacing w:after="0"/>
              <w:rPr>
                <w:sz w:val="20"/>
                <w:szCs w:val="20"/>
                <w:color w:val="auto"/>
              </w:rPr>
            </w:pPr>
            <w:r>
              <w:rPr>
                <w:rFonts w:ascii="Arial" w:cs="Arial" w:eastAsia="Arial" w:hAnsi="Arial"/>
                <w:sz w:val="14"/>
                <w:szCs w:val="14"/>
                <w:color w:val="0E2A35"/>
              </w:rPr>
              <w:t>​</w:t>
            </w:r>
          </w:p>
        </w:tc>
        <w:tc>
          <w:tcPr>
            <w:tcW w:w="1380" w:type="dxa"/>
            <w:vAlign w:val="bottom"/>
            <w:tcBorders>
              <w:bottom w:val="single" w:sz="8" w:color="0E2A35"/>
            </w:tcBorders>
            <w:gridSpan w:val="2"/>
          </w:tcPr>
          <w:p>
            <w:pPr>
              <w:jc w:val="right"/>
              <w:ind w:right="271"/>
              <w:spacing w:after="0"/>
              <w:rPr>
                <w:sz w:val="20"/>
                <w:szCs w:val="20"/>
                <w:color w:val="auto"/>
              </w:rPr>
            </w:pPr>
            <w:r>
              <w:rPr>
                <w:rFonts w:ascii="Arial" w:cs="Arial" w:eastAsia="Arial" w:hAnsi="Arial"/>
                <w:sz w:val="14"/>
                <w:szCs w:val="14"/>
                <w:color w:val="0E2A35"/>
              </w:rPr>
              <w:t>$3,532,955</w:t>
            </w:r>
          </w:p>
        </w:tc>
        <w:tc>
          <w:tcPr>
            <w:tcW w:w="74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N/A​</w:t>
            </w:r>
          </w:p>
        </w:tc>
      </w:tr>
      <w:tr>
        <w:trPr>
          <w:trHeight w:val="398"/>
        </w:trPr>
        <w:tc>
          <w:tcPr>
            <w:tcW w:w="4560" w:type="dxa"/>
            <w:vAlign w:val="bottom"/>
            <w:tcBorders>
              <w:bottom w:val="single" w:sz="8" w:color="0E2A35"/>
            </w:tcBorders>
            <w:gridSpan w:val="2"/>
          </w:tcPr>
          <w:p>
            <w:pPr>
              <w:ind w:left="60"/>
              <w:spacing w:after="0"/>
              <w:rPr>
                <w:sz w:val="20"/>
                <w:szCs w:val="20"/>
                <w:color w:val="auto"/>
              </w:rPr>
            </w:pPr>
            <w:r>
              <w:rPr>
                <w:rFonts w:ascii="Arial" w:cs="Arial" w:eastAsia="Arial" w:hAnsi="Arial"/>
                <w:sz w:val="14"/>
                <w:szCs w:val="14"/>
                <w:color w:val="0E2A35"/>
              </w:rPr>
              <w:t xml:space="preserve">Operating Income </w:t>
            </w:r>
            <w:r>
              <w:rPr>
                <w:rFonts w:ascii="Arial" w:cs="Arial" w:eastAsia="Arial" w:hAnsi="Arial"/>
                <w:sz w:val="14"/>
                <w:szCs w:val="14"/>
                <w:i w:val="1"/>
                <w:iCs w:val="1"/>
                <w:color w:val="0E2A35"/>
              </w:rPr>
              <w:t>($ in thousands)</w:t>
            </w:r>
            <w:r>
              <w:rPr>
                <w:rFonts w:ascii="Arial" w:cs="Arial" w:eastAsia="Arial" w:hAnsi="Arial"/>
                <w:sz w:val="23"/>
                <w:szCs w:val="23"/>
                <w:color w:val="0E2A35"/>
                <w:vertAlign w:val="superscript"/>
              </w:rPr>
              <w:t>(1)</w:t>
            </w:r>
          </w:p>
        </w:tc>
        <w:tc>
          <w:tcPr>
            <w:tcW w:w="880" w:type="dxa"/>
            <w:vAlign w:val="bottom"/>
            <w:tcBorders>
              <w:bottom w:val="single" w:sz="8" w:color="0E2A35"/>
            </w:tcBorders>
          </w:tcPr>
          <w:p>
            <w:pPr>
              <w:jc w:val="center"/>
              <w:spacing w:after="0" w:line="141" w:lineRule="exact"/>
              <w:rPr>
                <w:sz w:val="20"/>
                <w:szCs w:val="20"/>
                <w:color w:val="auto"/>
              </w:rPr>
            </w:pPr>
            <w:r>
              <w:rPr>
                <w:rFonts w:ascii="MS PGothic" w:cs="MS PGothic" w:eastAsia="MS PGothic" w:hAnsi="MS PGothic"/>
                <w:sz w:val="14"/>
                <w:szCs w:val="14"/>
                <w:color w:val="0E2A35"/>
                <w:w w:val="85"/>
              </w:rPr>
              <w:t>✔</w:t>
            </w:r>
          </w:p>
        </w:tc>
        <w:tc>
          <w:tcPr>
            <w:tcW w:w="1000" w:type="dxa"/>
            <w:vAlign w:val="bottom"/>
            <w:tcBorders>
              <w:bottom w:val="single" w:sz="8" w:color="0E2A35"/>
            </w:tcBorders>
          </w:tcPr>
          <w:p>
            <w:pPr>
              <w:ind w:left="620"/>
              <w:spacing w:after="0"/>
              <w:rPr>
                <w:sz w:val="20"/>
                <w:szCs w:val="20"/>
                <w:color w:val="auto"/>
              </w:rPr>
            </w:pPr>
            <w:r>
              <w:rPr>
                <w:rFonts w:ascii="Arial" w:cs="Arial" w:eastAsia="Arial" w:hAnsi="Arial"/>
                <w:sz w:val="14"/>
                <w:szCs w:val="14"/>
                <w:color w:val="0E2A35"/>
              </w:rPr>
              <w:t>​</w:t>
            </w:r>
          </w:p>
        </w:tc>
        <w:tc>
          <w:tcPr>
            <w:tcW w:w="480" w:type="dxa"/>
            <w:vAlign w:val="bottom"/>
            <w:tcBorders>
              <w:bottom w:val="single" w:sz="8" w:color="0E2A35"/>
            </w:tcBorders>
          </w:tcPr>
          <w:p>
            <w:pPr>
              <w:jc w:val="right"/>
              <w:ind w:right="8"/>
              <w:spacing w:after="0"/>
              <w:rPr>
                <w:sz w:val="20"/>
                <w:szCs w:val="20"/>
                <w:color w:val="auto"/>
              </w:rPr>
            </w:pPr>
            <w:r>
              <w:rPr>
                <w:rFonts w:ascii="Arial" w:cs="Arial" w:eastAsia="Arial" w:hAnsi="Arial"/>
                <w:sz w:val="14"/>
                <w:szCs w:val="14"/>
                <w:color w:val="0E2A35"/>
              </w:rPr>
              <w:t>$</w:t>
            </w:r>
          </w:p>
        </w:tc>
        <w:tc>
          <w:tcPr>
            <w:tcW w:w="900" w:type="dxa"/>
            <w:vAlign w:val="bottom"/>
            <w:tcBorders>
              <w:bottom w:val="single" w:sz="8" w:color="0E2A35"/>
            </w:tcBorders>
          </w:tcPr>
          <w:p>
            <w:pPr>
              <w:jc w:val="right"/>
              <w:ind w:right="131"/>
              <w:spacing w:after="0"/>
              <w:rPr>
                <w:sz w:val="20"/>
                <w:szCs w:val="20"/>
                <w:color w:val="auto"/>
              </w:rPr>
            </w:pPr>
            <w:r>
              <w:rPr>
                <w:rFonts w:ascii="Arial" w:cs="Arial" w:eastAsia="Arial" w:hAnsi="Arial"/>
                <w:sz w:val="14"/>
                <w:szCs w:val="14"/>
                <w:color w:val="0E2A35"/>
              </w:rPr>
              <w:t>​ 312,562</w:t>
            </w:r>
          </w:p>
        </w:tc>
        <w:tc>
          <w:tcPr>
            <w:tcW w:w="74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N/A​</w:t>
            </w:r>
          </w:p>
        </w:tc>
      </w:tr>
      <w:tr>
        <w:trPr>
          <w:trHeight w:val="398"/>
        </w:trPr>
        <w:tc>
          <w:tcPr>
            <w:tcW w:w="4560" w:type="dxa"/>
            <w:vAlign w:val="bottom"/>
            <w:tcBorders>
              <w:bottom w:val="single" w:sz="8" w:color="0E2A35"/>
            </w:tcBorders>
            <w:gridSpan w:val="2"/>
          </w:tcPr>
          <w:p>
            <w:pPr>
              <w:ind w:left="60"/>
              <w:spacing w:after="0"/>
              <w:rPr>
                <w:sz w:val="20"/>
                <w:szCs w:val="20"/>
                <w:color w:val="auto"/>
              </w:rPr>
            </w:pPr>
            <w:r>
              <w:rPr>
                <w:rFonts w:ascii="Arial" w:cs="Arial" w:eastAsia="Arial" w:hAnsi="Arial"/>
                <w:sz w:val="14"/>
                <w:szCs w:val="14"/>
                <w:color w:val="0E2A35"/>
              </w:rPr>
              <w:t>Net Working Capital</w:t>
            </w:r>
            <w:r>
              <w:rPr>
                <w:rFonts w:ascii="Arial" w:cs="Arial" w:eastAsia="Arial" w:hAnsi="Arial"/>
                <w:sz w:val="23"/>
                <w:szCs w:val="23"/>
                <w:color w:val="0E2A35"/>
                <w:vertAlign w:val="superscript"/>
              </w:rPr>
              <w:t>(1)</w:t>
            </w:r>
          </w:p>
        </w:tc>
        <w:tc>
          <w:tcPr>
            <w:tcW w:w="880" w:type="dxa"/>
            <w:vAlign w:val="bottom"/>
            <w:tcBorders>
              <w:bottom w:val="single" w:sz="8" w:color="0E2A35"/>
            </w:tcBorders>
          </w:tcPr>
          <w:p>
            <w:pPr>
              <w:jc w:val="center"/>
              <w:spacing w:after="0" w:line="141" w:lineRule="exact"/>
              <w:rPr>
                <w:sz w:val="20"/>
                <w:szCs w:val="20"/>
                <w:color w:val="auto"/>
              </w:rPr>
            </w:pPr>
            <w:r>
              <w:rPr>
                <w:rFonts w:ascii="MS PGothic" w:cs="MS PGothic" w:eastAsia="MS PGothic" w:hAnsi="MS PGothic"/>
                <w:sz w:val="14"/>
                <w:szCs w:val="14"/>
                <w:color w:val="0E2A35"/>
                <w:w w:val="85"/>
              </w:rPr>
              <w:t>✔</w:t>
            </w:r>
          </w:p>
        </w:tc>
        <w:tc>
          <w:tcPr>
            <w:tcW w:w="1000" w:type="dxa"/>
            <w:vAlign w:val="bottom"/>
            <w:tcBorders>
              <w:bottom w:val="single" w:sz="8" w:color="0E2A35"/>
            </w:tcBorders>
          </w:tcPr>
          <w:p>
            <w:pPr>
              <w:ind w:left="620"/>
              <w:spacing w:after="0"/>
              <w:rPr>
                <w:sz w:val="20"/>
                <w:szCs w:val="20"/>
                <w:color w:val="auto"/>
              </w:rPr>
            </w:pPr>
            <w:r>
              <w:rPr>
                <w:rFonts w:ascii="Arial" w:cs="Arial" w:eastAsia="Arial" w:hAnsi="Arial"/>
                <w:sz w:val="14"/>
                <w:szCs w:val="14"/>
                <w:color w:val="0E2A35"/>
              </w:rPr>
              <w:t>​</w:t>
            </w:r>
          </w:p>
        </w:tc>
        <w:tc>
          <w:tcPr>
            <w:tcW w:w="480" w:type="dxa"/>
            <w:vAlign w:val="bottom"/>
            <w:tcBorders>
              <w:bottom w:val="single" w:sz="8" w:color="0E2A35"/>
            </w:tcBorders>
          </w:tcPr>
          <w:p>
            <w:pPr>
              <w:spacing w:after="0"/>
              <w:rPr>
                <w:sz w:val="24"/>
                <w:szCs w:val="24"/>
                <w:color w:val="auto"/>
              </w:rPr>
            </w:pPr>
          </w:p>
        </w:tc>
        <w:tc>
          <w:tcPr>
            <w:tcW w:w="900" w:type="dxa"/>
            <w:vAlign w:val="bottom"/>
            <w:tcBorders>
              <w:bottom w:val="single" w:sz="8" w:color="0E2A35"/>
            </w:tcBorders>
          </w:tcPr>
          <w:p>
            <w:pPr>
              <w:jc w:val="right"/>
              <w:ind w:right="131"/>
              <w:spacing w:after="0"/>
              <w:rPr>
                <w:sz w:val="20"/>
                <w:szCs w:val="20"/>
                <w:color w:val="auto"/>
              </w:rPr>
            </w:pPr>
            <w:r>
              <w:rPr>
                <w:rFonts w:ascii="Arial" w:cs="Arial" w:eastAsia="Arial" w:hAnsi="Arial"/>
                <w:sz w:val="14"/>
                <w:szCs w:val="14"/>
                <w:color w:val="0E2A35"/>
              </w:rPr>
              <w:t>18.8%</w:t>
            </w:r>
          </w:p>
        </w:tc>
        <w:tc>
          <w:tcPr>
            <w:tcW w:w="740" w:type="dxa"/>
            <w:vAlign w:val="bottom"/>
            <w:tcBorders>
              <w:bottom w:val="single" w:sz="8" w:color="0E2A35"/>
            </w:tcBorders>
          </w:tcPr>
          <w:p>
            <w:pPr>
              <w:jc w:val="right"/>
              <w:ind w:right="90"/>
              <w:spacing w:after="0"/>
              <w:rPr>
                <w:sz w:val="20"/>
                <w:szCs w:val="20"/>
                <w:color w:val="auto"/>
              </w:rPr>
            </w:pPr>
            <w:r>
              <w:rPr>
                <w:rFonts w:ascii="Arial" w:cs="Arial" w:eastAsia="Arial" w:hAnsi="Arial"/>
                <w:sz w:val="14"/>
                <w:szCs w:val="14"/>
                <w:color w:val="0E2A35"/>
              </w:rPr>
              <w:t>​N/A</w:t>
            </w:r>
          </w:p>
        </w:tc>
      </w:tr>
      <w:tr>
        <w:trPr>
          <w:trHeight w:val="399"/>
        </w:trPr>
        <w:tc>
          <w:tcPr>
            <w:tcW w:w="4560" w:type="dxa"/>
            <w:vAlign w:val="bottom"/>
            <w:tcBorders>
              <w:bottom w:val="single" w:sz="8" w:color="0E2A35"/>
            </w:tcBorders>
            <w:gridSpan w:val="2"/>
          </w:tcPr>
          <w:p>
            <w:pPr>
              <w:ind w:left="60"/>
              <w:spacing w:after="0"/>
              <w:rPr>
                <w:sz w:val="20"/>
                <w:szCs w:val="20"/>
                <w:color w:val="auto"/>
              </w:rPr>
            </w:pPr>
            <w:r>
              <w:rPr>
                <w:rFonts w:ascii="Arial" w:cs="Arial" w:eastAsia="Arial" w:hAnsi="Arial"/>
                <w:sz w:val="14"/>
                <w:szCs w:val="14"/>
                <w:color w:val="0E2A35"/>
              </w:rPr>
              <w:t>​Average Return on Invested Capital (Incentive ROIC)</w:t>
            </w:r>
            <w:r>
              <w:rPr>
                <w:rFonts w:ascii="Arial" w:cs="Arial" w:eastAsia="Arial" w:hAnsi="Arial"/>
                <w:sz w:val="23"/>
                <w:szCs w:val="23"/>
                <w:color w:val="0E2A35"/>
                <w:vertAlign w:val="superscript"/>
              </w:rPr>
              <w:t>(2)</w:t>
            </w:r>
          </w:p>
        </w:tc>
        <w:tc>
          <w:tcPr>
            <w:tcW w:w="880" w:type="dxa"/>
            <w:vAlign w:val="bottom"/>
            <w:tcBorders>
              <w:bottom w:val="single" w:sz="8" w:color="0E2A35"/>
            </w:tcBorders>
          </w:tcPr>
          <w:p>
            <w:pPr>
              <w:ind w:left="460"/>
              <w:spacing w:after="0"/>
              <w:rPr>
                <w:sz w:val="20"/>
                <w:szCs w:val="20"/>
                <w:color w:val="auto"/>
              </w:rPr>
            </w:pPr>
            <w:r>
              <w:rPr>
                <w:rFonts w:ascii="Arial" w:cs="Arial" w:eastAsia="Arial" w:hAnsi="Arial"/>
                <w:sz w:val="14"/>
                <w:szCs w:val="14"/>
                <w:color w:val="0E2A35"/>
              </w:rPr>
              <w:t>​</w:t>
            </w:r>
          </w:p>
        </w:tc>
        <w:tc>
          <w:tcPr>
            <w:tcW w:w="1000" w:type="dxa"/>
            <w:vAlign w:val="bottom"/>
            <w:tcBorders>
              <w:bottom w:val="single" w:sz="8" w:color="0E2A35"/>
            </w:tcBorders>
          </w:tcPr>
          <w:p>
            <w:pPr>
              <w:jc w:val="center"/>
              <w:ind w:left="90"/>
              <w:spacing w:after="0" w:line="141" w:lineRule="exact"/>
              <w:rPr>
                <w:sz w:val="20"/>
                <w:szCs w:val="20"/>
                <w:color w:val="auto"/>
              </w:rPr>
            </w:pPr>
            <w:r>
              <w:rPr>
                <w:rFonts w:ascii="MS PGothic" w:cs="MS PGothic" w:eastAsia="MS PGothic" w:hAnsi="MS PGothic"/>
                <w:sz w:val="14"/>
                <w:szCs w:val="14"/>
                <w:color w:val="0E2A35"/>
                <w:w w:val="85"/>
              </w:rPr>
              <w:t>✔</w:t>
            </w:r>
          </w:p>
        </w:tc>
        <w:tc>
          <w:tcPr>
            <w:tcW w:w="480" w:type="dxa"/>
            <w:vAlign w:val="bottom"/>
            <w:tcBorders>
              <w:bottom w:val="single" w:sz="8" w:color="0E2A35"/>
            </w:tcBorders>
          </w:tcPr>
          <w:p>
            <w:pPr>
              <w:spacing w:after="0"/>
              <w:rPr>
                <w:sz w:val="24"/>
                <w:szCs w:val="24"/>
                <w:color w:val="auto"/>
              </w:rPr>
            </w:pPr>
          </w:p>
        </w:tc>
        <w:tc>
          <w:tcPr>
            <w:tcW w:w="900" w:type="dxa"/>
            <w:vAlign w:val="bottom"/>
            <w:tcBorders>
              <w:bottom w:val="single" w:sz="8" w:color="0E2A35"/>
            </w:tcBorders>
          </w:tcPr>
          <w:p>
            <w:pPr>
              <w:jc w:val="right"/>
              <w:ind w:right="251"/>
              <w:spacing w:after="0"/>
              <w:rPr>
                <w:sz w:val="20"/>
                <w:szCs w:val="20"/>
                <w:color w:val="auto"/>
              </w:rPr>
            </w:pPr>
            <w:r>
              <w:rPr>
                <w:rFonts w:ascii="Arial" w:cs="Arial" w:eastAsia="Arial" w:hAnsi="Arial"/>
                <w:sz w:val="14"/>
                <w:szCs w:val="14"/>
                <w:color w:val="0E2A35"/>
              </w:rPr>
              <w:t>N/A​</w:t>
            </w:r>
          </w:p>
        </w:tc>
        <w:tc>
          <w:tcPr>
            <w:tcW w:w="74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12​.1%</w:t>
            </w:r>
          </w:p>
        </w:tc>
      </w:tr>
      <w:tr>
        <w:trPr>
          <w:trHeight w:val="408"/>
        </w:trPr>
        <w:tc>
          <w:tcPr>
            <w:tcW w:w="660" w:type="dxa"/>
            <w:vAlign w:val="bottom"/>
          </w:tcPr>
          <w:p>
            <w:pPr>
              <w:ind w:left="60"/>
              <w:spacing w:after="0"/>
              <w:rPr>
                <w:sz w:val="20"/>
                <w:szCs w:val="20"/>
                <w:color w:val="auto"/>
              </w:rPr>
            </w:pPr>
            <w:r>
              <w:rPr>
                <w:rFonts w:ascii="Arial" w:cs="Arial" w:eastAsia="Arial" w:hAnsi="Arial"/>
                <w:sz w:val="14"/>
                <w:szCs w:val="14"/>
                <w:color w:val="0E2A35"/>
              </w:rPr>
              <w:t>Incentive​</w:t>
            </w:r>
          </w:p>
        </w:tc>
        <w:tc>
          <w:tcPr>
            <w:tcW w:w="3900" w:type="dxa"/>
            <w:vAlign w:val="bottom"/>
          </w:tcPr>
          <w:p>
            <w:pPr>
              <w:ind w:left="20"/>
              <w:spacing w:after="0"/>
              <w:rPr>
                <w:sz w:val="20"/>
                <w:szCs w:val="20"/>
                <w:color w:val="auto"/>
              </w:rPr>
            </w:pPr>
            <w:r>
              <w:rPr>
                <w:rFonts w:ascii="Arial" w:cs="Arial" w:eastAsia="Arial" w:hAnsi="Arial"/>
                <w:sz w:val="14"/>
                <w:szCs w:val="14"/>
                <w:color w:val="0E2A35"/>
              </w:rPr>
              <w:t>Earnings Per Share (Incentive EPS)</w:t>
            </w:r>
            <w:r>
              <w:rPr>
                <w:rFonts w:ascii="Arial" w:cs="Arial" w:eastAsia="Arial" w:hAnsi="Arial"/>
                <w:sz w:val="23"/>
                <w:szCs w:val="23"/>
                <w:color w:val="0E2A35"/>
                <w:vertAlign w:val="superscript"/>
              </w:rPr>
              <w:t>(2)</w:t>
            </w:r>
          </w:p>
        </w:tc>
        <w:tc>
          <w:tcPr>
            <w:tcW w:w="880" w:type="dxa"/>
            <w:vAlign w:val="bottom"/>
          </w:tcPr>
          <w:p>
            <w:pPr>
              <w:ind w:left="460"/>
              <w:spacing w:after="0"/>
              <w:rPr>
                <w:sz w:val="20"/>
                <w:szCs w:val="20"/>
                <w:color w:val="auto"/>
              </w:rPr>
            </w:pPr>
            <w:r>
              <w:rPr>
                <w:rFonts w:ascii="Arial" w:cs="Arial" w:eastAsia="Arial" w:hAnsi="Arial"/>
                <w:sz w:val="14"/>
                <w:szCs w:val="14"/>
                <w:color w:val="0E2A35"/>
              </w:rPr>
              <w:t>​</w:t>
            </w:r>
          </w:p>
        </w:tc>
        <w:tc>
          <w:tcPr>
            <w:tcW w:w="1000" w:type="dxa"/>
            <w:vAlign w:val="bottom"/>
          </w:tcPr>
          <w:p>
            <w:pPr>
              <w:jc w:val="center"/>
              <w:ind w:left="90"/>
              <w:spacing w:after="0" w:line="141" w:lineRule="exact"/>
              <w:rPr>
                <w:sz w:val="20"/>
                <w:szCs w:val="20"/>
                <w:color w:val="auto"/>
              </w:rPr>
            </w:pPr>
            <w:r>
              <w:rPr>
                <w:rFonts w:ascii="MS PGothic" w:cs="MS PGothic" w:eastAsia="MS PGothic" w:hAnsi="MS PGothic"/>
                <w:sz w:val="14"/>
                <w:szCs w:val="14"/>
                <w:color w:val="0E2A35"/>
                <w:w w:val="85"/>
              </w:rPr>
              <w:t>✔</w:t>
            </w:r>
          </w:p>
        </w:tc>
        <w:tc>
          <w:tcPr>
            <w:tcW w:w="480" w:type="dxa"/>
            <w:vAlign w:val="bottom"/>
          </w:tcPr>
          <w:p>
            <w:pPr>
              <w:spacing w:after="0"/>
              <w:rPr>
                <w:sz w:val="24"/>
                <w:szCs w:val="24"/>
                <w:color w:val="auto"/>
              </w:rPr>
            </w:pPr>
          </w:p>
        </w:tc>
        <w:tc>
          <w:tcPr>
            <w:tcW w:w="900" w:type="dxa"/>
            <w:vAlign w:val="bottom"/>
          </w:tcPr>
          <w:p>
            <w:pPr>
              <w:jc w:val="right"/>
              <w:ind w:right="251"/>
              <w:spacing w:after="0"/>
              <w:rPr>
                <w:sz w:val="20"/>
                <w:szCs w:val="20"/>
                <w:color w:val="auto"/>
              </w:rPr>
            </w:pPr>
            <w:r>
              <w:rPr>
                <w:rFonts w:ascii="Arial" w:cs="Arial" w:eastAsia="Arial" w:hAnsi="Arial"/>
                <w:sz w:val="14"/>
                <w:szCs w:val="14"/>
                <w:color w:val="0E2A35"/>
              </w:rPr>
              <w:t>​N/A</w:t>
            </w:r>
          </w:p>
        </w:tc>
        <w:tc>
          <w:tcPr>
            <w:tcW w:w="740" w:type="dxa"/>
            <w:vAlign w:val="bottom"/>
          </w:tcPr>
          <w:p>
            <w:pPr>
              <w:jc w:val="right"/>
              <w:ind w:right="90"/>
              <w:spacing w:after="0"/>
              <w:rPr>
                <w:sz w:val="20"/>
                <w:szCs w:val="20"/>
                <w:color w:val="auto"/>
              </w:rPr>
            </w:pPr>
            <w:r>
              <w:rPr>
                <w:rFonts w:ascii="Arial" w:cs="Arial" w:eastAsia="Arial" w:hAnsi="Arial"/>
                <w:sz w:val="14"/>
                <w:szCs w:val="14"/>
                <w:color w:val="0E2A35"/>
              </w:rPr>
              <w:t>$7.24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54349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3496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-1583055</wp:posOffset>
            </wp:positionV>
            <wp:extent cx="24688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8" w:lineRule="exact"/>
        <w:rPr>
          <w:sz w:val="20"/>
          <w:szCs w:val="20"/>
          <w:color w:val="auto"/>
        </w:rPr>
      </w:pPr>
    </w:p>
    <w:p>
      <w:pPr>
        <w:ind w:left="800" w:hanging="360"/>
        <w:spacing w:after="0" w:line="230" w:lineRule="auto"/>
        <w:tabs>
          <w:tab w:leader="none" w:pos="800" w:val="left"/>
        </w:tabs>
        <w:numPr>
          <w:ilvl w:val="0"/>
          <w:numId w:val="22"/>
        </w:numPr>
        <w:rPr>
          <w:rFonts w:ascii="Arial" w:cs="Arial" w:eastAsia="Arial" w:hAnsi="Arial"/>
          <w:sz w:val="13"/>
          <w:szCs w:val="13"/>
          <w:color w:val="0E2A35"/>
        </w:rPr>
      </w:pPr>
      <w:r>
        <w:rPr>
          <w:rFonts w:ascii="Arial" w:cs="Arial" w:eastAsia="Arial" w:hAnsi="Arial"/>
          <w:sz w:val="13"/>
          <w:szCs w:val="13"/>
          <w:color w:val="0E2A35"/>
        </w:rPr>
        <w:t>When determining the level of actual performance for the 2023 Officer Incentive Compensation Plan (also called the Annual Incentive Plan or OICP), the committee excluded the impact of certain events not contemplated when establishing the initial targets. The metrics were adjusted for estimated productivity loss from supply chain disruption due to the Mercedes-Benz AG chassis recall in the first half of fiscal 2023.</w:t>
      </w:r>
    </w:p>
    <w:p>
      <w:pPr>
        <w:spacing w:after="0" w:line="29" w:lineRule="exact"/>
        <w:rPr>
          <w:rFonts w:ascii="Arial" w:cs="Arial" w:eastAsia="Arial" w:hAnsi="Arial"/>
          <w:sz w:val="13"/>
          <w:szCs w:val="13"/>
          <w:color w:val="0E2A35"/>
        </w:rPr>
      </w:pPr>
    </w:p>
    <w:p>
      <w:pPr>
        <w:ind w:left="800" w:hanging="360"/>
        <w:spacing w:after="0" w:line="223" w:lineRule="auto"/>
        <w:tabs>
          <w:tab w:leader="none" w:pos="800" w:val="left"/>
        </w:tabs>
        <w:numPr>
          <w:ilvl w:val="0"/>
          <w:numId w:val="22"/>
        </w:numPr>
        <w:rPr>
          <w:rFonts w:ascii="Arial" w:cs="Arial" w:eastAsia="Arial" w:hAnsi="Arial"/>
          <w:sz w:val="13"/>
          <w:szCs w:val="13"/>
          <w:color w:val="0E2A35"/>
        </w:rPr>
      </w:pPr>
      <w:r>
        <w:rPr>
          <w:rFonts w:ascii="Arial" w:cs="Arial" w:eastAsia="Arial" w:hAnsi="Arial"/>
          <w:sz w:val="13"/>
          <w:szCs w:val="13"/>
          <w:color w:val="0E2A35"/>
        </w:rPr>
        <w:t>When determining the level of actual performance for the fiscal 2021-2023 three-year performance period of the Long-Term Incentive Program (LTIP), the committee excluded the impact of certain events not contemplated when establishing the initial targets. The Incentive EPS metric was adjusted from diluted EPS to exclude the following: (i) pretax acquisition-related costs related to the Barletta and Lithionics Battery acquisitions, (ii) pretax earnout valuation adjustments related to the Barletta acquisition, (iii) pretax litigation reserves, (iv) impact of convertible notes, including dilution impact economically offset by a call spread overlay, certain pretax interest expense, and/or assumed dilution as a result of the adoption of ASU 2020-06 in fiscal 2023, and (v) the tax impact of the aforementioned adjustments, as applicable.</w:t>
      </w:r>
    </w:p>
    <w:p>
      <w:pPr>
        <w:spacing w:after="0" w:line="30" w:lineRule="exact"/>
        <w:rPr>
          <w:rFonts w:ascii="Arial" w:cs="Arial" w:eastAsia="Arial" w:hAnsi="Arial"/>
          <w:sz w:val="13"/>
          <w:szCs w:val="13"/>
          <w:color w:val="0E2A35"/>
        </w:rPr>
      </w:pPr>
    </w:p>
    <w:p>
      <w:pPr>
        <w:ind w:left="800" w:hanging="360"/>
        <w:spacing w:after="0"/>
        <w:tabs>
          <w:tab w:leader="none" w:pos="800" w:val="left"/>
        </w:tabs>
        <w:numPr>
          <w:ilvl w:val="0"/>
          <w:numId w:val="22"/>
        </w:numPr>
        <w:rPr>
          <w:rFonts w:ascii="Arial" w:cs="Arial" w:eastAsia="Arial" w:hAnsi="Arial"/>
          <w:sz w:val="13"/>
          <w:szCs w:val="13"/>
          <w:color w:val="0E2A35"/>
        </w:rPr>
      </w:pPr>
      <w:r>
        <w:rPr>
          <w:rFonts w:ascii="Arial" w:cs="Arial" w:eastAsia="Arial" w:hAnsi="Arial"/>
          <w:sz w:val="13"/>
          <w:szCs w:val="13"/>
          <w:color w:val="0E2A35"/>
        </w:rPr>
        <w:t>The OICP metrics consist of 50% operating income, 40% net revenue, and 10% net working capital.</w:t>
      </w:r>
    </w:p>
    <w:p>
      <w:pPr>
        <w:spacing w:after="0" w:line="39" w:lineRule="exact"/>
        <w:rPr>
          <w:rFonts w:ascii="Arial" w:cs="Arial" w:eastAsia="Arial" w:hAnsi="Arial"/>
          <w:sz w:val="13"/>
          <w:szCs w:val="13"/>
          <w:color w:val="0E2A35"/>
        </w:rPr>
      </w:pPr>
    </w:p>
    <w:p>
      <w:pPr>
        <w:ind w:left="800" w:hanging="360"/>
        <w:spacing w:after="0"/>
        <w:tabs>
          <w:tab w:leader="none" w:pos="800" w:val="left"/>
        </w:tabs>
        <w:numPr>
          <w:ilvl w:val="0"/>
          <w:numId w:val="22"/>
        </w:numPr>
        <w:rPr>
          <w:rFonts w:ascii="Arial" w:cs="Arial" w:eastAsia="Arial" w:hAnsi="Arial"/>
          <w:sz w:val="13"/>
          <w:szCs w:val="13"/>
          <w:color w:val="0E2A35"/>
        </w:rPr>
      </w:pPr>
      <w:r>
        <w:rPr>
          <w:rFonts w:ascii="Arial" w:cs="Arial" w:eastAsia="Arial" w:hAnsi="Arial"/>
          <w:sz w:val="13"/>
          <w:szCs w:val="13"/>
          <w:color w:val="0E2A35"/>
        </w:rPr>
        <w:t>The 2021-2023 LTIP plan metrics consist of 50% Incentive ROIC and 50% Incentive EPS.</w:t>
      </w:r>
    </w:p>
    <w:p>
      <w:pPr>
        <w:spacing w:after="0" w:line="39" w:lineRule="exact"/>
        <w:rPr>
          <w:rFonts w:ascii="Arial" w:cs="Arial" w:eastAsia="Arial" w:hAnsi="Arial"/>
          <w:sz w:val="13"/>
          <w:szCs w:val="13"/>
          <w:color w:val="0E2A35"/>
        </w:rPr>
      </w:pPr>
    </w:p>
    <w:p>
      <w:pPr>
        <w:ind w:left="800" w:right="20" w:hanging="360"/>
        <w:spacing w:after="0" w:line="236" w:lineRule="auto"/>
        <w:tabs>
          <w:tab w:leader="none" w:pos="800" w:val="left"/>
        </w:tabs>
        <w:numPr>
          <w:ilvl w:val="0"/>
          <w:numId w:val="22"/>
        </w:numPr>
        <w:rPr>
          <w:rFonts w:ascii="Arial" w:cs="Arial" w:eastAsia="Arial" w:hAnsi="Arial"/>
          <w:sz w:val="13"/>
          <w:szCs w:val="13"/>
          <w:color w:val="0E2A35"/>
        </w:rPr>
      </w:pPr>
      <w:r>
        <w:rPr>
          <w:rFonts w:ascii="Arial" w:cs="Arial" w:eastAsia="Arial" w:hAnsi="Arial"/>
          <w:sz w:val="13"/>
          <w:szCs w:val="13"/>
          <w:color w:val="0E2A35"/>
        </w:rPr>
        <w:t>Relates to the fiscal 2021-2023 performance period of the 2021-2023 LTIP plan. The full details of the plan and performance are outlined in the “Payout of Fiscal 2021-2023 LTIP Cycle” section of this proxy statement.</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201930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-80645</wp:posOffset>
            </wp:positionV>
            <wp:extent cx="1465580" cy="94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720"/>
          </w:cols>
          <w:pgMar w:left="860" w:top="265" w:right="1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Impact of Performance on Fiscal 2023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0E2A35"/>
        </w:rPr>
        <w:t>The compensation of our NEOs in fiscal 2023 was directly impacted by our financial performance and total shareholder returns: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84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Performance Objective</w:t>
            </w:r>
          </w:p>
        </w:tc>
        <w:tc>
          <w:tcPr>
            <w:tcW w:w="7440" w:type="dxa"/>
            <w:vAlign w:val="bottom"/>
            <w:gridSpan w:val="3"/>
            <w:shd w:val="clear" w:color="auto" w:fill="0E2A35"/>
          </w:tcPr>
          <w:p>
            <w:pPr>
              <w:ind w:left="160"/>
              <w:spacing w:after="0"/>
              <w:rPr>
                <w:sz w:val="20"/>
                <w:szCs w:val="20"/>
                <w:color w:val="auto"/>
              </w:rPr>
            </w:pPr>
            <w:r>
              <w:rPr>
                <w:rFonts w:ascii="Arial" w:cs="Arial" w:eastAsia="Arial" w:hAnsi="Arial"/>
                <w:sz w:val="13"/>
                <w:szCs w:val="13"/>
                <w:b w:val="1"/>
                <w:bCs w:val="1"/>
                <w:color w:val="FFFFFF"/>
              </w:rPr>
              <w:t>​   Link to 2023 Compensation</w:t>
            </w:r>
          </w:p>
        </w:tc>
      </w:tr>
      <w:tr>
        <w:trPr>
          <w:trHeight w:val="89"/>
        </w:trPr>
        <w:tc>
          <w:tcPr>
            <w:tcW w:w="1840" w:type="dxa"/>
            <w:vAlign w:val="bottom"/>
            <w:shd w:val="clear" w:color="auto" w:fill="0E2A35"/>
          </w:tcPr>
          <w:p>
            <w:pPr>
              <w:spacing w:after="0"/>
              <w:rPr>
                <w:sz w:val="7"/>
                <w:szCs w:val="7"/>
                <w:color w:val="auto"/>
              </w:rPr>
            </w:pPr>
          </w:p>
        </w:tc>
        <w:tc>
          <w:tcPr>
            <w:tcW w:w="7440" w:type="dxa"/>
            <w:vAlign w:val="bottom"/>
            <w:gridSpan w:val="3"/>
            <w:shd w:val="clear" w:color="auto" w:fill="0E2A35"/>
          </w:tcPr>
          <w:p>
            <w:pPr>
              <w:spacing w:after="0"/>
              <w:rPr>
                <w:sz w:val="7"/>
                <w:szCs w:val="7"/>
                <w:color w:val="auto"/>
              </w:rPr>
            </w:pPr>
          </w:p>
        </w:tc>
      </w:tr>
      <w:tr>
        <w:trPr>
          <w:trHeight w:val="265"/>
        </w:trPr>
        <w:tc>
          <w:tcPr>
            <w:tcW w:w="1840" w:type="dxa"/>
            <w:vAlign w:val="bottom"/>
          </w:tcPr>
          <w:p>
            <w:pPr>
              <w:ind w:left="60"/>
              <w:spacing w:after="0"/>
              <w:rPr>
                <w:sz w:val="20"/>
                <w:szCs w:val="20"/>
                <w:color w:val="auto"/>
              </w:rPr>
            </w:pPr>
            <w:r>
              <w:rPr>
                <w:rFonts w:ascii="Arial" w:cs="Arial" w:eastAsia="Arial" w:hAnsi="Arial"/>
                <w:sz w:val="14"/>
                <w:szCs w:val="14"/>
                <w:color w:val="0E2A35"/>
              </w:rPr>
              <w:t>Financial</w:t>
            </w:r>
          </w:p>
        </w:tc>
        <w:tc>
          <w:tcPr>
            <w:tcW w:w="7440" w:type="dxa"/>
            <w:vAlign w:val="bottom"/>
            <w:gridSpan w:val="3"/>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For Messrs. Happe and Hughes and Ms. Bogart, 75% of the 2023 annual incentive awards were based on</w:t>
            </w:r>
          </w:p>
        </w:tc>
      </w:tr>
      <w:tr>
        <w:trPr>
          <w:trHeight w:val="162"/>
        </w:trPr>
        <w:tc>
          <w:tcPr>
            <w:tcW w:w="1840" w:type="dxa"/>
            <w:vAlign w:val="bottom"/>
          </w:tcPr>
          <w:p>
            <w:pPr>
              <w:spacing w:after="0"/>
              <w:rPr>
                <w:sz w:val="14"/>
                <w:szCs w:val="14"/>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achieving targeted levels of net revenue (40%), operating income (50%), and net working capital (10%) at the</w:t>
            </w:r>
          </w:p>
        </w:tc>
      </w:tr>
      <w:tr>
        <w:trPr>
          <w:trHeight w:val="162"/>
        </w:trPr>
        <w:tc>
          <w:tcPr>
            <w:tcW w:w="1840" w:type="dxa"/>
            <w:vAlign w:val="bottom"/>
          </w:tcPr>
          <w:p>
            <w:pPr>
              <w:spacing w:after="0"/>
              <w:rPr>
                <w:sz w:val="14"/>
                <w:szCs w:val="14"/>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enterprise level. For Mr. Bower, 75% of the 2023 annual incentive awards was based on achieving targeted</w:t>
            </w:r>
          </w:p>
        </w:tc>
      </w:tr>
      <w:tr>
        <w:trPr>
          <w:trHeight w:val="162"/>
        </w:trPr>
        <w:tc>
          <w:tcPr>
            <w:tcW w:w="1840" w:type="dxa"/>
            <w:vAlign w:val="bottom"/>
          </w:tcPr>
          <w:p>
            <w:pPr>
              <w:spacing w:after="0"/>
              <w:rPr>
                <w:sz w:val="14"/>
                <w:szCs w:val="14"/>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levels of net revenue (40%), operating income (50%), and net working capital (10%) at the business unit level.</w:t>
            </w:r>
          </w:p>
        </w:tc>
      </w:tr>
      <w:tr>
        <w:trPr>
          <w:trHeight w:val="162"/>
        </w:trPr>
        <w:tc>
          <w:tcPr>
            <w:tcW w:w="1840" w:type="dxa"/>
            <w:vAlign w:val="bottom"/>
          </w:tcPr>
          <w:p>
            <w:pPr>
              <w:spacing w:after="0"/>
              <w:rPr>
                <w:sz w:val="14"/>
                <w:szCs w:val="14"/>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The other 25% was tied to individual metrics aligned with goals deemed important to advancing business</w:t>
            </w:r>
          </w:p>
        </w:tc>
      </w:tr>
      <w:tr>
        <w:trPr>
          <w:trHeight w:val="182"/>
        </w:trPr>
        <w:tc>
          <w:tcPr>
            <w:tcW w:w="1840" w:type="dxa"/>
            <w:vAlign w:val="bottom"/>
          </w:tcPr>
          <w:p>
            <w:pPr>
              <w:spacing w:after="0"/>
              <w:rPr>
                <w:sz w:val="15"/>
                <w:szCs w:val="15"/>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objectives.</w:t>
            </w:r>
          </w:p>
        </w:tc>
      </w:tr>
      <w:tr>
        <w:trPr>
          <w:trHeight w:val="93"/>
        </w:trPr>
        <w:tc>
          <w:tcPr>
            <w:tcW w:w="1840" w:type="dxa"/>
            <w:vAlign w:val="bottom"/>
          </w:tcPr>
          <w:p>
            <w:pPr>
              <w:spacing w:after="0"/>
              <w:rPr>
                <w:sz w:val="8"/>
                <w:szCs w:val="8"/>
                <w:color w:val="auto"/>
              </w:rPr>
            </w:pPr>
          </w:p>
        </w:tc>
        <w:tc>
          <w:tcPr>
            <w:tcW w:w="7440" w:type="dxa"/>
            <w:vAlign w:val="bottom"/>
            <w:tcBorders>
              <w:bottom w:val="single" w:sz="8" w:color="0E2A35"/>
            </w:tcBorders>
            <w:gridSpan w:val="3"/>
          </w:tcPr>
          <w:p>
            <w:pPr>
              <w:spacing w:after="0"/>
              <w:rPr>
                <w:sz w:val="8"/>
                <w:szCs w:val="8"/>
                <w:color w:val="auto"/>
              </w:rPr>
            </w:pPr>
          </w:p>
        </w:tc>
      </w:tr>
      <w:tr>
        <w:trPr>
          <w:trHeight w:val="258"/>
        </w:trPr>
        <w:tc>
          <w:tcPr>
            <w:tcW w:w="1840" w:type="dxa"/>
            <w:vAlign w:val="bottom"/>
          </w:tcPr>
          <w:p>
            <w:pPr>
              <w:spacing w:after="0"/>
              <w:rPr>
                <w:sz w:val="22"/>
                <w:szCs w:val="22"/>
                <w:color w:val="auto"/>
              </w:rPr>
            </w:pPr>
          </w:p>
        </w:tc>
        <w:tc>
          <w:tcPr>
            <w:tcW w:w="7440" w:type="dxa"/>
            <w:vAlign w:val="bottom"/>
            <w:gridSpan w:val="3"/>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Pursuant to the terms of his employment agreement, Mr. Clark’s incentive compensation is tied 100% to the</w:t>
            </w:r>
          </w:p>
        </w:tc>
      </w:tr>
      <w:tr>
        <w:trPr>
          <w:trHeight w:val="182"/>
        </w:trPr>
        <w:tc>
          <w:tcPr>
            <w:tcW w:w="1840" w:type="dxa"/>
            <w:vAlign w:val="bottom"/>
          </w:tcPr>
          <w:p>
            <w:pPr>
              <w:spacing w:after="0"/>
              <w:rPr>
                <w:sz w:val="15"/>
                <w:szCs w:val="15"/>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pretax net income of the Grand Design business.</w:t>
            </w:r>
          </w:p>
        </w:tc>
      </w:tr>
      <w:tr>
        <w:trPr>
          <w:trHeight w:val="93"/>
        </w:trPr>
        <w:tc>
          <w:tcPr>
            <w:tcW w:w="1840" w:type="dxa"/>
            <w:vAlign w:val="bottom"/>
          </w:tcPr>
          <w:p>
            <w:pPr>
              <w:spacing w:after="0"/>
              <w:rPr>
                <w:sz w:val="8"/>
                <w:szCs w:val="8"/>
                <w:color w:val="auto"/>
              </w:rPr>
            </w:pPr>
          </w:p>
        </w:tc>
        <w:tc>
          <w:tcPr>
            <w:tcW w:w="860" w:type="dxa"/>
            <w:vAlign w:val="bottom"/>
            <w:tcBorders>
              <w:bottom w:val="single" w:sz="8" w:color="0E2A35"/>
            </w:tcBorders>
            <w:gridSpan w:val="2"/>
          </w:tcPr>
          <w:p>
            <w:pPr>
              <w:spacing w:after="0"/>
              <w:rPr>
                <w:sz w:val="8"/>
                <w:szCs w:val="8"/>
                <w:color w:val="auto"/>
              </w:rPr>
            </w:pPr>
          </w:p>
        </w:tc>
        <w:tc>
          <w:tcPr>
            <w:tcW w:w="6580" w:type="dxa"/>
            <w:vAlign w:val="bottom"/>
            <w:tcBorders>
              <w:bottom w:val="single" w:sz="8" w:color="0E2A35"/>
            </w:tcBorders>
          </w:tcPr>
          <w:p>
            <w:pPr>
              <w:spacing w:after="0"/>
              <w:rPr>
                <w:sz w:val="8"/>
                <w:szCs w:val="8"/>
                <w:color w:val="auto"/>
              </w:rPr>
            </w:pPr>
          </w:p>
        </w:tc>
      </w:tr>
      <w:tr>
        <w:trPr>
          <w:trHeight w:val="258"/>
        </w:trPr>
        <w:tc>
          <w:tcPr>
            <w:tcW w:w="184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Payout​</w:t>
            </w:r>
          </w:p>
        </w:tc>
        <w:tc>
          <w:tcPr>
            <w:tcW w:w="6580" w:type="dxa"/>
            <w:vAlign w:val="bottom"/>
          </w:tcPr>
          <w:p>
            <w:pPr>
              <w:ind w:left="20"/>
              <w:spacing w:after="0"/>
              <w:rPr>
                <w:sz w:val="20"/>
                <w:szCs w:val="20"/>
                <w:color w:val="auto"/>
              </w:rPr>
            </w:pPr>
            <w:r>
              <w:rPr>
                <w:rFonts w:ascii="Arial" w:cs="Arial" w:eastAsia="Arial" w:hAnsi="Arial"/>
                <w:sz w:val="14"/>
                <w:szCs w:val="14"/>
                <w:color w:val="0E2A35"/>
              </w:rPr>
              <w:t>for the fiscal 2021-2023 LTIP awards was tied 50% to our Incentive ROIC and 50% to our Incentive</w:t>
            </w:r>
          </w:p>
        </w:tc>
      </w:tr>
      <w:tr>
        <w:trPr>
          <w:trHeight w:val="182"/>
        </w:trPr>
        <w:tc>
          <w:tcPr>
            <w:tcW w:w="1840" w:type="dxa"/>
            <w:vAlign w:val="bottom"/>
          </w:tcPr>
          <w:p>
            <w:pPr>
              <w:spacing w:after="0"/>
              <w:rPr>
                <w:sz w:val="15"/>
                <w:szCs w:val="15"/>
                <w:color w:val="auto"/>
              </w:rPr>
            </w:pPr>
          </w:p>
        </w:tc>
        <w:tc>
          <w:tcPr>
            <w:tcW w:w="720" w:type="dxa"/>
            <w:vAlign w:val="bottom"/>
          </w:tcPr>
          <w:p>
            <w:pPr>
              <w:ind w:left="380"/>
              <w:spacing w:after="0"/>
              <w:rPr>
                <w:sz w:val="20"/>
                <w:szCs w:val="20"/>
                <w:color w:val="auto"/>
              </w:rPr>
            </w:pPr>
            <w:r>
              <w:rPr>
                <w:rFonts w:ascii="Arial" w:cs="Arial" w:eastAsia="Arial" w:hAnsi="Arial"/>
                <w:sz w:val="14"/>
                <w:szCs w:val="14"/>
                <w:color w:val="0E2A35"/>
              </w:rPr>
              <w:t>EPS.</w:t>
            </w:r>
          </w:p>
        </w:tc>
        <w:tc>
          <w:tcPr>
            <w:tcW w:w="140" w:type="dxa"/>
            <w:vAlign w:val="bottom"/>
          </w:tcPr>
          <w:p>
            <w:pPr>
              <w:spacing w:after="0"/>
              <w:rPr>
                <w:sz w:val="15"/>
                <w:szCs w:val="15"/>
                <w:color w:val="auto"/>
              </w:rPr>
            </w:pPr>
          </w:p>
        </w:tc>
        <w:tc>
          <w:tcPr>
            <w:tcW w:w="6580" w:type="dxa"/>
            <w:vAlign w:val="bottom"/>
          </w:tcPr>
          <w:p>
            <w:pPr>
              <w:spacing w:after="0"/>
              <w:rPr>
                <w:sz w:val="15"/>
                <w:szCs w:val="15"/>
                <w:color w:val="auto"/>
              </w:rPr>
            </w:pPr>
          </w:p>
        </w:tc>
      </w:tr>
      <w:tr>
        <w:trPr>
          <w:trHeight w:val="93"/>
        </w:trPr>
        <w:tc>
          <w:tcPr>
            <w:tcW w:w="1840" w:type="dxa"/>
            <w:vAlign w:val="bottom"/>
            <w:tcBorders>
              <w:bottom w:val="single" w:sz="8" w:color="0E2A35"/>
            </w:tcBorders>
          </w:tcPr>
          <w:p>
            <w:pPr>
              <w:spacing w:after="0"/>
              <w:rPr>
                <w:sz w:val="8"/>
                <w:szCs w:val="8"/>
                <w:color w:val="auto"/>
              </w:rPr>
            </w:pPr>
          </w:p>
        </w:tc>
        <w:tc>
          <w:tcPr>
            <w:tcW w:w="7440" w:type="dxa"/>
            <w:vAlign w:val="bottom"/>
            <w:tcBorders>
              <w:bottom w:val="single" w:sz="8" w:color="0E2A35"/>
            </w:tcBorders>
            <w:gridSpan w:val="3"/>
          </w:tcPr>
          <w:p>
            <w:pPr>
              <w:spacing w:after="0"/>
              <w:rPr>
                <w:sz w:val="8"/>
                <w:szCs w:val="8"/>
                <w:color w:val="auto"/>
              </w:rPr>
            </w:pPr>
          </w:p>
        </w:tc>
      </w:tr>
      <w:tr>
        <w:trPr>
          <w:trHeight w:val="258"/>
        </w:trPr>
        <w:tc>
          <w:tcPr>
            <w:tcW w:w="1840" w:type="dxa"/>
            <w:vAlign w:val="bottom"/>
          </w:tcPr>
          <w:p>
            <w:pPr>
              <w:ind w:left="60"/>
              <w:spacing w:after="0"/>
              <w:rPr>
                <w:sz w:val="20"/>
                <w:szCs w:val="20"/>
                <w:color w:val="auto"/>
              </w:rPr>
            </w:pPr>
            <w:r>
              <w:rPr>
                <w:rFonts w:ascii="Arial" w:cs="Arial" w:eastAsia="Arial" w:hAnsi="Arial"/>
                <w:sz w:val="14"/>
                <w:szCs w:val="14"/>
                <w:color w:val="0E2A35"/>
              </w:rPr>
              <w:t>Total Shareholder Returns</w:t>
            </w:r>
          </w:p>
        </w:tc>
        <w:tc>
          <w:tcPr>
            <w:tcW w:w="7440" w:type="dxa"/>
            <w:vAlign w:val="bottom"/>
            <w:gridSpan w:val="3"/>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With the exception of Mr. Clark, 54% of our NEO compensation on average was delivered in the form of</w:t>
            </w:r>
          </w:p>
        </w:tc>
      </w:tr>
      <w:tr>
        <w:trPr>
          <w:trHeight w:val="182"/>
        </w:trPr>
        <w:tc>
          <w:tcPr>
            <w:tcW w:w="1840" w:type="dxa"/>
            <w:vAlign w:val="bottom"/>
          </w:tcPr>
          <w:p>
            <w:pPr>
              <w:spacing w:after="0"/>
              <w:rPr>
                <w:sz w:val="15"/>
                <w:szCs w:val="15"/>
                <w:color w:val="auto"/>
              </w:rPr>
            </w:pPr>
          </w:p>
        </w:tc>
        <w:tc>
          <w:tcPr>
            <w:tcW w:w="7440" w:type="dxa"/>
            <w:vAlign w:val="bottom"/>
            <w:gridSpan w:val="3"/>
          </w:tcPr>
          <w:p>
            <w:pPr>
              <w:ind w:left="380"/>
              <w:spacing w:after="0"/>
              <w:rPr>
                <w:sz w:val="20"/>
                <w:szCs w:val="20"/>
                <w:color w:val="auto"/>
              </w:rPr>
            </w:pPr>
            <w:r>
              <w:rPr>
                <w:rFonts w:ascii="Arial" w:cs="Arial" w:eastAsia="Arial" w:hAnsi="Arial"/>
                <w:sz w:val="14"/>
                <w:szCs w:val="14"/>
                <w:color w:val="0E2A35"/>
              </w:rPr>
              <w:t>Company equity awards (75% in the case of our CEO).</w:t>
            </w:r>
          </w:p>
        </w:tc>
      </w:tr>
      <w:tr>
        <w:trPr>
          <w:trHeight w:val="93"/>
        </w:trPr>
        <w:tc>
          <w:tcPr>
            <w:tcW w:w="1840" w:type="dxa"/>
            <w:vAlign w:val="bottom"/>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720" w:type="dxa"/>
            <w:vAlign w:val="bottom"/>
            <w:tcBorders>
              <w:bottom w:val="single" w:sz="8" w:color="0E2A35"/>
            </w:tcBorders>
            <w:gridSpan w:val="2"/>
          </w:tcPr>
          <w:p>
            <w:pPr>
              <w:spacing w:after="0"/>
              <w:rPr>
                <w:sz w:val="8"/>
                <w:szCs w:val="8"/>
                <w:color w:val="auto"/>
              </w:rPr>
            </w:pPr>
          </w:p>
        </w:tc>
      </w:tr>
      <w:tr>
        <w:trPr>
          <w:trHeight w:val="258"/>
        </w:trPr>
        <w:tc>
          <w:tcPr>
            <w:tcW w:w="1840" w:type="dxa"/>
            <w:vAlign w:val="bottom"/>
          </w:tcPr>
          <w:p>
            <w:pPr>
              <w:spacing w:after="0"/>
              <w:rPr>
                <w:sz w:val="22"/>
                <w:szCs w:val="22"/>
                <w:color w:val="auto"/>
              </w:rPr>
            </w:pPr>
          </w:p>
        </w:tc>
        <w:tc>
          <w:tcPr>
            <w:tcW w:w="720" w:type="dxa"/>
            <w:vAlign w:val="bottom"/>
          </w:tcPr>
          <w:p>
            <w:pPr>
              <w:ind w:left="100"/>
              <w:spacing w:after="0"/>
              <w:rPr>
                <w:sz w:val="20"/>
                <w:szCs w:val="20"/>
                <w:color w:val="auto"/>
              </w:rPr>
            </w:pPr>
            <w:r>
              <w:rPr>
                <w:rFonts w:ascii="Arial" w:cs="Arial" w:eastAsia="Arial" w:hAnsi="Arial"/>
                <w:sz w:val="14"/>
                <w:szCs w:val="14"/>
                <w:color w:val="C7D265"/>
              </w:rPr>
              <w:t xml:space="preserve">■   </w:t>
            </w:r>
            <w:r>
              <w:rPr>
                <w:rFonts w:ascii="Arial" w:cs="Arial" w:eastAsia="Arial" w:hAnsi="Arial"/>
                <w:sz w:val="14"/>
                <w:szCs w:val="14"/>
                <w:color w:val="0E2A35"/>
              </w:rPr>
              <w:t>15%​</w:t>
            </w:r>
          </w:p>
        </w:tc>
        <w:tc>
          <w:tcPr>
            <w:tcW w:w="6720" w:type="dxa"/>
            <w:vAlign w:val="bottom"/>
            <w:gridSpan w:val="2"/>
          </w:tcPr>
          <w:p>
            <w:pPr>
              <w:spacing w:after="0"/>
              <w:rPr>
                <w:sz w:val="20"/>
                <w:szCs w:val="20"/>
                <w:color w:val="auto"/>
              </w:rPr>
            </w:pPr>
            <w:r>
              <w:rPr>
                <w:rFonts w:ascii="Arial" w:cs="Arial" w:eastAsia="Arial" w:hAnsi="Arial"/>
                <w:sz w:val="14"/>
                <w:szCs w:val="14"/>
                <w:color w:val="0E2A35"/>
              </w:rPr>
              <w:t>of the annual equity grants made in fiscal 2023 to all NEOs, excluding Mr. Clark, were in the form of stock</w:t>
            </w:r>
          </w:p>
        </w:tc>
      </w:tr>
      <w:tr>
        <w:trPr>
          <w:trHeight w:val="167"/>
        </w:trPr>
        <w:tc>
          <w:tcPr>
            <w:tcW w:w="1840" w:type="dxa"/>
            <w:vAlign w:val="bottom"/>
            <w:tcBorders>
              <w:bottom w:val="single" w:sz="8" w:color="0E2A35"/>
            </w:tcBorders>
          </w:tcPr>
          <w:p>
            <w:pPr>
              <w:spacing w:after="0"/>
              <w:rPr>
                <w:sz w:val="14"/>
                <w:szCs w:val="14"/>
                <w:color w:val="auto"/>
              </w:rPr>
            </w:pPr>
          </w:p>
        </w:tc>
        <w:tc>
          <w:tcPr>
            <w:tcW w:w="7440" w:type="dxa"/>
            <w:vAlign w:val="bottom"/>
            <w:tcBorders>
              <w:bottom w:val="single" w:sz="8" w:color="0E2A35"/>
            </w:tcBorders>
            <w:gridSpan w:val="3"/>
          </w:tcPr>
          <w:p>
            <w:pPr>
              <w:ind w:left="380"/>
              <w:spacing w:after="0"/>
              <w:rPr>
                <w:sz w:val="20"/>
                <w:szCs w:val="20"/>
                <w:color w:val="auto"/>
              </w:rPr>
            </w:pPr>
            <w:r>
              <w:rPr>
                <w:rFonts w:ascii="Arial" w:cs="Arial" w:eastAsia="Arial" w:hAnsi="Arial"/>
                <w:sz w:val="14"/>
                <w:szCs w:val="14"/>
                <w:color w:val="0E2A35"/>
              </w:rPr>
              <w:t>options, which only have value to the executive if the value of the Company grows for our shareholders.</w:t>
            </w:r>
          </w:p>
        </w:tc>
      </w:tr>
    </w:tbl>
    <w:p>
      <w:pPr>
        <w:spacing w:after="0" w:line="381"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0E2A35"/>
        </w:rPr>
        <w:t>Based on our performance as measured against predefined goals, the 2021-2023 LTIP paid out at 120.3% of target, and the fiscal 2023 Annual Incentive Plan paid out as follows for all NEOs, except for Mr. Clark: 19.5% of target for Messrs. Happe and Hughes and Ms. Bogart, and Mr. Bower did not receive a payout.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0E2A35"/>
        </w:rPr>
        <w:t>Mr. Clark received a cash and stock incentive award of $6,099,325 for fiscal 2023, of which $5,184,426 was paid in cash and</w:t>
      </w:r>
    </w:p>
    <w:p>
      <w:pPr>
        <w:spacing w:after="0" w:line="1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0E2A35"/>
        </w:rPr>
        <w:t>$914,899 was paid in restricted stock units for fiscal 2023 performance. The cash incentive was paid in four quarterly installments with respect to fiscal 2023, and the restricted stock units were issued in October 2023.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Other Pay and Governance Practices</w:t>
      </w:r>
    </w:p>
    <w:p>
      <w:pPr>
        <w:spacing w:after="0" w:line="201" w:lineRule="exact"/>
        <w:rPr>
          <w:sz w:val="20"/>
          <w:szCs w:val="20"/>
          <w:color w:val="auto"/>
        </w:rPr>
      </w:pPr>
    </w:p>
    <w:p>
      <w:pPr>
        <w:jc w:val="both"/>
        <w:ind w:right="620"/>
        <w:spacing w:after="0" w:line="276" w:lineRule="auto"/>
        <w:rPr>
          <w:sz w:val="20"/>
          <w:szCs w:val="20"/>
          <w:color w:val="auto"/>
        </w:rPr>
      </w:pPr>
      <w:r>
        <w:rPr>
          <w:rFonts w:ascii="Arial" w:cs="Arial" w:eastAsia="Arial" w:hAnsi="Arial"/>
          <w:sz w:val="16"/>
          <w:szCs w:val="16"/>
          <w:color w:val="0E2A35"/>
        </w:rPr>
        <w:t>The Company has adopted the following key programs, policies and practices to respond to best governance practices in executive compensation and enhance the alignment of our executive compensation programs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5897880" cy="2571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97880" cy="257175"/>
                    </a:xfrm>
                    <a:prstGeom prst="rect">
                      <a:avLst/>
                    </a:prstGeom>
                    <a:noFill/>
                  </pic:spPr>
                </pic:pic>
              </a:graphicData>
            </a:graphic>
          </wp:anchor>
        </w:drawing>
      </w:r>
    </w:p>
    <w:p>
      <w:pPr>
        <w:spacing w:after="0" w:line="197" w:lineRule="exact"/>
        <w:rPr>
          <w:sz w:val="20"/>
          <w:szCs w:val="20"/>
          <w:color w:val="auto"/>
        </w:rPr>
      </w:pPr>
    </w:p>
    <w:p>
      <w:pPr>
        <w:ind w:left="1820"/>
        <w:spacing w:after="0"/>
        <w:tabs>
          <w:tab w:leader="none" w:pos="6320" w:val="left"/>
        </w:tabs>
        <w:rPr>
          <w:sz w:val="20"/>
          <w:szCs w:val="20"/>
          <w:color w:val="auto"/>
        </w:rPr>
      </w:pPr>
      <w:r>
        <w:rPr>
          <w:rFonts w:ascii="Arial" w:cs="Arial" w:eastAsia="Arial" w:hAnsi="Arial"/>
          <w:sz w:val="16"/>
          <w:szCs w:val="16"/>
          <w:b w:val="1"/>
          <w:bCs w:val="1"/>
          <w:color w:val="FFFFFF"/>
        </w:rPr>
        <w:t>What we do</w:t>
      </w:r>
      <w:r>
        <w:rPr>
          <w:sz w:val="20"/>
          <w:szCs w:val="20"/>
          <w:color w:val="auto"/>
        </w:rPr>
        <w:tab/>
      </w:r>
      <w:r>
        <w:rPr>
          <w:rFonts w:ascii="Arial" w:cs="Arial" w:eastAsia="Arial" w:hAnsi="Arial"/>
          <w:sz w:val="16"/>
          <w:szCs w:val="16"/>
          <w:b w:val="1"/>
          <w:bCs w:val="1"/>
          <w:color w:val="FFFFFF"/>
        </w:rPr>
        <w:t>What we don’t do</w:t>
      </w:r>
    </w:p>
    <w:p>
      <w:pPr>
        <w:sectPr>
          <w:pgSz w:w="11900" w:h="16838" w:orient="portrait"/>
          <w:cols w:equalWidth="0" w:num="1">
            <w:col w:w="9280"/>
          </w:cols>
          <w:pgMar w:left="1300" w:top="265" w:right="1319" w:bottom="1440" w:gutter="0" w:footer="0" w:header="0"/>
        </w:sectPr>
      </w:pPr>
    </w:p>
    <w:p>
      <w:pPr>
        <w:spacing w:after="0" w:line="199" w:lineRule="exact"/>
        <w:rPr>
          <w:sz w:val="20"/>
          <w:szCs w:val="20"/>
          <w:color w:val="auto"/>
        </w:rPr>
      </w:pPr>
    </w:p>
    <w:p>
      <w:pPr>
        <w:ind w:left="60" w:right="320"/>
        <w:spacing w:after="0" w:line="198"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 Tie the majority of target total compensation to performance </w:t>
      </w:r>
      <w:r>
        <w:rPr>
          <w:rFonts w:ascii="MS PGothic" w:cs="MS PGothic" w:eastAsia="MS PGothic" w:hAnsi="MS PGothic"/>
          <w:sz w:val="14"/>
          <w:szCs w:val="14"/>
          <w:color w:val="0E2A35"/>
        </w:rPr>
        <w:t>✔</w:t>
      </w:r>
      <w:r>
        <w:rPr>
          <w:rFonts w:ascii="Arial" w:cs="Arial" w:eastAsia="Arial" w:hAnsi="Arial"/>
          <w:sz w:val="14"/>
          <w:szCs w:val="14"/>
          <w:color w:val="0E2A35"/>
        </w:rPr>
        <w:t> Provide appropriate mix of pay to reward Company, line of</w:t>
      </w:r>
    </w:p>
    <w:p>
      <w:pPr>
        <w:ind w:left="300"/>
        <w:spacing w:after="0" w:line="237" w:lineRule="auto"/>
        <w:rPr>
          <w:sz w:val="20"/>
          <w:szCs w:val="20"/>
          <w:color w:val="auto"/>
        </w:rPr>
      </w:pPr>
      <w:r>
        <w:rPr>
          <w:rFonts w:ascii="Arial" w:cs="Arial" w:eastAsia="Arial" w:hAnsi="Arial"/>
          <w:sz w:val="14"/>
          <w:szCs w:val="14"/>
          <w:color w:val="0E2A35"/>
        </w:rPr>
        <w:t>business, and individual performance</w:t>
      </w:r>
    </w:p>
    <w:p>
      <w:pPr>
        <w:ind w:left="300" w:right="180" w:hanging="252"/>
        <w:spacing w:after="0" w:line="169"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 Align executive interests with the interests of the shareholders through equity-based awards</w:t>
      </w:r>
    </w:p>
    <w:p>
      <w:pPr>
        <w:spacing w:after="0" w:line="1" w:lineRule="exact"/>
        <w:rPr>
          <w:sz w:val="20"/>
          <w:szCs w:val="20"/>
          <w:color w:val="auto"/>
        </w:rPr>
      </w:pPr>
    </w:p>
    <w:p>
      <w:pPr>
        <w:jc w:val="both"/>
        <w:ind w:left="300" w:right="20" w:hanging="252"/>
        <w:spacing w:after="0" w:line="166"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 Maintain clawback policies, applicable to our executive officers’ incentive awards, which provide for the recoupment of incentive compensation payouts following certain financial restatements or in the event of certain misconduct</w:t>
      </w:r>
    </w:p>
    <w:p>
      <w:pPr>
        <w:spacing w:after="0" w:line="1" w:lineRule="exact"/>
        <w:rPr>
          <w:sz w:val="20"/>
          <w:szCs w:val="20"/>
          <w:color w:val="auto"/>
        </w:rPr>
      </w:pPr>
    </w:p>
    <w:p>
      <w:pPr>
        <w:ind w:left="300" w:hanging="252"/>
        <w:spacing w:after="0" w:line="169"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 Align our performance goals and measures with our strategy and operating plan</w:t>
      </w:r>
    </w:p>
    <w:p>
      <w:pPr>
        <w:spacing w:after="0" w:line="1" w:lineRule="exact"/>
        <w:rPr>
          <w:sz w:val="20"/>
          <w:szCs w:val="20"/>
          <w:color w:val="auto"/>
        </w:rPr>
      </w:pPr>
    </w:p>
    <w:p>
      <w:pPr>
        <w:ind w:left="300" w:right="320" w:hanging="252"/>
        <w:spacing w:after="0" w:line="169"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 Maintain meaningful executive and director stock ownership guidelines</w:t>
      </w:r>
    </w:p>
    <w:p>
      <w:pPr>
        <w:spacing w:after="0" w:line="1" w:lineRule="exact"/>
        <w:rPr>
          <w:sz w:val="20"/>
          <w:szCs w:val="20"/>
          <w:color w:val="auto"/>
        </w:rPr>
      </w:pPr>
    </w:p>
    <w:p>
      <w:pPr>
        <w:ind w:left="60"/>
        <w:spacing w:after="0" w:line="161"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 Conduct annual “say-on-pay” advisory votes</w:t>
      </w:r>
    </w:p>
    <w:p>
      <w:pPr>
        <w:spacing w:after="0" w:line="15" w:lineRule="exact"/>
        <w:rPr>
          <w:sz w:val="20"/>
          <w:szCs w:val="20"/>
          <w:color w:val="auto"/>
        </w:rPr>
      </w:pPr>
    </w:p>
    <w:p>
      <w:pPr>
        <w:ind w:left="300" w:right="420" w:hanging="252"/>
        <w:spacing w:after="0" w:line="176"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 Use an outside, independent third-party advisor to provide objective compensation advice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​ Provide excessive severance benefits to our executive officers</w:t>
      </w:r>
    </w:p>
    <w:p>
      <w:pPr>
        <w:spacing w:after="0" w:line="60"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 Provide excise tax gross-ups upon change in control</w:t>
      </w:r>
    </w:p>
    <w:p>
      <w:pPr>
        <w:spacing w:after="0" w:line="1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 Grant equity awards subject to automatic acceleration of vesting</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4"/>
          <w:szCs w:val="14"/>
          <w:color w:val="0E2A35"/>
        </w:rPr>
        <w:t>(i.e., single-trigger) upon change in control</w:t>
      </w:r>
    </w:p>
    <w:p>
      <w:pPr>
        <w:ind w:left="240" w:right="340" w:hanging="240"/>
        <w:spacing w:after="0" w:line="169"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 Allow for hedging, pledging or speculative trading of Company securities by executives or directors</w:t>
      </w:r>
    </w:p>
    <w:p>
      <w:pPr>
        <w:spacing w:after="0" w:line="1" w:lineRule="exact"/>
        <w:rPr>
          <w:sz w:val="20"/>
          <w:szCs w:val="20"/>
          <w:color w:val="auto"/>
        </w:rPr>
      </w:pPr>
    </w:p>
    <w:p>
      <w:pPr>
        <w:ind w:right="1400"/>
        <w:spacing w:after="0" w:line="188" w:lineRule="exact"/>
        <w:rPr>
          <w:sz w:val="20"/>
          <w:szCs w:val="20"/>
          <w:color w:val="auto"/>
        </w:rPr>
      </w:pPr>
      <w:r>
        <w:rPr>
          <w:rFonts w:ascii="MS PGothic" w:cs="MS PGothic" w:eastAsia="MS PGothic" w:hAnsi="MS PGothic"/>
          <w:sz w:val="14"/>
          <w:szCs w:val="14"/>
          <w:color w:val="0E2A35"/>
        </w:rPr>
        <w:t>✘</w:t>
      </w:r>
      <w:r>
        <w:rPr>
          <w:rFonts w:ascii="Arial" w:cs="Arial" w:eastAsia="Arial" w:hAnsi="Arial"/>
          <w:sz w:val="14"/>
          <w:szCs w:val="14"/>
          <w:color w:val="0E2A35"/>
        </w:rPr>
        <w:t xml:space="preserve"> Reprice options without shareholder approval </w:t>
      </w:r>
      <w:r>
        <w:rPr>
          <w:rFonts w:ascii="MS PGothic" w:cs="MS PGothic" w:eastAsia="MS PGothic" w:hAnsi="MS PGothic"/>
          <w:sz w:val="14"/>
          <w:szCs w:val="14"/>
          <w:color w:val="0E2A35"/>
        </w:rPr>
        <w:t>✘</w:t>
      </w:r>
      <w:r>
        <w:rPr>
          <w:rFonts w:ascii="Arial" w:cs="Arial" w:eastAsia="Arial" w:hAnsi="Arial"/>
          <w:sz w:val="14"/>
          <w:szCs w:val="14"/>
          <w:color w:val="0E2A35"/>
        </w:rPr>
        <w:t> Provide significant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892810</wp:posOffset>
            </wp:positionV>
            <wp:extent cx="58978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512" w:lineRule="exact"/>
        <w:rPr>
          <w:sz w:val="20"/>
          <w:szCs w:val="20"/>
          <w:color w:val="auto"/>
        </w:rPr>
      </w:pPr>
    </w:p>
    <w:p>
      <w:pPr>
        <w:sectPr>
          <w:pgSz w:w="11900" w:h="16838" w:orient="portrait"/>
          <w:cols w:equalWidth="0" w:num="2">
            <w:col w:w="4440" w:space="280"/>
            <w:col w:w="4560"/>
          </w:cols>
          <w:pgMar w:left="1300" w:top="265" w:right="1319" w:bottom="1440" w:gutter="0" w:footer="0" w:header="0"/>
          <w:type w:val="continuous"/>
        </w:sectPr>
      </w:pPr>
    </w:p>
    <w:p>
      <w:pPr>
        <w:spacing w:after="0" w:line="209"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200660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46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Advisory Vote on Executive Compensation</w:t>
      </w:r>
    </w:p>
    <w:p>
      <w:pPr>
        <w:spacing w:after="0" w:line="20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0E2A35"/>
        </w:rPr>
        <w:t>At our 2022 annual meeting of shareholders, our shareholders voted to approve on an advisory basis the compensation of our NEOs. 95.4% of the votes cast with respect to this proposal were cast for approval of our NEOs’ compensation. The Human Resources Committee determined that our current 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Elements of Fiscal 2023 Compensation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0E2A35"/>
        </w:rPr>
        <w:t>The table below lays out the fiscal 2023 compensation elements for all NEOs, other than Mr. Clark.</w:t>
      </w:r>
    </w:p>
    <w:p>
      <w:pPr>
        <w:spacing w:after="0" w:line="63"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760" w:type="dxa"/>
            <w:vAlign w:val="bottom"/>
            <w:tcBorders>
              <w:top w:val="single" w:sz="8" w:color="0E2A35"/>
              <w:left w:val="single" w:sz="8" w:color="0E2A35"/>
              <w:right w:val="single" w:sz="8" w:color="0E2A35"/>
            </w:tcBorders>
          </w:tcPr>
          <w:p>
            <w:pPr>
              <w:spacing w:after="0"/>
              <w:rPr>
                <w:sz w:val="24"/>
                <w:szCs w:val="24"/>
                <w:color w:val="auto"/>
              </w:rPr>
            </w:pPr>
          </w:p>
        </w:tc>
        <w:tc>
          <w:tcPr>
            <w:tcW w:w="40" w:type="dxa"/>
            <w:vAlign w:val="bottom"/>
            <w:tcBorders>
              <w:top w:val="single" w:sz="8" w:color="0E2A35"/>
            </w:tcBorders>
          </w:tcPr>
          <w:p>
            <w:pPr>
              <w:spacing w:after="0"/>
              <w:rPr>
                <w:sz w:val="24"/>
                <w:szCs w:val="24"/>
                <w:color w:val="auto"/>
              </w:rPr>
            </w:pPr>
          </w:p>
        </w:tc>
        <w:tc>
          <w:tcPr>
            <w:tcW w:w="2260" w:type="dxa"/>
            <w:vAlign w:val="bottom"/>
            <w:tcBorders>
              <w:top w:val="single" w:sz="8" w:color="0E2A35"/>
              <w:right w:val="single" w:sz="8" w:color="0E2A35"/>
            </w:tcBorders>
            <w:gridSpan w:val="2"/>
          </w:tcPr>
          <w:p>
            <w:pPr>
              <w:ind w:left="820"/>
              <w:spacing w:after="0"/>
              <w:rPr>
                <w:sz w:val="20"/>
                <w:szCs w:val="20"/>
                <w:color w:val="auto"/>
              </w:rPr>
            </w:pPr>
            <w:r>
              <w:rPr>
                <w:rFonts w:ascii="Arial" w:cs="Arial" w:eastAsia="Arial" w:hAnsi="Arial"/>
                <w:sz w:val="14"/>
                <w:szCs w:val="14"/>
                <w:b w:val="1"/>
                <w:bCs w:val="1"/>
                <w:color w:val="0E2A35"/>
              </w:rPr>
              <w:t>Element</w:t>
            </w:r>
          </w:p>
        </w:tc>
        <w:tc>
          <w:tcPr>
            <w:tcW w:w="40" w:type="dxa"/>
            <w:vAlign w:val="bottom"/>
            <w:tcBorders>
              <w:top w:val="single" w:sz="8" w:color="0E2A35"/>
            </w:tcBorders>
          </w:tcPr>
          <w:p>
            <w:pPr>
              <w:spacing w:after="0"/>
              <w:rPr>
                <w:sz w:val="24"/>
                <w:szCs w:val="24"/>
                <w:color w:val="auto"/>
              </w:rPr>
            </w:pPr>
          </w:p>
        </w:tc>
        <w:tc>
          <w:tcPr>
            <w:tcW w:w="3700" w:type="dxa"/>
            <w:vAlign w:val="bottom"/>
            <w:tcBorders>
              <w:top w:val="single" w:sz="8" w:color="0E2A35"/>
              <w:right w:val="single" w:sz="8" w:color="0E2A35"/>
            </w:tcBorders>
            <w:gridSpan w:val="2"/>
          </w:tcPr>
          <w:p>
            <w:pPr>
              <w:ind w:left="1440"/>
              <w:spacing w:after="0"/>
              <w:rPr>
                <w:sz w:val="20"/>
                <w:szCs w:val="20"/>
                <w:color w:val="auto"/>
              </w:rPr>
            </w:pPr>
            <w:r>
              <w:rPr>
                <w:rFonts w:ascii="Arial" w:cs="Arial" w:eastAsia="Arial" w:hAnsi="Arial"/>
                <w:sz w:val="14"/>
                <w:szCs w:val="14"/>
                <w:b w:val="1"/>
                <w:bCs w:val="1"/>
                <w:color w:val="0E2A35"/>
              </w:rPr>
              <w:t>Mechanics</w:t>
            </w:r>
          </w:p>
        </w:tc>
        <w:tc>
          <w:tcPr>
            <w:tcW w:w="40" w:type="dxa"/>
            <w:vAlign w:val="bottom"/>
            <w:tcBorders>
              <w:top w:val="single" w:sz="8" w:color="0E2A35"/>
            </w:tcBorders>
          </w:tcPr>
          <w:p>
            <w:pPr>
              <w:spacing w:after="0"/>
              <w:rPr>
                <w:sz w:val="24"/>
                <w:szCs w:val="24"/>
                <w:color w:val="auto"/>
              </w:rPr>
            </w:pPr>
          </w:p>
        </w:tc>
        <w:tc>
          <w:tcPr>
            <w:tcW w:w="2460" w:type="dxa"/>
            <w:vAlign w:val="bottom"/>
            <w:tcBorders>
              <w:top w:val="single" w:sz="8" w:color="0E2A35"/>
              <w:right w:val="single" w:sz="8" w:color="0E2A35"/>
            </w:tcBorders>
          </w:tcPr>
          <w:p>
            <w:pPr>
              <w:ind w:left="860"/>
              <w:spacing w:after="0"/>
              <w:rPr>
                <w:sz w:val="20"/>
                <w:szCs w:val="20"/>
                <w:color w:val="auto"/>
              </w:rPr>
            </w:pPr>
            <w:r>
              <w:rPr>
                <w:rFonts w:ascii="Arial" w:cs="Arial" w:eastAsia="Arial" w:hAnsi="Arial"/>
                <w:sz w:val="14"/>
                <w:szCs w:val="14"/>
                <w:b w:val="1"/>
                <w:bCs w:val="1"/>
                <w:color w:val="0E2A35"/>
              </w:rPr>
              <w:t>Rationale</w:t>
            </w:r>
          </w:p>
        </w:tc>
        <w:tc>
          <w:tcPr>
            <w:tcW w:w="0" w:type="dxa"/>
            <w:vAlign w:val="bottom"/>
          </w:tcPr>
          <w:p>
            <w:pPr>
              <w:spacing w:after="0"/>
              <w:rPr>
                <w:sz w:val="1"/>
                <w:szCs w:val="1"/>
                <w:color w:val="auto"/>
              </w:rPr>
            </w:pPr>
          </w:p>
        </w:tc>
      </w:tr>
      <w:tr>
        <w:trPr>
          <w:trHeight w:val="43"/>
        </w:trPr>
        <w:tc>
          <w:tcPr>
            <w:tcW w:w="760" w:type="dxa"/>
            <w:vAlign w:val="bottom"/>
            <w:tcBorders>
              <w:left w:val="single" w:sz="8" w:color="0E2A35"/>
              <w:right w:val="single" w:sz="8" w:color="0E2A35"/>
            </w:tcBorders>
          </w:tcPr>
          <w:p>
            <w:pPr>
              <w:spacing w:after="0"/>
              <w:rPr>
                <w:sz w:val="3"/>
                <w:szCs w:val="3"/>
                <w:color w:val="auto"/>
              </w:rPr>
            </w:pPr>
          </w:p>
        </w:tc>
        <w:tc>
          <w:tcPr>
            <w:tcW w:w="40" w:type="dxa"/>
            <w:vAlign w:val="bottom"/>
          </w:tcPr>
          <w:p>
            <w:pPr>
              <w:spacing w:after="0"/>
              <w:rPr>
                <w:sz w:val="3"/>
                <w:szCs w:val="3"/>
                <w:color w:val="auto"/>
              </w:rPr>
            </w:pPr>
          </w:p>
        </w:tc>
        <w:tc>
          <w:tcPr>
            <w:tcW w:w="2180" w:type="dxa"/>
            <w:vAlign w:val="bottom"/>
            <w:tcBorders>
              <w:bottom w:val="single" w:sz="8" w:color="0E2A35"/>
            </w:tcBorders>
          </w:tcPr>
          <w:p>
            <w:pPr>
              <w:spacing w:after="0"/>
              <w:rPr>
                <w:sz w:val="3"/>
                <w:szCs w:val="3"/>
                <w:color w:val="auto"/>
              </w:rPr>
            </w:pPr>
          </w:p>
        </w:tc>
        <w:tc>
          <w:tcPr>
            <w:tcW w:w="80" w:type="dxa"/>
            <w:vAlign w:val="bottom"/>
            <w:tcBorders>
              <w:right w:val="single" w:sz="8" w:color="0E2A35"/>
            </w:tcBorders>
          </w:tcPr>
          <w:p>
            <w:pPr>
              <w:spacing w:after="0"/>
              <w:rPr>
                <w:sz w:val="3"/>
                <w:szCs w:val="3"/>
                <w:color w:val="auto"/>
              </w:rPr>
            </w:pPr>
          </w:p>
        </w:tc>
        <w:tc>
          <w:tcPr>
            <w:tcW w:w="40" w:type="dxa"/>
            <w:vAlign w:val="bottom"/>
          </w:tcPr>
          <w:p>
            <w:pPr>
              <w:spacing w:after="0"/>
              <w:rPr>
                <w:sz w:val="3"/>
                <w:szCs w:val="3"/>
                <w:color w:val="auto"/>
              </w:rPr>
            </w:pPr>
          </w:p>
        </w:tc>
        <w:tc>
          <w:tcPr>
            <w:tcW w:w="3620" w:type="dxa"/>
            <w:vAlign w:val="bottom"/>
            <w:tcBorders>
              <w:bottom w:val="single" w:sz="8" w:color="0E2A35"/>
            </w:tcBorders>
          </w:tcPr>
          <w:p>
            <w:pPr>
              <w:spacing w:after="0"/>
              <w:rPr>
                <w:sz w:val="3"/>
                <w:szCs w:val="3"/>
                <w:color w:val="auto"/>
              </w:rPr>
            </w:pPr>
          </w:p>
        </w:tc>
        <w:tc>
          <w:tcPr>
            <w:tcW w:w="80" w:type="dxa"/>
            <w:vAlign w:val="bottom"/>
            <w:tcBorders>
              <w:right w:val="single" w:sz="8" w:color="0E2A35"/>
            </w:tcBorders>
          </w:tcPr>
          <w:p>
            <w:pPr>
              <w:spacing w:after="0"/>
              <w:rPr>
                <w:sz w:val="3"/>
                <w:szCs w:val="3"/>
                <w:color w:val="auto"/>
              </w:rPr>
            </w:pPr>
          </w:p>
        </w:tc>
        <w:tc>
          <w:tcPr>
            <w:tcW w:w="40" w:type="dxa"/>
            <w:vAlign w:val="bottom"/>
          </w:tcPr>
          <w:p>
            <w:pPr>
              <w:spacing w:after="0"/>
              <w:rPr>
                <w:sz w:val="3"/>
                <w:szCs w:val="3"/>
                <w:color w:val="auto"/>
              </w:rPr>
            </w:pPr>
          </w:p>
        </w:tc>
        <w:tc>
          <w:tcPr>
            <w:tcW w:w="2460" w:type="dxa"/>
            <w:vAlign w:val="bottom"/>
            <w:tcBorders>
              <w:bottom w:val="single" w:sz="8" w:color="0E2A35"/>
              <w:right w:val="single" w:sz="8" w:color="0E2A35"/>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760" w:type="dxa"/>
            <w:vAlign w:val="bottom"/>
            <w:tcBorders>
              <w:left w:val="single" w:sz="8" w:color="0E2A35"/>
              <w:right w:val="single" w:sz="8" w:color="0E2A35"/>
            </w:tcBorders>
          </w:tcPr>
          <w:p>
            <w:pPr>
              <w:spacing w:after="0"/>
              <w:rPr>
                <w:sz w:val="20"/>
                <w:szCs w:val="20"/>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Salary</w:t>
            </w: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Weekly payments</w:t>
            </w:r>
          </w:p>
        </w:tc>
        <w:tc>
          <w:tcPr>
            <w:tcW w:w="40" w:type="dxa"/>
            <w:vAlign w:val="bottom"/>
          </w:tcPr>
          <w:p>
            <w:pPr>
              <w:spacing w:after="0"/>
              <w:rPr>
                <w:sz w:val="20"/>
                <w:szCs w:val="20"/>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Provides competitive fixed pay to</w:t>
            </w:r>
          </w:p>
        </w:tc>
        <w:tc>
          <w:tcPr>
            <w:tcW w:w="0" w:type="dxa"/>
            <w:vAlign w:val="bottom"/>
          </w:tcPr>
          <w:p>
            <w:pPr>
              <w:spacing w:after="0"/>
              <w:rPr>
                <w:sz w:val="1"/>
                <w:szCs w:val="1"/>
                <w:color w:val="auto"/>
              </w:rPr>
            </w:pPr>
          </w:p>
        </w:tc>
      </w:tr>
      <w:tr>
        <w:trPr>
          <w:trHeight w:val="207"/>
        </w:trPr>
        <w:tc>
          <w:tcPr>
            <w:tcW w:w="760" w:type="dxa"/>
            <w:vAlign w:val="bottom"/>
            <w:tcBorders>
              <w:left w:val="single" w:sz="8" w:color="0E2A35"/>
              <w:right w:val="single" w:sz="8" w:color="0E2A35"/>
            </w:tcBorders>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Borders>
              <w:right w:val="single" w:sz="8" w:color="0E2A35"/>
            </w:tcBorders>
          </w:tcPr>
          <w:p>
            <w:pPr>
              <w:spacing w:after="0"/>
              <w:rPr>
                <w:sz w:val="17"/>
                <w:szCs w:val="17"/>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Values correspond to experience and job scope</w:t>
            </w:r>
          </w:p>
        </w:tc>
        <w:tc>
          <w:tcPr>
            <w:tcW w:w="40" w:type="dxa"/>
            <w:vAlign w:val="bottom"/>
          </w:tcPr>
          <w:p>
            <w:pPr>
              <w:spacing w:after="0"/>
              <w:rPr>
                <w:sz w:val="17"/>
                <w:szCs w:val="17"/>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attract employees</w:t>
            </w:r>
          </w:p>
        </w:tc>
        <w:tc>
          <w:tcPr>
            <w:tcW w:w="0" w:type="dxa"/>
            <w:vAlign w:val="bottom"/>
          </w:tcPr>
          <w:p>
            <w:pPr>
              <w:spacing w:after="0"/>
              <w:rPr>
                <w:sz w:val="1"/>
                <w:szCs w:val="1"/>
                <w:color w:val="auto"/>
              </w:rPr>
            </w:pPr>
          </w:p>
        </w:tc>
      </w:tr>
      <w:tr>
        <w:trPr>
          <w:trHeight w:val="60"/>
        </w:trPr>
        <w:tc>
          <w:tcPr>
            <w:tcW w:w="760" w:type="dxa"/>
            <w:vAlign w:val="bottom"/>
            <w:tcBorders>
              <w:left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18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362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460" w:type="dxa"/>
            <w:vAlign w:val="bottom"/>
            <w:tcBorders>
              <w:bottom w:val="single" w:sz="8" w:color="0E2A35"/>
              <w:right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760" w:type="dxa"/>
            <w:vAlign w:val="bottom"/>
            <w:tcBorders>
              <w:left w:val="single" w:sz="8" w:color="0E2A35"/>
              <w:right w:val="single" w:sz="8" w:color="0E2A35"/>
            </w:tcBorders>
          </w:tcPr>
          <w:p>
            <w:pPr>
              <w:spacing w:after="0"/>
              <w:rPr>
                <w:sz w:val="20"/>
                <w:szCs w:val="20"/>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Officers Incentive</w:t>
            </w: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Annual payout tied to performance against pre-</w:t>
            </w:r>
          </w:p>
        </w:tc>
        <w:tc>
          <w:tcPr>
            <w:tcW w:w="40" w:type="dxa"/>
            <w:vAlign w:val="bottom"/>
          </w:tcPr>
          <w:p>
            <w:pPr>
              <w:spacing w:after="0"/>
              <w:rPr>
                <w:sz w:val="20"/>
                <w:szCs w:val="20"/>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Incentivizes achievement of key</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Compensation Plan (OICP)</w:t>
            </w: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determined metrics and goals across a one-year</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annual objectives at an</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performance period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enterprise-wide or individual</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For fiscal 2023, the metrics for Messrs. Happe and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business unit level, driving</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Hughes and Ms. Bogart included: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progress towards achievement of</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• 75% financial objectives (enterprise level)</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long-term initiatives</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  </w:t>
            </w:r>
            <w:r>
              <w:rPr>
                <w:rFonts w:ascii="Arial" w:cs="Arial" w:eastAsia="Arial" w:hAnsi="Arial"/>
                <w:sz w:val="10"/>
                <w:szCs w:val="10"/>
                <w:color w:val="0E2A35"/>
              </w:rPr>
              <w:t>○</w:t>
            </w:r>
            <w:r>
              <w:rPr>
                <w:rFonts w:ascii="Arial" w:cs="Arial" w:eastAsia="Arial" w:hAnsi="Arial"/>
                <w:sz w:val="16"/>
                <w:szCs w:val="16"/>
                <w:color w:val="0E2A35"/>
              </w:rPr>
              <w:t> 40% Net Revenue</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vMerge w:val="restart"/>
          </w:tcPr>
          <w:p>
            <w:pPr>
              <w:jc w:val="center"/>
              <w:spacing w:after="0"/>
              <w:rPr>
                <w:sz w:val="20"/>
                <w:szCs w:val="20"/>
                <w:color w:val="auto"/>
              </w:rPr>
            </w:pPr>
            <w:r>
              <w:rPr>
                <w:rFonts w:ascii="Arial" w:cs="Arial" w:eastAsia="Arial" w:hAnsi="Arial"/>
                <w:sz w:val="16"/>
                <w:szCs w:val="16"/>
                <w:color w:val="0E2A35"/>
                <w:w w:val="98"/>
              </w:rPr>
              <w:t>Paid in</w:t>
            </w: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  </w:t>
            </w:r>
            <w:r>
              <w:rPr>
                <w:rFonts w:ascii="Arial" w:cs="Arial" w:eastAsia="Arial" w:hAnsi="Arial"/>
                <w:sz w:val="10"/>
                <w:szCs w:val="10"/>
                <w:color w:val="0E2A35"/>
              </w:rPr>
              <w:t>○</w:t>
            </w:r>
            <w:r>
              <w:rPr>
                <w:rFonts w:ascii="Arial" w:cs="Arial" w:eastAsia="Arial" w:hAnsi="Arial"/>
                <w:sz w:val="16"/>
                <w:szCs w:val="16"/>
                <w:color w:val="0E2A35"/>
              </w:rPr>
              <w:t> 50% Operating Income</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760" w:type="dxa"/>
            <w:vAlign w:val="bottom"/>
            <w:tcBorders>
              <w:left w:val="single" w:sz="8" w:color="0E2A35"/>
              <w:right w:val="single" w:sz="8" w:color="0E2A35"/>
            </w:tcBorders>
            <w:vMerge w:val="continue"/>
          </w:tcPr>
          <w:p>
            <w:pPr>
              <w:spacing w:after="0"/>
              <w:rPr>
                <w:sz w:val="9"/>
                <w:szCs w:val="9"/>
                <w:color w:val="auto"/>
              </w:rPr>
            </w:pPr>
          </w:p>
        </w:tc>
        <w:tc>
          <w:tcPr>
            <w:tcW w:w="2300" w:type="dxa"/>
            <w:vAlign w:val="bottom"/>
            <w:tcBorders>
              <w:right w:val="single" w:sz="8" w:color="0E2A35"/>
            </w:tcBorders>
            <w:gridSpan w:val="3"/>
          </w:tcPr>
          <w:p>
            <w:pPr>
              <w:spacing w:after="0"/>
              <w:rPr>
                <w:sz w:val="9"/>
                <w:szCs w:val="9"/>
                <w:color w:val="auto"/>
              </w:rPr>
            </w:pPr>
          </w:p>
        </w:tc>
        <w:tc>
          <w:tcPr>
            <w:tcW w:w="3740" w:type="dxa"/>
            <w:vAlign w:val="bottom"/>
            <w:tcBorders>
              <w:right w:val="single" w:sz="8" w:color="0E2A35"/>
            </w:tcBorders>
            <w:gridSpan w:val="3"/>
            <w:vMerge w:val="restart"/>
          </w:tcPr>
          <w:p>
            <w:pPr>
              <w:ind w:left="40"/>
              <w:spacing w:after="0"/>
              <w:rPr>
                <w:sz w:val="20"/>
                <w:szCs w:val="20"/>
                <w:color w:val="auto"/>
              </w:rPr>
            </w:pPr>
            <w:r>
              <w:rPr>
                <w:rFonts w:ascii="Arial" w:cs="Arial" w:eastAsia="Arial" w:hAnsi="Arial"/>
                <w:sz w:val="16"/>
                <w:szCs w:val="16"/>
                <w:color w:val="0E2A35"/>
              </w:rPr>
              <w:t>  </w:t>
            </w:r>
            <w:r>
              <w:rPr>
                <w:rFonts w:ascii="Arial" w:cs="Arial" w:eastAsia="Arial" w:hAnsi="Arial"/>
                <w:sz w:val="10"/>
                <w:szCs w:val="10"/>
                <w:color w:val="0E2A35"/>
              </w:rPr>
              <w:t>○</w:t>
            </w:r>
            <w:r>
              <w:rPr>
                <w:rFonts w:ascii="Arial" w:cs="Arial" w:eastAsia="Arial" w:hAnsi="Arial"/>
                <w:sz w:val="16"/>
                <w:szCs w:val="16"/>
                <w:color w:val="0E2A35"/>
              </w:rPr>
              <w:t> 10% Net Working Capital</w:t>
            </w:r>
          </w:p>
        </w:tc>
        <w:tc>
          <w:tcPr>
            <w:tcW w:w="40" w:type="dxa"/>
            <w:vAlign w:val="bottom"/>
          </w:tcPr>
          <w:p>
            <w:pPr>
              <w:spacing w:after="0"/>
              <w:rPr>
                <w:sz w:val="9"/>
                <w:szCs w:val="9"/>
                <w:color w:val="auto"/>
              </w:rPr>
            </w:pPr>
          </w:p>
        </w:tc>
        <w:tc>
          <w:tcPr>
            <w:tcW w:w="2460" w:type="dxa"/>
            <w:vAlign w:val="bottom"/>
            <w:tcBorders>
              <w:right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60" w:type="dxa"/>
            <w:vAlign w:val="bottom"/>
            <w:tcBorders>
              <w:left w:val="single" w:sz="8" w:color="0E2A35"/>
              <w:right w:val="single" w:sz="8" w:color="0E2A35"/>
            </w:tcBorders>
            <w:vMerge w:val="restart"/>
          </w:tcPr>
          <w:p>
            <w:pPr>
              <w:jc w:val="center"/>
              <w:spacing w:after="0"/>
              <w:rPr>
                <w:sz w:val="20"/>
                <w:szCs w:val="20"/>
                <w:color w:val="auto"/>
              </w:rPr>
            </w:pPr>
            <w:r>
              <w:rPr>
                <w:rFonts w:ascii="Arial" w:cs="Arial" w:eastAsia="Arial" w:hAnsi="Arial"/>
                <w:sz w:val="16"/>
                <w:szCs w:val="16"/>
                <w:color w:val="0E2A35"/>
              </w:rPr>
              <w:t>Cash</w:t>
            </w:r>
          </w:p>
        </w:tc>
        <w:tc>
          <w:tcPr>
            <w:tcW w:w="4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Borders>
              <w:right w:val="single" w:sz="8" w:color="0E2A35"/>
            </w:tcBorders>
          </w:tcPr>
          <w:p>
            <w:pPr>
              <w:spacing w:after="0"/>
              <w:rPr>
                <w:sz w:val="7"/>
                <w:szCs w:val="7"/>
                <w:color w:val="auto"/>
              </w:rPr>
            </w:pPr>
          </w:p>
        </w:tc>
        <w:tc>
          <w:tcPr>
            <w:tcW w:w="3740" w:type="dxa"/>
            <w:vAlign w:val="bottom"/>
            <w:tcBorders>
              <w:right w:val="single" w:sz="8" w:color="0E2A35"/>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460" w:type="dxa"/>
            <w:vAlign w:val="bottom"/>
            <w:tcBorders>
              <w:right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760" w:type="dxa"/>
            <w:vAlign w:val="bottom"/>
            <w:tcBorders>
              <w:left w:val="single" w:sz="8" w:color="0E2A35"/>
              <w:right w:val="single" w:sz="8" w:color="0E2A35"/>
            </w:tcBorders>
            <w:vMerge w:val="continue"/>
          </w:tcPr>
          <w:p>
            <w:pPr>
              <w:spacing w:after="0"/>
              <w:rPr>
                <w:sz w:val="10"/>
                <w:szCs w:val="10"/>
                <w:color w:val="auto"/>
              </w:rPr>
            </w:pPr>
          </w:p>
        </w:tc>
        <w:tc>
          <w:tcPr>
            <w:tcW w:w="2300" w:type="dxa"/>
            <w:vAlign w:val="bottom"/>
            <w:tcBorders>
              <w:right w:val="single" w:sz="8" w:color="0E2A35"/>
            </w:tcBorders>
            <w:gridSpan w:val="3"/>
          </w:tcPr>
          <w:p>
            <w:pPr>
              <w:spacing w:after="0"/>
              <w:rPr>
                <w:sz w:val="10"/>
                <w:szCs w:val="10"/>
                <w:color w:val="auto"/>
              </w:rPr>
            </w:pPr>
          </w:p>
        </w:tc>
        <w:tc>
          <w:tcPr>
            <w:tcW w:w="3740" w:type="dxa"/>
            <w:vAlign w:val="bottom"/>
            <w:tcBorders>
              <w:right w:val="single" w:sz="8" w:color="0E2A35"/>
            </w:tcBorders>
            <w:gridSpan w:val="3"/>
            <w:vMerge w:val="restart"/>
          </w:tcPr>
          <w:p>
            <w:pPr>
              <w:ind w:left="40"/>
              <w:spacing w:after="0"/>
              <w:rPr>
                <w:sz w:val="20"/>
                <w:szCs w:val="20"/>
                <w:color w:val="auto"/>
              </w:rPr>
            </w:pPr>
            <w:r>
              <w:rPr>
                <w:rFonts w:ascii="Arial" w:cs="Arial" w:eastAsia="Arial" w:hAnsi="Arial"/>
                <w:sz w:val="16"/>
                <w:szCs w:val="16"/>
                <w:color w:val="0E2A35"/>
              </w:rPr>
              <w:t>• 25% Individual Objectives</w:t>
            </w:r>
          </w:p>
        </w:tc>
        <w:tc>
          <w:tcPr>
            <w:tcW w:w="40" w:type="dxa"/>
            <w:vAlign w:val="bottom"/>
          </w:tcPr>
          <w:p>
            <w:pPr>
              <w:spacing w:after="0"/>
              <w:rPr>
                <w:sz w:val="10"/>
                <w:szCs w:val="10"/>
                <w:color w:val="auto"/>
              </w:rPr>
            </w:pPr>
          </w:p>
        </w:tc>
        <w:tc>
          <w:tcPr>
            <w:tcW w:w="2460" w:type="dxa"/>
            <w:vAlign w:val="bottom"/>
            <w:tcBorders>
              <w:right w:val="single" w:sz="8" w:color="0E2A35"/>
            </w:tcBorders>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760" w:type="dxa"/>
            <w:vAlign w:val="bottom"/>
            <w:tcBorders>
              <w:left w:val="single" w:sz="8" w:color="0E2A35"/>
              <w:right w:val="single" w:sz="8" w:color="0E2A35"/>
            </w:tcBorders>
          </w:tcPr>
          <w:p>
            <w:pPr>
              <w:spacing w:after="0"/>
              <w:rPr>
                <w:sz w:val="5"/>
                <w:szCs w:val="5"/>
                <w:color w:val="auto"/>
              </w:rPr>
            </w:pPr>
          </w:p>
        </w:tc>
        <w:tc>
          <w:tcPr>
            <w:tcW w:w="4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Borders>
              <w:right w:val="single" w:sz="8" w:color="0E2A35"/>
            </w:tcBorders>
          </w:tcPr>
          <w:p>
            <w:pPr>
              <w:spacing w:after="0"/>
              <w:rPr>
                <w:sz w:val="5"/>
                <w:szCs w:val="5"/>
                <w:color w:val="auto"/>
              </w:rPr>
            </w:pPr>
          </w:p>
        </w:tc>
        <w:tc>
          <w:tcPr>
            <w:tcW w:w="3740" w:type="dxa"/>
            <w:vAlign w:val="bottom"/>
            <w:tcBorders>
              <w:right w:val="single" w:sz="8" w:color="0E2A35"/>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460" w:type="dxa"/>
            <w:vAlign w:val="bottom"/>
            <w:tcBorders>
              <w:right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For fiscal 2023, the metrics for Mr. Bower</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included: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• 75% financial objectives (business unit</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    level)</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  </w:t>
            </w:r>
            <w:r>
              <w:rPr>
                <w:rFonts w:ascii="Arial" w:cs="Arial" w:eastAsia="Arial" w:hAnsi="Arial"/>
                <w:sz w:val="10"/>
                <w:szCs w:val="10"/>
                <w:color w:val="0E2A35"/>
              </w:rPr>
              <w:t>○</w:t>
            </w:r>
            <w:r>
              <w:rPr>
                <w:rFonts w:ascii="Arial" w:cs="Arial" w:eastAsia="Arial" w:hAnsi="Arial"/>
                <w:sz w:val="16"/>
                <w:szCs w:val="16"/>
                <w:color w:val="0E2A35"/>
              </w:rPr>
              <w:t> 40% Net Revenue</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  </w:t>
            </w:r>
            <w:r>
              <w:rPr>
                <w:rFonts w:ascii="Arial" w:cs="Arial" w:eastAsia="Arial" w:hAnsi="Arial"/>
                <w:sz w:val="10"/>
                <w:szCs w:val="10"/>
                <w:color w:val="0E2A35"/>
              </w:rPr>
              <w:t>○</w:t>
            </w:r>
            <w:r>
              <w:rPr>
                <w:rFonts w:ascii="Arial" w:cs="Arial" w:eastAsia="Arial" w:hAnsi="Arial"/>
                <w:sz w:val="16"/>
                <w:szCs w:val="16"/>
                <w:color w:val="0E2A35"/>
              </w:rPr>
              <w:t> 50% Operating Income</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  </w:t>
            </w:r>
            <w:r>
              <w:rPr>
                <w:rFonts w:ascii="Arial" w:cs="Arial" w:eastAsia="Arial" w:hAnsi="Arial"/>
                <w:sz w:val="10"/>
                <w:szCs w:val="10"/>
                <w:color w:val="0E2A35"/>
              </w:rPr>
              <w:t>○</w:t>
            </w:r>
            <w:r>
              <w:rPr>
                <w:rFonts w:ascii="Arial" w:cs="Arial" w:eastAsia="Arial" w:hAnsi="Arial"/>
                <w:sz w:val="16"/>
                <w:szCs w:val="16"/>
                <w:color w:val="0E2A35"/>
              </w:rPr>
              <w:t> 10% Net Working Capital</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• 25% Individual Objectives</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Payouts range from 0%-200% of a pre-determined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60" w:type="dxa"/>
            <w:vAlign w:val="bottom"/>
            <w:tcBorders>
              <w:left w:val="single" w:sz="8" w:color="0E2A35"/>
              <w:right w:val="single" w:sz="8" w:color="0E2A35"/>
            </w:tcBorders>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Borders>
              <w:right w:val="single" w:sz="8" w:color="0E2A35"/>
            </w:tcBorders>
          </w:tcPr>
          <w:p>
            <w:pPr>
              <w:spacing w:after="0"/>
              <w:rPr>
                <w:sz w:val="17"/>
                <w:szCs w:val="17"/>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target value</w:t>
            </w:r>
          </w:p>
        </w:tc>
        <w:tc>
          <w:tcPr>
            <w:tcW w:w="40" w:type="dxa"/>
            <w:vAlign w:val="bottom"/>
          </w:tcPr>
          <w:p>
            <w:pPr>
              <w:spacing w:after="0"/>
              <w:rPr>
                <w:sz w:val="17"/>
                <w:szCs w:val="17"/>
                <w:color w:val="auto"/>
              </w:rPr>
            </w:pPr>
          </w:p>
        </w:tc>
        <w:tc>
          <w:tcPr>
            <w:tcW w:w="2460" w:type="dxa"/>
            <w:vAlign w:val="bottom"/>
            <w:tcBorders>
              <w:right w:val="single" w:sz="8" w:color="0E2A35"/>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0" w:type="dxa"/>
            <w:vAlign w:val="bottom"/>
            <w:tcBorders>
              <w:left w:val="single" w:sz="8" w:color="0E2A35"/>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18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362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460" w:type="dxa"/>
            <w:vAlign w:val="bottom"/>
            <w:tcBorders>
              <w:bottom w:val="single" w:sz="8" w:color="0E2A35"/>
              <w:right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760" w:type="dxa"/>
            <w:vAlign w:val="bottom"/>
            <w:tcBorders>
              <w:left w:val="single" w:sz="8" w:color="0E2A35"/>
              <w:right w:val="single" w:sz="8" w:color="0E2A35"/>
            </w:tcBorders>
          </w:tcPr>
          <w:p>
            <w:pPr>
              <w:spacing w:after="0"/>
              <w:rPr>
                <w:sz w:val="20"/>
                <w:szCs w:val="20"/>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Performance Share Units /</w:t>
            </w: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50% of all annual equity awards</w:t>
            </w:r>
          </w:p>
        </w:tc>
        <w:tc>
          <w:tcPr>
            <w:tcW w:w="40" w:type="dxa"/>
            <w:vAlign w:val="bottom"/>
          </w:tcPr>
          <w:p>
            <w:pPr>
              <w:spacing w:after="0"/>
              <w:rPr>
                <w:sz w:val="20"/>
                <w:szCs w:val="20"/>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Rewards for achievement of</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Long-Term Incentive Program</w:t>
            </w: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For the fiscal 2023-2025 performance period,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specific long-term financial</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(LTIP) – Annual</w:t>
            </w: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payouts are tied to performance against pre-</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objectives</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determined goals across a three-year</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Aligns NEOs’ interest with long-</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performance period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term shareholder value creation</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The metrics consist of:</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• 50% Incentive ROIC</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• 50% Incentive EPS</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vMerge w:val="restart"/>
          </w:tcPr>
          <w:p>
            <w:pPr>
              <w:jc w:val="center"/>
              <w:spacing w:after="0"/>
              <w:rPr>
                <w:sz w:val="20"/>
                <w:szCs w:val="20"/>
                <w:color w:val="auto"/>
              </w:rPr>
            </w:pPr>
            <w:r>
              <w:rPr>
                <w:rFonts w:ascii="Arial" w:cs="Arial" w:eastAsia="Arial" w:hAnsi="Arial"/>
                <w:sz w:val="16"/>
                <w:szCs w:val="16"/>
                <w:color w:val="0E2A35"/>
                <w:w w:val="98"/>
              </w:rPr>
              <w:t>Paid in</w:t>
            </w: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Payouts range from 0%-200% of a pre-determined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60" w:type="dxa"/>
            <w:vAlign w:val="bottom"/>
            <w:tcBorders>
              <w:left w:val="single" w:sz="8" w:color="0E2A35"/>
              <w:right w:val="single" w:sz="8" w:color="0E2A35"/>
            </w:tcBorders>
            <w:vMerge w:val="continue"/>
          </w:tcPr>
          <w:p>
            <w:pPr>
              <w:spacing w:after="0"/>
              <w:rPr>
                <w:sz w:val="5"/>
                <w:szCs w:val="5"/>
                <w:color w:val="auto"/>
              </w:rPr>
            </w:pPr>
          </w:p>
        </w:tc>
        <w:tc>
          <w:tcPr>
            <w:tcW w:w="2300" w:type="dxa"/>
            <w:vAlign w:val="bottom"/>
            <w:tcBorders>
              <w:right w:val="single" w:sz="8" w:color="0E2A35"/>
            </w:tcBorders>
            <w:gridSpan w:val="3"/>
          </w:tcPr>
          <w:p>
            <w:pPr>
              <w:spacing w:after="0"/>
              <w:rPr>
                <w:sz w:val="5"/>
                <w:szCs w:val="5"/>
                <w:color w:val="auto"/>
              </w:rPr>
            </w:pPr>
          </w:p>
        </w:tc>
        <w:tc>
          <w:tcPr>
            <w:tcW w:w="3740" w:type="dxa"/>
            <w:vAlign w:val="bottom"/>
            <w:tcBorders>
              <w:right w:val="single" w:sz="8" w:color="0E2A35"/>
            </w:tcBorders>
            <w:gridSpan w:val="3"/>
            <w:vMerge w:val="restart"/>
          </w:tcPr>
          <w:p>
            <w:pPr>
              <w:ind w:left="40"/>
              <w:spacing w:after="0"/>
              <w:rPr>
                <w:sz w:val="20"/>
                <w:szCs w:val="20"/>
                <w:color w:val="auto"/>
              </w:rPr>
            </w:pPr>
            <w:r>
              <w:rPr>
                <w:rFonts w:ascii="Arial" w:cs="Arial" w:eastAsia="Arial" w:hAnsi="Arial"/>
                <w:sz w:val="16"/>
                <w:szCs w:val="16"/>
                <w:color w:val="0E2A35"/>
              </w:rPr>
              <w:t>target value</w:t>
            </w:r>
          </w:p>
        </w:tc>
        <w:tc>
          <w:tcPr>
            <w:tcW w:w="40" w:type="dxa"/>
            <w:vAlign w:val="bottom"/>
          </w:tcPr>
          <w:p>
            <w:pPr>
              <w:spacing w:after="0"/>
              <w:rPr>
                <w:sz w:val="5"/>
                <w:szCs w:val="5"/>
                <w:color w:val="auto"/>
              </w:rPr>
            </w:pPr>
          </w:p>
        </w:tc>
        <w:tc>
          <w:tcPr>
            <w:tcW w:w="2460" w:type="dxa"/>
            <w:vAlign w:val="bottom"/>
            <w:tcBorders>
              <w:right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760" w:type="dxa"/>
            <w:vAlign w:val="bottom"/>
            <w:tcBorders>
              <w:left w:val="single" w:sz="8" w:color="0E2A35"/>
              <w:right w:val="single" w:sz="8" w:color="0E2A35"/>
            </w:tcBorders>
            <w:vMerge w:val="restart"/>
          </w:tcPr>
          <w:p>
            <w:pPr>
              <w:ind w:left="160"/>
              <w:spacing w:after="0"/>
              <w:rPr>
                <w:sz w:val="20"/>
                <w:szCs w:val="20"/>
                <w:color w:val="auto"/>
              </w:rPr>
            </w:pPr>
            <w:r>
              <w:rPr>
                <w:rFonts w:ascii="Arial" w:cs="Arial" w:eastAsia="Arial" w:hAnsi="Arial"/>
                <w:sz w:val="16"/>
                <w:szCs w:val="16"/>
                <w:color w:val="0E2A35"/>
              </w:rPr>
              <w:t>Equity</w:t>
            </w:r>
            <w:r>
              <w:rPr>
                <w:rFonts w:ascii="Arial" w:cs="Arial" w:eastAsia="Arial" w:hAnsi="Arial"/>
                <w:sz w:val="16"/>
                <w:szCs w:val="16"/>
                <w:b w:val="1"/>
                <w:bCs w:val="1"/>
                <w:color w:val="0E2A35"/>
              </w:rPr>
              <w:t>​</w:t>
            </w:r>
          </w:p>
        </w:tc>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Borders>
              <w:right w:val="single" w:sz="8" w:color="0E2A35"/>
            </w:tcBorders>
          </w:tcPr>
          <w:p>
            <w:pPr>
              <w:spacing w:after="0"/>
              <w:rPr>
                <w:sz w:val="12"/>
                <w:szCs w:val="12"/>
                <w:color w:val="auto"/>
              </w:rPr>
            </w:pPr>
          </w:p>
        </w:tc>
        <w:tc>
          <w:tcPr>
            <w:tcW w:w="3740" w:type="dxa"/>
            <w:vAlign w:val="bottom"/>
            <w:tcBorders>
              <w:right w:val="single" w:sz="8" w:color="0E2A35"/>
            </w:tcBorders>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460" w:type="dxa"/>
            <w:vAlign w:val="bottom"/>
            <w:tcBorders>
              <w:right w:val="single" w:sz="8" w:color="0E2A35"/>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760" w:type="dxa"/>
            <w:vAlign w:val="bottom"/>
            <w:tcBorders>
              <w:left w:val="single" w:sz="8" w:color="0E2A35"/>
              <w:right w:val="single" w:sz="8" w:color="0E2A35"/>
            </w:tcBorders>
            <w:vMerge w:val="continue"/>
          </w:tcPr>
          <w:p>
            <w:pPr>
              <w:spacing w:after="0"/>
              <w:rPr>
                <w:sz w:val="5"/>
                <w:szCs w:val="5"/>
                <w:color w:val="auto"/>
              </w:rPr>
            </w:pPr>
          </w:p>
        </w:tc>
        <w:tc>
          <w:tcPr>
            <w:tcW w:w="2300" w:type="dxa"/>
            <w:vAlign w:val="bottom"/>
            <w:tcBorders>
              <w:bottom w:val="single" w:sz="8" w:color="0E2A35"/>
              <w:right w:val="single" w:sz="8" w:color="0E2A35"/>
            </w:tcBorders>
            <w:gridSpan w:val="3"/>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362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460" w:type="dxa"/>
            <w:vAlign w:val="bottom"/>
            <w:tcBorders>
              <w:bottom w:val="single" w:sz="8" w:color="0E2A35"/>
              <w:right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760" w:type="dxa"/>
            <w:vAlign w:val="bottom"/>
            <w:tcBorders>
              <w:left w:val="single" w:sz="8" w:color="0E2A35"/>
              <w:right w:val="single" w:sz="8" w:color="0E2A35"/>
            </w:tcBorders>
          </w:tcPr>
          <w:p>
            <w:pPr>
              <w:spacing w:after="0"/>
              <w:rPr>
                <w:sz w:val="20"/>
                <w:szCs w:val="20"/>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Stock Options – Annual</w:t>
            </w: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15% of all annual equity awards</w:t>
            </w:r>
          </w:p>
        </w:tc>
        <w:tc>
          <w:tcPr>
            <w:tcW w:w="40" w:type="dxa"/>
            <w:vAlign w:val="bottom"/>
          </w:tcPr>
          <w:p>
            <w:pPr>
              <w:spacing w:after="0"/>
              <w:rPr>
                <w:sz w:val="20"/>
                <w:szCs w:val="20"/>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Aligns NEOs’ interest with long-</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Stock options can be exercised over 10 years and</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term shareholder value creation</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Borders>
              <w:right w:val="single" w:sz="8" w:color="0E2A35"/>
            </w:tcBorders>
          </w:tcPr>
          <w:p>
            <w:pPr>
              <w:spacing w:after="0"/>
              <w:rPr>
                <w:sz w:val="16"/>
                <w:szCs w:val="16"/>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vest over three years in equal installments</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as measured by appreciation in</w:t>
            </w:r>
          </w:p>
        </w:tc>
        <w:tc>
          <w:tcPr>
            <w:tcW w:w="0" w:type="dxa"/>
            <w:vAlign w:val="bottom"/>
          </w:tcPr>
          <w:p>
            <w:pPr>
              <w:spacing w:after="0"/>
              <w:rPr>
                <w:sz w:val="1"/>
                <w:szCs w:val="1"/>
                <w:color w:val="auto"/>
              </w:rPr>
            </w:pPr>
          </w:p>
        </w:tc>
      </w:tr>
      <w:tr>
        <w:trPr>
          <w:trHeight w:val="207"/>
        </w:trPr>
        <w:tc>
          <w:tcPr>
            <w:tcW w:w="760" w:type="dxa"/>
            <w:vAlign w:val="bottom"/>
            <w:tcBorders>
              <w:left w:val="single" w:sz="8" w:color="0E2A35"/>
              <w:right w:val="single" w:sz="8" w:color="0E2A35"/>
            </w:tcBorders>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Borders>
              <w:right w:val="single" w:sz="8" w:color="0E2A35"/>
            </w:tcBorders>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0" w:type="dxa"/>
            <w:vAlign w:val="bottom"/>
            <w:tcBorders>
              <w:right w:val="single" w:sz="8" w:color="0E2A35"/>
            </w:tcBorders>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stock price from the date of grant</w:t>
            </w:r>
          </w:p>
        </w:tc>
        <w:tc>
          <w:tcPr>
            <w:tcW w:w="0" w:type="dxa"/>
            <w:vAlign w:val="bottom"/>
          </w:tcPr>
          <w:p>
            <w:pPr>
              <w:spacing w:after="0"/>
              <w:rPr>
                <w:sz w:val="1"/>
                <w:szCs w:val="1"/>
                <w:color w:val="auto"/>
              </w:rPr>
            </w:pPr>
          </w:p>
        </w:tc>
      </w:tr>
      <w:tr>
        <w:trPr>
          <w:trHeight w:val="60"/>
        </w:trPr>
        <w:tc>
          <w:tcPr>
            <w:tcW w:w="760" w:type="dxa"/>
            <w:vAlign w:val="bottom"/>
            <w:tcBorders>
              <w:left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18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3620" w:type="dxa"/>
            <w:vAlign w:val="bottom"/>
            <w:tcBorders>
              <w:bottom w:val="single" w:sz="8" w:color="0E2A35"/>
            </w:tcBorders>
          </w:tcPr>
          <w:p>
            <w:pPr>
              <w:spacing w:after="0"/>
              <w:rPr>
                <w:sz w:val="5"/>
                <w:szCs w:val="5"/>
                <w:color w:val="auto"/>
              </w:rPr>
            </w:pPr>
          </w:p>
        </w:tc>
        <w:tc>
          <w:tcPr>
            <w:tcW w:w="80" w:type="dxa"/>
            <w:vAlign w:val="bottom"/>
            <w:tcBorders>
              <w:bottom w:val="single" w:sz="8" w:color="0E2A35"/>
              <w:right w:val="single" w:sz="8" w:color="0E2A35"/>
            </w:tcBorders>
          </w:tcPr>
          <w:p>
            <w:pPr>
              <w:spacing w:after="0"/>
              <w:rPr>
                <w:sz w:val="5"/>
                <w:szCs w:val="5"/>
                <w:color w:val="auto"/>
              </w:rPr>
            </w:pPr>
          </w:p>
        </w:tc>
        <w:tc>
          <w:tcPr>
            <w:tcW w:w="40" w:type="dxa"/>
            <w:vAlign w:val="bottom"/>
            <w:tcBorders>
              <w:bottom w:val="single" w:sz="8" w:color="0E2A35"/>
            </w:tcBorders>
          </w:tcPr>
          <w:p>
            <w:pPr>
              <w:spacing w:after="0"/>
              <w:rPr>
                <w:sz w:val="5"/>
                <w:szCs w:val="5"/>
                <w:color w:val="auto"/>
              </w:rPr>
            </w:pPr>
          </w:p>
        </w:tc>
        <w:tc>
          <w:tcPr>
            <w:tcW w:w="2460" w:type="dxa"/>
            <w:vAlign w:val="bottom"/>
            <w:tcBorders>
              <w:bottom w:val="single" w:sz="8" w:color="0E2A35"/>
              <w:right w:val="single" w:sz="8" w:color="0E2A35"/>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760" w:type="dxa"/>
            <w:vAlign w:val="bottom"/>
            <w:tcBorders>
              <w:left w:val="single" w:sz="8" w:color="0E2A35"/>
              <w:right w:val="single" w:sz="8" w:color="0E2A35"/>
            </w:tcBorders>
          </w:tcPr>
          <w:p>
            <w:pPr>
              <w:spacing w:after="0"/>
              <w:rPr>
                <w:sz w:val="20"/>
                <w:szCs w:val="20"/>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Restricted Stock Units –</w:t>
            </w: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35% of all annual equity awards</w:t>
            </w:r>
          </w:p>
        </w:tc>
        <w:tc>
          <w:tcPr>
            <w:tcW w:w="40" w:type="dxa"/>
            <w:vAlign w:val="bottom"/>
          </w:tcPr>
          <w:p>
            <w:pPr>
              <w:spacing w:after="0"/>
              <w:rPr>
                <w:sz w:val="20"/>
                <w:szCs w:val="20"/>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Aligns NEOs’ interest with long-</w:t>
            </w:r>
          </w:p>
        </w:tc>
        <w:tc>
          <w:tcPr>
            <w:tcW w:w="0" w:type="dxa"/>
            <w:vAlign w:val="bottom"/>
          </w:tcPr>
          <w:p>
            <w:pPr>
              <w:spacing w:after="0"/>
              <w:rPr>
                <w:sz w:val="1"/>
                <w:szCs w:val="1"/>
                <w:color w:val="auto"/>
              </w:rPr>
            </w:pPr>
          </w:p>
        </w:tc>
      </w:tr>
      <w:tr>
        <w:trPr>
          <w:trHeight w:val="189"/>
        </w:trPr>
        <w:tc>
          <w:tcPr>
            <w:tcW w:w="760" w:type="dxa"/>
            <w:vAlign w:val="bottom"/>
            <w:tcBorders>
              <w:left w:val="single" w:sz="8" w:color="0E2A35"/>
              <w:right w:val="single" w:sz="8" w:color="0E2A35"/>
            </w:tcBorders>
          </w:tcPr>
          <w:p>
            <w:pPr>
              <w:spacing w:after="0"/>
              <w:rPr>
                <w:sz w:val="16"/>
                <w:szCs w:val="16"/>
                <w:color w:val="auto"/>
              </w:rPr>
            </w:pPr>
          </w:p>
        </w:tc>
        <w:tc>
          <w:tcPr>
            <w:tcW w:w="230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Annual</w:t>
            </w: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Restricted stock units vest over three years in</w:t>
            </w:r>
          </w:p>
        </w:tc>
        <w:tc>
          <w:tcPr>
            <w:tcW w:w="40" w:type="dxa"/>
            <w:vAlign w:val="bottom"/>
          </w:tcPr>
          <w:p>
            <w:pPr>
              <w:spacing w:after="0"/>
              <w:rPr>
                <w:sz w:val="16"/>
                <w:szCs w:val="16"/>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term shareholder value creation</w:t>
            </w:r>
          </w:p>
        </w:tc>
        <w:tc>
          <w:tcPr>
            <w:tcW w:w="0" w:type="dxa"/>
            <w:vAlign w:val="bottom"/>
          </w:tcPr>
          <w:p>
            <w:pPr>
              <w:spacing w:after="0"/>
              <w:rPr>
                <w:sz w:val="1"/>
                <w:szCs w:val="1"/>
                <w:color w:val="auto"/>
              </w:rPr>
            </w:pPr>
          </w:p>
        </w:tc>
      </w:tr>
      <w:tr>
        <w:trPr>
          <w:trHeight w:val="207"/>
        </w:trPr>
        <w:tc>
          <w:tcPr>
            <w:tcW w:w="760" w:type="dxa"/>
            <w:vAlign w:val="bottom"/>
            <w:tcBorders>
              <w:left w:val="single" w:sz="8" w:color="0E2A35"/>
              <w:right w:val="single" w:sz="8" w:color="0E2A35"/>
            </w:tcBorders>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Borders>
              <w:right w:val="single" w:sz="8" w:color="0E2A35"/>
            </w:tcBorders>
          </w:tcPr>
          <w:p>
            <w:pPr>
              <w:spacing w:after="0"/>
              <w:rPr>
                <w:sz w:val="17"/>
                <w:szCs w:val="17"/>
                <w:color w:val="auto"/>
              </w:rPr>
            </w:pPr>
          </w:p>
        </w:tc>
        <w:tc>
          <w:tcPr>
            <w:tcW w:w="3740" w:type="dxa"/>
            <w:vAlign w:val="bottom"/>
            <w:tcBorders>
              <w:right w:val="single" w:sz="8" w:color="0E2A35"/>
            </w:tcBorders>
            <w:gridSpan w:val="3"/>
          </w:tcPr>
          <w:p>
            <w:pPr>
              <w:ind w:left="40"/>
              <w:spacing w:after="0"/>
              <w:rPr>
                <w:sz w:val="20"/>
                <w:szCs w:val="20"/>
                <w:color w:val="auto"/>
              </w:rPr>
            </w:pPr>
            <w:r>
              <w:rPr>
                <w:rFonts w:ascii="Arial" w:cs="Arial" w:eastAsia="Arial" w:hAnsi="Arial"/>
                <w:sz w:val="16"/>
                <w:szCs w:val="16"/>
                <w:color w:val="0E2A35"/>
              </w:rPr>
              <w:t>equal installments</w:t>
            </w:r>
          </w:p>
        </w:tc>
        <w:tc>
          <w:tcPr>
            <w:tcW w:w="40" w:type="dxa"/>
            <w:vAlign w:val="bottom"/>
          </w:tcPr>
          <w:p>
            <w:pPr>
              <w:spacing w:after="0"/>
              <w:rPr>
                <w:sz w:val="17"/>
                <w:szCs w:val="17"/>
                <w:color w:val="auto"/>
              </w:rPr>
            </w:pPr>
          </w:p>
        </w:tc>
        <w:tc>
          <w:tcPr>
            <w:tcW w:w="2460" w:type="dxa"/>
            <w:vAlign w:val="bottom"/>
            <w:tcBorders>
              <w:right w:val="single" w:sz="8" w:color="0E2A35"/>
            </w:tcBorders>
          </w:tcPr>
          <w:p>
            <w:pPr>
              <w:spacing w:after="0"/>
              <w:rPr>
                <w:sz w:val="20"/>
                <w:szCs w:val="20"/>
                <w:color w:val="auto"/>
              </w:rPr>
            </w:pPr>
            <w:r>
              <w:rPr>
                <w:rFonts w:ascii="Arial" w:cs="Arial" w:eastAsia="Arial" w:hAnsi="Arial"/>
                <w:sz w:val="16"/>
                <w:szCs w:val="16"/>
                <w:color w:val="0E2A35"/>
              </w:rPr>
              <w:t>Encourages executive retention</w:t>
            </w:r>
          </w:p>
        </w:tc>
        <w:tc>
          <w:tcPr>
            <w:tcW w:w="0" w:type="dxa"/>
            <w:vAlign w:val="bottom"/>
          </w:tcPr>
          <w:p>
            <w:pPr>
              <w:spacing w:after="0"/>
              <w:rPr>
                <w:sz w:val="1"/>
                <w:szCs w:val="1"/>
                <w:color w:val="auto"/>
              </w:rPr>
            </w:pPr>
          </w:p>
        </w:tc>
      </w:tr>
      <w:tr>
        <w:trPr>
          <w:trHeight w:val="100"/>
        </w:trPr>
        <w:tc>
          <w:tcPr>
            <w:tcW w:w="760" w:type="dxa"/>
            <w:vAlign w:val="bottom"/>
            <w:tcBorders>
              <w:left w:val="single" w:sz="8" w:color="0E2A35"/>
              <w:bottom w:val="single" w:sz="8" w:color="0E2A35"/>
              <w:right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2180" w:type="dxa"/>
            <w:vAlign w:val="bottom"/>
            <w:tcBorders>
              <w:bottom w:val="single" w:sz="8" w:color="0E2A35"/>
            </w:tcBorders>
          </w:tcPr>
          <w:p>
            <w:pPr>
              <w:spacing w:after="0"/>
              <w:rPr>
                <w:sz w:val="8"/>
                <w:szCs w:val="8"/>
                <w:color w:val="auto"/>
              </w:rPr>
            </w:pPr>
          </w:p>
        </w:tc>
        <w:tc>
          <w:tcPr>
            <w:tcW w:w="80" w:type="dxa"/>
            <w:vAlign w:val="bottom"/>
            <w:tcBorders>
              <w:bottom w:val="single" w:sz="8" w:color="0E2A35"/>
              <w:right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3620" w:type="dxa"/>
            <w:vAlign w:val="bottom"/>
            <w:tcBorders>
              <w:bottom w:val="single" w:sz="8" w:color="0E2A35"/>
            </w:tcBorders>
          </w:tcPr>
          <w:p>
            <w:pPr>
              <w:spacing w:after="0"/>
              <w:rPr>
                <w:sz w:val="8"/>
                <w:szCs w:val="8"/>
                <w:color w:val="auto"/>
              </w:rPr>
            </w:pPr>
          </w:p>
        </w:tc>
        <w:tc>
          <w:tcPr>
            <w:tcW w:w="80" w:type="dxa"/>
            <w:vAlign w:val="bottom"/>
            <w:tcBorders>
              <w:bottom w:val="single" w:sz="8" w:color="0E2A35"/>
              <w:right w:val="single" w:sz="8" w:color="0E2A35"/>
            </w:tcBorders>
          </w:tcPr>
          <w:p>
            <w:pPr>
              <w:spacing w:after="0"/>
              <w:rPr>
                <w:sz w:val="8"/>
                <w:szCs w:val="8"/>
                <w:color w:val="auto"/>
              </w:rPr>
            </w:pPr>
          </w:p>
        </w:tc>
        <w:tc>
          <w:tcPr>
            <w:tcW w:w="40" w:type="dxa"/>
            <w:vAlign w:val="bottom"/>
            <w:tcBorders>
              <w:bottom w:val="single" w:sz="8" w:color="0E2A35"/>
            </w:tcBorders>
          </w:tcPr>
          <w:p>
            <w:pPr>
              <w:spacing w:after="0"/>
              <w:rPr>
                <w:sz w:val="8"/>
                <w:szCs w:val="8"/>
                <w:color w:val="auto"/>
              </w:rPr>
            </w:pPr>
          </w:p>
        </w:tc>
        <w:tc>
          <w:tcPr>
            <w:tcW w:w="2460" w:type="dxa"/>
            <w:vAlign w:val="bottom"/>
            <w:tcBorders>
              <w:bottom w:val="single" w:sz="8" w:color="0E2A35"/>
              <w:right w:val="single" w:sz="8" w:color="0E2A35"/>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-5185410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-5185410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-5185410</wp:posOffset>
            </wp:positionV>
            <wp:extent cx="342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0E2A35"/>
        </w:rPr>
        <w:t>In connection with our acquisition of Grand Design, we entered into an employment agreement with Mr. Clark in November 2016, which was most recently amended on October 17, 2023 to extend Mr. Clark’s employment through August 31, 2028. The current employment agreement provides for an increase in Mr. Clark’s annual base salary from $400,000 to $500,000. Under both the previous and current employment agreements, Mr. Clark is eligible to receive an incentive bonus pursuant to the pre-existing Grand Design Management Incentive Plan (the Grand Design MIP). For fiscal years 2021 – 2023, payment under the Grand Design MIP is 100% dependent on pretax net income performance of the Grand Design business. Any incentive bonus earned under the Grand Design MIP was payable as follows: 90% in cash and 10% in restricted stock units (fiscal 2021); and 85% in cash and 15% in restricted stock units (fiscal 2022 and fiscal 2023). Any restricted stock units issued under the Grand Design MIP are subject to a three-year pro-rata vesting schedule. For fiscal years 2024 through 2027, payment under the Grand Design MIP is 90% dependent on pretax net income performance of the Grand Design business and 10% dependent on Grand Design’s performance against an operating target set by the Company. Any incentive bonus earned under the Grand Design MIP during this period is payable 100% in cash. Mr. Clark is not eligible to participate in any other Winnebago Industries cash or stock incentive program.</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Performance-based Pay Mix</w:t>
      </w:r>
    </w:p>
    <w:p>
      <w:pPr>
        <w:spacing w:after="0" w:line="201"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0E2A35"/>
        </w:rPr>
        <w:t>Consistent with the committee’s commitment to a strong, positive link among our business objectives, our performance and our executive compensation practices, we have placed a significant emphasis on pay “at risk,” based on the achievement of established business objectives and shareholder value creation. In fiscal 2023, 86% of our CEO’s total target compensation and 71% of the average total target compensation of our other NEOs was performance-based pay, including annual incentive compensation and annual equity grants, with a significant emphasis on long-term performance and shareholder value creation. The following charts illustrate the components of our CEO’s fiscal 2023 total target compensation, as well as the components of the average total target compensation for our other NEOs in fiscal 2023, excluding Mr. Clark. Total target compensation includes fiscal 2023 annualized base salary, target annual incentive compensation, and the grant date fair value of the annual equity grants made in fiscal 2023, as reported in the Summary Compensation Table (and excludes benefits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205740</wp:posOffset>
            </wp:positionV>
            <wp:extent cx="4020185" cy="15176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2018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0E2A35"/>
        </w:rPr>
        <w:t xml:space="preserve">  </w:t>
      </w:r>
    </w:p>
    <w:p>
      <w:pPr>
        <w:spacing w:after="0" w:line="55" w:lineRule="exact"/>
        <w:rPr>
          <w:sz w:val="20"/>
          <w:szCs w:val="20"/>
          <w:color w:val="auto"/>
        </w:rPr>
      </w:pPr>
    </w:p>
    <w:p>
      <w:pPr>
        <w:ind w:left="360" w:hanging="360"/>
        <w:spacing w:after="0"/>
        <w:tabs>
          <w:tab w:leader="none" w:pos="360" w:val="left"/>
        </w:tabs>
        <w:numPr>
          <w:ilvl w:val="0"/>
          <w:numId w:val="23"/>
        </w:numPr>
        <w:rPr>
          <w:rFonts w:ascii="Arial" w:cs="Arial" w:eastAsia="Arial" w:hAnsi="Arial"/>
          <w:sz w:val="13"/>
          <w:szCs w:val="13"/>
          <w:color w:val="0E2A35"/>
        </w:rPr>
      </w:pPr>
      <w:r>
        <w:rPr>
          <w:rFonts w:ascii="Arial" w:cs="Arial" w:eastAsia="Arial" w:hAnsi="Arial"/>
          <w:sz w:val="13"/>
          <w:szCs w:val="13"/>
          <w:color w:val="0E2A35"/>
        </w:rPr>
        <w:t>Excludes Mr. Clark.</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Determination of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Role of the Human Resources Committee</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E2A35"/>
        </w:rPr>
        <w:t>The Human Resources Committee is responsible for reviewing and approving, on an annual basis, the corporate goals and objectives with respect to the compensation of all of our executive officers, as described in the committee’s charter. The committee relies on its own review and the advice of its independent compensation consultant in establishing executive officer pay. The committee seeks the input of the CEO in making executive officer pay decisions for all executives other than himself, but the committee makes all decisions.</w:t>
      </w:r>
    </w:p>
    <w:p>
      <w:pPr>
        <w:spacing w:after="0" w:line="164"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0E2A35"/>
        </w:rPr>
        <w:t>In October 2022, the committee approved annual incentive performance objectives for fiscal 2023 based upon the business plan for the year. In October 2022, the committee granted long-term incentive awards to our executive officers under the 2019 Omnibus Incentive Plan (the 2019 Plan), which was approved by the shareholders at the 2018 annual meeting, including annual LTIP performance share units, stock options, and restricted stock units. After the completion of fiscal 2023, the committee</w:t>
      </w:r>
    </w:p>
    <w:p>
      <w:pPr>
        <w:spacing w:after="0" w:line="1" w:lineRule="exact"/>
        <w:rPr>
          <w:sz w:val="20"/>
          <w:szCs w:val="20"/>
          <w:color w:val="auto"/>
        </w:rPr>
      </w:pPr>
    </w:p>
    <w:p>
      <w:pPr>
        <w:jc w:val="both"/>
        <w:ind w:right="300"/>
        <w:spacing w:after="0" w:line="253" w:lineRule="auto"/>
        <w:tabs>
          <w:tab w:leader="none" w:pos="189" w:val="left"/>
        </w:tabs>
        <w:numPr>
          <w:ilvl w:val="0"/>
          <w:numId w:val="24"/>
        </w:numPr>
        <w:rPr>
          <w:rFonts w:ascii="Arial" w:cs="Arial" w:eastAsia="Arial" w:hAnsi="Arial"/>
          <w:sz w:val="16"/>
          <w:szCs w:val="16"/>
          <w:color w:val="0E2A35"/>
        </w:rPr>
      </w:pPr>
      <w:r>
        <w:rPr>
          <w:rFonts w:ascii="Arial" w:cs="Arial" w:eastAsia="Arial" w:hAnsi="Arial"/>
          <w:sz w:val="16"/>
          <w:szCs w:val="16"/>
          <w:color w:val="0E2A35"/>
        </w:rPr>
        <w:t>approved the 2023 annual incentives for our NEOs based on achievement of the performance objectives established at the beginning of the year and (ii) certified achievement of performance objectives with respect to the LTIP performance share unit awards granted to then-current executives in fiscal 2021 that had a performance period running from fiscal 2021-2023.</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Role of the Compensation Consultant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0E2A35"/>
        </w:rPr>
        <w:t>The Human Resources Committee retained Semler Brossy as its independent executive compensation consultant for fiscal 2023.</w:t>
      </w:r>
    </w:p>
    <w:p>
      <w:pPr>
        <w:spacing w:after="0" w:line="181"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0E2A35"/>
        </w:rPr>
        <w:t>Retained by and reporting directly to the committee, Semler Brossy provided the committee with assistance in evaluating our executive compensation programs and policies, and, where appropriate, assisted with the revision of elements of the programs. Additionally, Semler Brossy performed the following activities to support the committee:</w:t>
      </w:r>
    </w:p>
    <w:p>
      <w:pPr>
        <w:spacing w:after="0" w:line="142" w:lineRule="exact"/>
        <w:rPr>
          <w:sz w:val="20"/>
          <w:szCs w:val="20"/>
          <w:color w:val="auto"/>
        </w:rPr>
      </w:pPr>
    </w:p>
    <w:p>
      <w:pPr>
        <w:ind w:left="720" w:right="240" w:hanging="360"/>
        <w:spacing w:after="0" w:line="276" w:lineRule="auto"/>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Reviewed annual and long-term incentive designs and assisted with determination of annual and long-term incentive awards, including fiscal 2023 payouts</w:t>
      </w:r>
    </w:p>
    <w:p>
      <w:pPr>
        <w:spacing w:after="0" w:line="143" w:lineRule="exact"/>
        <w:rPr>
          <w:rFonts w:ascii="Arial" w:cs="Arial" w:eastAsia="Arial" w:hAnsi="Arial"/>
          <w:sz w:val="16"/>
          <w:szCs w:val="16"/>
          <w:color w:val="C7D265"/>
        </w:rPr>
      </w:pPr>
    </w:p>
    <w:p>
      <w:pPr>
        <w:ind w:left="720" w:right="320" w:hanging="360"/>
        <w:spacing w:after="0" w:line="276" w:lineRule="auto"/>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Reviewed the total compensation program, including competitive peer group analysis and analysis of executive pay levels in relation to broader market survey data</w:t>
      </w:r>
    </w:p>
    <w:p>
      <w:pPr>
        <w:spacing w:after="0" w:line="130" w:lineRule="exact"/>
        <w:rPr>
          <w:rFonts w:ascii="Arial" w:cs="Arial" w:eastAsia="Arial" w:hAnsi="Arial"/>
          <w:sz w:val="16"/>
          <w:szCs w:val="16"/>
          <w:color w:val="C7D265"/>
        </w:rPr>
      </w:pPr>
    </w:p>
    <w:p>
      <w:pPr>
        <w:ind w:left="720" w:hanging="360"/>
        <w:spacing w:after="0"/>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Reviewed information provided to the committee by management</w:t>
      </w:r>
    </w:p>
    <w:p>
      <w:pPr>
        <w:spacing w:after="0" w:line="180" w:lineRule="exact"/>
        <w:rPr>
          <w:rFonts w:ascii="Arial" w:cs="Arial" w:eastAsia="Arial" w:hAnsi="Arial"/>
          <w:sz w:val="16"/>
          <w:szCs w:val="16"/>
          <w:color w:val="C7D265"/>
        </w:rPr>
      </w:pPr>
    </w:p>
    <w:p>
      <w:pPr>
        <w:ind w:left="720" w:right="240" w:hanging="360"/>
        <w:spacing w:after="0" w:line="276" w:lineRule="auto"/>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Developed recommendations with respect to CEO compensation decisions and provided advice to the committee on the compensation decisions affecting all executives, including the NEOs</w:t>
      </w:r>
    </w:p>
    <w:p>
      <w:pPr>
        <w:spacing w:after="0" w:line="143" w:lineRule="exact"/>
        <w:rPr>
          <w:rFonts w:ascii="Arial" w:cs="Arial" w:eastAsia="Arial" w:hAnsi="Arial"/>
          <w:sz w:val="16"/>
          <w:szCs w:val="16"/>
          <w:color w:val="C7D265"/>
        </w:rPr>
      </w:pPr>
    </w:p>
    <w:p>
      <w:pPr>
        <w:ind w:left="720" w:hanging="360"/>
        <w:spacing w:after="0"/>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Attended and participated in committee meetings as requested by the committee</w:t>
      </w:r>
    </w:p>
    <w:p>
      <w:pPr>
        <w:spacing w:after="0" w:line="180" w:lineRule="exact"/>
        <w:rPr>
          <w:rFonts w:ascii="Arial" w:cs="Arial" w:eastAsia="Arial" w:hAnsi="Arial"/>
          <w:sz w:val="16"/>
          <w:szCs w:val="16"/>
          <w:color w:val="C7D265"/>
        </w:rPr>
      </w:pPr>
    </w:p>
    <w:p>
      <w:pPr>
        <w:ind w:left="720" w:right="80" w:hanging="360"/>
        <w:spacing w:after="0" w:line="276" w:lineRule="auto"/>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Reported on compensation trends and best practices, plan design, and the reasonableness of individual compensation awards</w:t>
      </w:r>
    </w:p>
    <w:p>
      <w:pPr>
        <w:spacing w:after="0" w:line="130" w:lineRule="exact"/>
        <w:rPr>
          <w:rFonts w:ascii="Arial" w:cs="Arial" w:eastAsia="Arial" w:hAnsi="Arial"/>
          <w:sz w:val="16"/>
          <w:szCs w:val="16"/>
          <w:color w:val="C7D265"/>
        </w:rPr>
      </w:pPr>
    </w:p>
    <w:p>
      <w:pPr>
        <w:ind w:left="720" w:hanging="360"/>
        <w:spacing w:after="0"/>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Assisted the committee in reviewing the Board’s compensation and assessing its competitiveness relative to market</w:t>
      </w:r>
    </w:p>
    <w:p>
      <w:pPr>
        <w:spacing w:after="0" w:line="194" w:lineRule="exact"/>
        <w:rPr>
          <w:rFonts w:ascii="Arial" w:cs="Arial" w:eastAsia="Arial" w:hAnsi="Arial"/>
          <w:sz w:val="16"/>
          <w:szCs w:val="16"/>
          <w:color w:val="C7D265"/>
        </w:rPr>
      </w:pPr>
    </w:p>
    <w:p>
      <w:pPr>
        <w:ind w:left="720" w:right="160" w:hanging="360"/>
        <w:spacing w:after="0" w:line="276" w:lineRule="auto"/>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Assisted the committee in assessing the extent to which the Company’s compensation policies and practices promote reasonable and appropriate risk-taking behavior by management and avoid excessive risk-taking behavior</w:t>
      </w:r>
    </w:p>
    <w:p>
      <w:pPr>
        <w:spacing w:after="0" w:line="130" w:lineRule="exact"/>
        <w:rPr>
          <w:rFonts w:ascii="Arial" w:cs="Arial" w:eastAsia="Arial" w:hAnsi="Arial"/>
          <w:sz w:val="16"/>
          <w:szCs w:val="16"/>
          <w:color w:val="C7D265"/>
        </w:rPr>
      </w:pPr>
    </w:p>
    <w:p>
      <w:pPr>
        <w:ind w:left="720" w:hanging="360"/>
        <w:spacing w:after="0"/>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Provided a consultant independence and conflicts of interest assessment</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5"/>
        </w:numPr>
        <w:rPr>
          <w:rFonts w:ascii="Arial" w:cs="Arial" w:eastAsia="Arial" w:hAnsi="Arial"/>
          <w:sz w:val="16"/>
          <w:szCs w:val="16"/>
          <w:color w:val="C7D265"/>
        </w:rPr>
      </w:pPr>
      <w:r>
        <w:rPr>
          <w:rFonts w:ascii="Arial" w:cs="Arial" w:eastAsia="Arial" w:hAnsi="Arial"/>
          <w:sz w:val="16"/>
          <w:szCs w:val="16"/>
          <w:color w:val="0E2A35"/>
        </w:rPr>
        <w:t>Met with the committee and/or its members without management present</w:t>
      </w:r>
    </w:p>
    <w:p>
      <w:pPr>
        <w:spacing w:after="0" w:line="194"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0E2A35"/>
        </w:rPr>
        <w:t>Semler Brossy did not provide any services to us other than those detailed above. The committee determined that no conflicts of interest exist with respect to Semler Brossy serving as an advisor to the committee. In making this determination, the committee considered various factors, including those set forth in the SEC’s and NYSE’s rules.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Role of Management</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0E2A35"/>
        </w:rPr>
        <w:t>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These recommendations are considered by the committee, which ultimately makes its own determinations.</w:t>
      </w:r>
    </w:p>
    <w:p>
      <w:pPr>
        <w:spacing w:after="0" w:line="151"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color w:val="0E2A35"/>
        </w:rPr>
        <w:t>Our human resources department provides additional analysis and guidance as requested by the committee related to NEO compensation, including the following:</w:t>
      </w:r>
    </w:p>
    <w:p>
      <w:pPr>
        <w:spacing w:after="0" w:line="130" w:lineRule="exact"/>
        <w:rPr>
          <w:sz w:val="20"/>
          <w:szCs w:val="20"/>
          <w:color w:val="auto"/>
        </w:rPr>
      </w:pPr>
    </w:p>
    <w:p>
      <w:pPr>
        <w:ind w:left="720" w:right="1020" w:hanging="360"/>
        <w:spacing w:after="0" w:line="276" w:lineRule="auto"/>
        <w:tabs>
          <w:tab w:leader="none" w:pos="720" w:val="left"/>
        </w:tabs>
        <w:numPr>
          <w:ilvl w:val="0"/>
          <w:numId w:val="26"/>
        </w:numPr>
        <w:rPr>
          <w:rFonts w:ascii="Arial" w:cs="Arial" w:eastAsia="Arial" w:hAnsi="Arial"/>
          <w:sz w:val="16"/>
          <w:szCs w:val="16"/>
          <w:color w:val="C7D265"/>
        </w:rPr>
      </w:pPr>
      <w:r>
        <w:rPr>
          <w:rFonts w:ascii="Arial" w:cs="Arial" w:eastAsia="Arial" w:hAnsi="Arial"/>
          <w:sz w:val="16"/>
          <w:szCs w:val="16"/>
          <w:color w:val="0E2A35"/>
        </w:rPr>
        <w:t>Developing, summarizing and presenting information and analyses to enable the committee to execute its responsibilities, as well as addressing specific requests for information from the committee</w:t>
      </w:r>
    </w:p>
    <w:p>
      <w:pPr>
        <w:spacing w:after="0" w:line="143" w:lineRule="exact"/>
        <w:rPr>
          <w:rFonts w:ascii="Arial" w:cs="Arial" w:eastAsia="Arial" w:hAnsi="Arial"/>
          <w:sz w:val="16"/>
          <w:szCs w:val="16"/>
          <w:color w:val="C7D265"/>
        </w:rPr>
      </w:pPr>
    </w:p>
    <w:p>
      <w:pPr>
        <w:ind w:left="720" w:right="420" w:hanging="360"/>
        <w:spacing w:after="0" w:line="276" w:lineRule="auto"/>
        <w:tabs>
          <w:tab w:leader="none" w:pos="720" w:val="left"/>
        </w:tabs>
        <w:numPr>
          <w:ilvl w:val="0"/>
          <w:numId w:val="26"/>
        </w:numPr>
        <w:rPr>
          <w:rFonts w:ascii="Arial" w:cs="Arial" w:eastAsia="Arial" w:hAnsi="Arial"/>
          <w:sz w:val="16"/>
          <w:szCs w:val="16"/>
          <w:color w:val="C7D265"/>
        </w:rPr>
      </w:pPr>
      <w:r>
        <w:rPr>
          <w:rFonts w:ascii="Arial" w:cs="Arial" w:eastAsia="Arial" w:hAnsi="Arial"/>
          <w:sz w:val="16"/>
          <w:szCs w:val="16"/>
          <w:color w:val="0E2A35"/>
        </w:rPr>
        <w:t>Attending committee meetings as requested to provide information, respond to questions and otherwise assist the committee</w:t>
      </w:r>
    </w:p>
    <w:p>
      <w:pPr>
        <w:spacing w:after="0" w:line="130" w:lineRule="exact"/>
        <w:rPr>
          <w:rFonts w:ascii="Arial" w:cs="Arial" w:eastAsia="Arial" w:hAnsi="Arial"/>
          <w:sz w:val="16"/>
          <w:szCs w:val="16"/>
          <w:color w:val="C7D265"/>
        </w:rPr>
      </w:pPr>
    </w:p>
    <w:p>
      <w:pPr>
        <w:ind w:left="720" w:right="100" w:hanging="360"/>
        <w:spacing w:after="0" w:line="276" w:lineRule="auto"/>
        <w:tabs>
          <w:tab w:leader="none" w:pos="720" w:val="left"/>
        </w:tabs>
        <w:numPr>
          <w:ilvl w:val="0"/>
          <w:numId w:val="26"/>
        </w:numPr>
        <w:rPr>
          <w:rFonts w:ascii="Arial" w:cs="Arial" w:eastAsia="Arial" w:hAnsi="Arial"/>
          <w:sz w:val="16"/>
          <w:szCs w:val="16"/>
          <w:color w:val="C7D265"/>
        </w:rPr>
      </w:pPr>
      <w:r>
        <w:rPr>
          <w:rFonts w:ascii="Arial" w:cs="Arial" w:eastAsia="Arial" w:hAnsi="Arial"/>
          <w:sz w:val="16"/>
          <w:szCs w:val="16"/>
          <w:color w:val="0E2A35"/>
        </w:rPr>
        <w:t>Assisting the CEO in making preliminary recommendations of base salary structure, annual and long-term (equity) program design and target award levels for the NEOs and other employees eligible to receive annual incentive awards</w:t>
      </w:r>
    </w:p>
    <w:p>
      <w:pPr>
        <w:spacing w:after="0" w:line="130" w:lineRule="exact"/>
        <w:rPr>
          <w:rFonts w:ascii="Arial" w:cs="Arial" w:eastAsia="Arial" w:hAnsi="Arial"/>
          <w:sz w:val="16"/>
          <w:szCs w:val="16"/>
          <w:color w:val="C7D265"/>
        </w:rPr>
      </w:pPr>
    </w:p>
    <w:p>
      <w:pPr>
        <w:ind w:left="720" w:right="280" w:hanging="360"/>
        <w:spacing w:after="0" w:line="276" w:lineRule="auto"/>
        <w:tabs>
          <w:tab w:leader="none" w:pos="720" w:val="left"/>
        </w:tabs>
        <w:numPr>
          <w:ilvl w:val="0"/>
          <w:numId w:val="26"/>
        </w:numPr>
        <w:rPr>
          <w:rFonts w:ascii="Arial" w:cs="Arial" w:eastAsia="Arial" w:hAnsi="Arial"/>
          <w:sz w:val="16"/>
          <w:szCs w:val="16"/>
          <w:color w:val="C7D265"/>
        </w:rPr>
      </w:pPr>
      <w:r>
        <w:rPr>
          <w:rFonts w:ascii="Arial" w:cs="Arial" w:eastAsia="Arial" w:hAnsi="Arial"/>
          <w:sz w:val="16"/>
          <w:szCs w:val="16"/>
          <w:color w:val="0E2A35"/>
        </w:rPr>
        <w:t>Preparing tally sheets outlining current pay opportunities and potential value of severance under various termination scenarios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Market Competitiveness Review</w:t>
      </w:r>
    </w:p>
    <w:p>
      <w:pPr>
        <w:spacing w:after="0" w:line="18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When setting fiscal 2023 compensation, the Human Resources Committee focused on trying to set pay levels, in the aggregate, within a competitive range of the market median. Some roles may be higher or lower in the competitive range based on performance, tenure in role, or other internal considerations. Competitive market data is only one of several factors considered by the committee in setting executive compensation levels.</w:t>
      </w:r>
    </w:p>
    <w:p>
      <w:pPr>
        <w:spacing w:after="0" w:line="160"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0E2A35"/>
        </w:rPr>
        <w:t>The committee establishes an individual annual bonus and equity incentive target opportunity for each NEO based on the committee’s evaluation of the executive’s experience, level and scope of responsibility and individual performance. Actual cash compensation may be more or less than the target opportunity as a result of performance under the incentive plan. Realized compensation from our equity-based awards may be more or less than the target opportunity as a result of our performance relative to the LTIP measures and our stock price performance.</w:t>
      </w:r>
    </w:p>
    <w:p>
      <w:pPr>
        <w:spacing w:after="0" w:line="15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0E2A35"/>
        </w:rPr>
        <w:t>In setting compensation, the committee compares base salaries, annual incentive opportunities and long-term compensation for the NEOs to a peer group of similarly sized companies (which we refer to collectively as our compensation peers). For fiscal 2023, the committee used the following set of companies that were determined to have similarly sized revenues and market values as our compensation peers.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60" w:type="dxa"/>
            <w:vAlign w:val="bottom"/>
            <w:shd w:val="clear" w:color="auto" w:fill="0E2A35"/>
          </w:tcPr>
          <w:p>
            <w:pPr>
              <w:spacing w:after="0"/>
              <w:rPr>
                <w:sz w:val="22"/>
                <w:szCs w:val="22"/>
                <w:color w:val="auto"/>
              </w:rPr>
            </w:pPr>
          </w:p>
        </w:tc>
        <w:tc>
          <w:tcPr>
            <w:tcW w:w="2100" w:type="dxa"/>
            <w:vAlign w:val="bottom"/>
            <w:shd w:val="clear" w:color="auto" w:fill="0E2A35"/>
          </w:tcPr>
          <w:p>
            <w:pPr>
              <w:spacing w:after="0"/>
              <w:rPr>
                <w:sz w:val="22"/>
                <w:szCs w:val="22"/>
                <w:color w:val="auto"/>
              </w:rPr>
            </w:pPr>
          </w:p>
        </w:tc>
        <w:tc>
          <w:tcPr>
            <w:tcW w:w="2420" w:type="dxa"/>
            <w:vAlign w:val="bottom"/>
            <w:shd w:val="clear" w:color="auto" w:fill="0E2A35"/>
          </w:tcPr>
          <w:p>
            <w:pPr>
              <w:ind w:left="1160"/>
              <w:spacing w:after="0"/>
              <w:rPr>
                <w:sz w:val="20"/>
                <w:szCs w:val="20"/>
                <w:color w:val="auto"/>
              </w:rPr>
            </w:pPr>
            <w:r>
              <w:rPr>
                <w:rFonts w:ascii="Arial" w:cs="Arial" w:eastAsia="Arial" w:hAnsi="Arial"/>
                <w:sz w:val="13"/>
                <w:szCs w:val="13"/>
                <w:b w:val="1"/>
                <w:bCs w:val="1"/>
                <w:color w:val="FFFFFF"/>
                <w:w w:val="95"/>
              </w:rPr>
              <w:t>Compensation Peers</w:t>
            </w:r>
          </w:p>
        </w:tc>
        <w:tc>
          <w:tcPr>
            <w:tcW w:w="4000" w:type="dxa"/>
            <w:vAlign w:val="bottom"/>
            <w:shd w:val="clear" w:color="auto" w:fill="0E2A35"/>
          </w:tcPr>
          <w:p>
            <w:pPr>
              <w:spacing w:after="0"/>
              <w:rPr>
                <w:sz w:val="22"/>
                <w:szCs w:val="22"/>
                <w:color w:val="auto"/>
              </w:rPr>
            </w:pPr>
          </w:p>
        </w:tc>
      </w:tr>
      <w:tr>
        <w:trPr>
          <w:trHeight w:val="89"/>
        </w:trPr>
        <w:tc>
          <w:tcPr>
            <w:tcW w:w="2860" w:type="dxa"/>
            <w:vAlign w:val="bottom"/>
            <w:gridSpan w:val="2"/>
            <w:shd w:val="clear" w:color="auto" w:fill="0E2A35"/>
          </w:tcPr>
          <w:p>
            <w:pPr>
              <w:spacing w:after="0"/>
              <w:rPr>
                <w:sz w:val="7"/>
                <w:szCs w:val="7"/>
                <w:color w:val="auto"/>
              </w:rPr>
            </w:pPr>
          </w:p>
        </w:tc>
        <w:tc>
          <w:tcPr>
            <w:tcW w:w="2420" w:type="dxa"/>
            <w:vAlign w:val="bottom"/>
            <w:shd w:val="clear" w:color="auto" w:fill="0E2A35"/>
          </w:tcPr>
          <w:p>
            <w:pPr>
              <w:spacing w:after="0"/>
              <w:rPr>
                <w:sz w:val="7"/>
                <w:szCs w:val="7"/>
                <w:color w:val="auto"/>
              </w:rPr>
            </w:pPr>
          </w:p>
        </w:tc>
        <w:tc>
          <w:tcPr>
            <w:tcW w:w="4000" w:type="dxa"/>
            <w:vAlign w:val="bottom"/>
            <w:shd w:val="clear" w:color="auto" w:fill="0E2A35"/>
          </w:tcPr>
          <w:p>
            <w:pPr>
              <w:spacing w:after="0"/>
              <w:rPr>
                <w:sz w:val="7"/>
                <w:szCs w:val="7"/>
                <w:color w:val="auto"/>
              </w:rPr>
            </w:pPr>
          </w:p>
        </w:tc>
      </w:tr>
      <w:tr>
        <w:trPr>
          <w:trHeight w:val="285"/>
        </w:trPr>
        <w:tc>
          <w:tcPr>
            <w:tcW w:w="2860" w:type="dxa"/>
            <w:vAlign w:val="bottom"/>
            <w:gridSpan w:val="2"/>
          </w:tcPr>
          <w:p>
            <w:pPr>
              <w:ind w:left="60"/>
              <w:spacing w:after="0"/>
              <w:rPr>
                <w:sz w:val="20"/>
                <w:szCs w:val="20"/>
                <w:color w:val="auto"/>
              </w:rPr>
            </w:pPr>
            <w:r>
              <w:rPr>
                <w:rFonts w:ascii="Arial" w:cs="Arial" w:eastAsia="Arial" w:hAnsi="Arial"/>
                <w:sz w:val="14"/>
                <w:szCs w:val="14"/>
                <w:color w:val="0E2A35"/>
              </w:rPr>
              <w:t>Altra Industrial Motion</w:t>
            </w:r>
          </w:p>
        </w:tc>
        <w:tc>
          <w:tcPr>
            <w:tcW w:w="2420" w:type="dxa"/>
            <w:vAlign w:val="bottom"/>
          </w:tcPr>
          <w:p>
            <w:pPr>
              <w:ind w:left="1860"/>
              <w:spacing w:after="0"/>
              <w:rPr>
                <w:sz w:val="20"/>
                <w:szCs w:val="20"/>
                <w:color w:val="auto"/>
              </w:rPr>
            </w:pPr>
            <w:r>
              <w:rPr>
                <w:rFonts w:ascii="Arial" w:cs="Arial" w:eastAsia="Arial" w:hAnsi="Arial"/>
                <w:sz w:val="14"/>
                <w:szCs w:val="14"/>
                <w:color w:val="0E2A35"/>
              </w:rPr>
              <w:t>Meritor</w:t>
            </w:r>
          </w:p>
        </w:tc>
        <w:tc>
          <w:tcPr>
            <w:tcW w:w="4000" w:type="dxa"/>
            <w:vAlign w:val="bottom"/>
          </w:tcPr>
          <w:p>
            <w:pPr>
              <w:spacing w:after="0"/>
              <w:rPr>
                <w:sz w:val="24"/>
                <w:szCs w:val="24"/>
                <w:color w:val="auto"/>
              </w:rPr>
            </w:pPr>
          </w:p>
        </w:tc>
      </w:tr>
      <w:tr>
        <w:trPr>
          <w:trHeight w:val="93"/>
        </w:trPr>
        <w:tc>
          <w:tcPr>
            <w:tcW w:w="2860" w:type="dxa"/>
            <w:vAlign w:val="bottom"/>
            <w:tcBorders>
              <w:bottom w:val="single" w:sz="8" w:color="0E2A35"/>
            </w:tcBorders>
            <w:gridSpan w:val="2"/>
          </w:tcPr>
          <w:p>
            <w:pPr>
              <w:spacing w:after="0"/>
              <w:rPr>
                <w:sz w:val="8"/>
                <w:szCs w:val="8"/>
                <w:color w:val="auto"/>
              </w:rPr>
            </w:pPr>
          </w:p>
        </w:tc>
        <w:tc>
          <w:tcPr>
            <w:tcW w:w="6420" w:type="dxa"/>
            <w:vAlign w:val="bottom"/>
            <w:tcBorders>
              <w:bottom w:val="single" w:sz="8" w:color="0E2A35"/>
            </w:tcBorders>
            <w:gridSpan w:val="2"/>
          </w:tcPr>
          <w:p>
            <w:pPr>
              <w:spacing w:after="0"/>
              <w:rPr>
                <w:sz w:val="8"/>
                <w:szCs w:val="8"/>
                <w:color w:val="auto"/>
              </w:rPr>
            </w:pPr>
          </w:p>
        </w:tc>
      </w:tr>
      <w:tr>
        <w:trPr>
          <w:trHeight w:val="278"/>
        </w:trPr>
        <w:tc>
          <w:tcPr>
            <w:tcW w:w="2860" w:type="dxa"/>
            <w:vAlign w:val="bottom"/>
            <w:gridSpan w:val="2"/>
          </w:tcPr>
          <w:p>
            <w:pPr>
              <w:ind w:left="60"/>
              <w:spacing w:after="0"/>
              <w:rPr>
                <w:sz w:val="20"/>
                <w:szCs w:val="20"/>
                <w:color w:val="auto"/>
              </w:rPr>
            </w:pPr>
            <w:r>
              <w:rPr>
                <w:rFonts w:ascii="Arial" w:cs="Arial" w:eastAsia="Arial" w:hAnsi="Arial"/>
                <w:sz w:val="14"/>
                <w:szCs w:val="14"/>
                <w:color w:val="0E2A35"/>
              </w:rPr>
              <w:t>American Axle</w:t>
            </w:r>
          </w:p>
        </w:tc>
        <w:tc>
          <w:tcPr>
            <w:tcW w:w="6420" w:type="dxa"/>
            <w:vAlign w:val="bottom"/>
            <w:gridSpan w:val="2"/>
          </w:tcPr>
          <w:p>
            <w:pPr>
              <w:ind w:left="1860"/>
              <w:spacing w:after="0"/>
              <w:rPr>
                <w:sz w:val="20"/>
                <w:szCs w:val="20"/>
                <w:color w:val="auto"/>
              </w:rPr>
            </w:pPr>
            <w:r>
              <w:rPr>
                <w:rFonts w:ascii="Arial" w:cs="Arial" w:eastAsia="Arial" w:hAnsi="Arial"/>
                <w:sz w:val="14"/>
                <w:szCs w:val="14"/>
                <w:color w:val="0E2A35"/>
              </w:rPr>
              <w:t>Oshkosh Corporation</w:t>
            </w:r>
          </w:p>
        </w:tc>
      </w:tr>
      <w:tr>
        <w:trPr>
          <w:trHeight w:val="93"/>
        </w:trPr>
        <w:tc>
          <w:tcPr>
            <w:tcW w:w="2860" w:type="dxa"/>
            <w:vAlign w:val="bottom"/>
            <w:tcBorders>
              <w:bottom w:val="single" w:sz="8" w:color="0E2A35"/>
            </w:tcBorders>
            <w:gridSpan w:val="2"/>
          </w:tcPr>
          <w:p>
            <w:pPr>
              <w:spacing w:after="0"/>
              <w:rPr>
                <w:sz w:val="8"/>
                <w:szCs w:val="8"/>
                <w:color w:val="auto"/>
              </w:rPr>
            </w:pPr>
          </w:p>
        </w:tc>
        <w:tc>
          <w:tcPr>
            <w:tcW w:w="6420" w:type="dxa"/>
            <w:vAlign w:val="bottom"/>
            <w:tcBorders>
              <w:bottom w:val="single" w:sz="8" w:color="0E2A35"/>
            </w:tcBorders>
            <w:gridSpan w:val="2"/>
          </w:tcPr>
          <w:p>
            <w:pPr>
              <w:spacing w:after="0"/>
              <w:rPr>
                <w:sz w:val="8"/>
                <w:szCs w:val="8"/>
                <w:color w:val="auto"/>
              </w:rPr>
            </w:pPr>
          </w:p>
        </w:tc>
      </w:tr>
      <w:tr>
        <w:trPr>
          <w:trHeight w:val="279"/>
        </w:trPr>
        <w:tc>
          <w:tcPr>
            <w:tcW w:w="2860" w:type="dxa"/>
            <w:vAlign w:val="bottom"/>
            <w:gridSpan w:val="2"/>
          </w:tcPr>
          <w:p>
            <w:pPr>
              <w:ind w:left="60"/>
              <w:spacing w:after="0"/>
              <w:rPr>
                <w:sz w:val="20"/>
                <w:szCs w:val="20"/>
                <w:color w:val="auto"/>
              </w:rPr>
            </w:pPr>
            <w:r>
              <w:rPr>
                <w:rFonts w:ascii="Arial" w:cs="Arial" w:eastAsia="Arial" w:hAnsi="Arial"/>
                <w:sz w:val="14"/>
                <w:szCs w:val="14"/>
                <w:color w:val="0E2A35"/>
              </w:rPr>
              <w:t>Brunswick Corporation</w:t>
            </w:r>
          </w:p>
        </w:tc>
        <w:tc>
          <w:tcPr>
            <w:tcW w:w="6420" w:type="dxa"/>
            <w:vAlign w:val="bottom"/>
            <w:gridSpan w:val="2"/>
          </w:tcPr>
          <w:p>
            <w:pPr>
              <w:ind w:left="1860"/>
              <w:spacing w:after="0"/>
              <w:rPr>
                <w:sz w:val="20"/>
                <w:szCs w:val="20"/>
                <w:color w:val="auto"/>
              </w:rPr>
            </w:pPr>
            <w:r>
              <w:rPr>
                <w:rFonts w:ascii="Arial" w:cs="Arial" w:eastAsia="Arial" w:hAnsi="Arial"/>
                <w:sz w:val="14"/>
                <w:szCs w:val="14"/>
                <w:color w:val="0E2A35"/>
              </w:rPr>
              <w:t>Patrick Industries</w:t>
            </w:r>
          </w:p>
        </w:tc>
      </w:tr>
      <w:tr>
        <w:trPr>
          <w:trHeight w:val="93"/>
        </w:trPr>
        <w:tc>
          <w:tcPr>
            <w:tcW w:w="760" w:type="dxa"/>
            <w:vAlign w:val="bottom"/>
            <w:tcBorders>
              <w:bottom w:val="single" w:sz="8" w:color="0E2A35"/>
            </w:tcBorders>
          </w:tcPr>
          <w:p>
            <w:pPr>
              <w:spacing w:after="0"/>
              <w:rPr>
                <w:sz w:val="8"/>
                <w:szCs w:val="8"/>
                <w:color w:val="auto"/>
              </w:rPr>
            </w:pPr>
          </w:p>
        </w:tc>
        <w:tc>
          <w:tcPr>
            <w:tcW w:w="2100" w:type="dxa"/>
            <w:vAlign w:val="bottom"/>
            <w:tcBorders>
              <w:bottom w:val="single" w:sz="8" w:color="0E2A35"/>
            </w:tcBorders>
          </w:tcPr>
          <w:p>
            <w:pPr>
              <w:spacing w:after="0"/>
              <w:rPr>
                <w:sz w:val="8"/>
                <w:szCs w:val="8"/>
                <w:color w:val="auto"/>
              </w:rPr>
            </w:pPr>
          </w:p>
        </w:tc>
        <w:tc>
          <w:tcPr>
            <w:tcW w:w="2420" w:type="dxa"/>
            <w:vAlign w:val="bottom"/>
            <w:tcBorders>
              <w:bottom w:val="single" w:sz="8" w:color="0E2A35"/>
            </w:tcBorders>
          </w:tcPr>
          <w:p>
            <w:pPr>
              <w:spacing w:after="0"/>
              <w:rPr>
                <w:sz w:val="8"/>
                <w:szCs w:val="8"/>
                <w:color w:val="auto"/>
              </w:rPr>
            </w:pPr>
          </w:p>
        </w:tc>
        <w:tc>
          <w:tcPr>
            <w:tcW w:w="4000" w:type="dxa"/>
            <w:vAlign w:val="bottom"/>
            <w:tcBorders>
              <w:bottom w:val="single" w:sz="8" w:color="0E2A35"/>
            </w:tcBorders>
          </w:tcPr>
          <w:p>
            <w:pPr>
              <w:spacing w:after="0"/>
              <w:rPr>
                <w:sz w:val="8"/>
                <w:szCs w:val="8"/>
                <w:color w:val="auto"/>
              </w:rPr>
            </w:pPr>
          </w:p>
        </w:tc>
      </w:tr>
      <w:tr>
        <w:trPr>
          <w:trHeight w:val="278"/>
        </w:trPr>
        <w:tc>
          <w:tcPr>
            <w:tcW w:w="760" w:type="dxa"/>
            <w:vAlign w:val="bottom"/>
          </w:tcPr>
          <w:p>
            <w:pPr>
              <w:ind w:left="60"/>
              <w:spacing w:after="0"/>
              <w:rPr>
                <w:sz w:val="20"/>
                <w:szCs w:val="20"/>
                <w:color w:val="auto"/>
              </w:rPr>
            </w:pPr>
            <w:r>
              <w:rPr>
                <w:rFonts w:ascii="Arial" w:cs="Arial" w:eastAsia="Arial" w:hAnsi="Arial"/>
                <w:sz w:val="14"/>
                <w:szCs w:val="14"/>
                <w:color w:val="0E2A35"/>
              </w:rPr>
              <w:t>Crane Co.</w:t>
            </w:r>
          </w:p>
        </w:tc>
        <w:tc>
          <w:tcPr>
            <w:tcW w:w="2100" w:type="dxa"/>
            <w:vAlign w:val="bottom"/>
          </w:tcPr>
          <w:p>
            <w:pPr>
              <w:spacing w:after="0"/>
              <w:rPr>
                <w:sz w:val="24"/>
                <w:szCs w:val="24"/>
                <w:color w:val="auto"/>
              </w:rPr>
            </w:pPr>
          </w:p>
        </w:tc>
        <w:tc>
          <w:tcPr>
            <w:tcW w:w="2420" w:type="dxa"/>
            <w:vAlign w:val="bottom"/>
          </w:tcPr>
          <w:p>
            <w:pPr>
              <w:ind w:left="1860"/>
              <w:spacing w:after="0"/>
              <w:rPr>
                <w:sz w:val="20"/>
                <w:szCs w:val="20"/>
                <w:color w:val="auto"/>
              </w:rPr>
            </w:pPr>
            <w:r>
              <w:rPr>
                <w:rFonts w:ascii="Arial" w:cs="Arial" w:eastAsia="Arial" w:hAnsi="Arial"/>
                <w:sz w:val="14"/>
                <w:szCs w:val="14"/>
                <w:color w:val="0E2A35"/>
              </w:rPr>
              <w:t>Polaris</w:t>
            </w:r>
          </w:p>
        </w:tc>
        <w:tc>
          <w:tcPr>
            <w:tcW w:w="4000" w:type="dxa"/>
            <w:vAlign w:val="bottom"/>
          </w:tcPr>
          <w:p>
            <w:pPr>
              <w:spacing w:after="0"/>
              <w:rPr>
                <w:sz w:val="24"/>
                <w:szCs w:val="24"/>
                <w:color w:val="auto"/>
              </w:rPr>
            </w:pPr>
          </w:p>
        </w:tc>
      </w:tr>
      <w:tr>
        <w:trPr>
          <w:trHeight w:val="93"/>
        </w:trPr>
        <w:tc>
          <w:tcPr>
            <w:tcW w:w="2860" w:type="dxa"/>
            <w:vAlign w:val="bottom"/>
            <w:tcBorders>
              <w:bottom w:val="single" w:sz="8" w:color="0E2A35"/>
            </w:tcBorders>
            <w:gridSpan w:val="2"/>
          </w:tcPr>
          <w:p>
            <w:pPr>
              <w:spacing w:after="0"/>
              <w:rPr>
                <w:sz w:val="8"/>
                <w:szCs w:val="8"/>
                <w:color w:val="auto"/>
              </w:rPr>
            </w:pPr>
          </w:p>
        </w:tc>
        <w:tc>
          <w:tcPr>
            <w:tcW w:w="6420" w:type="dxa"/>
            <w:vAlign w:val="bottom"/>
            <w:tcBorders>
              <w:bottom w:val="single" w:sz="8" w:color="0E2A35"/>
            </w:tcBorders>
            <w:gridSpan w:val="2"/>
          </w:tcPr>
          <w:p>
            <w:pPr>
              <w:spacing w:after="0"/>
              <w:rPr>
                <w:sz w:val="8"/>
                <w:szCs w:val="8"/>
                <w:color w:val="auto"/>
              </w:rPr>
            </w:pPr>
          </w:p>
        </w:tc>
      </w:tr>
      <w:tr>
        <w:trPr>
          <w:trHeight w:val="279"/>
        </w:trPr>
        <w:tc>
          <w:tcPr>
            <w:tcW w:w="2860" w:type="dxa"/>
            <w:vAlign w:val="bottom"/>
            <w:gridSpan w:val="2"/>
          </w:tcPr>
          <w:p>
            <w:pPr>
              <w:ind w:left="60"/>
              <w:spacing w:after="0"/>
              <w:rPr>
                <w:sz w:val="20"/>
                <w:szCs w:val="20"/>
                <w:color w:val="auto"/>
              </w:rPr>
            </w:pPr>
            <w:r>
              <w:rPr>
                <w:rFonts w:ascii="Arial" w:cs="Arial" w:eastAsia="Arial" w:hAnsi="Arial"/>
                <w:sz w:val="14"/>
                <w:szCs w:val="14"/>
                <w:color w:val="0E2A35"/>
              </w:rPr>
              <w:t>Dana Incorporated</w:t>
            </w:r>
          </w:p>
        </w:tc>
        <w:tc>
          <w:tcPr>
            <w:tcW w:w="6420" w:type="dxa"/>
            <w:vAlign w:val="bottom"/>
            <w:gridSpan w:val="2"/>
          </w:tcPr>
          <w:p>
            <w:pPr>
              <w:ind w:left="1860"/>
              <w:spacing w:after="0"/>
              <w:rPr>
                <w:sz w:val="20"/>
                <w:szCs w:val="20"/>
                <w:color w:val="auto"/>
              </w:rPr>
            </w:pPr>
            <w:r>
              <w:rPr>
                <w:rFonts w:ascii="Arial" w:cs="Arial" w:eastAsia="Arial" w:hAnsi="Arial"/>
                <w:sz w:val="14"/>
                <w:szCs w:val="14"/>
                <w:color w:val="0E2A35"/>
              </w:rPr>
              <w:t>REV Group</w:t>
            </w:r>
          </w:p>
        </w:tc>
      </w:tr>
      <w:tr>
        <w:trPr>
          <w:trHeight w:val="93"/>
        </w:trPr>
        <w:tc>
          <w:tcPr>
            <w:tcW w:w="760" w:type="dxa"/>
            <w:vAlign w:val="bottom"/>
            <w:tcBorders>
              <w:bottom w:val="single" w:sz="8" w:color="0E2A35"/>
            </w:tcBorders>
          </w:tcPr>
          <w:p>
            <w:pPr>
              <w:spacing w:after="0"/>
              <w:rPr>
                <w:sz w:val="8"/>
                <w:szCs w:val="8"/>
                <w:color w:val="auto"/>
              </w:rPr>
            </w:pPr>
          </w:p>
        </w:tc>
        <w:tc>
          <w:tcPr>
            <w:tcW w:w="2100" w:type="dxa"/>
            <w:vAlign w:val="bottom"/>
            <w:tcBorders>
              <w:bottom w:val="single" w:sz="8" w:color="0E2A35"/>
            </w:tcBorders>
          </w:tcPr>
          <w:p>
            <w:pPr>
              <w:spacing w:after="0"/>
              <w:rPr>
                <w:sz w:val="8"/>
                <w:szCs w:val="8"/>
                <w:color w:val="auto"/>
              </w:rPr>
            </w:pPr>
          </w:p>
        </w:tc>
        <w:tc>
          <w:tcPr>
            <w:tcW w:w="6420" w:type="dxa"/>
            <w:vAlign w:val="bottom"/>
            <w:tcBorders>
              <w:bottom w:val="single" w:sz="8" w:color="0E2A35"/>
            </w:tcBorders>
            <w:gridSpan w:val="2"/>
          </w:tcPr>
          <w:p>
            <w:pPr>
              <w:spacing w:after="0"/>
              <w:rPr>
                <w:sz w:val="8"/>
                <w:szCs w:val="8"/>
                <w:color w:val="auto"/>
              </w:rPr>
            </w:pPr>
          </w:p>
        </w:tc>
      </w:tr>
      <w:tr>
        <w:trPr>
          <w:trHeight w:val="278"/>
        </w:trPr>
        <w:tc>
          <w:tcPr>
            <w:tcW w:w="760" w:type="dxa"/>
            <w:vAlign w:val="bottom"/>
          </w:tcPr>
          <w:p>
            <w:pPr>
              <w:ind w:left="60"/>
              <w:spacing w:after="0"/>
              <w:rPr>
                <w:sz w:val="20"/>
                <w:szCs w:val="20"/>
                <w:color w:val="auto"/>
              </w:rPr>
            </w:pPr>
            <w:r>
              <w:rPr>
                <w:rFonts w:ascii="Arial" w:cs="Arial" w:eastAsia="Arial" w:hAnsi="Arial"/>
                <w:sz w:val="14"/>
                <w:szCs w:val="14"/>
                <w:color w:val="0E2A35"/>
              </w:rPr>
              <w:t>Donaldson​</w:t>
            </w:r>
          </w:p>
        </w:tc>
        <w:tc>
          <w:tcPr>
            <w:tcW w:w="2100" w:type="dxa"/>
            <w:vAlign w:val="bottom"/>
          </w:tcPr>
          <w:p>
            <w:pPr>
              <w:ind w:left="20"/>
              <w:spacing w:after="0"/>
              <w:rPr>
                <w:sz w:val="20"/>
                <w:szCs w:val="20"/>
                <w:color w:val="auto"/>
              </w:rPr>
            </w:pPr>
            <w:r>
              <w:rPr>
                <w:rFonts w:ascii="Arial" w:cs="Arial" w:eastAsia="Arial" w:hAnsi="Arial"/>
                <w:sz w:val="14"/>
                <w:szCs w:val="14"/>
                <w:color w:val="0E2A35"/>
              </w:rPr>
              <w:t>Company, Inc.</w:t>
            </w:r>
          </w:p>
        </w:tc>
        <w:tc>
          <w:tcPr>
            <w:tcW w:w="6420" w:type="dxa"/>
            <w:vAlign w:val="bottom"/>
            <w:gridSpan w:val="2"/>
          </w:tcPr>
          <w:p>
            <w:pPr>
              <w:ind w:left="1860"/>
              <w:spacing w:after="0"/>
              <w:rPr>
                <w:sz w:val="20"/>
                <w:szCs w:val="20"/>
                <w:color w:val="auto"/>
              </w:rPr>
            </w:pPr>
            <w:r>
              <w:rPr>
                <w:rFonts w:ascii="Arial" w:cs="Arial" w:eastAsia="Arial" w:hAnsi="Arial"/>
                <w:sz w:val="14"/>
                <w:szCs w:val="14"/>
                <w:color w:val="0E2A35"/>
              </w:rPr>
              <w:t>The Timken Company</w:t>
            </w:r>
          </w:p>
        </w:tc>
      </w:tr>
      <w:tr>
        <w:trPr>
          <w:trHeight w:val="93"/>
        </w:trPr>
        <w:tc>
          <w:tcPr>
            <w:tcW w:w="2860" w:type="dxa"/>
            <w:vAlign w:val="bottom"/>
            <w:tcBorders>
              <w:bottom w:val="single" w:sz="8" w:color="0E2A35"/>
            </w:tcBorders>
            <w:gridSpan w:val="2"/>
          </w:tcPr>
          <w:p>
            <w:pPr>
              <w:spacing w:after="0"/>
              <w:rPr>
                <w:sz w:val="8"/>
                <w:szCs w:val="8"/>
                <w:color w:val="auto"/>
              </w:rPr>
            </w:pPr>
          </w:p>
        </w:tc>
        <w:tc>
          <w:tcPr>
            <w:tcW w:w="6420" w:type="dxa"/>
            <w:vAlign w:val="bottom"/>
            <w:tcBorders>
              <w:bottom w:val="single" w:sz="8" w:color="0E2A35"/>
            </w:tcBorders>
            <w:gridSpan w:val="2"/>
          </w:tcPr>
          <w:p>
            <w:pPr>
              <w:spacing w:after="0"/>
              <w:rPr>
                <w:sz w:val="8"/>
                <w:szCs w:val="8"/>
                <w:color w:val="auto"/>
              </w:rPr>
            </w:pPr>
          </w:p>
        </w:tc>
      </w:tr>
      <w:tr>
        <w:trPr>
          <w:trHeight w:val="279"/>
        </w:trPr>
        <w:tc>
          <w:tcPr>
            <w:tcW w:w="2860" w:type="dxa"/>
            <w:vAlign w:val="bottom"/>
            <w:gridSpan w:val="2"/>
          </w:tcPr>
          <w:p>
            <w:pPr>
              <w:ind w:left="60"/>
              <w:spacing w:after="0"/>
              <w:rPr>
                <w:sz w:val="20"/>
                <w:szCs w:val="20"/>
                <w:color w:val="auto"/>
              </w:rPr>
            </w:pPr>
            <w:r>
              <w:rPr>
                <w:rFonts w:ascii="Arial" w:cs="Arial" w:eastAsia="Arial" w:hAnsi="Arial"/>
                <w:sz w:val="14"/>
                <w:szCs w:val="14"/>
                <w:color w:val="0E2A35"/>
              </w:rPr>
              <w:t>Harley-Davidson, Inc.</w:t>
            </w:r>
          </w:p>
        </w:tc>
        <w:tc>
          <w:tcPr>
            <w:tcW w:w="6420" w:type="dxa"/>
            <w:vAlign w:val="bottom"/>
            <w:gridSpan w:val="2"/>
          </w:tcPr>
          <w:p>
            <w:pPr>
              <w:ind w:left="1860"/>
              <w:spacing w:after="0"/>
              <w:rPr>
                <w:sz w:val="20"/>
                <w:szCs w:val="20"/>
                <w:color w:val="auto"/>
              </w:rPr>
            </w:pPr>
            <w:r>
              <w:rPr>
                <w:rFonts w:ascii="Arial" w:cs="Arial" w:eastAsia="Arial" w:hAnsi="Arial"/>
                <w:sz w:val="14"/>
                <w:szCs w:val="14"/>
                <w:color w:val="0E2A35"/>
              </w:rPr>
              <w:t>The Toro Company</w:t>
            </w:r>
          </w:p>
        </w:tc>
      </w:tr>
      <w:tr>
        <w:trPr>
          <w:trHeight w:val="93"/>
        </w:trPr>
        <w:tc>
          <w:tcPr>
            <w:tcW w:w="2860" w:type="dxa"/>
            <w:vAlign w:val="bottom"/>
            <w:tcBorders>
              <w:bottom w:val="single" w:sz="8" w:color="0E2A35"/>
            </w:tcBorders>
            <w:gridSpan w:val="2"/>
          </w:tcPr>
          <w:p>
            <w:pPr>
              <w:spacing w:after="0"/>
              <w:rPr>
                <w:sz w:val="8"/>
                <w:szCs w:val="8"/>
                <w:color w:val="auto"/>
              </w:rPr>
            </w:pPr>
          </w:p>
        </w:tc>
        <w:tc>
          <w:tcPr>
            <w:tcW w:w="2420" w:type="dxa"/>
            <w:vAlign w:val="bottom"/>
            <w:tcBorders>
              <w:bottom w:val="single" w:sz="8" w:color="0E2A35"/>
            </w:tcBorders>
          </w:tcPr>
          <w:p>
            <w:pPr>
              <w:spacing w:after="0"/>
              <w:rPr>
                <w:sz w:val="8"/>
                <w:szCs w:val="8"/>
                <w:color w:val="auto"/>
              </w:rPr>
            </w:pPr>
          </w:p>
        </w:tc>
        <w:tc>
          <w:tcPr>
            <w:tcW w:w="4000" w:type="dxa"/>
            <w:vAlign w:val="bottom"/>
            <w:tcBorders>
              <w:bottom w:val="single" w:sz="8" w:color="0E2A35"/>
            </w:tcBorders>
          </w:tcPr>
          <w:p>
            <w:pPr>
              <w:spacing w:after="0"/>
              <w:rPr>
                <w:sz w:val="8"/>
                <w:szCs w:val="8"/>
                <w:color w:val="auto"/>
              </w:rPr>
            </w:pPr>
          </w:p>
        </w:tc>
      </w:tr>
      <w:tr>
        <w:trPr>
          <w:trHeight w:val="278"/>
        </w:trPr>
        <w:tc>
          <w:tcPr>
            <w:tcW w:w="2860" w:type="dxa"/>
            <w:vAlign w:val="bottom"/>
            <w:gridSpan w:val="2"/>
          </w:tcPr>
          <w:p>
            <w:pPr>
              <w:ind w:left="60"/>
              <w:spacing w:after="0"/>
              <w:rPr>
                <w:sz w:val="20"/>
                <w:szCs w:val="20"/>
                <w:color w:val="auto"/>
              </w:rPr>
            </w:pPr>
            <w:r>
              <w:rPr>
                <w:rFonts w:ascii="Arial" w:cs="Arial" w:eastAsia="Arial" w:hAnsi="Arial"/>
                <w:sz w:val="14"/>
                <w:szCs w:val="14"/>
                <w:color w:val="0E2A35"/>
              </w:rPr>
              <w:t>Hyster-Yale</w:t>
            </w:r>
          </w:p>
        </w:tc>
        <w:tc>
          <w:tcPr>
            <w:tcW w:w="2420" w:type="dxa"/>
            <w:vAlign w:val="bottom"/>
          </w:tcPr>
          <w:p>
            <w:pPr>
              <w:ind w:left="1860"/>
              <w:spacing w:after="0"/>
              <w:rPr>
                <w:sz w:val="20"/>
                <w:szCs w:val="20"/>
                <w:color w:val="auto"/>
              </w:rPr>
            </w:pPr>
            <w:r>
              <w:rPr>
                <w:rFonts w:ascii="Arial" w:cs="Arial" w:eastAsia="Arial" w:hAnsi="Arial"/>
                <w:sz w:val="14"/>
                <w:szCs w:val="14"/>
                <w:color w:val="0E2A35"/>
              </w:rPr>
              <w:t>Wabash​</w:t>
            </w:r>
          </w:p>
        </w:tc>
        <w:tc>
          <w:tcPr>
            <w:tcW w:w="4000" w:type="dxa"/>
            <w:vAlign w:val="bottom"/>
          </w:tcPr>
          <w:p>
            <w:pPr>
              <w:spacing w:after="0"/>
              <w:rPr>
                <w:sz w:val="20"/>
                <w:szCs w:val="20"/>
                <w:color w:val="auto"/>
              </w:rPr>
            </w:pPr>
            <w:r>
              <w:rPr>
                <w:rFonts w:ascii="Arial" w:cs="Arial" w:eastAsia="Arial" w:hAnsi="Arial"/>
                <w:sz w:val="14"/>
                <w:szCs w:val="14"/>
                <w:color w:val="0E2A35"/>
              </w:rPr>
              <w:t>National</w:t>
            </w:r>
          </w:p>
        </w:tc>
      </w:tr>
      <w:tr>
        <w:trPr>
          <w:trHeight w:val="93"/>
        </w:trPr>
        <w:tc>
          <w:tcPr>
            <w:tcW w:w="2860" w:type="dxa"/>
            <w:vAlign w:val="bottom"/>
            <w:tcBorders>
              <w:bottom w:val="single" w:sz="8" w:color="0E2A35"/>
            </w:tcBorders>
            <w:gridSpan w:val="2"/>
          </w:tcPr>
          <w:p>
            <w:pPr>
              <w:spacing w:after="0"/>
              <w:rPr>
                <w:sz w:val="8"/>
                <w:szCs w:val="8"/>
                <w:color w:val="auto"/>
              </w:rPr>
            </w:pPr>
          </w:p>
        </w:tc>
        <w:tc>
          <w:tcPr>
            <w:tcW w:w="2420" w:type="dxa"/>
            <w:vAlign w:val="bottom"/>
            <w:tcBorders>
              <w:bottom w:val="single" w:sz="8" w:color="0E2A35"/>
            </w:tcBorders>
          </w:tcPr>
          <w:p>
            <w:pPr>
              <w:spacing w:after="0"/>
              <w:rPr>
                <w:sz w:val="8"/>
                <w:szCs w:val="8"/>
                <w:color w:val="auto"/>
              </w:rPr>
            </w:pPr>
          </w:p>
        </w:tc>
        <w:tc>
          <w:tcPr>
            <w:tcW w:w="4000" w:type="dxa"/>
            <w:vAlign w:val="bottom"/>
            <w:tcBorders>
              <w:bottom w:val="single" w:sz="8" w:color="0E2A35"/>
            </w:tcBorders>
          </w:tcPr>
          <w:p>
            <w:pPr>
              <w:spacing w:after="0"/>
              <w:rPr>
                <w:sz w:val="8"/>
                <w:szCs w:val="8"/>
                <w:color w:val="auto"/>
              </w:rPr>
            </w:pPr>
          </w:p>
        </w:tc>
      </w:tr>
      <w:tr>
        <w:trPr>
          <w:trHeight w:val="279"/>
        </w:trPr>
        <w:tc>
          <w:tcPr>
            <w:tcW w:w="2860" w:type="dxa"/>
            <w:vAlign w:val="bottom"/>
            <w:gridSpan w:val="2"/>
          </w:tcPr>
          <w:p>
            <w:pPr>
              <w:ind w:left="60"/>
              <w:spacing w:after="0"/>
              <w:rPr>
                <w:sz w:val="20"/>
                <w:szCs w:val="20"/>
                <w:color w:val="auto"/>
              </w:rPr>
            </w:pPr>
            <w:r>
              <w:rPr>
                <w:rFonts w:ascii="Arial" w:cs="Arial" w:eastAsia="Arial" w:hAnsi="Arial"/>
                <w:sz w:val="14"/>
                <w:szCs w:val="14"/>
                <w:color w:val="0E2A35"/>
              </w:rPr>
              <w:t>LCI Industries</w:t>
            </w:r>
          </w:p>
        </w:tc>
        <w:tc>
          <w:tcPr>
            <w:tcW w:w="2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93"/>
        </w:trPr>
        <w:tc>
          <w:tcPr>
            <w:tcW w:w="760" w:type="dxa"/>
            <w:vAlign w:val="bottom"/>
            <w:tcBorders>
              <w:bottom w:val="single" w:sz="8" w:color="0E2A35"/>
            </w:tcBorders>
          </w:tcPr>
          <w:p>
            <w:pPr>
              <w:spacing w:after="0"/>
              <w:rPr>
                <w:sz w:val="8"/>
                <w:szCs w:val="8"/>
                <w:color w:val="auto"/>
              </w:rPr>
            </w:pPr>
          </w:p>
        </w:tc>
        <w:tc>
          <w:tcPr>
            <w:tcW w:w="2100" w:type="dxa"/>
            <w:vAlign w:val="bottom"/>
            <w:tcBorders>
              <w:bottom w:val="single" w:sz="8" w:color="0E2A35"/>
            </w:tcBorders>
          </w:tcPr>
          <w:p>
            <w:pPr>
              <w:spacing w:after="0"/>
              <w:rPr>
                <w:sz w:val="8"/>
                <w:szCs w:val="8"/>
                <w:color w:val="auto"/>
              </w:rPr>
            </w:pPr>
          </w:p>
        </w:tc>
        <w:tc>
          <w:tcPr>
            <w:tcW w:w="2420" w:type="dxa"/>
            <w:vAlign w:val="bottom"/>
            <w:tcBorders>
              <w:bottom w:val="single" w:sz="8" w:color="0E2A35"/>
            </w:tcBorders>
          </w:tcPr>
          <w:p>
            <w:pPr>
              <w:spacing w:after="0"/>
              <w:rPr>
                <w:sz w:val="8"/>
                <w:szCs w:val="8"/>
                <w:color w:val="auto"/>
              </w:rPr>
            </w:pPr>
          </w:p>
        </w:tc>
        <w:tc>
          <w:tcPr>
            <w:tcW w:w="4000" w:type="dxa"/>
            <w:vAlign w:val="bottom"/>
            <w:tcBorders>
              <w:bottom w:val="single" w:sz="8" w:color="0E2A35"/>
            </w:tcBorders>
          </w:tcPr>
          <w:p>
            <w:pPr>
              <w:spacing w:after="0"/>
              <w:rPr>
                <w:sz w:val="8"/>
                <w:szCs w:val="8"/>
                <w:color w:val="auto"/>
              </w:rPr>
            </w:pPr>
          </w:p>
        </w:tc>
      </w:tr>
    </w:tbl>
    <w:p>
      <w:pPr>
        <w:spacing w:after="0" w:line="30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-80010</wp:posOffset>
            </wp:positionV>
            <wp:extent cx="1465580" cy="946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0E2A35"/>
        </w:rPr>
        <w:t>Based on a review conducted by Semler Brossy, the committee removed Meritor from the peer group for setting compensation levels for fiscal 2024, after that company was acquired in 2022.</w:t>
      </w:r>
    </w:p>
    <w:p>
      <w:pPr>
        <w:spacing w:after="0" w:line="144" w:lineRule="exact"/>
        <w:rPr>
          <w:sz w:val="20"/>
          <w:szCs w:val="20"/>
          <w:color w:val="auto"/>
        </w:rPr>
      </w:pPr>
    </w:p>
    <w:p>
      <w:pPr>
        <w:spacing w:after="0" w:line="261" w:lineRule="auto"/>
        <w:rPr>
          <w:sz w:val="20"/>
          <w:szCs w:val="20"/>
          <w:color w:val="auto"/>
        </w:rPr>
      </w:pPr>
      <w:r>
        <w:rPr>
          <w:rFonts w:ascii="Arial" w:cs="Arial" w:eastAsia="Arial" w:hAnsi="Arial"/>
          <w:sz w:val="16"/>
          <w:szCs w:val="16"/>
          <w:color w:val="0E2A35"/>
        </w:rPr>
        <w:t>In addition to peer group data, Semler Brossy collected market data from compensation surveys for executive positions where the scope of responsibilities for the Company’s executives was not comparable to the peer group named executive officers and where general industry survey data provided a better match for comparable positions in the market.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Fiscal 2023 NEO Compensation Decisions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Base Salary</w:t>
      </w:r>
    </w:p>
    <w:p>
      <w:pPr>
        <w:spacing w:after="0" w:line="188" w:lineRule="exact"/>
        <w:rPr>
          <w:sz w:val="20"/>
          <w:szCs w:val="20"/>
          <w:color w:val="auto"/>
        </w:rPr>
      </w:pPr>
    </w:p>
    <w:p>
      <w:pPr>
        <w:ind w:right="460"/>
        <w:spacing w:after="0" w:line="261" w:lineRule="auto"/>
        <w:rPr>
          <w:sz w:val="20"/>
          <w:szCs w:val="20"/>
          <w:color w:val="auto"/>
        </w:rPr>
      </w:pPr>
      <w:r>
        <w:rPr>
          <w:rFonts w:ascii="Arial" w:cs="Arial" w:eastAsia="Arial" w:hAnsi="Arial"/>
          <w:sz w:val="16"/>
          <w:szCs w:val="16"/>
          <w:color w:val="0E2A35"/>
        </w:rPr>
        <w:t>We provide NEOs with base salary to compensate them for services rendered during the fiscal year. Base salary ranges for NEOs are determined for each executive based on the individual’s position and responsibilities. The base salaries of our executives are also determined by considering such factors as:</w:t>
      </w:r>
    </w:p>
    <w:p>
      <w:pPr>
        <w:spacing w:after="0" w:line="142" w:lineRule="exact"/>
        <w:rPr>
          <w:sz w:val="20"/>
          <w:szCs w:val="20"/>
          <w:color w:val="auto"/>
        </w:rPr>
      </w:pPr>
    </w:p>
    <w:p>
      <w:pPr>
        <w:ind w:left="720" w:hanging="360"/>
        <w:spacing w:after="0"/>
        <w:tabs>
          <w:tab w:leader="none" w:pos="72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Experience of the executive</w:t>
      </w:r>
    </w:p>
    <w:p>
      <w:pPr>
        <w:spacing w:after="0" w:line="194" w:lineRule="exact"/>
        <w:rPr>
          <w:rFonts w:ascii="Arial" w:cs="Arial" w:eastAsia="Arial" w:hAnsi="Arial"/>
          <w:sz w:val="16"/>
          <w:szCs w:val="16"/>
          <w:color w:val="C7D265"/>
        </w:rPr>
      </w:pPr>
    </w:p>
    <w:p>
      <w:pPr>
        <w:ind w:left="720" w:hanging="360"/>
        <w:spacing w:after="0"/>
        <w:tabs>
          <w:tab w:leader="none" w:pos="72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Time in position</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Individual performance</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Level of responsibility for the executive</w:t>
      </w:r>
    </w:p>
    <w:p>
      <w:pPr>
        <w:spacing w:after="0" w:line="194" w:lineRule="exact"/>
        <w:rPr>
          <w:rFonts w:ascii="Arial" w:cs="Arial" w:eastAsia="Arial" w:hAnsi="Arial"/>
          <w:sz w:val="16"/>
          <w:szCs w:val="16"/>
          <w:color w:val="C7D265"/>
        </w:rPr>
      </w:pPr>
    </w:p>
    <w:p>
      <w:pPr>
        <w:ind w:left="720" w:hanging="360"/>
        <w:spacing w:after="0"/>
        <w:tabs>
          <w:tab w:leader="none" w:pos="72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Economic conditions, Company performance, financial condition and strategic goals</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7"/>
        </w:numPr>
        <w:rPr>
          <w:rFonts w:ascii="Arial" w:cs="Arial" w:eastAsia="Arial" w:hAnsi="Arial"/>
          <w:sz w:val="16"/>
          <w:szCs w:val="16"/>
          <w:color w:val="C7D265"/>
        </w:rPr>
      </w:pPr>
      <w:r>
        <w:rPr>
          <w:rFonts w:ascii="Arial" w:cs="Arial" w:eastAsia="Arial" w:hAnsi="Arial"/>
          <w:sz w:val="16"/>
          <w:szCs w:val="16"/>
          <w:color w:val="0E2A35"/>
        </w:rPr>
        <w:t>Competitive market data provided by the committee’s independent compensation consultant</w:t>
      </w:r>
    </w:p>
    <w:p>
      <w:pPr>
        <w:spacing w:after="0" w:line="181"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0E2A35"/>
        </w:rPr>
        <w:t>In general, base salary determinations are considered each year as part of the committee’s review process as well as upon a promotion or other change in job responsibility. Base salary is also used as the basis for calculating annual and long-term incentive awards and in calculating payments that may be paid upon a change in control, as described below.</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6"/>
          <w:szCs w:val="16"/>
          <w:color w:val="0E2A35"/>
        </w:rPr>
        <w:t>In October 2022, as a result of a review of performance, consideration of the above referenced factors, and with input from the independent compensation consultant and our CEO, the committee recommended and approved the following increases for fiscal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0" w:type="dxa"/>
            <w:vAlign w:val="bottom"/>
            <w:shd w:val="clear" w:color="auto" w:fill="0E2A35"/>
          </w:tcPr>
          <w:p>
            <w:pPr>
              <w:spacing w:after="0"/>
              <w:rPr>
                <w:sz w:val="19"/>
                <w:szCs w:val="19"/>
                <w:color w:val="auto"/>
              </w:rPr>
            </w:pPr>
          </w:p>
        </w:tc>
        <w:tc>
          <w:tcPr>
            <w:tcW w:w="3180" w:type="dxa"/>
            <w:vAlign w:val="bottom"/>
            <w:shd w:val="clear" w:color="auto" w:fill="0E2A35"/>
          </w:tcPr>
          <w:p>
            <w:pPr>
              <w:spacing w:after="0"/>
              <w:rPr>
                <w:sz w:val="19"/>
                <w:szCs w:val="19"/>
                <w:color w:val="auto"/>
              </w:rPr>
            </w:pPr>
          </w:p>
        </w:tc>
        <w:tc>
          <w:tcPr>
            <w:tcW w:w="3320" w:type="dxa"/>
            <w:vAlign w:val="bottom"/>
            <w:shd w:val="clear" w:color="auto" w:fill="0E2A35"/>
          </w:tcPr>
          <w:p>
            <w:pPr>
              <w:jc w:val="center"/>
              <w:ind w:left="1991"/>
              <w:spacing w:after="0"/>
              <w:rPr>
                <w:sz w:val="20"/>
                <w:szCs w:val="20"/>
                <w:color w:val="auto"/>
              </w:rPr>
            </w:pPr>
            <w:r>
              <w:rPr>
                <w:rFonts w:ascii="Arial" w:cs="Arial" w:eastAsia="Arial" w:hAnsi="Arial"/>
                <w:sz w:val="13"/>
                <w:szCs w:val="13"/>
                <w:b w:val="1"/>
                <w:bCs w:val="1"/>
                <w:color w:val="FFFFFF"/>
                <w:w w:val="95"/>
              </w:rPr>
              <w:t>Fiscal 2023</w:t>
            </w:r>
          </w:p>
        </w:tc>
        <w:tc>
          <w:tcPr>
            <w:tcW w:w="13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Fiscal 2022</w:t>
            </w:r>
          </w:p>
        </w:tc>
        <w:tc>
          <w:tcPr>
            <w:tcW w:w="1120" w:type="dxa"/>
            <w:vAlign w:val="bottom"/>
            <w:shd w:val="clear" w:color="auto" w:fill="0E2A35"/>
          </w:tcPr>
          <w:p>
            <w:pPr>
              <w:jc w:val="center"/>
              <w:ind w:left="191"/>
              <w:spacing w:after="0"/>
              <w:rPr>
                <w:sz w:val="20"/>
                <w:szCs w:val="20"/>
                <w:color w:val="auto"/>
              </w:rPr>
            </w:pPr>
            <w:r>
              <w:rPr>
                <w:rFonts w:ascii="Arial" w:cs="Arial" w:eastAsia="Arial" w:hAnsi="Arial"/>
                <w:sz w:val="13"/>
                <w:szCs w:val="13"/>
                <w:b w:val="1"/>
                <w:bCs w:val="1"/>
                <w:color w:val="FFFFFF"/>
                <w:w w:val="99"/>
              </w:rPr>
              <w:t>​Percentage</w:t>
            </w:r>
          </w:p>
        </w:tc>
        <w:tc>
          <w:tcPr>
            <w:tcW w:w="0" w:type="dxa"/>
            <w:vAlign w:val="bottom"/>
          </w:tcPr>
          <w:p>
            <w:pPr>
              <w:spacing w:after="0"/>
              <w:rPr>
                <w:sz w:val="1"/>
                <w:szCs w:val="1"/>
                <w:color w:val="auto"/>
              </w:rPr>
            </w:pPr>
          </w:p>
        </w:tc>
      </w:tr>
      <w:tr>
        <w:trPr>
          <w:trHeight w:val="135"/>
        </w:trPr>
        <w:tc>
          <w:tcPr>
            <w:tcW w:w="3540" w:type="dxa"/>
            <w:vAlign w:val="bottom"/>
            <w:gridSpan w:val="2"/>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3320" w:type="dxa"/>
            <w:vAlign w:val="bottom"/>
            <w:shd w:val="clear" w:color="auto" w:fill="0E2A35"/>
          </w:tcPr>
          <w:p>
            <w:pPr>
              <w:jc w:val="center"/>
              <w:ind w:left="1991"/>
              <w:spacing w:after="0" w:line="135" w:lineRule="exact"/>
              <w:rPr>
                <w:sz w:val="20"/>
                <w:szCs w:val="20"/>
                <w:color w:val="auto"/>
              </w:rPr>
            </w:pPr>
            <w:r>
              <w:rPr>
                <w:rFonts w:ascii="Arial" w:cs="Arial" w:eastAsia="Arial" w:hAnsi="Arial"/>
                <w:sz w:val="13"/>
                <w:szCs w:val="13"/>
                <w:b w:val="1"/>
                <w:bCs w:val="1"/>
                <w:color w:val="FFFFFF"/>
                <w:w w:val="97"/>
              </w:rPr>
              <w:t>Salary</w:t>
            </w:r>
          </w:p>
        </w:tc>
        <w:tc>
          <w:tcPr>
            <w:tcW w:w="13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Salary</w:t>
            </w:r>
          </w:p>
        </w:tc>
        <w:tc>
          <w:tcPr>
            <w:tcW w:w="1120" w:type="dxa"/>
            <w:vAlign w:val="bottom"/>
            <w:shd w:val="clear" w:color="auto" w:fill="0E2A35"/>
          </w:tcPr>
          <w:p>
            <w:pPr>
              <w:jc w:val="center"/>
              <w:ind w:left="191"/>
              <w:spacing w:after="0" w:line="135" w:lineRule="exact"/>
              <w:rPr>
                <w:sz w:val="20"/>
                <w:szCs w:val="20"/>
                <w:color w:val="auto"/>
              </w:rPr>
            </w:pPr>
            <w:r>
              <w:rPr>
                <w:rFonts w:ascii="Arial" w:cs="Arial" w:eastAsia="Arial" w:hAnsi="Arial"/>
                <w:sz w:val="13"/>
                <w:szCs w:val="13"/>
                <w:b w:val="1"/>
                <w:bCs w:val="1"/>
                <w:color w:val="FFFFFF"/>
                <w:w w:val="94"/>
              </w:rPr>
              <w:t>Increase</w:t>
            </w:r>
          </w:p>
        </w:tc>
        <w:tc>
          <w:tcPr>
            <w:tcW w:w="0" w:type="dxa"/>
            <w:vAlign w:val="bottom"/>
          </w:tcPr>
          <w:p>
            <w:pPr>
              <w:spacing w:after="0"/>
              <w:rPr>
                <w:sz w:val="1"/>
                <w:szCs w:val="1"/>
                <w:color w:val="auto"/>
              </w:rPr>
            </w:pPr>
          </w:p>
        </w:tc>
      </w:tr>
      <w:tr>
        <w:trPr>
          <w:trHeight w:val="176"/>
        </w:trPr>
        <w:tc>
          <w:tcPr>
            <w:tcW w:w="3540" w:type="dxa"/>
            <w:vAlign w:val="bottom"/>
            <w:gridSpan w:val="2"/>
            <w:vMerge w:val="continue"/>
            <w:shd w:val="clear" w:color="auto" w:fill="0E2A35"/>
          </w:tcPr>
          <w:p>
            <w:pPr>
              <w:spacing w:after="0"/>
              <w:rPr>
                <w:sz w:val="15"/>
                <w:szCs w:val="15"/>
                <w:color w:val="auto"/>
              </w:rPr>
            </w:pPr>
          </w:p>
        </w:tc>
        <w:tc>
          <w:tcPr>
            <w:tcW w:w="3320" w:type="dxa"/>
            <w:vAlign w:val="bottom"/>
            <w:shd w:val="clear" w:color="auto" w:fill="0E2A35"/>
          </w:tcPr>
          <w:p>
            <w:pPr>
              <w:jc w:val="center"/>
              <w:ind w:left="2031"/>
              <w:spacing w:after="0"/>
              <w:rPr>
                <w:sz w:val="20"/>
                <w:szCs w:val="20"/>
                <w:color w:val="auto"/>
              </w:rPr>
            </w:pPr>
            <w:r>
              <w:rPr>
                <w:rFonts w:ascii="Arial" w:cs="Arial" w:eastAsia="Arial" w:hAnsi="Arial"/>
                <w:sz w:val="13"/>
                <w:szCs w:val="13"/>
                <w:b w:val="1"/>
                <w:bCs w:val="1"/>
                <w:color w:val="FFFFFF"/>
                <w:w w:val="87"/>
              </w:rPr>
              <w:t>($)</w:t>
            </w:r>
          </w:p>
        </w:tc>
        <w:tc>
          <w:tcPr>
            <w:tcW w:w="13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0E2A35"/>
          </w:tcPr>
          <w:p>
            <w:pPr>
              <w:jc w:val="center"/>
              <w:ind w:left="231"/>
              <w:spacing w:after="0"/>
              <w:rPr>
                <w:sz w:val="20"/>
                <w:szCs w:val="20"/>
                <w:color w:val="auto"/>
              </w:rPr>
            </w:pPr>
            <w:r>
              <w:rPr>
                <w:rFonts w:ascii="Arial" w:cs="Arial" w:eastAsia="Arial" w:hAnsi="Arial"/>
                <w:sz w:val="13"/>
                <w:szCs w:val="13"/>
                <w:b w:val="1"/>
                <w:bCs w:val="1"/>
                <w:color w:val="FFFFFF"/>
                <w:w w:val="88"/>
              </w:rPr>
              <w:t>(%)</w:t>
            </w:r>
          </w:p>
        </w:tc>
        <w:tc>
          <w:tcPr>
            <w:tcW w:w="0" w:type="dxa"/>
            <w:vAlign w:val="bottom"/>
          </w:tcPr>
          <w:p>
            <w:pPr>
              <w:spacing w:after="0"/>
              <w:rPr>
                <w:sz w:val="1"/>
                <w:szCs w:val="1"/>
                <w:color w:val="auto"/>
              </w:rPr>
            </w:pPr>
          </w:p>
        </w:tc>
      </w:tr>
      <w:tr>
        <w:trPr>
          <w:trHeight w:val="89"/>
        </w:trPr>
        <w:tc>
          <w:tcPr>
            <w:tcW w:w="3540" w:type="dxa"/>
            <w:vAlign w:val="bottom"/>
            <w:gridSpan w:val="2"/>
            <w:shd w:val="clear" w:color="auto" w:fill="0E2A35"/>
          </w:tcPr>
          <w:p>
            <w:pPr>
              <w:spacing w:after="0"/>
              <w:rPr>
                <w:sz w:val="7"/>
                <w:szCs w:val="7"/>
                <w:color w:val="auto"/>
              </w:rPr>
            </w:pPr>
          </w:p>
        </w:tc>
        <w:tc>
          <w:tcPr>
            <w:tcW w:w="3320" w:type="dxa"/>
            <w:vAlign w:val="bottom"/>
            <w:shd w:val="clear" w:color="auto" w:fill="0E2A35"/>
          </w:tcPr>
          <w:p>
            <w:pPr>
              <w:spacing w:after="0"/>
              <w:rPr>
                <w:sz w:val="7"/>
                <w:szCs w:val="7"/>
                <w:color w:val="auto"/>
              </w:rPr>
            </w:pPr>
          </w:p>
        </w:tc>
        <w:tc>
          <w:tcPr>
            <w:tcW w:w="1300" w:type="dxa"/>
            <w:vAlign w:val="bottom"/>
            <w:shd w:val="clear" w:color="auto" w:fill="0E2A35"/>
          </w:tcPr>
          <w:p>
            <w:pPr>
              <w:spacing w:after="0"/>
              <w:rPr>
                <w:sz w:val="7"/>
                <w:szCs w:val="7"/>
                <w:color w:val="auto"/>
              </w:rPr>
            </w:pPr>
          </w:p>
        </w:tc>
        <w:tc>
          <w:tcPr>
            <w:tcW w:w="112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540" w:type="dxa"/>
            <w:vAlign w:val="bottom"/>
            <w:gridSpan w:val="2"/>
          </w:tcPr>
          <w:p>
            <w:pPr>
              <w:ind w:left="60"/>
              <w:spacing w:after="0"/>
              <w:rPr>
                <w:sz w:val="20"/>
                <w:szCs w:val="20"/>
                <w:color w:val="auto"/>
              </w:rPr>
            </w:pPr>
            <w:r>
              <w:rPr>
                <w:rFonts w:ascii="Arial" w:cs="Arial" w:eastAsia="Arial" w:hAnsi="Arial"/>
                <w:sz w:val="14"/>
                <w:szCs w:val="14"/>
                <w:color w:val="0E2A35"/>
              </w:rPr>
              <w:t>Michael J. Happe</w:t>
            </w:r>
          </w:p>
        </w:tc>
        <w:tc>
          <w:tcPr>
            <w:tcW w:w="3320" w:type="dxa"/>
            <w:vAlign w:val="bottom"/>
          </w:tcPr>
          <w:p>
            <w:pPr>
              <w:jc w:val="right"/>
              <w:ind w:right="251"/>
              <w:spacing w:after="0"/>
              <w:rPr>
                <w:sz w:val="20"/>
                <w:szCs w:val="20"/>
                <w:color w:val="auto"/>
              </w:rPr>
            </w:pPr>
            <w:r>
              <w:rPr>
                <w:rFonts w:ascii="Arial" w:cs="Arial" w:eastAsia="Arial" w:hAnsi="Arial"/>
                <w:sz w:val="14"/>
                <w:szCs w:val="14"/>
                <w:color w:val="0E2A35"/>
              </w:rPr>
              <w:t>​1,050,000</w:t>
            </w:r>
          </w:p>
        </w:tc>
        <w:tc>
          <w:tcPr>
            <w:tcW w:w="1300" w:type="dxa"/>
            <w:vAlign w:val="bottom"/>
          </w:tcPr>
          <w:p>
            <w:pPr>
              <w:jc w:val="right"/>
              <w:ind w:right="271"/>
              <w:spacing w:after="0"/>
              <w:rPr>
                <w:sz w:val="20"/>
                <w:szCs w:val="20"/>
                <w:color w:val="auto"/>
              </w:rPr>
            </w:pPr>
            <w:r>
              <w:rPr>
                <w:rFonts w:ascii="Arial" w:cs="Arial" w:eastAsia="Arial" w:hAnsi="Arial"/>
                <w:sz w:val="14"/>
                <w:szCs w:val="14"/>
                <w:color w:val="0E2A35"/>
              </w:rPr>
              <w:t>1,000,000​</w:t>
            </w:r>
          </w:p>
        </w:tc>
        <w:tc>
          <w:tcPr>
            <w:tcW w:w="1120" w:type="dxa"/>
            <w:vAlign w:val="bottom"/>
          </w:tcPr>
          <w:p>
            <w:pPr>
              <w:jc w:val="right"/>
              <w:ind w:right="271"/>
              <w:spacing w:after="0"/>
              <w:rPr>
                <w:sz w:val="20"/>
                <w:szCs w:val="20"/>
                <w:color w:val="auto"/>
              </w:rPr>
            </w:pPr>
            <w:r>
              <w:rPr>
                <w:rFonts w:ascii="Arial" w:cs="Arial" w:eastAsia="Arial" w:hAnsi="Arial"/>
                <w:sz w:val="14"/>
                <w:szCs w:val="14"/>
                <w:color w:val="0E2A35"/>
              </w:rPr>
              <w:t>5​.0</w:t>
            </w:r>
          </w:p>
        </w:tc>
        <w:tc>
          <w:tcPr>
            <w:tcW w:w="0" w:type="dxa"/>
            <w:vAlign w:val="bottom"/>
          </w:tcPr>
          <w:p>
            <w:pPr>
              <w:spacing w:after="0"/>
              <w:rPr>
                <w:sz w:val="1"/>
                <w:szCs w:val="1"/>
                <w:color w:val="auto"/>
              </w:rPr>
            </w:pPr>
          </w:p>
        </w:tc>
      </w:tr>
      <w:tr>
        <w:trPr>
          <w:trHeight w:val="93"/>
        </w:trPr>
        <w:tc>
          <w:tcPr>
            <w:tcW w:w="3540" w:type="dxa"/>
            <w:vAlign w:val="bottom"/>
            <w:tcBorders>
              <w:bottom w:val="single" w:sz="8" w:color="0E2A35"/>
            </w:tcBorders>
            <w:gridSpan w:val="2"/>
          </w:tcPr>
          <w:p>
            <w:pPr>
              <w:spacing w:after="0"/>
              <w:rPr>
                <w:sz w:val="8"/>
                <w:szCs w:val="8"/>
                <w:color w:val="auto"/>
              </w:rPr>
            </w:pPr>
          </w:p>
        </w:tc>
        <w:tc>
          <w:tcPr>
            <w:tcW w:w="3320" w:type="dxa"/>
            <w:vAlign w:val="bottom"/>
            <w:tcBorders>
              <w:bottom w:val="single" w:sz="8" w:color="0E2A35"/>
            </w:tcBorders>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540" w:type="dxa"/>
            <w:vAlign w:val="bottom"/>
            <w:gridSpan w:val="2"/>
          </w:tcPr>
          <w:p>
            <w:pPr>
              <w:ind w:left="60"/>
              <w:spacing w:after="0"/>
              <w:rPr>
                <w:sz w:val="20"/>
                <w:szCs w:val="20"/>
                <w:color w:val="auto"/>
              </w:rPr>
            </w:pPr>
            <w:r>
              <w:rPr>
                <w:rFonts w:ascii="Arial" w:cs="Arial" w:eastAsia="Arial" w:hAnsi="Arial"/>
                <w:sz w:val="14"/>
                <w:szCs w:val="14"/>
                <w:color w:val="0E2A35"/>
              </w:rPr>
              <w:t>Bryan L. Hughes</w:t>
            </w:r>
          </w:p>
        </w:tc>
        <w:tc>
          <w:tcPr>
            <w:tcW w:w="3320" w:type="dxa"/>
            <w:vAlign w:val="bottom"/>
          </w:tcPr>
          <w:p>
            <w:pPr>
              <w:jc w:val="right"/>
              <w:ind w:right="251"/>
              <w:spacing w:after="0"/>
              <w:rPr>
                <w:sz w:val="20"/>
                <w:szCs w:val="20"/>
                <w:color w:val="auto"/>
              </w:rPr>
            </w:pPr>
            <w:r>
              <w:rPr>
                <w:rFonts w:ascii="Arial" w:cs="Arial" w:eastAsia="Arial" w:hAnsi="Arial"/>
                <w:sz w:val="14"/>
                <w:szCs w:val="14"/>
                <w:color w:val="0E2A35"/>
              </w:rPr>
              <w:t>575,000​</w:t>
            </w:r>
          </w:p>
        </w:tc>
        <w:tc>
          <w:tcPr>
            <w:tcW w:w="1300" w:type="dxa"/>
            <w:vAlign w:val="bottom"/>
          </w:tcPr>
          <w:p>
            <w:pPr>
              <w:jc w:val="right"/>
              <w:ind w:right="271"/>
              <w:spacing w:after="0"/>
              <w:rPr>
                <w:sz w:val="20"/>
                <w:szCs w:val="20"/>
                <w:color w:val="auto"/>
              </w:rPr>
            </w:pPr>
            <w:r>
              <w:rPr>
                <w:rFonts w:ascii="Arial" w:cs="Arial" w:eastAsia="Arial" w:hAnsi="Arial"/>
                <w:sz w:val="14"/>
                <w:szCs w:val="14"/>
                <w:color w:val="0E2A35"/>
              </w:rPr>
              <w:t>550,000​</w:t>
            </w:r>
          </w:p>
        </w:tc>
        <w:tc>
          <w:tcPr>
            <w:tcW w:w="1120" w:type="dxa"/>
            <w:vAlign w:val="bottom"/>
          </w:tcPr>
          <w:p>
            <w:pPr>
              <w:jc w:val="right"/>
              <w:ind w:right="271"/>
              <w:spacing w:after="0"/>
              <w:rPr>
                <w:sz w:val="20"/>
                <w:szCs w:val="20"/>
                <w:color w:val="auto"/>
              </w:rPr>
            </w:pPr>
            <w:r>
              <w:rPr>
                <w:rFonts w:ascii="Arial" w:cs="Arial" w:eastAsia="Arial" w:hAnsi="Arial"/>
                <w:sz w:val="14"/>
                <w:szCs w:val="14"/>
                <w:color w:val="0E2A35"/>
              </w:rPr>
              <w:t>4​.5</w:t>
            </w:r>
          </w:p>
        </w:tc>
        <w:tc>
          <w:tcPr>
            <w:tcW w:w="0" w:type="dxa"/>
            <w:vAlign w:val="bottom"/>
          </w:tcPr>
          <w:p>
            <w:pPr>
              <w:spacing w:after="0"/>
              <w:rPr>
                <w:sz w:val="1"/>
                <w:szCs w:val="1"/>
                <w:color w:val="auto"/>
              </w:rPr>
            </w:pPr>
          </w:p>
        </w:tc>
      </w:tr>
      <w:tr>
        <w:trPr>
          <w:trHeight w:val="93"/>
        </w:trPr>
        <w:tc>
          <w:tcPr>
            <w:tcW w:w="3540" w:type="dxa"/>
            <w:vAlign w:val="bottom"/>
            <w:tcBorders>
              <w:bottom w:val="single" w:sz="8" w:color="0E2A35"/>
            </w:tcBorders>
            <w:gridSpan w:val="2"/>
          </w:tcPr>
          <w:p>
            <w:pPr>
              <w:spacing w:after="0"/>
              <w:rPr>
                <w:sz w:val="8"/>
                <w:szCs w:val="8"/>
                <w:color w:val="auto"/>
              </w:rPr>
            </w:pPr>
          </w:p>
        </w:tc>
        <w:tc>
          <w:tcPr>
            <w:tcW w:w="3320" w:type="dxa"/>
            <w:vAlign w:val="bottom"/>
            <w:tcBorders>
              <w:bottom w:val="single" w:sz="8" w:color="0E2A35"/>
            </w:tcBorders>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540" w:type="dxa"/>
            <w:vAlign w:val="bottom"/>
            <w:gridSpan w:val="2"/>
          </w:tcPr>
          <w:p>
            <w:pPr>
              <w:ind w:left="60"/>
              <w:spacing w:after="0"/>
              <w:rPr>
                <w:sz w:val="20"/>
                <w:szCs w:val="20"/>
                <w:color w:val="auto"/>
              </w:rPr>
            </w:pPr>
            <w:r>
              <w:rPr>
                <w:rFonts w:ascii="Arial" w:cs="Arial" w:eastAsia="Arial" w:hAnsi="Arial"/>
                <w:sz w:val="14"/>
                <w:szCs w:val="14"/>
                <w:color w:val="0E2A35"/>
              </w:rPr>
              <w:t>Stacy L. Bogart</w:t>
            </w:r>
          </w:p>
        </w:tc>
        <w:tc>
          <w:tcPr>
            <w:tcW w:w="3320" w:type="dxa"/>
            <w:vAlign w:val="bottom"/>
          </w:tcPr>
          <w:p>
            <w:pPr>
              <w:jc w:val="right"/>
              <w:ind w:right="251"/>
              <w:spacing w:after="0"/>
              <w:rPr>
                <w:sz w:val="20"/>
                <w:szCs w:val="20"/>
                <w:color w:val="auto"/>
              </w:rPr>
            </w:pPr>
            <w:r>
              <w:rPr>
                <w:rFonts w:ascii="Arial" w:cs="Arial" w:eastAsia="Arial" w:hAnsi="Arial"/>
                <w:sz w:val="14"/>
                <w:szCs w:val="14"/>
                <w:color w:val="0E2A35"/>
              </w:rPr>
              <w:t>512,000</w:t>
            </w:r>
          </w:p>
        </w:tc>
        <w:tc>
          <w:tcPr>
            <w:tcW w:w="1300" w:type="dxa"/>
            <w:vAlign w:val="bottom"/>
          </w:tcPr>
          <w:p>
            <w:pPr>
              <w:jc w:val="right"/>
              <w:ind w:right="271"/>
              <w:spacing w:after="0"/>
              <w:rPr>
                <w:sz w:val="20"/>
                <w:szCs w:val="20"/>
                <w:color w:val="auto"/>
              </w:rPr>
            </w:pPr>
            <w:r>
              <w:rPr>
                <w:rFonts w:ascii="Arial" w:cs="Arial" w:eastAsia="Arial" w:hAnsi="Arial"/>
                <w:sz w:val="14"/>
                <w:szCs w:val="14"/>
                <w:color w:val="0E2A35"/>
              </w:rPr>
              <w:t>490,000</w:t>
            </w:r>
          </w:p>
        </w:tc>
        <w:tc>
          <w:tcPr>
            <w:tcW w:w="1120" w:type="dxa"/>
            <w:vAlign w:val="bottom"/>
          </w:tcPr>
          <w:p>
            <w:pPr>
              <w:jc w:val="right"/>
              <w:ind w:right="271"/>
              <w:spacing w:after="0"/>
              <w:rPr>
                <w:sz w:val="20"/>
                <w:szCs w:val="20"/>
                <w:color w:val="auto"/>
              </w:rPr>
            </w:pPr>
            <w:r>
              <w:rPr>
                <w:rFonts w:ascii="Arial" w:cs="Arial" w:eastAsia="Arial" w:hAnsi="Arial"/>
                <w:sz w:val="14"/>
                <w:szCs w:val="14"/>
                <w:color w:val="0E2A35"/>
              </w:rPr>
              <w:t>4.5</w:t>
            </w: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3180" w:type="dxa"/>
            <w:vAlign w:val="bottom"/>
            <w:tcBorders>
              <w:bottom w:val="single" w:sz="8" w:color="0E2A35"/>
            </w:tcBorders>
          </w:tcPr>
          <w:p>
            <w:pPr>
              <w:spacing w:after="0"/>
              <w:rPr>
                <w:sz w:val="8"/>
                <w:szCs w:val="8"/>
                <w:color w:val="auto"/>
              </w:rPr>
            </w:pPr>
          </w:p>
        </w:tc>
        <w:tc>
          <w:tcPr>
            <w:tcW w:w="3320" w:type="dxa"/>
            <w:vAlign w:val="bottom"/>
            <w:tcBorders>
              <w:bottom w:val="single" w:sz="8" w:color="0E2A35"/>
            </w:tcBorders>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60" w:type="dxa"/>
            <w:vAlign w:val="bottom"/>
          </w:tcPr>
          <w:p>
            <w:pPr>
              <w:ind w:left="60"/>
              <w:spacing w:after="0"/>
              <w:rPr>
                <w:sz w:val="20"/>
                <w:szCs w:val="20"/>
                <w:color w:val="auto"/>
              </w:rPr>
            </w:pPr>
            <w:r>
              <w:rPr>
                <w:rFonts w:ascii="Arial" w:cs="Arial" w:eastAsia="Arial" w:hAnsi="Arial"/>
                <w:sz w:val="14"/>
                <w:szCs w:val="14"/>
                <w:color w:val="0E2A35"/>
                <w:w w:val="99"/>
              </w:rPr>
              <w:t>Huw​</w:t>
            </w:r>
          </w:p>
        </w:tc>
        <w:tc>
          <w:tcPr>
            <w:tcW w:w="3180" w:type="dxa"/>
            <w:vAlign w:val="bottom"/>
          </w:tcPr>
          <w:p>
            <w:pPr>
              <w:ind w:left="20"/>
              <w:spacing w:after="0"/>
              <w:rPr>
                <w:sz w:val="20"/>
                <w:szCs w:val="20"/>
                <w:color w:val="auto"/>
              </w:rPr>
            </w:pPr>
            <w:r>
              <w:rPr>
                <w:rFonts w:ascii="Arial" w:cs="Arial" w:eastAsia="Arial" w:hAnsi="Arial"/>
                <w:sz w:val="14"/>
                <w:szCs w:val="14"/>
                <w:color w:val="0E2A35"/>
              </w:rPr>
              <w:t>S. Bower</w:t>
            </w:r>
          </w:p>
        </w:tc>
        <w:tc>
          <w:tcPr>
            <w:tcW w:w="3320" w:type="dxa"/>
            <w:vAlign w:val="bottom"/>
          </w:tcPr>
          <w:p>
            <w:pPr>
              <w:jc w:val="right"/>
              <w:ind w:right="251"/>
              <w:spacing w:after="0"/>
              <w:rPr>
                <w:sz w:val="20"/>
                <w:szCs w:val="20"/>
                <w:color w:val="auto"/>
              </w:rPr>
            </w:pPr>
            <w:r>
              <w:rPr>
                <w:rFonts w:ascii="Arial" w:cs="Arial" w:eastAsia="Arial" w:hAnsi="Arial"/>
                <w:sz w:val="14"/>
                <w:szCs w:val="14"/>
                <w:color w:val="0E2A35"/>
              </w:rPr>
              <w:t>592,000​</w:t>
            </w:r>
          </w:p>
        </w:tc>
        <w:tc>
          <w:tcPr>
            <w:tcW w:w="1300" w:type="dxa"/>
            <w:vAlign w:val="bottom"/>
          </w:tcPr>
          <w:p>
            <w:pPr>
              <w:jc w:val="right"/>
              <w:ind w:right="271"/>
              <w:spacing w:after="0"/>
              <w:rPr>
                <w:sz w:val="20"/>
                <w:szCs w:val="20"/>
                <w:color w:val="auto"/>
              </w:rPr>
            </w:pPr>
            <w:r>
              <w:rPr>
                <w:rFonts w:ascii="Arial" w:cs="Arial" w:eastAsia="Arial" w:hAnsi="Arial"/>
                <w:sz w:val="14"/>
                <w:szCs w:val="14"/>
                <w:color w:val="0E2A35"/>
              </w:rPr>
              <w:t>566,400​</w:t>
            </w:r>
          </w:p>
        </w:tc>
        <w:tc>
          <w:tcPr>
            <w:tcW w:w="1120" w:type="dxa"/>
            <w:vAlign w:val="bottom"/>
          </w:tcPr>
          <w:p>
            <w:pPr>
              <w:jc w:val="right"/>
              <w:ind w:right="271"/>
              <w:spacing w:after="0"/>
              <w:rPr>
                <w:sz w:val="20"/>
                <w:szCs w:val="20"/>
                <w:color w:val="auto"/>
              </w:rPr>
            </w:pPr>
            <w:r>
              <w:rPr>
                <w:rFonts w:ascii="Arial" w:cs="Arial" w:eastAsia="Arial" w:hAnsi="Arial"/>
                <w:sz w:val="14"/>
                <w:szCs w:val="14"/>
                <w:color w:val="0E2A35"/>
              </w:rPr>
              <w:t>4​.5</w:t>
            </w:r>
          </w:p>
        </w:tc>
        <w:tc>
          <w:tcPr>
            <w:tcW w:w="0" w:type="dxa"/>
            <w:vAlign w:val="bottom"/>
          </w:tcPr>
          <w:p>
            <w:pPr>
              <w:spacing w:after="0"/>
              <w:rPr>
                <w:sz w:val="1"/>
                <w:szCs w:val="1"/>
                <w:color w:val="auto"/>
              </w:rPr>
            </w:pPr>
          </w:p>
        </w:tc>
      </w:tr>
      <w:tr>
        <w:trPr>
          <w:trHeight w:val="93"/>
        </w:trPr>
        <w:tc>
          <w:tcPr>
            <w:tcW w:w="3540" w:type="dxa"/>
            <w:vAlign w:val="bottom"/>
            <w:tcBorders>
              <w:bottom w:val="single" w:sz="8" w:color="0E2A35"/>
            </w:tcBorders>
            <w:gridSpan w:val="2"/>
          </w:tcPr>
          <w:p>
            <w:pPr>
              <w:spacing w:after="0"/>
              <w:rPr>
                <w:sz w:val="8"/>
                <w:szCs w:val="8"/>
                <w:color w:val="auto"/>
              </w:rPr>
            </w:pPr>
          </w:p>
        </w:tc>
        <w:tc>
          <w:tcPr>
            <w:tcW w:w="3320" w:type="dxa"/>
            <w:vAlign w:val="bottom"/>
            <w:tcBorders>
              <w:bottom w:val="single" w:sz="8" w:color="0E2A35"/>
            </w:tcBorders>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540" w:type="dxa"/>
            <w:vAlign w:val="bottom"/>
            <w:gridSpan w:val="2"/>
          </w:tcPr>
          <w:p>
            <w:pPr>
              <w:ind w:left="60"/>
              <w:spacing w:after="0"/>
              <w:rPr>
                <w:sz w:val="20"/>
                <w:szCs w:val="20"/>
                <w:color w:val="auto"/>
              </w:rPr>
            </w:pPr>
            <w:r>
              <w:rPr>
                <w:rFonts w:ascii="Arial" w:cs="Arial" w:eastAsia="Arial" w:hAnsi="Arial"/>
                <w:sz w:val="14"/>
                <w:szCs w:val="14"/>
                <w:color w:val="0E2A35"/>
              </w:rPr>
              <w:t>Donald J. Clark</w:t>
            </w:r>
          </w:p>
        </w:tc>
        <w:tc>
          <w:tcPr>
            <w:tcW w:w="3320" w:type="dxa"/>
            <w:vAlign w:val="bottom"/>
          </w:tcPr>
          <w:p>
            <w:pPr>
              <w:jc w:val="right"/>
              <w:ind w:right="251"/>
              <w:spacing w:after="0"/>
              <w:rPr>
                <w:sz w:val="20"/>
                <w:szCs w:val="20"/>
                <w:color w:val="auto"/>
              </w:rPr>
            </w:pPr>
            <w:r>
              <w:rPr>
                <w:rFonts w:ascii="Arial" w:cs="Arial" w:eastAsia="Arial" w:hAnsi="Arial"/>
                <w:sz w:val="14"/>
                <w:szCs w:val="14"/>
                <w:color w:val="0E2A35"/>
              </w:rPr>
              <w:t>400,000</w:t>
            </w:r>
          </w:p>
        </w:tc>
        <w:tc>
          <w:tcPr>
            <w:tcW w:w="1300" w:type="dxa"/>
            <w:vAlign w:val="bottom"/>
          </w:tcPr>
          <w:p>
            <w:pPr>
              <w:jc w:val="right"/>
              <w:ind w:right="271"/>
              <w:spacing w:after="0"/>
              <w:rPr>
                <w:sz w:val="20"/>
                <w:szCs w:val="20"/>
                <w:color w:val="auto"/>
              </w:rPr>
            </w:pPr>
            <w:r>
              <w:rPr>
                <w:rFonts w:ascii="Arial" w:cs="Arial" w:eastAsia="Arial" w:hAnsi="Arial"/>
                <w:sz w:val="14"/>
                <w:szCs w:val="14"/>
                <w:color w:val="0E2A35"/>
              </w:rPr>
              <w:t>400,000</w:t>
            </w:r>
          </w:p>
        </w:tc>
        <w:tc>
          <w:tcPr>
            <w:tcW w:w="1120" w:type="dxa"/>
            <w:vAlign w:val="bottom"/>
          </w:tcPr>
          <w:p>
            <w:pPr>
              <w:jc w:val="right"/>
              <w:ind w:right="27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3180" w:type="dxa"/>
            <w:vAlign w:val="bottom"/>
            <w:tcBorders>
              <w:bottom w:val="single" w:sz="8" w:color="0E2A35"/>
            </w:tcBorders>
          </w:tcPr>
          <w:p>
            <w:pPr>
              <w:spacing w:after="0"/>
              <w:rPr>
                <w:sz w:val="8"/>
                <w:szCs w:val="8"/>
                <w:color w:val="auto"/>
              </w:rPr>
            </w:pPr>
          </w:p>
        </w:tc>
        <w:tc>
          <w:tcPr>
            <w:tcW w:w="3320" w:type="dxa"/>
            <w:vAlign w:val="bottom"/>
            <w:tcBorders>
              <w:bottom w:val="single" w:sz="8" w:color="0E2A35"/>
            </w:tcBorders>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Annual Incentive Plan — Officers’ Incentive Compensation Plan (OICP)</w:t>
      </w:r>
    </w:p>
    <w:p>
      <w:pPr>
        <w:spacing w:after="0" w:line="20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0E2A35"/>
        </w:rPr>
        <w:t>The OICP is designed to motivate and reward the successful completion of our annual performance goals as set by the Human Resources Committee. The amount of the participants’ incentive compensation earned for a given fiscal year is calculated under the OICP to be in direct proportion to our financial performance expressed as a percentage (financial factor) against compensation targets for each participant as determined by the committee. OICP awards are earned to the extent we meet or exceed annual financial targets as well as business unit and individual performance goals.</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0E2A35"/>
        </w:rPr>
        <w:t>Each NEO, except for Mr. Clark, is eligible for a target award, denominated as a percentage of fiscal 2023 base salary. NEOs may earn from 0% of the target award under the OICP up to a maximum of 200% of the target award. In setting the target award percentages for the NEOs, the committee considers competitive data in the compensation peer studies, individual performance evaluations, and internal equity factors.</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Fiscal 2023 OICP</w:t>
      </w:r>
    </w:p>
    <w:p>
      <w:pPr>
        <w:spacing w:after="0" w:line="18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0E2A35"/>
        </w:rPr>
        <w:t>Net revenue, operating income, net working capital, and individual objectives related to each NEO’s particular responsibilities were chosen by the committee as the performance measurements under the OICP for fiscal 2023. The committee selected these as key performance metrics because they are closely aligned with our business strategy. These metrics are described further below.</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0E2A35"/>
        </w:rPr>
        <w:t>Enterprise-wide financial performance metrics (75% of OICP for Messrs. Happe and Hughes and Ms. Bogart):</w:t>
      </w:r>
    </w:p>
    <w:p>
      <w:pPr>
        <w:spacing w:after="0" w:line="181" w:lineRule="exact"/>
        <w:rPr>
          <w:sz w:val="20"/>
          <w:szCs w:val="20"/>
          <w:color w:val="auto"/>
        </w:rPr>
      </w:pPr>
    </w:p>
    <w:p>
      <w:pPr>
        <w:ind w:left="720" w:hanging="360"/>
        <w:spacing w:after="0"/>
        <w:tabs>
          <w:tab w:leader="none" w:pos="720" w:val="left"/>
        </w:tabs>
        <w:numPr>
          <w:ilvl w:val="0"/>
          <w:numId w:val="28"/>
        </w:numPr>
        <w:rPr>
          <w:rFonts w:ascii="Arial" w:cs="Arial" w:eastAsia="Arial" w:hAnsi="Arial"/>
          <w:sz w:val="16"/>
          <w:szCs w:val="16"/>
          <w:color w:val="C7D265"/>
        </w:rPr>
      </w:pPr>
      <w:r>
        <w:rPr>
          <w:rFonts w:ascii="Arial" w:cs="Arial" w:eastAsia="Arial" w:hAnsi="Arial"/>
          <w:sz w:val="16"/>
          <w:szCs w:val="16"/>
          <w:color w:val="0E2A35"/>
        </w:rPr>
        <w:t>Net Revenue (40%) — focuses on overall enterprise and business unit growth; drives customer focus</w:t>
      </w:r>
    </w:p>
    <w:p>
      <w:pPr>
        <w:spacing w:after="0" w:line="194" w:lineRule="exact"/>
        <w:rPr>
          <w:rFonts w:ascii="Arial" w:cs="Arial" w:eastAsia="Arial" w:hAnsi="Arial"/>
          <w:sz w:val="16"/>
          <w:szCs w:val="16"/>
          <w:color w:val="C7D265"/>
        </w:rPr>
      </w:pPr>
    </w:p>
    <w:p>
      <w:pPr>
        <w:ind w:left="720" w:hanging="360"/>
        <w:spacing w:after="0"/>
        <w:tabs>
          <w:tab w:leader="none" w:pos="720" w:val="left"/>
        </w:tabs>
        <w:numPr>
          <w:ilvl w:val="0"/>
          <w:numId w:val="28"/>
        </w:numPr>
        <w:rPr>
          <w:rFonts w:ascii="Arial" w:cs="Arial" w:eastAsia="Arial" w:hAnsi="Arial"/>
          <w:sz w:val="16"/>
          <w:szCs w:val="16"/>
          <w:color w:val="C7D265"/>
        </w:rPr>
      </w:pPr>
      <w:r>
        <w:rPr>
          <w:rFonts w:ascii="Arial" w:cs="Arial" w:eastAsia="Arial" w:hAnsi="Arial"/>
          <w:sz w:val="16"/>
          <w:szCs w:val="16"/>
          <w:color w:val="0E2A35"/>
        </w:rPr>
        <w:t>Operating Income (50%) — reinforces the importance of profitable growth across the Company</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8"/>
        </w:numPr>
        <w:rPr>
          <w:rFonts w:ascii="Arial" w:cs="Arial" w:eastAsia="Arial" w:hAnsi="Arial"/>
          <w:sz w:val="16"/>
          <w:szCs w:val="16"/>
          <w:color w:val="C7D265"/>
        </w:rPr>
      </w:pPr>
      <w:r>
        <w:rPr>
          <w:rFonts w:ascii="Arial" w:cs="Arial" w:eastAsia="Arial" w:hAnsi="Arial"/>
          <w:sz w:val="16"/>
          <w:szCs w:val="16"/>
          <w:color w:val="0E2A35"/>
        </w:rPr>
        <w:t>Net Working Capital (10%) — helps measure overall financial health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0E2A35"/>
        </w:rPr>
        <w:t>Business unit financial performance metrics (75% of OICP for Mr. Bower):</w:t>
      </w:r>
    </w:p>
    <w:p>
      <w:pPr>
        <w:spacing w:after="0" w:line="181" w:lineRule="exact"/>
        <w:rPr>
          <w:sz w:val="20"/>
          <w:szCs w:val="20"/>
          <w:color w:val="auto"/>
        </w:rPr>
      </w:pPr>
    </w:p>
    <w:p>
      <w:pPr>
        <w:ind w:left="720" w:hanging="360"/>
        <w:spacing w:after="0"/>
        <w:tabs>
          <w:tab w:leader="none" w:pos="720" w:val="left"/>
        </w:tabs>
        <w:numPr>
          <w:ilvl w:val="0"/>
          <w:numId w:val="29"/>
        </w:numPr>
        <w:rPr>
          <w:rFonts w:ascii="Arial" w:cs="Arial" w:eastAsia="Arial" w:hAnsi="Arial"/>
          <w:sz w:val="16"/>
          <w:szCs w:val="16"/>
          <w:color w:val="C7D265"/>
        </w:rPr>
      </w:pPr>
      <w:r>
        <w:rPr>
          <w:rFonts w:ascii="Arial" w:cs="Arial" w:eastAsia="Arial" w:hAnsi="Arial"/>
          <w:sz w:val="16"/>
          <w:szCs w:val="16"/>
          <w:color w:val="0E2A35"/>
        </w:rPr>
        <w:t>Net Revenue (40%) — focuses on business unit growth and also drives customer focus</w:t>
      </w:r>
    </w:p>
    <w:p>
      <w:pPr>
        <w:spacing w:after="0" w:line="194" w:lineRule="exact"/>
        <w:rPr>
          <w:rFonts w:ascii="Arial" w:cs="Arial" w:eastAsia="Arial" w:hAnsi="Arial"/>
          <w:sz w:val="16"/>
          <w:szCs w:val="16"/>
          <w:color w:val="C7D265"/>
        </w:rPr>
      </w:pPr>
    </w:p>
    <w:p>
      <w:pPr>
        <w:ind w:left="720" w:hanging="360"/>
        <w:spacing w:after="0"/>
        <w:tabs>
          <w:tab w:leader="none" w:pos="720" w:val="left"/>
        </w:tabs>
        <w:numPr>
          <w:ilvl w:val="0"/>
          <w:numId w:val="29"/>
        </w:numPr>
        <w:rPr>
          <w:rFonts w:ascii="Arial" w:cs="Arial" w:eastAsia="Arial" w:hAnsi="Arial"/>
          <w:sz w:val="16"/>
          <w:szCs w:val="16"/>
          <w:color w:val="C7D265"/>
        </w:rPr>
      </w:pPr>
      <w:r>
        <w:rPr>
          <w:rFonts w:ascii="Arial" w:cs="Arial" w:eastAsia="Arial" w:hAnsi="Arial"/>
          <w:sz w:val="16"/>
          <w:szCs w:val="16"/>
          <w:color w:val="0E2A35"/>
        </w:rPr>
        <w:t>Operating Income (50%) — reinforces the importance of profitable growth</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29"/>
        </w:numPr>
        <w:rPr>
          <w:rFonts w:ascii="Arial" w:cs="Arial" w:eastAsia="Arial" w:hAnsi="Arial"/>
          <w:sz w:val="16"/>
          <w:szCs w:val="16"/>
          <w:color w:val="C7D265"/>
        </w:rPr>
      </w:pPr>
      <w:r>
        <w:rPr>
          <w:rFonts w:ascii="Arial" w:cs="Arial" w:eastAsia="Arial" w:hAnsi="Arial"/>
          <w:sz w:val="16"/>
          <w:szCs w:val="16"/>
          <w:color w:val="0E2A35"/>
        </w:rPr>
        <w:t>Net Working Capital (10%) — helps measure overall financial health</w:t>
      </w:r>
    </w:p>
    <w:p>
      <w:pPr>
        <w:spacing w:after="0" w:line="181" w:lineRule="exact"/>
        <w:rPr>
          <w:sz w:val="20"/>
          <w:szCs w:val="20"/>
          <w:color w:val="auto"/>
        </w:rPr>
      </w:pPr>
    </w:p>
    <w:p>
      <w:pPr>
        <w:jc w:val="both"/>
        <w:ind w:right="500"/>
        <w:spacing w:after="0" w:line="261" w:lineRule="auto"/>
        <w:rPr>
          <w:sz w:val="20"/>
          <w:szCs w:val="20"/>
          <w:color w:val="auto"/>
        </w:rPr>
      </w:pPr>
      <w:r>
        <w:rPr>
          <w:rFonts w:ascii="Arial" w:cs="Arial" w:eastAsia="Arial" w:hAnsi="Arial"/>
          <w:sz w:val="16"/>
          <w:szCs w:val="16"/>
          <w:color w:val="0E2A35"/>
        </w:rPr>
        <w:t>For corporate NEOs, Messrs. Happe and Hughes and Ms. Bogart, each of whom are corporate leaders, the OICP financial metrics were measured against enterprise-wide performance. For Mr. Bower, who is the head of a business unit, the OICP financial metrics were measured against specific business unit performance. Mr. Clark does not participate in the OICP.</w:t>
      </w:r>
    </w:p>
    <w:p>
      <w:pPr>
        <w:spacing w:after="0" w:line="156" w:lineRule="exact"/>
        <w:rPr>
          <w:sz w:val="20"/>
          <w:szCs w:val="20"/>
          <w:color w:val="auto"/>
        </w:rPr>
      </w:pPr>
    </w:p>
    <w:p>
      <w:pPr>
        <w:ind w:right="800"/>
        <w:spacing w:after="0" w:line="276" w:lineRule="auto"/>
        <w:rPr>
          <w:sz w:val="20"/>
          <w:szCs w:val="20"/>
          <w:color w:val="auto"/>
        </w:rPr>
      </w:pPr>
      <w:r>
        <w:rPr>
          <w:rFonts w:ascii="Arial" w:cs="Arial" w:eastAsia="Arial" w:hAnsi="Arial"/>
          <w:sz w:val="16"/>
          <w:szCs w:val="16"/>
          <w:color w:val="0E2A35"/>
        </w:rPr>
        <w:t>Individual objectives (25% of the OICP for Messrs. Happe, Hughes and Bower and Ms. Bogart) provide actionable and measurable objectives controllable by the individual to achieve financial and non-financial goals.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0E2A35"/>
        </w:rPr>
        <w:t>Individual goals for our NEOs during fiscal 2023 included the following:</w:t>
      </w:r>
    </w:p>
    <w:p>
      <w:pPr>
        <w:spacing w:after="0" w:line="181" w:lineRule="exact"/>
        <w:rPr>
          <w:sz w:val="20"/>
          <w:szCs w:val="20"/>
          <w:color w:val="auto"/>
        </w:rPr>
      </w:pPr>
    </w:p>
    <w:p>
      <w:pPr>
        <w:spacing w:after="0" w:line="261" w:lineRule="auto"/>
        <w:rPr>
          <w:sz w:val="20"/>
          <w:szCs w:val="20"/>
          <w:color w:val="auto"/>
        </w:rPr>
      </w:pPr>
      <w:r>
        <w:rPr>
          <w:rFonts w:ascii="Arial" w:cs="Arial" w:eastAsia="Arial" w:hAnsi="Arial"/>
          <w:sz w:val="16"/>
          <w:szCs w:val="16"/>
          <w:color w:val="0E2A35"/>
        </w:rPr>
        <w:t>For Mr. Happe, to continue to drive key enterprise strategic priorities around strengthening an inclusive, high-performance culture, grow exceptional outdoor lifestyle brands, broaden reach with outdoor customers, drive operational excellence and portfolio synergy, and utilize technology and information as business catalysts.</w:t>
      </w:r>
    </w:p>
    <w:p>
      <w:pPr>
        <w:spacing w:after="0" w:line="15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0E2A35"/>
        </w:rPr>
        <w:t>For Mr. Hughes, to optimize cash flow and return on invested capital by reducing working capital, mature the Company’s investor relations function, support business development through excellence in due diligence and integration, and optimize the Company’s cost of capital and tax rate.</w:t>
      </w:r>
    </w:p>
    <w:p>
      <w:pPr>
        <w:spacing w:after="0" w:line="14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0E2A35"/>
        </w:rPr>
        <w:t>For Ms. Bogart, to continue to execute compliance and product safety strategy, advance the Company’s corporate responsibility strategy, including enhancing and promoting DEI programs to cultivate and deepen an inclusive culture, and activate an enhanced community investment strategy to help engage employees across the enterprise.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0E2A35"/>
        </w:rPr>
        <w:t>For Mr. Bower, to continue to execute on an agreed upon strategy focusing on product innovation, quality and operations, shopping experience, and ownership experience. In addition, a strong focus on our employee culture and experience to include employee safety, engagement, and overall retention and development.</w:t>
      </w:r>
    </w:p>
    <w:p>
      <w:pPr>
        <w:spacing w:after="0" w:line="156"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0E2A35"/>
        </w:rPr>
        <w:t>In October of 2023, the committee (i) evaluated performance against the established OICP financial performance metrics and determined that the Net Revenue, Operating Income and Net Working Capital performance met the threshold metrics in the first six-month period, but did not meet the threshold metrics for the second six-month or full 12-month period, resulting in a 19.5% payout for Messrs. Happe and Hughes and Ms. Bogart based on enterprise-wide performance, and no payout for these metrics for Mr. Bower based on his applicable business unit performance and (ii) assessed the performance of each of the NEOs against his or her individual objectives to determine the OICP payout achieved by him or her as set forth below.</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6"/>
          <w:szCs w:val="16"/>
          <w:color w:val="0E2A35"/>
        </w:rPr>
        <w:t>During the first quarter of fiscal year 2023 our major supplier, Mercedes-Benz AG, issued a recall of certain chassis, which prevented us and others across our industry from shipping, selling, or delivering any affected products. This recall had meaningful impacts on our first quarter productivity and financial results, which were outside of management’s control. When determining the level of our actual performance for the fiscal year 2023 OICP, the committee deemed this an appropriate adjustment, and therefore excluded, the estimated impact of this event which was not contemplated when establishing the initial targets.</w:t>
      </w:r>
    </w:p>
    <w:p>
      <w:pPr>
        <w:spacing w:after="0" w:line="151" w:lineRule="exact"/>
        <w:rPr>
          <w:sz w:val="20"/>
          <w:szCs w:val="20"/>
          <w:color w:val="auto"/>
        </w:rPr>
      </w:pPr>
    </w:p>
    <w:p>
      <w:pPr>
        <w:ind w:right="580"/>
        <w:spacing w:after="0" w:line="276" w:lineRule="auto"/>
        <w:rPr>
          <w:sz w:val="20"/>
          <w:szCs w:val="20"/>
          <w:color w:val="auto"/>
        </w:rPr>
      </w:pPr>
      <w:r>
        <w:rPr>
          <w:rFonts w:ascii="Arial" w:cs="Arial" w:eastAsia="Arial" w:hAnsi="Arial"/>
          <w:sz w:val="16"/>
          <w:szCs w:val="16"/>
          <w:color w:val="0E2A35"/>
        </w:rPr>
        <w:t>The tables below reflect the fiscal 2023 OICP financial metric payout thresholds and targets for each period as well as our performance against these metrics ($ in thousands):</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6"/>
          <w:szCs w:val="16"/>
          <w:color w:val="0E2A35"/>
        </w:rPr>
        <w:t>Enterprise-Wide Financial Performance Metrics (75% of the OICP for Messrs. Happe and Hughes and Ms. Bogart) for the Full 12-Month Fiscal Year Period</w:t>
      </w:r>
      <w:r>
        <w:rPr>
          <w:rFonts w:ascii="Arial" w:cs="Arial" w:eastAsia="Arial" w:hAnsi="Arial"/>
          <w:sz w:val="26"/>
          <w:szCs w:val="26"/>
          <w:color w:val="0E2A35"/>
          <w:vertAlign w:val="superscript"/>
        </w:rPr>
        <w:t>(1)(2)(3)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0" w:type="dxa"/>
            <w:vAlign w:val="bottom"/>
            <w:shd w:val="clear" w:color="auto" w:fill="0E2A35"/>
          </w:tcPr>
          <w:p>
            <w:pPr>
              <w:spacing w:after="0"/>
              <w:rPr>
                <w:sz w:val="17"/>
                <w:szCs w:val="17"/>
                <w:color w:val="auto"/>
              </w:rPr>
            </w:pPr>
          </w:p>
        </w:tc>
        <w:tc>
          <w:tcPr>
            <w:tcW w:w="900" w:type="dxa"/>
            <w:vAlign w:val="bottom"/>
            <w:shd w:val="clear" w:color="auto" w:fill="0E2A35"/>
          </w:tcPr>
          <w:p>
            <w:pPr>
              <w:spacing w:after="0"/>
              <w:rPr>
                <w:sz w:val="17"/>
                <w:szCs w:val="17"/>
                <w:color w:val="auto"/>
              </w:rPr>
            </w:pPr>
          </w:p>
        </w:tc>
        <w:tc>
          <w:tcPr>
            <w:tcW w:w="220" w:type="dxa"/>
            <w:vAlign w:val="bottom"/>
            <w:shd w:val="clear" w:color="auto" w:fill="0E2A35"/>
          </w:tcPr>
          <w:p>
            <w:pPr>
              <w:spacing w:after="0"/>
              <w:rPr>
                <w:sz w:val="17"/>
                <w:szCs w:val="17"/>
                <w:color w:val="auto"/>
              </w:rPr>
            </w:pPr>
          </w:p>
        </w:tc>
        <w:tc>
          <w:tcPr>
            <w:tcW w:w="1020" w:type="dxa"/>
            <w:vAlign w:val="bottom"/>
            <w:shd w:val="clear" w:color="auto" w:fill="0E2A35"/>
          </w:tcPr>
          <w:p>
            <w:pPr>
              <w:jc w:val="center"/>
              <w:ind w:right="228"/>
              <w:spacing w:after="0"/>
              <w:rPr>
                <w:sz w:val="20"/>
                <w:szCs w:val="20"/>
                <w:color w:val="auto"/>
              </w:rPr>
            </w:pPr>
            <w:r>
              <w:rPr>
                <w:rFonts w:ascii="Arial" w:cs="Arial" w:eastAsia="Arial" w:hAnsi="Arial"/>
                <w:sz w:val="13"/>
                <w:szCs w:val="13"/>
                <w:b w:val="1"/>
                <w:bCs w:val="1"/>
                <w:color w:val="FFFFFF"/>
                <w:w w:val="95"/>
              </w:rPr>
              <w:t>Threshold</w:t>
            </w:r>
          </w:p>
        </w:tc>
        <w:tc>
          <w:tcPr>
            <w:tcW w:w="20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1240" w:type="dxa"/>
            <w:vAlign w:val="bottom"/>
            <w:vMerge w:val="restart"/>
            <w:shd w:val="clear" w:color="auto" w:fill="0E2A35"/>
          </w:tcPr>
          <w:p>
            <w:pPr>
              <w:jc w:val="right"/>
              <w:ind w:right="247"/>
              <w:spacing w:after="0"/>
              <w:rPr>
                <w:sz w:val="20"/>
                <w:szCs w:val="20"/>
                <w:color w:val="auto"/>
              </w:rPr>
            </w:pPr>
            <w:r>
              <w:rPr>
                <w:rFonts w:ascii="Arial" w:cs="Arial" w:eastAsia="Arial" w:hAnsi="Arial"/>
                <w:sz w:val="13"/>
                <w:szCs w:val="13"/>
                <w:b w:val="1"/>
                <w:bCs w:val="1"/>
                <w:color w:val="FFFFFF"/>
              </w:rPr>
              <w:t>Fiscal 2023</w:t>
            </w:r>
          </w:p>
        </w:tc>
        <w:tc>
          <w:tcPr>
            <w:tcW w:w="820" w:type="dxa"/>
            <w:vAlign w:val="bottom"/>
            <w:shd w:val="clear" w:color="auto" w:fill="0E2A35"/>
          </w:tcPr>
          <w:p>
            <w:pPr>
              <w:jc w:val="center"/>
              <w:ind w:left="6"/>
              <w:spacing w:after="0"/>
              <w:rPr>
                <w:sz w:val="20"/>
                <w:szCs w:val="20"/>
                <w:color w:val="auto"/>
              </w:rPr>
            </w:pPr>
            <w:r>
              <w:rPr>
                <w:rFonts w:ascii="Arial" w:cs="Arial" w:eastAsia="Arial" w:hAnsi="Arial"/>
                <w:sz w:val="13"/>
                <w:szCs w:val="13"/>
                <w:b w:val="1"/>
                <w:bCs w:val="1"/>
                <w:color w:val="FFFFFF"/>
                <w:w w:val="95"/>
              </w:rPr>
              <w:t>Actual</w:t>
            </w:r>
          </w:p>
        </w:tc>
        <w:tc>
          <w:tcPr>
            <w:tcW w:w="0" w:type="dxa"/>
            <w:vAlign w:val="bottom"/>
          </w:tcPr>
          <w:p>
            <w:pPr>
              <w:spacing w:after="0"/>
              <w:rPr>
                <w:sz w:val="1"/>
                <w:szCs w:val="1"/>
                <w:color w:val="auto"/>
              </w:rPr>
            </w:pPr>
          </w:p>
        </w:tc>
      </w:tr>
      <w:tr>
        <w:trPr>
          <w:trHeight w:val="135"/>
        </w:trPr>
        <w:tc>
          <w:tcPr>
            <w:tcW w:w="180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Metric</w:t>
            </w:r>
          </w:p>
        </w:tc>
        <w:tc>
          <w:tcPr>
            <w:tcW w:w="900" w:type="dxa"/>
            <w:vAlign w:val="bottom"/>
            <w:vMerge w:val="restart"/>
            <w:shd w:val="clear" w:color="auto" w:fill="0E2A35"/>
          </w:tcPr>
          <w:p>
            <w:pPr>
              <w:ind w:left="300"/>
              <w:spacing w:after="0"/>
              <w:rPr>
                <w:sz w:val="20"/>
                <w:szCs w:val="20"/>
                <w:color w:val="auto"/>
              </w:rPr>
            </w:pPr>
            <w:r>
              <w:rPr>
                <w:rFonts w:ascii="Arial" w:cs="Arial" w:eastAsia="Arial" w:hAnsi="Arial"/>
                <w:sz w:val="13"/>
                <w:szCs w:val="13"/>
                <w:b w:val="1"/>
                <w:bCs w:val="1"/>
                <w:color w:val="FFFFFF"/>
              </w:rPr>
              <w:t>Weight</w:t>
            </w:r>
          </w:p>
        </w:tc>
        <w:tc>
          <w:tcPr>
            <w:tcW w:w="220" w:type="dxa"/>
            <w:vAlign w:val="bottom"/>
            <w:shd w:val="clear" w:color="auto" w:fill="0E2A35"/>
          </w:tcPr>
          <w:p>
            <w:pPr>
              <w:spacing w:after="0"/>
              <w:rPr>
                <w:sz w:val="11"/>
                <w:szCs w:val="11"/>
                <w:color w:val="auto"/>
              </w:rPr>
            </w:pPr>
          </w:p>
        </w:tc>
        <w:tc>
          <w:tcPr>
            <w:tcW w:w="1020" w:type="dxa"/>
            <w:vAlign w:val="bottom"/>
            <w:shd w:val="clear" w:color="auto" w:fill="0E2A35"/>
          </w:tcPr>
          <w:p>
            <w:pPr>
              <w:jc w:val="center"/>
              <w:ind w:right="248"/>
              <w:spacing w:after="0" w:line="135" w:lineRule="exact"/>
              <w:rPr>
                <w:sz w:val="20"/>
                <w:szCs w:val="20"/>
                <w:color w:val="auto"/>
              </w:rPr>
            </w:pPr>
            <w:r>
              <w:rPr>
                <w:rFonts w:ascii="Arial" w:cs="Arial" w:eastAsia="Arial" w:hAnsi="Arial"/>
                <w:sz w:val="13"/>
                <w:szCs w:val="13"/>
                <w:b w:val="1"/>
                <w:bCs w:val="1"/>
                <w:color w:val="FFFFFF"/>
                <w:w w:val="98"/>
              </w:rPr>
              <w:t>(25%</w:t>
            </w:r>
          </w:p>
        </w:tc>
        <w:tc>
          <w:tcPr>
            <w:tcW w:w="204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(100%</w:t>
            </w:r>
          </w:p>
        </w:tc>
        <w:tc>
          <w:tcPr>
            <w:tcW w:w="12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(200%</w:t>
            </w:r>
          </w:p>
        </w:tc>
        <w:tc>
          <w:tcPr>
            <w:tcW w:w="1240" w:type="dxa"/>
            <w:vAlign w:val="bottom"/>
            <w:vMerge w:val="continue"/>
            <w:shd w:val="clear" w:color="auto" w:fill="0E2A35"/>
          </w:tcPr>
          <w:p>
            <w:pPr>
              <w:spacing w:after="0"/>
              <w:rPr>
                <w:sz w:val="11"/>
                <w:szCs w:val="11"/>
                <w:color w:val="auto"/>
              </w:rPr>
            </w:pPr>
          </w:p>
        </w:tc>
        <w:tc>
          <w:tcPr>
            <w:tcW w:w="8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c>
          <w:tcPr>
            <w:tcW w:w="0" w:type="dxa"/>
            <w:vAlign w:val="bottom"/>
          </w:tcPr>
          <w:p>
            <w:pPr>
              <w:spacing w:after="0"/>
              <w:rPr>
                <w:sz w:val="1"/>
                <w:szCs w:val="1"/>
                <w:color w:val="auto"/>
              </w:rPr>
            </w:pPr>
          </w:p>
        </w:tc>
      </w:tr>
      <w:tr>
        <w:trPr>
          <w:trHeight w:val="176"/>
        </w:trPr>
        <w:tc>
          <w:tcPr>
            <w:tcW w:w="1800" w:type="dxa"/>
            <w:vAlign w:val="bottom"/>
            <w:vMerge w:val="continue"/>
            <w:shd w:val="clear" w:color="auto" w:fill="0E2A35"/>
          </w:tcPr>
          <w:p>
            <w:pPr>
              <w:spacing w:after="0"/>
              <w:rPr>
                <w:sz w:val="15"/>
                <w:szCs w:val="15"/>
                <w:color w:val="auto"/>
              </w:rPr>
            </w:pPr>
          </w:p>
        </w:tc>
        <w:tc>
          <w:tcPr>
            <w:tcW w:w="900" w:type="dxa"/>
            <w:vAlign w:val="bottom"/>
            <w:vMerge w:val="continue"/>
            <w:shd w:val="clear" w:color="auto" w:fill="0E2A35"/>
          </w:tcPr>
          <w:p>
            <w:pPr>
              <w:spacing w:after="0"/>
              <w:rPr>
                <w:sz w:val="15"/>
                <w:szCs w:val="15"/>
                <w:color w:val="auto"/>
              </w:rPr>
            </w:pPr>
          </w:p>
        </w:tc>
        <w:tc>
          <w:tcPr>
            <w:tcW w:w="220" w:type="dxa"/>
            <w:vAlign w:val="bottom"/>
            <w:shd w:val="clear" w:color="auto" w:fill="0E2A35"/>
          </w:tcPr>
          <w:p>
            <w:pPr>
              <w:spacing w:after="0"/>
              <w:rPr>
                <w:sz w:val="15"/>
                <w:szCs w:val="15"/>
                <w:color w:val="auto"/>
              </w:rPr>
            </w:pPr>
          </w:p>
        </w:tc>
        <w:tc>
          <w:tcPr>
            <w:tcW w:w="1020" w:type="dxa"/>
            <w:vAlign w:val="bottom"/>
            <w:shd w:val="clear" w:color="auto" w:fill="0E2A35"/>
          </w:tcPr>
          <w:p>
            <w:pPr>
              <w:jc w:val="center"/>
              <w:ind w:right="208"/>
              <w:spacing w:after="0"/>
              <w:rPr>
                <w:sz w:val="20"/>
                <w:szCs w:val="20"/>
                <w:color w:val="auto"/>
              </w:rPr>
            </w:pPr>
            <w:r>
              <w:rPr>
                <w:rFonts w:ascii="Arial" w:cs="Arial" w:eastAsia="Arial" w:hAnsi="Arial"/>
                <w:sz w:val="13"/>
                <w:szCs w:val="13"/>
                <w:b w:val="1"/>
                <w:bCs w:val="1"/>
                <w:color w:val="FFFFFF"/>
                <w:w w:val="96"/>
              </w:rPr>
              <w:t>Payout)</w:t>
            </w:r>
          </w:p>
        </w:tc>
        <w:tc>
          <w:tcPr>
            <w:tcW w:w="20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40" w:type="dxa"/>
            <w:vAlign w:val="bottom"/>
            <w:shd w:val="clear" w:color="auto" w:fill="0E2A35"/>
          </w:tcPr>
          <w:p>
            <w:pPr>
              <w:jc w:val="right"/>
              <w:ind w:right="187"/>
              <w:spacing w:after="0"/>
              <w:rPr>
                <w:sz w:val="20"/>
                <w:szCs w:val="20"/>
                <w:color w:val="auto"/>
              </w:rPr>
            </w:pPr>
            <w:r>
              <w:rPr>
                <w:rFonts w:ascii="Arial" w:cs="Arial" w:eastAsia="Arial" w:hAnsi="Arial"/>
                <w:sz w:val="13"/>
                <w:szCs w:val="13"/>
                <w:b w:val="1"/>
                <w:bCs w:val="1"/>
                <w:color w:val="FFFFFF"/>
              </w:rPr>
              <w:t>Performance</w:t>
            </w:r>
          </w:p>
        </w:tc>
        <w:tc>
          <w:tcPr>
            <w:tcW w:w="820" w:type="dxa"/>
            <w:vAlign w:val="bottom"/>
            <w:shd w:val="clear" w:color="auto" w:fill="0E2A35"/>
          </w:tcPr>
          <w:p>
            <w:pPr>
              <w:jc w:val="center"/>
              <w:ind w:left="26"/>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89"/>
        </w:trPr>
        <w:tc>
          <w:tcPr>
            <w:tcW w:w="1800" w:type="dxa"/>
            <w:vAlign w:val="bottom"/>
            <w:shd w:val="clear" w:color="auto" w:fill="0E2A35"/>
          </w:tcPr>
          <w:p>
            <w:pPr>
              <w:spacing w:after="0"/>
              <w:rPr>
                <w:sz w:val="7"/>
                <w:szCs w:val="7"/>
                <w:color w:val="auto"/>
              </w:rPr>
            </w:pPr>
          </w:p>
        </w:tc>
        <w:tc>
          <w:tcPr>
            <w:tcW w:w="900" w:type="dxa"/>
            <w:vAlign w:val="bottom"/>
            <w:shd w:val="clear" w:color="auto" w:fill="0E2A35"/>
          </w:tcPr>
          <w:p>
            <w:pPr>
              <w:spacing w:after="0"/>
              <w:rPr>
                <w:sz w:val="7"/>
                <w:szCs w:val="7"/>
                <w:color w:val="auto"/>
              </w:rPr>
            </w:pPr>
          </w:p>
        </w:tc>
        <w:tc>
          <w:tcPr>
            <w:tcW w:w="220" w:type="dxa"/>
            <w:vAlign w:val="bottom"/>
            <w:shd w:val="clear" w:color="auto" w:fill="0E2A35"/>
          </w:tcPr>
          <w:p>
            <w:pPr>
              <w:spacing w:after="0"/>
              <w:rPr>
                <w:sz w:val="7"/>
                <w:szCs w:val="7"/>
                <w:color w:val="auto"/>
              </w:rPr>
            </w:pPr>
          </w:p>
        </w:tc>
        <w:tc>
          <w:tcPr>
            <w:tcW w:w="1020" w:type="dxa"/>
            <w:vAlign w:val="bottom"/>
            <w:shd w:val="clear" w:color="auto" w:fill="0E2A35"/>
          </w:tcPr>
          <w:p>
            <w:pPr>
              <w:spacing w:after="0"/>
              <w:rPr>
                <w:sz w:val="7"/>
                <w:szCs w:val="7"/>
                <w:color w:val="auto"/>
              </w:rPr>
            </w:pPr>
          </w:p>
        </w:tc>
        <w:tc>
          <w:tcPr>
            <w:tcW w:w="1000" w:type="dxa"/>
            <w:vAlign w:val="bottom"/>
            <w:shd w:val="clear" w:color="auto" w:fill="0E2A35"/>
          </w:tcPr>
          <w:p>
            <w:pPr>
              <w:spacing w:after="0"/>
              <w:rPr>
                <w:sz w:val="7"/>
                <w:szCs w:val="7"/>
                <w:color w:val="auto"/>
              </w:rPr>
            </w:pPr>
          </w:p>
        </w:tc>
        <w:tc>
          <w:tcPr>
            <w:tcW w:w="1040" w:type="dxa"/>
            <w:vAlign w:val="bottom"/>
            <w:shd w:val="clear" w:color="auto" w:fill="0E2A35"/>
          </w:tcPr>
          <w:p>
            <w:pPr>
              <w:spacing w:after="0"/>
              <w:rPr>
                <w:sz w:val="7"/>
                <w:szCs w:val="7"/>
                <w:color w:val="auto"/>
              </w:rPr>
            </w:pPr>
          </w:p>
        </w:tc>
        <w:tc>
          <w:tcPr>
            <w:tcW w:w="1240" w:type="dxa"/>
            <w:vAlign w:val="bottom"/>
            <w:shd w:val="clear" w:color="auto" w:fill="0E2A35"/>
          </w:tcPr>
          <w:p>
            <w:pPr>
              <w:spacing w:after="0"/>
              <w:rPr>
                <w:sz w:val="7"/>
                <w:szCs w:val="7"/>
                <w:color w:val="auto"/>
              </w:rPr>
            </w:pPr>
          </w:p>
        </w:tc>
        <w:tc>
          <w:tcPr>
            <w:tcW w:w="1240" w:type="dxa"/>
            <w:vAlign w:val="bottom"/>
            <w:shd w:val="clear" w:color="auto" w:fill="0E2A35"/>
          </w:tcPr>
          <w:p>
            <w:pPr>
              <w:spacing w:after="0"/>
              <w:rPr>
                <w:sz w:val="7"/>
                <w:szCs w:val="7"/>
                <w:color w:val="auto"/>
              </w:rPr>
            </w:pPr>
          </w:p>
        </w:tc>
        <w:tc>
          <w:tcPr>
            <w:tcW w:w="82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1800" w:type="dxa"/>
            <w:vAlign w:val="bottom"/>
          </w:tcPr>
          <w:p>
            <w:pPr>
              <w:ind w:left="60"/>
              <w:spacing w:after="0"/>
              <w:rPr>
                <w:sz w:val="20"/>
                <w:szCs w:val="20"/>
                <w:color w:val="auto"/>
              </w:rPr>
            </w:pPr>
            <w:r>
              <w:rPr>
                <w:rFonts w:ascii="Arial" w:cs="Arial" w:eastAsia="Arial" w:hAnsi="Arial"/>
                <w:sz w:val="16"/>
                <w:szCs w:val="16"/>
                <w:color w:val="0E2A35"/>
              </w:rPr>
              <w:t>Net Revenue</w:t>
            </w:r>
          </w:p>
        </w:tc>
        <w:tc>
          <w:tcPr>
            <w:tcW w:w="900" w:type="dxa"/>
            <w:vAlign w:val="bottom"/>
          </w:tcPr>
          <w:p>
            <w:pPr>
              <w:ind w:left="320"/>
              <w:spacing w:after="0"/>
              <w:rPr>
                <w:sz w:val="20"/>
                <w:szCs w:val="20"/>
                <w:color w:val="auto"/>
              </w:rPr>
            </w:pPr>
            <w:r>
              <w:rPr>
                <w:rFonts w:ascii="Arial" w:cs="Arial" w:eastAsia="Arial" w:hAnsi="Arial"/>
                <w:sz w:val="16"/>
                <w:szCs w:val="16"/>
                <w:color w:val="0E2A35"/>
              </w:rPr>
              <w:t>40.0%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20" w:type="dxa"/>
            <w:vAlign w:val="bottom"/>
          </w:tcPr>
          <w:p>
            <w:pPr>
              <w:jc w:val="right"/>
              <w:ind w:right="248"/>
              <w:spacing w:after="0"/>
              <w:rPr>
                <w:sz w:val="20"/>
                <w:szCs w:val="20"/>
                <w:color w:val="auto"/>
              </w:rPr>
            </w:pPr>
            <w:r>
              <w:rPr>
                <w:rFonts w:ascii="Arial" w:cs="Arial" w:eastAsia="Arial" w:hAnsi="Arial"/>
                <w:sz w:val="16"/>
                <w:szCs w:val="16"/>
                <w:color w:val="0E2A35"/>
                <w:w w:val="95"/>
              </w:rPr>
              <w:t>3,689,900</w:t>
            </w:r>
          </w:p>
        </w:tc>
        <w:tc>
          <w:tcPr>
            <w:tcW w:w="1000" w:type="dxa"/>
            <w:vAlign w:val="bottom"/>
          </w:tcPr>
          <w:p>
            <w:pPr>
              <w:jc w:val="right"/>
              <w:spacing w:after="0"/>
              <w:rPr>
                <w:sz w:val="20"/>
                <w:szCs w:val="20"/>
                <w:color w:val="auto"/>
              </w:rPr>
            </w:pPr>
            <w:r>
              <w:rPr>
                <w:rFonts w:ascii="Arial" w:cs="Arial" w:eastAsia="Arial" w:hAnsi="Arial"/>
                <w:sz w:val="16"/>
                <w:szCs w:val="16"/>
                <w:color w:val="0E2A35"/>
              </w:rPr>
              <w:t>​$4,254,200</w:t>
            </w:r>
          </w:p>
        </w:tc>
        <w:tc>
          <w:tcPr>
            <w:tcW w:w="1040" w:type="dxa"/>
            <w:vAlign w:val="bottom"/>
          </w:tcPr>
          <w:p>
            <w:pPr>
              <w:ind w:left="20"/>
              <w:spacing w:after="0"/>
              <w:rPr>
                <w:sz w:val="20"/>
                <w:szCs w:val="20"/>
                <w:color w:val="auto"/>
              </w:rPr>
            </w:pPr>
            <w:r>
              <w:rPr>
                <w:rFonts w:ascii="Arial" w:cs="Arial" w:eastAsia="Arial" w:hAnsi="Arial"/>
                <w:sz w:val="16"/>
                <w:szCs w:val="16"/>
                <w:color w:val="0E2A35"/>
              </w:rPr>
              <w:t>– 4,427,900</w:t>
            </w:r>
          </w:p>
        </w:tc>
        <w:tc>
          <w:tcPr>
            <w:tcW w:w="1240" w:type="dxa"/>
            <w:vAlign w:val="bottom"/>
          </w:tcPr>
          <w:p>
            <w:pPr>
              <w:jc w:val="right"/>
              <w:ind w:right="206"/>
              <w:spacing w:after="0"/>
              <w:rPr>
                <w:sz w:val="20"/>
                <w:szCs w:val="20"/>
                <w:color w:val="auto"/>
              </w:rPr>
            </w:pPr>
            <w:r>
              <w:rPr>
                <w:rFonts w:ascii="Arial" w:cs="Arial" w:eastAsia="Arial" w:hAnsi="Arial"/>
                <w:sz w:val="16"/>
                <w:szCs w:val="16"/>
                <w:color w:val="0E2A35"/>
              </w:rPr>
              <w:t>$4,775,200</w:t>
            </w:r>
          </w:p>
        </w:tc>
        <w:tc>
          <w:tcPr>
            <w:tcW w:w="1240" w:type="dxa"/>
            <w:vAlign w:val="bottom"/>
          </w:tcPr>
          <w:p>
            <w:pPr>
              <w:jc w:val="right"/>
              <w:ind w:right="227"/>
              <w:spacing w:after="0"/>
              <w:rPr>
                <w:sz w:val="20"/>
                <w:szCs w:val="20"/>
                <w:color w:val="auto"/>
              </w:rPr>
            </w:pPr>
            <w:r>
              <w:rPr>
                <w:rFonts w:ascii="Arial" w:cs="Arial" w:eastAsia="Arial" w:hAnsi="Arial"/>
                <w:sz w:val="16"/>
                <w:szCs w:val="16"/>
                <w:color w:val="0E2A35"/>
              </w:rPr>
              <w:t>$​3,532,955</w:t>
            </w:r>
          </w:p>
        </w:tc>
        <w:tc>
          <w:tcPr>
            <w:tcW w:w="820" w:type="dxa"/>
            <w:vAlign w:val="bottom"/>
          </w:tcPr>
          <w:p>
            <w:pPr>
              <w:ind w:left="340"/>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r>
        <w:trPr>
          <w:trHeight w:val="100"/>
        </w:trPr>
        <w:tc>
          <w:tcPr>
            <w:tcW w:w="180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00" w:type="dxa"/>
            <w:vAlign w:val="bottom"/>
          </w:tcPr>
          <w:p>
            <w:pPr>
              <w:ind w:left="60"/>
              <w:spacing w:after="0"/>
              <w:rPr>
                <w:sz w:val="20"/>
                <w:szCs w:val="20"/>
                <w:color w:val="auto"/>
              </w:rPr>
            </w:pPr>
            <w:r>
              <w:rPr>
                <w:rFonts w:ascii="Arial" w:cs="Arial" w:eastAsia="Arial" w:hAnsi="Arial"/>
                <w:sz w:val="16"/>
                <w:szCs w:val="16"/>
                <w:color w:val="0E2A35"/>
              </w:rPr>
              <w:t>Operating Income</w:t>
            </w:r>
          </w:p>
        </w:tc>
        <w:tc>
          <w:tcPr>
            <w:tcW w:w="900" w:type="dxa"/>
            <w:vAlign w:val="bottom"/>
          </w:tcPr>
          <w:p>
            <w:pPr>
              <w:ind w:left="320"/>
              <w:spacing w:after="0"/>
              <w:rPr>
                <w:sz w:val="20"/>
                <w:szCs w:val="20"/>
                <w:color w:val="auto"/>
              </w:rPr>
            </w:pPr>
            <w:r>
              <w:rPr>
                <w:rFonts w:ascii="Arial" w:cs="Arial" w:eastAsia="Arial" w:hAnsi="Arial"/>
                <w:sz w:val="16"/>
                <w:szCs w:val="16"/>
                <w:color w:val="0E2A35"/>
              </w:rPr>
              <w:t>50.0%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20" w:type="dxa"/>
            <w:vAlign w:val="bottom"/>
          </w:tcPr>
          <w:p>
            <w:pPr>
              <w:jc w:val="right"/>
              <w:ind w:right="248"/>
              <w:spacing w:after="0"/>
              <w:rPr>
                <w:sz w:val="20"/>
                <w:szCs w:val="20"/>
                <w:color w:val="auto"/>
              </w:rPr>
            </w:pPr>
            <w:r>
              <w:rPr>
                <w:rFonts w:ascii="Arial" w:cs="Arial" w:eastAsia="Arial" w:hAnsi="Arial"/>
                <w:sz w:val="16"/>
                <w:szCs w:val="16"/>
                <w:color w:val="0E2A35"/>
              </w:rPr>
              <w:t>339,100</w:t>
            </w:r>
          </w:p>
        </w:tc>
        <w:tc>
          <w:tcPr>
            <w:tcW w:w="1000" w:type="dxa"/>
            <w:vAlign w:val="bottom"/>
          </w:tcPr>
          <w:p>
            <w:pPr>
              <w:jc w:val="right"/>
              <w:spacing w:after="0"/>
              <w:rPr>
                <w:sz w:val="20"/>
                <w:szCs w:val="20"/>
                <w:color w:val="auto"/>
              </w:rPr>
            </w:pPr>
            <w:r>
              <w:rPr>
                <w:rFonts w:ascii="Arial" w:cs="Arial" w:eastAsia="Arial" w:hAnsi="Arial"/>
                <w:sz w:val="16"/>
                <w:szCs w:val="16"/>
                <w:color w:val="0E2A35"/>
              </w:rPr>
              <w:t>$​444,600</w:t>
            </w:r>
          </w:p>
        </w:tc>
        <w:tc>
          <w:tcPr>
            <w:tcW w:w="1040" w:type="dxa"/>
            <w:vAlign w:val="bottom"/>
          </w:tcPr>
          <w:p>
            <w:pPr>
              <w:ind w:left="20"/>
              <w:spacing w:after="0"/>
              <w:rPr>
                <w:sz w:val="20"/>
                <w:szCs w:val="20"/>
                <w:color w:val="auto"/>
              </w:rPr>
            </w:pPr>
            <w:r>
              <w:rPr>
                <w:rFonts w:ascii="Arial" w:cs="Arial" w:eastAsia="Arial" w:hAnsi="Arial"/>
                <w:sz w:val="16"/>
                <w:szCs w:val="16"/>
                <w:color w:val="0E2A35"/>
              </w:rPr>
              <w:t>– 459,600</w:t>
            </w:r>
          </w:p>
        </w:tc>
        <w:tc>
          <w:tcPr>
            <w:tcW w:w="1240" w:type="dxa"/>
            <w:vAlign w:val="bottom"/>
          </w:tcPr>
          <w:p>
            <w:pPr>
              <w:jc w:val="right"/>
              <w:ind w:right="206"/>
              <w:spacing w:after="0"/>
              <w:rPr>
                <w:sz w:val="20"/>
                <w:szCs w:val="20"/>
                <w:color w:val="auto"/>
              </w:rPr>
            </w:pPr>
            <w:r>
              <w:rPr>
                <w:rFonts w:ascii="Arial" w:cs="Arial" w:eastAsia="Arial" w:hAnsi="Arial"/>
                <w:sz w:val="16"/>
                <w:szCs w:val="16"/>
                <w:color w:val="0E2A35"/>
              </w:rPr>
              <w:t>$  519,900</w:t>
            </w:r>
          </w:p>
        </w:tc>
        <w:tc>
          <w:tcPr>
            <w:tcW w:w="1240" w:type="dxa"/>
            <w:vAlign w:val="bottom"/>
          </w:tcPr>
          <w:p>
            <w:pPr>
              <w:jc w:val="right"/>
              <w:ind w:right="87"/>
              <w:spacing w:after="0"/>
              <w:rPr>
                <w:sz w:val="20"/>
                <w:szCs w:val="20"/>
                <w:color w:val="auto"/>
              </w:rPr>
            </w:pPr>
            <w:r>
              <w:rPr>
                <w:rFonts w:ascii="Arial" w:cs="Arial" w:eastAsia="Arial" w:hAnsi="Arial"/>
                <w:sz w:val="16"/>
                <w:szCs w:val="16"/>
                <w:color w:val="0E2A35"/>
              </w:rPr>
              <w:t>$​  312,562​</w:t>
            </w:r>
          </w:p>
        </w:tc>
        <w:tc>
          <w:tcPr>
            <w:tcW w:w="820" w:type="dxa"/>
            <w:vAlign w:val="bottom"/>
          </w:tcPr>
          <w:p>
            <w:pPr>
              <w:ind w:left="340"/>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r>
        <w:trPr>
          <w:trHeight w:val="100"/>
        </w:trPr>
        <w:tc>
          <w:tcPr>
            <w:tcW w:w="180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2040" w:type="dxa"/>
            <w:vAlign w:val="bottom"/>
            <w:tcBorders>
              <w:bottom w:val="single" w:sz="8" w:color="0E2A35"/>
            </w:tcBorders>
            <w:gridSpan w:val="2"/>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00" w:type="dxa"/>
            <w:vAlign w:val="bottom"/>
          </w:tcPr>
          <w:p>
            <w:pPr>
              <w:ind w:left="60"/>
              <w:spacing w:after="0"/>
              <w:rPr>
                <w:sz w:val="20"/>
                <w:szCs w:val="20"/>
                <w:color w:val="auto"/>
              </w:rPr>
            </w:pPr>
            <w:r>
              <w:rPr>
                <w:rFonts w:ascii="Arial" w:cs="Arial" w:eastAsia="Arial" w:hAnsi="Arial"/>
                <w:sz w:val="16"/>
                <w:szCs w:val="16"/>
                <w:color w:val="0E2A35"/>
              </w:rPr>
              <w:t>Net Working Capital</w:t>
            </w:r>
          </w:p>
        </w:tc>
        <w:tc>
          <w:tcPr>
            <w:tcW w:w="900" w:type="dxa"/>
            <w:vAlign w:val="bottom"/>
          </w:tcPr>
          <w:p>
            <w:pPr>
              <w:ind w:left="320"/>
              <w:spacing w:after="0"/>
              <w:rPr>
                <w:sz w:val="20"/>
                <w:szCs w:val="20"/>
                <w:color w:val="auto"/>
              </w:rPr>
            </w:pPr>
            <w:r>
              <w:rPr>
                <w:rFonts w:ascii="Arial" w:cs="Arial" w:eastAsia="Arial" w:hAnsi="Arial"/>
                <w:sz w:val="16"/>
                <w:szCs w:val="16"/>
                <w:color w:val="0E2A35"/>
              </w:rPr>
              <w:t>10.0%</w:t>
            </w:r>
          </w:p>
        </w:tc>
        <w:tc>
          <w:tcPr>
            <w:tcW w:w="22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6"/>
                <w:szCs w:val="16"/>
                <w:color w:val="0E2A35"/>
              </w:rPr>
              <w:t>14​.8%</w:t>
            </w:r>
          </w:p>
        </w:tc>
        <w:tc>
          <w:tcPr>
            <w:tcW w:w="2040" w:type="dxa"/>
            <w:vAlign w:val="bottom"/>
            <w:gridSpan w:val="2"/>
          </w:tcPr>
          <w:p>
            <w:pPr>
              <w:jc w:val="center"/>
              <w:spacing w:after="0"/>
              <w:rPr>
                <w:sz w:val="20"/>
                <w:szCs w:val="20"/>
                <w:color w:val="auto"/>
              </w:rPr>
            </w:pPr>
            <w:r>
              <w:rPr>
                <w:rFonts w:ascii="Arial" w:cs="Arial" w:eastAsia="Arial" w:hAnsi="Arial"/>
                <w:sz w:val="16"/>
                <w:szCs w:val="16"/>
                <w:color w:val="0E2A35"/>
                <w:w w:val="99"/>
              </w:rPr>
              <w:t>13​.1% – 12.6%</w:t>
            </w:r>
          </w:p>
        </w:tc>
        <w:tc>
          <w:tcPr>
            <w:tcW w:w="1240" w:type="dxa"/>
            <w:vAlign w:val="bottom"/>
          </w:tcPr>
          <w:p>
            <w:pPr>
              <w:jc w:val="right"/>
              <w:ind w:right="66"/>
              <w:spacing w:after="0"/>
              <w:rPr>
                <w:sz w:val="20"/>
                <w:szCs w:val="20"/>
                <w:color w:val="auto"/>
              </w:rPr>
            </w:pPr>
            <w:r>
              <w:rPr>
                <w:rFonts w:ascii="Arial" w:cs="Arial" w:eastAsia="Arial" w:hAnsi="Arial"/>
                <w:sz w:val="16"/>
                <w:szCs w:val="16"/>
                <w:color w:val="0E2A35"/>
              </w:rPr>
              <w:t>11​.6%</w:t>
            </w:r>
          </w:p>
        </w:tc>
        <w:tc>
          <w:tcPr>
            <w:tcW w:w="1240" w:type="dxa"/>
            <w:vAlign w:val="bottom"/>
          </w:tcPr>
          <w:p>
            <w:pPr>
              <w:jc w:val="right"/>
              <w:ind w:right="87"/>
              <w:spacing w:after="0"/>
              <w:rPr>
                <w:sz w:val="20"/>
                <w:szCs w:val="20"/>
                <w:color w:val="auto"/>
              </w:rPr>
            </w:pPr>
            <w:r>
              <w:rPr>
                <w:rFonts w:ascii="Arial" w:cs="Arial" w:eastAsia="Arial" w:hAnsi="Arial"/>
                <w:sz w:val="16"/>
                <w:szCs w:val="16"/>
                <w:color w:val="0E2A35"/>
              </w:rPr>
              <w:t>18​.8%</w:t>
            </w:r>
          </w:p>
        </w:tc>
        <w:tc>
          <w:tcPr>
            <w:tcW w:w="820" w:type="dxa"/>
            <w:vAlign w:val="bottom"/>
          </w:tcPr>
          <w:p>
            <w:pPr>
              <w:ind w:left="340"/>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r>
        <w:trPr>
          <w:trHeight w:val="100"/>
        </w:trPr>
        <w:tc>
          <w:tcPr>
            <w:tcW w:w="180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2480" w:type="dxa"/>
            <w:vAlign w:val="bottom"/>
            <w:tcBorders>
              <w:bottom w:val="single" w:sz="8" w:color="0E2A35"/>
            </w:tcBorders>
            <w:gridSpan w:val="2"/>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80" w:type="dxa"/>
            <w:vAlign w:val="bottom"/>
            <w:gridSpan w:val="2"/>
          </w:tcPr>
          <w:p>
            <w:pPr>
              <w:jc w:val="right"/>
              <w:ind w:right="67"/>
              <w:spacing w:after="0"/>
              <w:rPr>
                <w:sz w:val="20"/>
                <w:szCs w:val="20"/>
                <w:color w:val="auto"/>
              </w:rPr>
            </w:pPr>
            <w:r>
              <w:rPr>
                <w:rFonts w:ascii="Arial" w:cs="Arial" w:eastAsia="Arial" w:hAnsi="Arial"/>
                <w:sz w:val="16"/>
                <w:szCs w:val="16"/>
                <w:color w:val="0E2A35"/>
              </w:rPr>
              <w:t>Total Payout Percentage</w:t>
            </w:r>
          </w:p>
        </w:tc>
        <w:tc>
          <w:tcPr>
            <w:tcW w:w="820" w:type="dxa"/>
            <w:vAlign w:val="bottom"/>
          </w:tcPr>
          <w:p>
            <w:pPr>
              <w:ind w:left="340"/>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r>
        <w:trPr>
          <w:trHeight w:val="100"/>
        </w:trPr>
        <w:tc>
          <w:tcPr>
            <w:tcW w:w="180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2480" w:type="dxa"/>
            <w:vAlign w:val="bottom"/>
            <w:tcBorders>
              <w:bottom w:val="single" w:sz="8" w:color="0E2A35"/>
            </w:tcBorders>
            <w:gridSpan w:val="2"/>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80" w:type="dxa"/>
            <w:vAlign w:val="bottom"/>
            <w:gridSpan w:val="2"/>
          </w:tcPr>
          <w:p>
            <w:pPr>
              <w:jc w:val="right"/>
              <w:ind w:right="67"/>
              <w:spacing w:after="0"/>
              <w:rPr>
                <w:sz w:val="20"/>
                <w:szCs w:val="20"/>
                <w:color w:val="auto"/>
              </w:rPr>
            </w:pPr>
            <w:r>
              <w:rPr>
                <w:rFonts w:ascii="Arial" w:cs="Arial" w:eastAsia="Arial" w:hAnsi="Arial"/>
                <w:sz w:val="16"/>
                <w:szCs w:val="16"/>
                <w:color w:val="0E2A35"/>
              </w:rPr>
              <w:t>40% of Total Percentage</w:t>
            </w:r>
          </w:p>
        </w:tc>
        <w:tc>
          <w:tcPr>
            <w:tcW w:w="820" w:type="dxa"/>
            <w:vAlign w:val="bottom"/>
          </w:tcPr>
          <w:p>
            <w:pPr>
              <w:ind w:left="340"/>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58978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88" w:lineRule="exact"/>
        <w:rPr>
          <w:sz w:val="20"/>
          <w:szCs w:val="20"/>
          <w:color w:val="auto"/>
        </w:rPr>
      </w:pPr>
    </w:p>
    <w:p>
      <w:pPr>
        <w:ind w:left="360" w:right="100" w:hanging="360"/>
        <w:spacing w:after="0" w:line="236" w:lineRule="auto"/>
        <w:tabs>
          <w:tab w:leader="none" w:pos="360" w:val="left"/>
        </w:tabs>
        <w:numPr>
          <w:ilvl w:val="0"/>
          <w:numId w:val="30"/>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25% of his or her target bonus opportunity tied to individualized annual objectives, which are assessed by the CEO (or, the committee, in the case of the CEO), and the proposed bonus amount is approved by the committee.</w:t>
      </w:r>
    </w:p>
    <w:p>
      <w:pPr>
        <w:spacing w:after="0" w:line="29" w:lineRule="exact"/>
        <w:rPr>
          <w:rFonts w:ascii="Arial" w:cs="Arial" w:eastAsia="Arial" w:hAnsi="Arial"/>
          <w:sz w:val="13"/>
          <w:szCs w:val="13"/>
          <w:color w:val="0E2A35"/>
        </w:rPr>
      </w:pPr>
    </w:p>
    <w:p>
      <w:pPr>
        <w:ind w:left="360" w:right="400" w:hanging="360"/>
        <w:spacing w:after="0" w:line="236" w:lineRule="auto"/>
        <w:tabs>
          <w:tab w:leader="none" w:pos="360" w:val="left"/>
        </w:tabs>
        <w:numPr>
          <w:ilvl w:val="0"/>
          <w:numId w:val="30"/>
        </w:numPr>
        <w:rPr>
          <w:rFonts w:ascii="Arial" w:cs="Arial" w:eastAsia="Arial" w:hAnsi="Arial"/>
          <w:sz w:val="13"/>
          <w:szCs w:val="13"/>
          <w:color w:val="0E2A35"/>
        </w:rPr>
      </w:pPr>
      <w:r>
        <w:rPr>
          <w:rFonts w:ascii="Arial" w:cs="Arial" w:eastAsia="Arial" w:hAnsi="Arial"/>
          <w:sz w:val="13"/>
          <w:szCs w:val="13"/>
          <w:color w:val="0E2A35"/>
        </w:rPr>
        <w:t>Mr. Bower’s financial performance is based upon the Winnebago Outdoors business unit and the financial performance metrics are weighted: (1) 40% net revenue; (ii) 50% operating income; and (iii) 10% net working capital.</w:t>
      </w:r>
    </w:p>
    <w:p>
      <w:pPr>
        <w:spacing w:after="0" w:line="29" w:lineRule="exact"/>
        <w:rPr>
          <w:rFonts w:ascii="Arial" w:cs="Arial" w:eastAsia="Arial" w:hAnsi="Arial"/>
          <w:sz w:val="13"/>
          <w:szCs w:val="13"/>
          <w:color w:val="0E2A35"/>
        </w:rPr>
      </w:pPr>
    </w:p>
    <w:p>
      <w:pPr>
        <w:ind w:left="360" w:hanging="360"/>
        <w:spacing w:after="0"/>
        <w:tabs>
          <w:tab w:leader="none" w:pos="360" w:val="left"/>
        </w:tabs>
        <w:numPr>
          <w:ilvl w:val="0"/>
          <w:numId w:val="30"/>
        </w:numPr>
        <w:rPr>
          <w:rFonts w:ascii="Arial" w:cs="Arial" w:eastAsia="Arial" w:hAnsi="Arial"/>
          <w:sz w:val="13"/>
          <w:szCs w:val="13"/>
          <w:color w:val="0E2A35"/>
        </w:rPr>
      </w:pPr>
      <w:r>
        <w:rPr>
          <w:rFonts w:ascii="Arial" w:cs="Arial" w:eastAsia="Arial" w:hAnsi="Arial"/>
          <w:sz w:val="13"/>
          <w:szCs w:val="13"/>
          <w:color w:val="0E2A35"/>
        </w:rPr>
        <w:t>The 12-month fiscal year OICP period is weighted at 40% of the overall OICP weighting.</w:t>
      </w:r>
    </w:p>
    <w:p>
      <w:pPr>
        <w:spacing w:after="0" w:line="165" w:lineRule="exact"/>
        <w:rPr>
          <w:sz w:val="20"/>
          <w:szCs w:val="20"/>
          <w:color w:val="auto"/>
        </w:rPr>
      </w:pPr>
    </w:p>
    <w:p>
      <w:pPr>
        <w:ind w:right="220"/>
        <w:spacing w:after="0" w:line="238" w:lineRule="auto"/>
        <w:rPr>
          <w:sz w:val="20"/>
          <w:szCs w:val="20"/>
          <w:color w:val="auto"/>
        </w:rPr>
      </w:pPr>
      <w:r>
        <w:rPr>
          <w:rFonts w:ascii="Arial" w:cs="Arial" w:eastAsia="Arial" w:hAnsi="Arial"/>
          <w:sz w:val="16"/>
          <w:szCs w:val="16"/>
          <w:color w:val="0E2A35"/>
        </w:rPr>
        <w:t>Enterprise-Wide Financial Performance Metrics (75% of the OICP for Messrs. Happe and Hughes and Ms. Bogart) for the First Six-Month Fiscal Year Period</w:t>
      </w:r>
      <w:r>
        <w:rPr>
          <w:rFonts w:ascii="Arial" w:cs="Arial" w:eastAsia="Arial" w:hAnsi="Arial"/>
          <w:sz w:val="26"/>
          <w:szCs w:val="26"/>
          <w:color w:val="0E2A35"/>
          <w:vertAlign w:val="superscript"/>
        </w:rPr>
        <w:t>(1)(2)(3)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60" w:type="dxa"/>
            <w:vAlign w:val="bottom"/>
            <w:shd w:val="clear" w:color="auto" w:fill="0E2A35"/>
          </w:tcPr>
          <w:p>
            <w:pPr>
              <w:spacing w:after="0"/>
              <w:rPr>
                <w:sz w:val="17"/>
                <w:szCs w:val="17"/>
                <w:color w:val="auto"/>
              </w:rPr>
            </w:pPr>
          </w:p>
        </w:tc>
        <w:tc>
          <w:tcPr>
            <w:tcW w:w="860" w:type="dxa"/>
            <w:vAlign w:val="bottom"/>
            <w:shd w:val="clear" w:color="auto" w:fill="0E2A35"/>
          </w:tcPr>
          <w:p>
            <w:pPr>
              <w:spacing w:after="0"/>
              <w:rPr>
                <w:sz w:val="17"/>
                <w:szCs w:val="17"/>
                <w:color w:val="auto"/>
              </w:rPr>
            </w:pPr>
          </w:p>
        </w:tc>
        <w:tc>
          <w:tcPr>
            <w:tcW w:w="200" w:type="dxa"/>
            <w:vAlign w:val="bottom"/>
            <w:shd w:val="clear" w:color="auto" w:fill="0E2A35"/>
          </w:tcPr>
          <w:p>
            <w:pPr>
              <w:spacing w:after="0"/>
              <w:rPr>
                <w:sz w:val="17"/>
                <w:szCs w:val="17"/>
                <w:color w:val="auto"/>
              </w:rPr>
            </w:pPr>
          </w:p>
        </w:tc>
        <w:tc>
          <w:tcPr>
            <w:tcW w:w="1040" w:type="dxa"/>
            <w:vAlign w:val="bottom"/>
            <w:shd w:val="clear" w:color="auto" w:fill="0E2A35"/>
          </w:tcPr>
          <w:p>
            <w:pPr>
              <w:jc w:val="center"/>
              <w:ind w:right="208"/>
              <w:spacing w:after="0"/>
              <w:rPr>
                <w:sz w:val="20"/>
                <w:szCs w:val="20"/>
                <w:color w:val="auto"/>
              </w:rPr>
            </w:pPr>
            <w:r>
              <w:rPr>
                <w:rFonts w:ascii="Arial" w:cs="Arial" w:eastAsia="Arial" w:hAnsi="Arial"/>
                <w:sz w:val="13"/>
                <w:szCs w:val="13"/>
                <w:b w:val="1"/>
                <w:bCs w:val="1"/>
                <w:color w:val="FFFFFF"/>
                <w:w w:val="95"/>
              </w:rPr>
              <w:t>Threshold</w:t>
            </w:r>
          </w:p>
        </w:tc>
        <w:tc>
          <w:tcPr>
            <w:tcW w:w="20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2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1260" w:type="dxa"/>
            <w:vAlign w:val="bottom"/>
            <w:vMerge w:val="restart"/>
            <w:shd w:val="clear" w:color="auto" w:fill="0E2A35"/>
          </w:tcPr>
          <w:p>
            <w:pPr>
              <w:jc w:val="right"/>
              <w:ind w:right="267"/>
              <w:spacing w:after="0"/>
              <w:rPr>
                <w:sz w:val="20"/>
                <w:szCs w:val="20"/>
                <w:color w:val="auto"/>
              </w:rPr>
            </w:pPr>
            <w:r>
              <w:rPr>
                <w:rFonts w:ascii="Arial" w:cs="Arial" w:eastAsia="Arial" w:hAnsi="Arial"/>
                <w:sz w:val="13"/>
                <w:szCs w:val="13"/>
                <w:b w:val="1"/>
                <w:bCs w:val="1"/>
                <w:color w:val="FFFFFF"/>
              </w:rPr>
              <w:t>Fiscal 2023</w:t>
            </w:r>
          </w:p>
        </w:tc>
        <w:tc>
          <w:tcPr>
            <w:tcW w:w="840" w:type="dxa"/>
            <w:vAlign w:val="bottom"/>
            <w:gridSpan w:val="2"/>
            <w:shd w:val="clear" w:color="auto" w:fill="0E2A35"/>
          </w:tcPr>
          <w:p>
            <w:pPr>
              <w:jc w:val="center"/>
              <w:ind w:left="26"/>
              <w:spacing w:after="0"/>
              <w:rPr>
                <w:sz w:val="20"/>
                <w:szCs w:val="20"/>
                <w:color w:val="auto"/>
              </w:rPr>
            </w:pPr>
            <w:r>
              <w:rPr>
                <w:rFonts w:ascii="Arial" w:cs="Arial" w:eastAsia="Arial" w:hAnsi="Arial"/>
                <w:sz w:val="13"/>
                <w:szCs w:val="13"/>
                <w:b w:val="1"/>
                <w:bCs w:val="1"/>
                <w:color w:val="FFFFFF"/>
                <w:w w:val="95"/>
              </w:rPr>
              <w:t>Actual</w:t>
            </w:r>
          </w:p>
        </w:tc>
        <w:tc>
          <w:tcPr>
            <w:tcW w:w="0" w:type="dxa"/>
            <w:vAlign w:val="bottom"/>
          </w:tcPr>
          <w:p>
            <w:pPr>
              <w:spacing w:after="0"/>
              <w:rPr>
                <w:sz w:val="1"/>
                <w:szCs w:val="1"/>
                <w:color w:val="auto"/>
              </w:rPr>
            </w:pPr>
          </w:p>
        </w:tc>
      </w:tr>
      <w:tr>
        <w:trPr>
          <w:trHeight w:val="135"/>
        </w:trPr>
        <w:tc>
          <w:tcPr>
            <w:tcW w:w="176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Metric</w:t>
            </w:r>
          </w:p>
        </w:tc>
        <w:tc>
          <w:tcPr>
            <w:tcW w:w="860" w:type="dxa"/>
            <w:vAlign w:val="bottom"/>
            <w:vMerge w:val="restart"/>
            <w:shd w:val="clear" w:color="auto" w:fill="0E2A35"/>
          </w:tcPr>
          <w:p>
            <w:pPr>
              <w:ind w:left="260"/>
              <w:spacing w:after="0"/>
              <w:rPr>
                <w:sz w:val="20"/>
                <w:szCs w:val="20"/>
                <w:color w:val="auto"/>
              </w:rPr>
            </w:pPr>
            <w:r>
              <w:rPr>
                <w:rFonts w:ascii="Arial" w:cs="Arial" w:eastAsia="Arial" w:hAnsi="Arial"/>
                <w:sz w:val="13"/>
                <w:szCs w:val="13"/>
                <w:b w:val="1"/>
                <w:bCs w:val="1"/>
                <w:color w:val="FFFFFF"/>
              </w:rPr>
              <w:t>Weight</w:t>
            </w:r>
          </w:p>
        </w:tc>
        <w:tc>
          <w:tcPr>
            <w:tcW w:w="200" w:type="dxa"/>
            <w:vAlign w:val="bottom"/>
            <w:shd w:val="clear" w:color="auto" w:fill="0E2A35"/>
          </w:tcPr>
          <w:p>
            <w:pPr>
              <w:spacing w:after="0"/>
              <w:rPr>
                <w:sz w:val="11"/>
                <w:szCs w:val="11"/>
                <w:color w:val="auto"/>
              </w:rPr>
            </w:pPr>
          </w:p>
        </w:tc>
        <w:tc>
          <w:tcPr>
            <w:tcW w:w="1040" w:type="dxa"/>
            <w:vAlign w:val="bottom"/>
            <w:shd w:val="clear" w:color="auto" w:fill="0E2A35"/>
          </w:tcPr>
          <w:p>
            <w:pPr>
              <w:jc w:val="center"/>
              <w:ind w:right="228"/>
              <w:spacing w:after="0" w:line="135" w:lineRule="exact"/>
              <w:rPr>
                <w:sz w:val="20"/>
                <w:szCs w:val="20"/>
                <w:color w:val="auto"/>
              </w:rPr>
            </w:pPr>
            <w:r>
              <w:rPr>
                <w:rFonts w:ascii="Arial" w:cs="Arial" w:eastAsia="Arial" w:hAnsi="Arial"/>
                <w:sz w:val="13"/>
                <w:szCs w:val="13"/>
                <w:b w:val="1"/>
                <w:bCs w:val="1"/>
                <w:color w:val="FFFFFF"/>
                <w:w w:val="98"/>
              </w:rPr>
              <w:t>(25%</w:t>
            </w:r>
          </w:p>
        </w:tc>
        <w:tc>
          <w:tcPr>
            <w:tcW w:w="204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rPr>
              <w:t>(100%</w:t>
            </w:r>
          </w:p>
        </w:tc>
        <w:tc>
          <w:tcPr>
            <w:tcW w:w="12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rPr>
              <w:t>(200%</w:t>
            </w:r>
          </w:p>
        </w:tc>
        <w:tc>
          <w:tcPr>
            <w:tcW w:w="1260" w:type="dxa"/>
            <w:vAlign w:val="bottom"/>
            <w:vMerge w:val="continue"/>
            <w:shd w:val="clear" w:color="auto" w:fill="0E2A35"/>
          </w:tcPr>
          <w:p>
            <w:pPr>
              <w:spacing w:after="0"/>
              <w:rPr>
                <w:sz w:val="11"/>
                <w:szCs w:val="11"/>
                <w:color w:val="auto"/>
              </w:rPr>
            </w:pPr>
          </w:p>
        </w:tc>
        <w:tc>
          <w:tcPr>
            <w:tcW w:w="840" w:type="dxa"/>
            <w:vAlign w:val="bottom"/>
            <w:gridSpan w:val="2"/>
            <w:shd w:val="clear" w:color="auto" w:fill="0E2A35"/>
          </w:tcPr>
          <w:p>
            <w:pPr>
              <w:jc w:val="center"/>
              <w:ind w:left="6"/>
              <w:spacing w:after="0" w:line="135" w:lineRule="exact"/>
              <w:rPr>
                <w:sz w:val="20"/>
                <w:szCs w:val="20"/>
                <w:color w:val="auto"/>
              </w:rPr>
            </w:pPr>
            <w:r>
              <w:rPr>
                <w:rFonts w:ascii="Arial" w:cs="Arial" w:eastAsia="Arial" w:hAnsi="Arial"/>
                <w:sz w:val="13"/>
                <w:szCs w:val="13"/>
                <w:b w:val="1"/>
                <w:bCs w:val="1"/>
                <w:color w:val="FFFFFF"/>
                <w:w w:val="95"/>
              </w:rPr>
              <w:t>Payout %</w:t>
            </w:r>
          </w:p>
        </w:tc>
        <w:tc>
          <w:tcPr>
            <w:tcW w:w="0" w:type="dxa"/>
            <w:vAlign w:val="bottom"/>
          </w:tcPr>
          <w:p>
            <w:pPr>
              <w:spacing w:after="0"/>
              <w:rPr>
                <w:sz w:val="1"/>
                <w:szCs w:val="1"/>
                <w:color w:val="auto"/>
              </w:rPr>
            </w:pPr>
          </w:p>
        </w:tc>
      </w:tr>
      <w:tr>
        <w:trPr>
          <w:trHeight w:val="176"/>
        </w:trPr>
        <w:tc>
          <w:tcPr>
            <w:tcW w:w="1760" w:type="dxa"/>
            <w:vAlign w:val="bottom"/>
            <w:vMerge w:val="continue"/>
            <w:shd w:val="clear" w:color="auto" w:fill="0E2A35"/>
          </w:tcPr>
          <w:p>
            <w:pPr>
              <w:spacing w:after="0"/>
              <w:rPr>
                <w:sz w:val="15"/>
                <w:szCs w:val="15"/>
                <w:color w:val="auto"/>
              </w:rPr>
            </w:pPr>
          </w:p>
        </w:tc>
        <w:tc>
          <w:tcPr>
            <w:tcW w:w="860" w:type="dxa"/>
            <w:vAlign w:val="bottom"/>
            <w:vMerge w:val="continue"/>
            <w:shd w:val="clear" w:color="auto" w:fill="0E2A35"/>
          </w:tcPr>
          <w:p>
            <w:pPr>
              <w:spacing w:after="0"/>
              <w:rPr>
                <w:sz w:val="15"/>
                <w:szCs w:val="15"/>
                <w:color w:val="auto"/>
              </w:rPr>
            </w:pPr>
          </w:p>
        </w:tc>
        <w:tc>
          <w:tcPr>
            <w:tcW w:w="200" w:type="dxa"/>
            <w:vAlign w:val="bottom"/>
            <w:shd w:val="clear" w:color="auto" w:fill="0E2A35"/>
          </w:tcPr>
          <w:p>
            <w:pPr>
              <w:spacing w:after="0"/>
              <w:rPr>
                <w:sz w:val="15"/>
                <w:szCs w:val="15"/>
                <w:color w:val="auto"/>
              </w:rPr>
            </w:pPr>
          </w:p>
        </w:tc>
        <w:tc>
          <w:tcPr>
            <w:tcW w:w="1040" w:type="dxa"/>
            <w:vAlign w:val="bottom"/>
            <w:shd w:val="clear" w:color="auto" w:fill="0E2A35"/>
          </w:tcPr>
          <w:p>
            <w:pPr>
              <w:jc w:val="center"/>
              <w:ind w:right="188"/>
              <w:spacing w:after="0"/>
              <w:rPr>
                <w:sz w:val="20"/>
                <w:szCs w:val="20"/>
                <w:color w:val="auto"/>
              </w:rPr>
            </w:pPr>
            <w:r>
              <w:rPr>
                <w:rFonts w:ascii="Arial" w:cs="Arial" w:eastAsia="Arial" w:hAnsi="Arial"/>
                <w:sz w:val="13"/>
                <w:szCs w:val="13"/>
                <w:b w:val="1"/>
                <w:bCs w:val="1"/>
                <w:color w:val="FFFFFF"/>
                <w:w w:val="96"/>
              </w:rPr>
              <w:t>Payout)</w:t>
            </w:r>
          </w:p>
        </w:tc>
        <w:tc>
          <w:tcPr>
            <w:tcW w:w="20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60" w:type="dxa"/>
            <w:vAlign w:val="bottom"/>
            <w:shd w:val="clear" w:color="auto" w:fill="0E2A35"/>
          </w:tcPr>
          <w:p>
            <w:pPr>
              <w:jc w:val="right"/>
              <w:ind w:right="187"/>
              <w:spacing w:after="0"/>
              <w:rPr>
                <w:sz w:val="20"/>
                <w:szCs w:val="20"/>
                <w:color w:val="auto"/>
              </w:rPr>
            </w:pPr>
            <w:r>
              <w:rPr>
                <w:rFonts w:ascii="Arial" w:cs="Arial" w:eastAsia="Arial" w:hAnsi="Arial"/>
                <w:sz w:val="13"/>
                <w:szCs w:val="13"/>
                <w:b w:val="1"/>
                <w:bCs w:val="1"/>
                <w:color w:val="FFFFFF"/>
              </w:rPr>
              <w:t>Performance</w:t>
            </w:r>
          </w:p>
        </w:tc>
        <w:tc>
          <w:tcPr>
            <w:tcW w:w="840" w:type="dxa"/>
            <w:vAlign w:val="bottom"/>
            <w:gridSpan w:val="2"/>
            <w:shd w:val="clear" w:color="auto" w:fill="0E2A35"/>
          </w:tcPr>
          <w:p>
            <w:pPr>
              <w:jc w:val="center"/>
              <w:ind w:left="46"/>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89"/>
        </w:trPr>
        <w:tc>
          <w:tcPr>
            <w:tcW w:w="1760" w:type="dxa"/>
            <w:vAlign w:val="bottom"/>
            <w:shd w:val="clear" w:color="auto" w:fill="0E2A35"/>
          </w:tcPr>
          <w:p>
            <w:pPr>
              <w:spacing w:after="0"/>
              <w:rPr>
                <w:sz w:val="7"/>
                <w:szCs w:val="7"/>
                <w:color w:val="auto"/>
              </w:rPr>
            </w:pPr>
          </w:p>
        </w:tc>
        <w:tc>
          <w:tcPr>
            <w:tcW w:w="860" w:type="dxa"/>
            <w:vAlign w:val="bottom"/>
            <w:shd w:val="clear" w:color="auto" w:fill="0E2A35"/>
          </w:tcPr>
          <w:p>
            <w:pPr>
              <w:spacing w:after="0"/>
              <w:rPr>
                <w:sz w:val="7"/>
                <w:szCs w:val="7"/>
                <w:color w:val="auto"/>
              </w:rPr>
            </w:pPr>
          </w:p>
        </w:tc>
        <w:tc>
          <w:tcPr>
            <w:tcW w:w="200" w:type="dxa"/>
            <w:vAlign w:val="bottom"/>
            <w:shd w:val="clear" w:color="auto" w:fill="0E2A35"/>
          </w:tcPr>
          <w:p>
            <w:pPr>
              <w:spacing w:after="0"/>
              <w:rPr>
                <w:sz w:val="7"/>
                <w:szCs w:val="7"/>
                <w:color w:val="auto"/>
              </w:rPr>
            </w:pPr>
          </w:p>
        </w:tc>
        <w:tc>
          <w:tcPr>
            <w:tcW w:w="1040" w:type="dxa"/>
            <w:vAlign w:val="bottom"/>
            <w:shd w:val="clear" w:color="auto" w:fill="0E2A35"/>
          </w:tcPr>
          <w:p>
            <w:pPr>
              <w:spacing w:after="0"/>
              <w:rPr>
                <w:sz w:val="7"/>
                <w:szCs w:val="7"/>
                <w:color w:val="auto"/>
              </w:rPr>
            </w:pPr>
          </w:p>
        </w:tc>
        <w:tc>
          <w:tcPr>
            <w:tcW w:w="980" w:type="dxa"/>
            <w:vAlign w:val="bottom"/>
            <w:shd w:val="clear" w:color="auto" w:fill="0E2A35"/>
          </w:tcPr>
          <w:p>
            <w:pPr>
              <w:spacing w:after="0"/>
              <w:rPr>
                <w:sz w:val="7"/>
                <w:szCs w:val="7"/>
                <w:color w:val="auto"/>
              </w:rPr>
            </w:pPr>
          </w:p>
        </w:tc>
        <w:tc>
          <w:tcPr>
            <w:tcW w:w="1060" w:type="dxa"/>
            <w:vAlign w:val="bottom"/>
            <w:shd w:val="clear" w:color="auto" w:fill="0E2A35"/>
          </w:tcPr>
          <w:p>
            <w:pPr>
              <w:spacing w:after="0"/>
              <w:rPr>
                <w:sz w:val="7"/>
                <w:szCs w:val="7"/>
                <w:color w:val="auto"/>
              </w:rPr>
            </w:pPr>
          </w:p>
        </w:tc>
        <w:tc>
          <w:tcPr>
            <w:tcW w:w="1280" w:type="dxa"/>
            <w:vAlign w:val="bottom"/>
            <w:shd w:val="clear" w:color="auto" w:fill="0E2A35"/>
          </w:tcPr>
          <w:p>
            <w:pPr>
              <w:spacing w:after="0"/>
              <w:rPr>
                <w:sz w:val="7"/>
                <w:szCs w:val="7"/>
                <w:color w:val="auto"/>
              </w:rPr>
            </w:pPr>
          </w:p>
        </w:tc>
        <w:tc>
          <w:tcPr>
            <w:tcW w:w="1260" w:type="dxa"/>
            <w:vAlign w:val="bottom"/>
            <w:shd w:val="clear" w:color="auto" w:fill="0E2A35"/>
          </w:tcPr>
          <w:p>
            <w:pPr>
              <w:spacing w:after="0"/>
              <w:rPr>
                <w:sz w:val="7"/>
                <w:szCs w:val="7"/>
                <w:color w:val="auto"/>
              </w:rPr>
            </w:pPr>
          </w:p>
        </w:tc>
        <w:tc>
          <w:tcPr>
            <w:tcW w:w="840" w:type="dxa"/>
            <w:vAlign w:val="bottom"/>
            <w:gridSpan w:val="2"/>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1760" w:type="dxa"/>
            <w:vAlign w:val="bottom"/>
          </w:tcPr>
          <w:p>
            <w:pPr>
              <w:ind w:left="60"/>
              <w:spacing w:after="0"/>
              <w:rPr>
                <w:sz w:val="20"/>
                <w:szCs w:val="20"/>
                <w:color w:val="auto"/>
              </w:rPr>
            </w:pPr>
            <w:r>
              <w:rPr>
                <w:rFonts w:ascii="Arial" w:cs="Arial" w:eastAsia="Arial" w:hAnsi="Arial"/>
                <w:sz w:val="16"/>
                <w:szCs w:val="16"/>
                <w:color w:val="0E2A35"/>
              </w:rPr>
              <w:t>Net Revenue</w:t>
            </w:r>
          </w:p>
        </w:tc>
        <w:tc>
          <w:tcPr>
            <w:tcW w:w="860" w:type="dxa"/>
            <w:vAlign w:val="bottom"/>
          </w:tcPr>
          <w:p>
            <w:pPr>
              <w:ind w:left="280"/>
              <w:spacing w:after="0"/>
              <w:rPr>
                <w:sz w:val="20"/>
                <w:szCs w:val="20"/>
                <w:color w:val="auto"/>
              </w:rPr>
            </w:pPr>
            <w:r>
              <w:rPr>
                <w:rFonts w:ascii="Arial" w:cs="Arial" w:eastAsia="Arial" w:hAnsi="Arial"/>
                <w:sz w:val="16"/>
                <w:szCs w:val="16"/>
                <w:color w:val="0E2A35"/>
              </w:rPr>
              <w:t>40.0%</w:t>
            </w:r>
          </w:p>
        </w:tc>
        <w:tc>
          <w:tcPr>
            <w:tcW w:w="200" w:type="dxa"/>
            <w:vAlign w:val="bottom"/>
          </w:tcPr>
          <w:p>
            <w:pPr>
              <w:jc w:val="right"/>
              <w:spacing w:after="0"/>
              <w:rPr>
                <w:sz w:val="20"/>
                <w:szCs w:val="20"/>
                <w:color w:val="auto"/>
              </w:rPr>
            </w:pPr>
            <w:r>
              <w:rPr>
                <w:rFonts w:ascii="Arial" w:cs="Arial" w:eastAsia="Arial" w:hAnsi="Arial"/>
                <w:sz w:val="16"/>
                <w:szCs w:val="16"/>
                <w:color w:val="0E2A35"/>
              </w:rPr>
              <w:t>$</w:t>
            </w:r>
          </w:p>
        </w:tc>
        <w:tc>
          <w:tcPr>
            <w:tcW w:w="1040" w:type="dxa"/>
            <w:vAlign w:val="bottom"/>
          </w:tcPr>
          <w:p>
            <w:pPr>
              <w:jc w:val="right"/>
              <w:ind w:right="248"/>
              <w:spacing w:after="0"/>
              <w:rPr>
                <w:sz w:val="20"/>
                <w:szCs w:val="20"/>
                <w:color w:val="auto"/>
              </w:rPr>
            </w:pPr>
            <w:r>
              <w:rPr>
                <w:rFonts w:ascii="Arial" w:cs="Arial" w:eastAsia="Arial" w:hAnsi="Arial"/>
                <w:sz w:val="16"/>
                <w:szCs w:val="16"/>
                <w:color w:val="0E2A35"/>
                <w:w w:val="98"/>
              </w:rPr>
              <w:t>1,687,500</w:t>
            </w:r>
          </w:p>
        </w:tc>
        <w:tc>
          <w:tcPr>
            <w:tcW w:w="980" w:type="dxa"/>
            <w:vAlign w:val="bottom"/>
          </w:tcPr>
          <w:p>
            <w:pPr>
              <w:jc w:val="right"/>
              <w:spacing w:after="0"/>
              <w:rPr>
                <w:sz w:val="20"/>
                <w:szCs w:val="20"/>
                <w:color w:val="auto"/>
              </w:rPr>
            </w:pPr>
            <w:r>
              <w:rPr>
                <w:rFonts w:ascii="Arial" w:cs="Arial" w:eastAsia="Arial" w:hAnsi="Arial"/>
                <w:sz w:val="16"/>
                <w:szCs w:val="16"/>
                <w:color w:val="0E2A35"/>
              </w:rPr>
              <w:t>​$1,945,600</w:t>
            </w:r>
          </w:p>
        </w:tc>
        <w:tc>
          <w:tcPr>
            <w:tcW w:w="1060" w:type="dxa"/>
            <w:vAlign w:val="bottom"/>
          </w:tcPr>
          <w:p>
            <w:pPr>
              <w:ind w:left="20"/>
              <w:spacing w:after="0"/>
              <w:rPr>
                <w:sz w:val="20"/>
                <w:szCs w:val="20"/>
                <w:color w:val="auto"/>
              </w:rPr>
            </w:pPr>
            <w:r>
              <w:rPr>
                <w:rFonts w:ascii="Arial" w:cs="Arial" w:eastAsia="Arial" w:hAnsi="Arial"/>
                <w:sz w:val="16"/>
                <w:szCs w:val="16"/>
                <w:color w:val="0E2A35"/>
              </w:rPr>
              <w:t>– 2,025,100</w:t>
            </w:r>
          </w:p>
        </w:tc>
        <w:tc>
          <w:tcPr>
            <w:tcW w:w="1280" w:type="dxa"/>
            <w:vAlign w:val="bottom"/>
          </w:tcPr>
          <w:p>
            <w:pPr>
              <w:jc w:val="right"/>
              <w:ind w:right="226"/>
              <w:spacing w:after="0"/>
              <w:rPr>
                <w:sz w:val="20"/>
                <w:szCs w:val="20"/>
                <w:color w:val="auto"/>
              </w:rPr>
            </w:pPr>
            <w:r>
              <w:rPr>
                <w:rFonts w:ascii="Arial" w:cs="Arial" w:eastAsia="Arial" w:hAnsi="Arial"/>
                <w:sz w:val="16"/>
                <w:szCs w:val="16"/>
                <w:color w:val="0E2A35"/>
              </w:rPr>
              <w:t>$2,183,900</w:t>
            </w:r>
          </w:p>
        </w:tc>
        <w:tc>
          <w:tcPr>
            <w:tcW w:w="1260" w:type="dxa"/>
            <w:vAlign w:val="bottom"/>
          </w:tcPr>
          <w:p>
            <w:pPr>
              <w:jc w:val="right"/>
              <w:ind w:right="227"/>
              <w:spacing w:after="0"/>
              <w:rPr>
                <w:sz w:val="20"/>
                <w:szCs w:val="20"/>
                <w:color w:val="auto"/>
              </w:rPr>
            </w:pPr>
            <w:r>
              <w:rPr>
                <w:rFonts w:ascii="Arial" w:cs="Arial" w:eastAsia="Arial" w:hAnsi="Arial"/>
                <w:sz w:val="16"/>
                <w:szCs w:val="16"/>
                <w:color w:val="0E2A35"/>
              </w:rPr>
              <w:t>$​1,861,262</w:t>
            </w:r>
          </w:p>
        </w:tc>
        <w:tc>
          <w:tcPr>
            <w:tcW w:w="840" w:type="dxa"/>
            <w:vAlign w:val="bottom"/>
            <w:gridSpan w:val="2"/>
          </w:tcPr>
          <w:p>
            <w:pPr>
              <w:jc w:val="right"/>
              <w:spacing w:after="0"/>
              <w:rPr>
                <w:sz w:val="20"/>
                <w:szCs w:val="20"/>
                <w:color w:val="auto"/>
              </w:rPr>
            </w:pPr>
            <w:r>
              <w:rPr>
                <w:rFonts w:ascii="Arial" w:cs="Arial" w:eastAsia="Arial" w:hAnsi="Arial"/>
                <w:sz w:val="16"/>
                <w:szCs w:val="16"/>
                <w:color w:val="0E2A35"/>
              </w:rPr>
              <w:t>​30.2%</w:t>
            </w:r>
          </w:p>
        </w:tc>
        <w:tc>
          <w:tcPr>
            <w:tcW w:w="0" w:type="dxa"/>
            <w:vAlign w:val="bottom"/>
          </w:tcPr>
          <w:p>
            <w:pPr>
              <w:spacing w:after="0"/>
              <w:rPr>
                <w:sz w:val="1"/>
                <w:szCs w:val="1"/>
                <w:color w:val="auto"/>
              </w:rPr>
            </w:pPr>
          </w:p>
        </w:tc>
      </w:tr>
      <w:tr>
        <w:trPr>
          <w:trHeight w:val="100"/>
        </w:trPr>
        <w:tc>
          <w:tcPr>
            <w:tcW w:w="176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0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1060" w:type="dxa"/>
            <w:vAlign w:val="bottom"/>
            <w:tcBorders>
              <w:bottom w:val="single" w:sz="8" w:color="0E2A35"/>
            </w:tcBorders>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60" w:type="dxa"/>
            <w:vAlign w:val="bottom"/>
          </w:tcPr>
          <w:p>
            <w:pPr>
              <w:ind w:left="60"/>
              <w:spacing w:after="0"/>
              <w:rPr>
                <w:sz w:val="20"/>
                <w:szCs w:val="20"/>
                <w:color w:val="auto"/>
              </w:rPr>
            </w:pPr>
            <w:r>
              <w:rPr>
                <w:rFonts w:ascii="Arial" w:cs="Arial" w:eastAsia="Arial" w:hAnsi="Arial"/>
                <w:sz w:val="16"/>
                <w:szCs w:val="16"/>
                <w:color w:val="0E2A35"/>
              </w:rPr>
              <w:t>Operating Income</w:t>
            </w:r>
          </w:p>
        </w:tc>
        <w:tc>
          <w:tcPr>
            <w:tcW w:w="860" w:type="dxa"/>
            <w:vAlign w:val="bottom"/>
          </w:tcPr>
          <w:p>
            <w:pPr>
              <w:ind w:left="280"/>
              <w:spacing w:after="0"/>
              <w:rPr>
                <w:sz w:val="20"/>
                <w:szCs w:val="20"/>
                <w:color w:val="auto"/>
              </w:rPr>
            </w:pPr>
            <w:r>
              <w:rPr>
                <w:rFonts w:ascii="Arial" w:cs="Arial" w:eastAsia="Arial" w:hAnsi="Arial"/>
                <w:sz w:val="16"/>
                <w:szCs w:val="16"/>
                <w:color w:val="0E2A35"/>
              </w:rPr>
              <w:t>50.0%</w:t>
            </w:r>
          </w:p>
        </w:tc>
        <w:tc>
          <w:tcPr>
            <w:tcW w:w="200" w:type="dxa"/>
            <w:vAlign w:val="bottom"/>
          </w:tcPr>
          <w:p>
            <w:pPr>
              <w:jc w:val="right"/>
              <w:spacing w:after="0"/>
              <w:rPr>
                <w:sz w:val="20"/>
                <w:szCs w:val="20"/>
                <w:color w:val="auto"/>
              </w:rPr>
            </w:pPr>
            <w:r>
              <w:rPr>
                <w:rFonts w:ascii="Arial" w:cs="Arial" w:eastAsia="Arial" w:hAnsi="Arial"/>
                <w:sz w:val="16"/>
                <w:szCs w:val="16"/>
                <w:color w:val="0E2A35"/>
              </w:rPr>
              <w:t>$</w:t>
            </w:r>
          </w:p>
        </w:tc>
        <w:tc>
          <w:tcPr>
            <w:tcW w:w="1040" w:type="dxa"/>
            <w:vAlign w:val="bottom"/>
          </w:tcPr>
          <w:p>
            <w:pPr>
              <w:jc w:val="right"/>
              <w:ind w:right="268"/>
              <w:spacing w:after="0"/>
              <w:rPr>
                <w:sz w:val="20"/>
                <w:szCs w:val="20"/>
                <w:color w:val="auto"/>
              </w:rPr>
            </w:pPr>
            <w:r>
              <w:rPr>
                <w:rFonts w:ascii="Arial" w:cs="Arial" w:eastAsia="Arial" w:hAnsi="Arial"/>
                <w:sz w:val="16"/>
                <w:szCs w:val="16"/>
                <w:color w:val="0E2A35"/>
              </w:rPr>
              <w:t>146,900​</w:t>
            </w:r>
          </w:p>
        </w:tc>
        <w:tc>
          <w:tcPr>
            <w:tcW w:w="980" w:type="dxa"/>
            <w:vAlign w:val="bottom"/>
          </w:tcPr>
          <w:p>
            <w:pPr>
              <w:jc w:val="right"/>
              <w:spacing w:after="0"/>
              <w:rPr>
                <w:sz w:val="20"/>
                <w:szCs w:val="20"/>
                <w:color w:val="auto"/>
              </w:rPr>
            </w:pPr>
            <w:r>
              <w:rPr>
                <w:rFonts w:ascii="Arial" w:cs="Arial" w:eastAsia="Arial" w:hAnsi="Arial"/>
                <w:sz w:val="16"/>
                <w:szCs w:val="16"/>
                <w:color w:val="0E2A35"/>
              </w:rPr>
              <w:t>$​193,300</w:t>
            </w:r>
          </w:p>
        </w:tc>
        <w:tc>
          <w:tcPr>
            <w:tcW w:w="1060" w:type="dxa"/>
            <w:vAlign w:val="bottom"/>
          </w:tcPr>
          <w:p>
            <w:pPr>
              <w:ind w:left="20"/>
              <w:spacing w:after="0"/>
              <w:rPr>
                <w:sz w:val="20"/>
                <w:szCs w:val="20"/>
                <w:color w:val="auto"/>
              </w:rPr>
            </w:pPr>
            <w:r>
              <w:rPr>
                <w:rFonts w:ascii="Arial" w:cs="Arial" w:eastAsia="Arial" w:hAnsi="Arial"/>
                <w:sz w:val="16"/>
                <w:szCs w:val="16"/>
                <w:color w:val="0E2A35"/>
              </w:rPr>
              <w:t>– 198,300</w:t>
            </w:r>
          </w:p>
        </w:tc>
        <w:tc>
          <w:tcPr>
            <w:tcW w:w="1280" w:type="dxa"/>
            <w:vAlign w:val="bottom"/>
          </w:tcPr>
          <w:p>
            <w:pPr>
              <w:jc w:val="right"/>
              <w:ind w:right="246"/>
              <w:spacing w:after="0"/>
              <w:rPr>
                <w:sz w:val="20"/>
                <w:szCs w:val="20"/>
                <w:color w:val="auto"/>
              </w:rPr>
            </w:pPr>
            <w:r>
              <w:rPr>
                <w:rFonts w:ascii="Arial" w:cs="Arial" w:eastAsia="Arial" w:hAnsi="Arial"/>
                <w:sz w:val="16"/>
                <w:szCs w:val="16"/>
                <w:color w:val="0E2A35"/>
              </w:rPr>
              <w:t>$  225,200</w:t>
            </w:r>
          </w:p>
        </w:tc>
        <w:tc>
          <w:tcPr>
            <w:tcW w:w="1260" w:type="dxa"/>
            <w:vAlign w:val="bottom"/>
          </w:tcPr>
          <w:p>
            <w:pPr>
              <w:jc w:val="right"/>
              <w:ind w:right="107"/>
              <w:spacing w:after="0"/>
              <w:rPr>
                <w:sz w:val="20"/>
                <w:szCs w:val="20"/>
                <w:color w:val="auto"/>
              </w:rPr>
            </w:pPr>
            <w:r>
              <w:rPr>
                <w:rFonts w:ascii="Arial" w:cs="Arial" w:eastAsia="Arial" w:hAnsi="Arial"/>
                <w:sz w:val="16"/>
                <w:szCs w:val="16"/>
                <w:color w:val="0E2A35"/>
              </w:rPr>
              <w:t>$​  174,517​</w:t>
            </w:r>
          </w:p>
        </w:tc>
        <w:tc>
          <w:tcPr>
            <w:tcW w:w="500" w:type="dxa"/>
            <w:vAlign w:val="bottom"/>
          </w:tcPr>
          <w:p>
            <w:pPr>
              <w:ind w:left="320"/>
              <w:spacing w:after="0"/>
              <w:rPr>
                <w:sz w:val="20"/>
                <w:szCs w:val="20"/>
                <w:color w:val="auto"/>
              </w:rPr>
            </w:pPr>
            <w:r>
              <w:rPr>
                <w:rFonts w:ascii="Arial" w:cs="Arial" w:eastAsia="Arial" w:hAnsi="Arial"/>
                <w:sz w:val="16"/>
                <w:szCs w:val="16"/>
                <w:color w:val="0E2A35"/>
                <w:w w:val="89"/>
              </w:rPr>
              <w:t>34​</w:t>
            </w:r>
          </w:p>
        </w:tc>
        <w:tc>
          <w:tcPr>
            <w:tcW w:w="340" w:type="dxa"/>
            <w:vAlign w:val="bottom"/>
          </w:tcPr>
          <w:p>
            <w:pPr>
              <w:jc w:val="right"/>
              <w:spacing w:after="0"/>
              <w:rPr>
                <w:sz w:val="20"/>
                <w:szCs w:val="20"/>
                <w:color w:val="auto"/>
              </w:rPr>
            </w:pPr>
            <w:r>
              <w:rPr>
                <w:rFonts w:ascii="Arial" w:cs="Arial" w:eastAsia="Arial" w:hAnsi="Arial"/>
                <w:sz w:val="16"/>
                <w:szCs w:val="16"/>
                <w:color w:val="0E2A35"/>
                <w:w w:val="94"/>
              </w:rPr>
              <w:t>.8%</w:t>
            </w:r>
          </w:p>
        </w:tc>
        <w:tc>
          <w:tcPr>
            <w:tcW w:w="0" w:type="dxa"/>
            <w:vAlign w:val="bottom"/>
          </w:tcPr>
          <w:p>
            <w:pPr>
              <w:spacing w:after="0"/>
              <w:rPr>
                <w:sz w:val="1"/>
                <w:szCs w:val="1"/>
                <w:color w:val="auto"/>
              </w:rPr>
            </w:pPr>
          </w:p>
        </w:tc>
      </w:tr>
      <w:tr>
        <w:trPr>
          <w:trHeight w:val="101"/>
        </w:trPr>
        <w:tc>
          <w:tcPr>
            <w:tcW w:w="176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0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2040" w:type="dxa"/>
            <w:vAlign w:val="bottom"/>
            <w:tcBorders>
              <w:bottom w:val="single" w:sz="8" w:color="0E2A35"/>
            </w:tcBorders>
            <w:gridSpan w:val="2"/>
          </w:tcPr>
          <w:p>
            <w:pPr>
              <w:spacing w:after="0"/>
              <w:rPr>
                <w:sz w:val="8"/>
                <w:szCs w:val="8"/>
                <w:color w:val="auto"/>
              </w:rPr>
            </w:pPr>
          </w:p>
        </w:tc>
        <w:tc>
          <w:tcPr>
            <w:tcW w:w="128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60" w:type="dxa"/>
            <w:vAlign w:val="bottom"/>
          </w:tcPr>
          <w:p>
            <w:pPr>
              <w:ind w:left="60"/>
              <w:spacing w:after="0"/>
              <w:rPr>
                <w:sz w:val="20"/>
                <w:szCs w:val="20"/>
                <w:color w:val="auto"/>
              </w:rPr>
            </w:pPr>
            <w:r>
              <w:rPr>
                <w:rFonts w:ascii="Arial" w:cs="Arial" w:eastAsia="Arial" w:hAnsi="Arial"/>
                <w:sz w:val="16"/>
                <w:szCs w:val="16"/>
                <w:color w:val="0E2A35"/>
              </w:rPr>
              <w:t>Net Working Capital</w:t>
            </w:r>
          </w:p>
        </w:tc>
        <w:tc>
          <w:tcPr>
            <w:tcW w:w="860" w:type="dxa"/>
            <w:vAlign w:val="bottom"/>
          </w:tcPr>
          <w:p>
            <w:pPr>
              <w:ind w:left="280"/>
              <w:spacing w:after="0"/>
              <w:rPr>
                <w:sz w:val="20"/>
                <w:szCs w:val="20"/>
                <w:color w:val="auto"/>
              </w:rPr>
            </w:pPr>
            <w:r>
              <w:rPr>
                <w:rFonts w:ascii="Arial" w:cs="Arial" w:eastAsia="Arial" w:hAnsi="Arial"/>
                <w:sz w:val="16"/>
                <w:szCs w:val="16"/>
                <w:color w:val="0E2A35"/>
              </w:rPr>
              <w:t>10.0%</w:t>
            </w:r>
          </w:p>
        </w:tc>
        <w:tc>
          <w:tcPr>
            <w:tcW w:w="20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6"/>
                <w:szCs w:val="16"/>
                <w:color w:val="0E2A35"/>
              </w:rPr>
              <w:t>14​.2%</w:t>
            </w:r>
          </w:p>
        </w:tc>
        <w:tc>
          <w:tcPr>
            <w:tcW w:w="2040" w:type="dxa"/>
            <w:vAlign w:val="bottom"/>
            <w:gridSpan w:val="2"/>
          </w:tcPr>
          <w:p>
            <w:pPr>
              <w:jc w:val="center"/>
              <w:spacing w:after="0"/>
              <w:rPr>
                <w:sz w:val="20"/>
                <w:szCs w:val="20"/>
                <w:color w:val="auto"/>
              </w:rPr>
            </w:pPr>
            <w:r>
              <w:rPr>
                <w:rFonts w:ascii="Arial" w:cs="Arial" w:eastAsia="Arial" w:hAnsi="Arial"/>
                <w:sz w:val="16"/>
                <w:szCs w:val="16"/>
                <w:color w:val="0E2A35"/>
                <w:w w:val="99"/>
              </w:rPr>
              <w:t>12.6% – 12.1%</w:t>
            </w:r>
          </w:p>
        </w:tc>
        <w:tc>
          <w:tcPr>
            <w:tcW w:w="1280" w:type="dxa"/>
            <w:vAlign w:val="bottom"/>
          </w:tcPr>
          <w:p>
            <w:pPr>
              <w:jc w:val="right"/>
              <w:ind w:right="86"/>
              <w:spacing w:after="0"/>
              <w:rPr>
                <w:sz w:val="20"/>
                <w:szCs w:val="20"/>
                <w:color w:val="auto"/>
              </w:rPr>
            </w:pPr>
            <w:r>
              <w:rPr>
                <w:rFonts w:ascii="Arial" w:cs="Arial" w:eastAsia="Arial" w:hAnsi="Arial"/>
                <w:sz w:val="16"/>
                <w:szCs w:val="16"/>
                <w:color w:val="0E2A35"/>
              </w:rPr>
              <w:t>11​.1%</w:t>
            </w:r>
          </w:p>
        </w:tc>
        <w:tc>
          <w:tcPr>
            <w:tcW w:w="1260" w:type="dxa"/>
            <w:vAlign w:val="bottom"/>
          </w:tcPr>
          <w:p>
            <w:pPr>
              <w:jc w:val="right"/>
              <w:ind w:right="87"/>
              <w:spacing w:after="0"/>
              <w:rPr>
                <w:sz w:val="20"/>
                <w:szCs w:val="20"/>
                <w:color w:val="auto"/>
              </w:rPr>
            </w:pPr>
            <w:r>
              <w:rPr>
                <w:rFonts w:ascii="Arial" w:cs="Arial" w:eastAsia="Arial" w:hAnsi="Arial"/>
                <w:sz w:val="16"/>
                <w:szCs w:val="16"/>
                <w:color w:val="0E2A35"/>
              </w:rPr>
              <w:t>15​.4%</w:t>
            </w:r>
          </w:p>
        </w:tc>
        <w:tc>
          <w:tcPr>
            <w:tcW w:w="840" w:type="dxa"/>
            <w:vAlign w:val="bottom"/>
            <w:gridSpan w:val="2"/>
          </w:tcPr>
          <w:p>
            <w:pPr>
              <w:jc w:val="right"/>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r>
        <w:trPr>
          <w:trHeight w:val="100"/>
        </w:trPr>
        <w:tc>
          <w:tcPr>
            <w:tcW w:w="176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0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1060" w:type="dxa"/>
            <w:vAlign w:val="bottom"/>
            <w:tcBorders>
              <w:bottom w:val="single" w:sz="8" w:color="0E2A35"/>
            </w:tcBorders>
          </w:tcPr>
          <w:p>
            <w:pPr>
              <w:spacing w:after="0"/>
              <w:rPr>
                <w:sz w:val="8"/>
                <w:szCs w:val="8"/>
                <w:color w:val="auto"/>
              </w:rPr>
            </w:pPr>
          </w:p>
        </w:tc>
        <w:tc>
          <w:tcPr>
            <w:tcW w:w="2540" w:type="dxa"/>
            <w:vAlign w:val="bottom"/>
            <w:tcBorders>
              <w:bottom w:val="single" w:sz="8" w:color="0E2A35"/>
            </w:tcBorders>
            <w:gridSpan w:val="2"/>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gridSpan w:val="2"/>
          </w:tcPr>
          <w:p>
            <w:pPr>
              <w:jc w:val="right"/>
              <w:ind w:right="87"/>
              <w:spacing w:after="0"/>
              <w:rPr>
                <w:sz w:val="20"/>
                <w:szCs w:val="20"/>
                <w:color w:val="auto"/>
              </w:rPr>
            </w:pPr>
            <w:r>
              <w:rPr>
                <w:rFonts w:ascii="Arial" w:cs="Arial" w:eastAsia="Arial" w:hAnsi="Arial"/>
                <w:sz w:val="16"/>
                <w:szCs w:val="16"/>
                <w:color w:val="0E2A35"/>
              </w:rPr>
              <w:t>Total Payout Percentage</w:t>
            </w:r>
          </w:p>
        </w:tc>
        <w:tc>
          <w:tcPr>
            <w:tcW w:w="500" w:type="dxa"/>
            <w:vAlign w:val="bottom"/>
          </w:tcPr>
          <w:p>
            <w:pPr>
              <w:ind w:left="320"/>
              <w:spacing w:after="0"/>
              <w:rPr>
                <w:sz w:val="20"/>
                <w:szCs w:val="20"/>
                <w:color w:val="auto"/>
              </w:rPr>
            </w:pPr>
            <w:r>
              <w:rPr>
                <w:rFonts w:ascii="Arial" w:cs="Arial" w:eastAsia="Arial" w:hAnsi="Arial"/>
                <w:sz w:val="16"/>
                <w:szCs w:val="16"/>
                <w:color w:val="0E2A35"/>
                <w:w w:val="89"/>
              </w:rPr>
              <w:t>65​</w:t>
            </w:r>
          </w:p>
        </w:tc>
        <w:tc>
          <w:tcPr>
            <w:tcW w:w="340" w:type="dxa"/>
            <w:vAlign w:val="bottom"/>
          </w:tcPr>
          <w:p>
            <w:pPr>
              <w:jc w:val="right"/>
              <w:spacing w:after="0"/>
              <w:rPr>
                <w:sz w:val="20"/>
                <w:szCs w:val="20"/>
                <w:color w:val="auto"/>
              </w:rPr>
            </w:pPr>
            <w:r>
              <w:rPr>
                <w:rFonts w:ascii="Arial" w:cs="Arial" w:eastAsia="Arial" w:hAnsi="Arial"/>
                <w:sz w:val="16"/>
                <w:szCs w:val="16"/>
                <w:color w:val="0E2A35"/>
                <w:w w:val="94"/>
              </w:rPr>
              <w:t>.0%</w:t>
            </w:r>
          </w:p>
        </w:tc>
        <w:tc>
          <w:tcPr>
            <w:tcW w:w="0" w:type="dxa"/>
            <w:vAlign w:val="bottom"/>
          </w:tcPr>
          <w:p>
            <w:pPr>
              <w:spacing w:after="0"/>
              <w:rPr>
                <w:sz w:val="1"/>
                <w:szCs w:val="1"/>
                <w:color w:val="auto"/>
              </w:rPr>
            </w:pPr>
          </w:p>
        </w:tc>
      </w:tr>
      <w:tr>
        <w:trPr>
          <w:trHeight w:val="100"/>
        </w:trPr>
        <w:tc>
          <w:tcPr>
            <w:tcW w:w="176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20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1060" w:type="dxa"/>
            <w:vAlign w:val="bottom"/>
            <w:tcBorders>
              <w:bottom w:val="single" w:sz="8" w:color="0E2A35"/>
            </w:tcBorders>
          </w:tcPr>
          <w:p>
            <w:pPr>
              <w:spacing w:after="0"/>
              <w:rPr>
                <w:sz w:val="8"/>
                <w:szCs w:val="8"/>
                <w:color w:val="auto"/>
              </w:rPr>
            </w:pPr>
          </w:p>
        </w:tc>
        <w:tc>
          <w:tcPr>
            <w:tcW w:w="2540" w:type="dxa"/>
            <w:vAlign w:val="bottom"/>
            <w:tcBorders>
              <w:bottom w:val="single" w:sz="8" w:color="0E2A35"/>
            </w:tcBorders>
            <w:gridSpan w:val="2"/>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gridSpan w:val="2"/>
          </w:tcPr>
          <w:p>
            <w:pPr>
              <w:jc w:val="right"/>
              <w:ind w:right="87"/>
              <w:spacing w:after="0"/>
              <w:rPr>
                <w:sz w:val="20"/>
                <w:szCs w:val="20"/>
                <w:color w:val="auto"/>
              </w:rPr>
            </w:pPr>
            <w:r>
              <w:rPr>
                <w:rFonts w:ascii="Arial" w:cs="Arial" w:eastAsia="Arial" w:hAnsi="Arial"/>
                <w:sz w:val="16"/>
                <w:szCs w:val="16"/>
                <w:color w:val="0E2A35"/>
              </w:rPr>
              <w:t>30% of Total Percentage</w:t>
            </w:r>
          </w:p>
        </w:tc>
        <w:tc>
          <w:tcPr>
            <w:tcW w:w="500" w:type="dxa"/>
            <w:vAlign w:val="bottom"/>
          </w:tcPr>
          <w:p>
            <w:pPr>
              <w:ind w:left="320"/>
              <w:spacing w:after="0"/>
              <w:rPr>
                <w:sz w:val="20"/>
                <w:szCs w:val="20"/>
                <w:color w:val="auto"/>
              </w:rPr>
            </w:pPr>
            <w:r>
              <w:rPr>
                <w:rFonts w:ascii="Arial" w:cs="Arial" w:eastAsia="Arial" w:hAnsi="Arial"/>
                <w:sz w:val="16"/>
                <w:szCs w:val="16"/>
                <w:color w:val="0E2A35"/>
                <w:w w:val="89"/>
              </w:rPr>
              <w:t>19​</w:t>
            </w:r>
          </w:p>
        </w:tc>
        <w:tc>
          <w:tcPr>
            <w:tcW w:w="340" w:type="dxa"/>
            <w:vAlign w:val="bottom"/>
          </w:tcPr>
          <w:p>
            <w:pPr>
              <w:jc w:val="right"/>
              <w:spacing w:after="0"/>
              <w:rPr>
                <w:sz w:val="20"/>
                <w:szCs w:val="20"/>
                <w:color w:val="auto"/>
              </w:rPr>
            </w:pPr>
            <w:r>
              <w:rPr>
                <w:rFonts w:ascii="Arial" w:cs="Arial" w:eastAsia="Arial" w:hAnsi="Arial"/>
                <w:sz w:val="16"/>
                <w:szCs w:val="16"/>
                <w:color w:val="0E2A35"/>
                <w:w w:val="94"/>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58978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88" w:lineRule="exact"/>
        <w:rPr>
          <w:sz w:val="20"/>
          <w:szCs w:val="20"/>
          <w:color w:val="auto"/>
        </w:rPr>
      </w:pPr>
    </w:p>
    <w:p>
      <w:pPr>
        <w:ind w:left="360" w:right="100" w:hanging="360"/>
        <w:spacing w:after="0" w:line="236" w:lineRule="auto"/>
        <w:tabs>
          <w:tab w:leader="none" w:pos="360" w:val="left"/>
        </w:tabs>
        <w:numPr>
          <w:ilvl w:val="0"/>
          <w:numId w:val="31"/>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25% of his or her target bonus opportunity tied to individualized annual objectives, which are assessed by the CEO (or, the committee, in the case of the CEO), and the proposed bonus amount is approved by the committee.</w:t>
      </w:r>
    </w:p>
    <w:p>
      <w:pPr>
        <w:spacing w:after="0" w:line="29" w:lineRule="exact"/>
        <w:rPr>
          <w:rFonts w:ascii="Arial" w:cs="Arial" w:eastAsia="Arial" w:hAnsi="Arial"/>
          <w:sz w:val="13"/>
          <w:szCs w:val="13"/>
          <w:color w:val="0E2A35"/>
        </w:rPr>
      </w:pPr>
    </w:p>
    <w:p>
      <w:pPr>
        <w:ind w:left="360" w:right="440" w:hanging="360"/>
        <w:spacing w:after="0" w:line="236" w:lineRule="auto"/>
        <w:tabs>
          <w:tab w:leader="none" w:pos="360" w:val="left"/>
        </w:tabs>
        <w:numPr>
          <w:ilvl w:val="0"/>
          <w:numId w:val="31"/>
        </w:numPr>
        <w:rPr>
          <w:rFonts w:ascii="Arial" w:cs="Arial" w:eastAsia="Arial" w:hAnsi="Arial"/>
          <w:sz w:val="13"/>
          <w:szCs w:val="13"/>
          <w:color w:val="0E2A35"/>
        </w:rPr>
      </w:pPr>
      <w:r>
        <w:rPr>
          <w:rFonts w:ascii="Arial" w:cs="Arial" w:eastAsia="Arial" w:hAnsi="Arial"/>
          <w:sz w:val="13"/>
          <w:szCs w:val="13"/>
          <w:color w:val="0E2A35"/>
        </w:rPr>
        <w:t>Mr. Bower’s financial performance is based upon the Winnebago Outdoors business unit and the financial performance metrics are weighted: (i) 40% net revenue, (ii) 50% operating income and (iii) 10% net working capital.</w:t>
      </w:r>
    </w:p>
    <w:p>
      <w:pPr>
        <w:spacing w:after="0" w:line="29" w:lineRule="exact"/>
        <w:rPr>
          <w:rFonts w:ascii="Arial" w:cs="Arial" w:eastAsia="Arial" w:hAnsi="Arial"/>
          <w:sz w:val="13"/>
          <w:szCs w:val="13"/>
          <w:color w:val="0E2A35"/>
        </w:rPr>
      </w:pPr>
    </w:p>
    <w:p>
      <w:pPr>
        <w:ind w:left="360" w:hanging="360"/>
        <w:spacing w:after="0"/>
        <w:tabs>
          <w:tab w:leader="none" w:pos="360" w:val="left"/>
        </w:tabs>
        <w:numPr>
          <w:ilvl w:val="0"/>
          <w:numId w:val="31"/>
        </w:numPr>
        <w:rPr>
          <w:rFonts w:ascii="Arial" w:cs="Arial" w:eastAsia="Arial" w:hAnsi="Arial"/>
          <w:sz w:val="13"/>
          <w:szCs w:val="13"/>
          <w:color w:val="0E2A35"/>
        </w:rPr>
      </w:pPr>
      <w:r>
        <w:rPr>
          <w:rFonts w:ascii="Arial" w:cs="Arial" w:eastAsia="Arial" w:hAnsi="Arial"/>
          <w:sz w:val="13"/>
          <w:szCs w:val="13"/>
          <w:color w:val="0E2A35"/>
        </w:rPr>
        <w:t>The first six-month fiscal year OICP period is weighted at 30% of the overall OICP weighting.</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580"/>
        <w:spacing w:after="0" w:line="238" w:lineRule="auto"/>
        <w:rPr>
          <w:sz w:val="20"/>
          <w:szCs w:val="20"/>
          <w:color w:val="auto"/>
        </w:rPr>
      </w:pPr>
      <w:r>
        <w:rPr>
          <w:rFonts w:ascii="Arial" w:cs="Arial" w:eastAsia="Arial" w:hAnsi="Arial"/>
          <w:sz w:val="16"/>
          <w:szCs w:val="16"/>
          <w:color w:val="0E2A35"/>
        </w:rPr>
        <w:t>Enterprise-Wide Financial Performance Metrics (75% of the OICP for Messrs. Happe and Hughes and Ms. Bogart) for the Second Six-Month Fiscal Year Period</w:t>
      </w:r>
      <w:r>
        <w:rPr>
          <w:rFonts w:ascii="Arial" w:cs="Arial" w:eastAsia="Arial" w:hAnsi="Arial"/>
          <w:sz w:val="26"/>
          <w:szCs w:val="26"/>
          <w:color w:val="0E2A35"/>
          <w:vertAlign w:val="superscript"/>
        </w:rPr>
        <w:t>(1)(2)(3)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80" w:type="dxa"/>
            <w:vAlign w:val="bottom"/>
            <w:shd w:val="clear" w:color="auto" w:fill="0E2A35"/>
          </w:tcPr>
          <w:p>
            <w:pPr>
              <w:spacing w:after="0"/>
              <w:rPr>
                <w:sz w:val="17"/>
                <w:szCs w:val="17"/>
                <w:color w:val="auto"/>
              </w:rPr>
            </w:pPr>
          </w:p>
        </w:tc>
        <w:tc>
          <w:tcPr>
            <w:tcW w:w="900" w:type="dxa"/>
            <w:vAlign w:val="bottom"/>
            <w:shd w:val="clear" w:color="auto" w:fill="0E2A35"/>
          </w:tcPr>
          <w:p>
            <w:pPr>
              <w:spacing w:after="0"/>
              <w:rPr>
                <w:sz w:val="17"/>
                <w:szCs w:val="17"/>
                <w:color w:val="auto"/>
              </w:rPr>
            </w:pPr>
          </w:p>
        </w:tc>
        <w:tc>
          <w:tcPr>
            <w:tcW w:w="220" w:type="dxa"/>
            <w:vAlign w:val="bottom"/>
            <w:shd w:val="clear" w:color="auto" w:fill="0E2A35"/>
          </w:tcPr>
          <w:p>
            <w:pPr>
              <w:spacing w:after="0"/>
              <w:rPr>
                <w:sz w:val="17"/>
                <w:szCs w:val="17"/>
                <w:color w:val="auto"/>
              </w:rPr>
            </w:pPr>
          </w:p>
        </w:tc>
        <w:tc>
          <w:tcPr>
            <w:tcW w:w="1020" w:type="dxa"/>
            <w:vAlign w:val="bottom"/>
            <w:shd w:val="clear" w:color="auto" w:fill="0E2A35"/>
          </w:tcPr>
          <w:p>
            <w:pPr>
              <w:jc w:val="center"/>
              <w:ind w:right="228"/>
              <w:spacing w:after="0"/>
              <w:rPr>
                <w:sz w:val="20"/>
                <w:szCs w:val="20"/>
                <w:color w:val="auto"/>
              </w:rPr>
            </w:pPr>
            <w:r>
              <w:rPr>
                <w:rFonts w:ascii="Arial" w:cs="Arial" w:eastAsia="Arial" w:hAnsi="Arial"/>
                <w:sz w:val="13"/>
                <w:szCs w:val="13"/>
                <w:b w:val="1"/>
                <w:bCs w:val="1"/>
                <w:color w:val="FFFFFF"/>
                <w:w w:val="95"/>
              </w:rPr>
              <w:t>Threshold</w:t>
            </w:r>
          </w:p>
        </w:tc>
        <w:tc>
          <w:tcPr>
            <w:tcW w:w="20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2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1240" w:type="dxa"/>
            <w:vAlign w:val="bottom"/>
            <w:vMerge w:val="restart"/>
            <w:shd w:val="clear" w:color="auto" w:fill="0E2A35"/>
          </w:tcPr>
          <w:p>
            <w:pPr>
              <w:jc w:val="right"/>
              <w:ind w:right="247"/>
              <w:spacing w:after="0"/>
              <w:rPr>
                <w:sz w:val="20"/>
                <w:szCs w:val="20"/>
                <w:color w:val="auto"/>
              </w:rPr>
            </w:pPr>
            <w:r>
              <w:rPr>
                <w:rFonts w:ascii="Arial" w:cs="Arial" w:eastAsia="Arial" w:hAnsi="Arial"/>
                <w:sz w:val="13"/>
                <w:szCs w:val="13"/>
                <w:b w:val="1"/>
                <w:bCs w:val="1"/>
                <w:color w:val="FFFFFF"/>
              </w:rPr>
              <w:t>Fiscal 2023</w:t>
            </w:r>
          </w:p>
        </w:tc>
        <w:tc>
          <w:tcPr>
            <w:tcW w:w="820" w:type="dxa"/>
            <w:vAlign w:val="bottom"/>
            <w:shd w:val="clear" w:color="auto" w:fill="0E2A35"/>
          </w:tcPr>
          <w:p>
            <w:pPr>
              <w:jc w:val="center"/>
              <w:ind w:left="6"/>
              <w:spacing w:after="0"/>
              <w:rPr>
                <w:sz w:val="20"/>
                <w:szCs w:val="20"/>
                <w:color w:val="auto"/>
              </w:rPr>
            </w:pPr>
            <w:r>
              <w:rPr>
                <w:rFonts w:ascii="Arial" w:cs="Arial" w:eastAsia="Arial" w:hAnsi="Arial"/>
                <w:sz w:val="13"/>
                <w:szCs w:val="13"/>
                <w:b w:val="1"/>
                <w:bCs w:val="1"/>
                <w:color w:val="FFFFFF"/>
                <w:w w:val="95"/>
              </w:rPr>
              <w:t>Actual</w:t>
            </w:r>
          </w:p>
        </w:tc>
        <w:tc>
          <w:tcPr>
            <w:tcW w:w="0" w:type="dxa"/>
            <w:vAlign w:val="bottom"/>
          </w:tcPr>
          <w:p>
            <w:pPr>
              <w:spacing w:after="0"/>
              <w:rPr>
                <w:sz w:val="1"/>
                <w:szCs w:val="1"/>
                <w:color w:val="auto"/>
              </w:rPr>
            </w:pPr>
          </w:p>
        </w:tc>
      </w:tr>
      <w:tr>
        <w:trPr>
          <w:trHeight w:val="135"/>
        </w:trPr>
        <w:tc>
          <w:tcPr>
            <w:tcW w:w="178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Metric</w:t>
            </w:r>
          </w:p>
        </w:tc>
        <w:tc>
          <w:tcPr>
            <w:tcW w:w="900" w:type="dxa"/>
            <w:vAlign w:val="bottom"/>
            <w:vMerge w:val="restart"/>
            <w:shd w:val="clear" w:color="auto" w:fill="0E2A35"/>
          </w:tcPr>
          <w:p>
            <w:pPr>
              <w:ind w:left="320"/>
              <w:spacing w:after="0"/>
              <w:rPr>
                <w:sz w:val="20"/>
                <w:szCs w:val="20"/>
                <w:color w:val="auto"/>
              </w:rPr>
            </w:pPr>
            <w:r>
              <w:rPr>
                <w:rFonts w:ascii="Arial" w:cs="Arial" w:eastAsia="Arial" w:hAnsi="Arial"/>
                <w:sz w:val="13"/>
                <w:szCs w:val="13"/>
                <w:b w:val="1"/>
                <w:bCs w:val="1"/>
                <w:color w:val="FFFFFF"/>
              </w:rPr>
              <w:t>Weight</w:t>
            </w:r>
          </w:p>
        </w:tc>
        <w:tc>
          <w:tcPr>
            <w:tcW w:w="220" w:type="dxa"/>
            <w:vAlign w:val="bottom"/>
            <w:shd w:val="clear" w:color="auto" w:fill="0E2A35"/>
          </w:tcPr>
          <w:p>
            <w:pPr>
              <w:spacing w:after="0"/>
              <w:rPr>
                <w:sz w:val="11"/>
                <w:szCs w:val="11"/>
                <w:color w:val="auto"/>
              </w:rPr>
            </w:pPr>
          </w:p>
        </w:tc>
        <w:tc>
          <w:tcPr>
            <w:tcW w:w="1020" w:type="dxa"/>
            <w:vAlign w:val="bottom"/>
            <w:shd w:val="clear" w:color="auto" w:fill="0E2A35"/>
          </w:tcPr>
          <w:p>
            <w:pPr>
              <w:jc w:val="center"/>
              <w:ind w:right="208"/>
              <w:spacing w:after="0" w:line="135" w:lineRule="exact"/>
              <w:rPr>
                <w:sz w:val="20"/>
                <w:szCs w:val="20"/>
                <w:color w:val="auto"/>
              </w:rPr>
            </w:pPr>
            <w:r>
              <w:rPr>
                <w:rFonts w:ascii="Arial" w:cs="Arial" w:eastAsia="Arial" w:hAnsi="Arial"/>
                <w:sz w:val="13"/>
                <w:szCs w:val="13"/>
                <w:b w:val="1"/>
                <w:bCs w:val="1"/>
                <w:color w:val="FFFFFF"/>
                <w:w w:val="98"/>
              </w:rPr>
              <w:t>(25%</w:t>
            </w:r>
          </w:p>
        </w:tc>
        <w:tc>
          <w:tcPr>
            <w:tcW w:w="204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(100%</w:t>
            </w:r>
          </w:p>
        </w:tc>
        <w:tc>
          <w:tcPr>
            <w:tcW w:w="12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(200%</w:t>
            </w:r>
          </w:p>
        </w:tc>
        <w:tc>
          <w:tcPr>
            <w:tcW w:w="1240" w:type="dxa"/>
            <w:vAlign w:val="bottom"/>
            <w:vMerge w:val="continue"/>
            <w:shd w:val="clear" w:color="auto" w:fill="0E2A35"/>
          </w:tcPr>
          <w:p>
            <w:pPr>
              <w:spacing w:after="0"/>
              <w:rPr>
                <w:sz w:val="11"/>
                <w:szCs w:val="11"/>
                <w:color w:val="auto"/>
              </w:rPr>
            </w:pPr>
          </w:p>
        </w:tc>
        <w:tc>
          <w:tcPr>
            <w:tcW w:w="8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c>
          <w:tcPr>
            <w:tcW w:w="0" w:type="dxa"/>
            <w:vAlign w:val="bottom"/>
          </w:tcPr>
          <w:p>
            <w:pPr>
              <w:spacing w:after="0"/>
              <w:rPr>
                <w:sz w:val="1"/>
                <w:szCs w:val="1"/>
                <w:color w:val="auto"/>
              </w:rPr>
            </w:pPr>
          </w:p>
        </w:tc>
      </w:tr>
      <w:tr>
        <w:trPr>
          <w:trHeight w:val="176"/>
        </w:trPr>
        <w:tc>
          <w:tcPr>
            <w:tcW w:w="1780" w:type="dxa"/>
            <w:vAlign w:val="bottom"/>
            <w:vMerge w:val="continue"/>
            <w:shd w:val="clear" w:color="auto" w:fill="0E2A35"/>
          </w:tcPr>
          <w:p>
            <w:pPr>
              <w:spacing w:after="0"/>
              <w:rPr>
                <w:sz w:val="15"/>
                <w:szCs w:val="15"/>
                <w:color w:val="auto"/>
              </w:rPr>
            </w:pPr>
          </w:p>
        </w:tc>
        <w:tc>
          <w:tcPr>
            <w:tcW w:w="900" w:type="dxa"/>
            <w:vAlign w:val="bottom"/>
            <w:vMerge w:val="continue"/>
            <w:shd w:val="clear" w:color="auto" w:fill="0E2A35"/>
          </w:tcPr>
          <w:p>
            <w:pPr>
              <w:spacing w:after="0"/>
              <w:rPr>
                <w:sz w:val="15"/>
                <w:szCs w:val="15"/>
                <w:color w:val="auto"/>
              </w:rPr>
            </w:pPr>
          </w:p>
        </w:tc>
        <w:tc>
          <w:tcPr>
            <w:tcW w:w="220" w:type="dxa"/>
            <w:vAlign w:val="bottom"/>
            <w:shd w:val="clear" w:color="auto" w:fill="0E2A35"/>
          </w:tcPr>
          <w:p>
            <w:pPr>
              <w:spacing w:after="0"/>
              <w:rPr>
                <w:sz w:val="15"/>
                <w:szCs w:val="15"/>
                <w:color w:val="auto"/>
              </w:rPr>
            </w:pPr>
          </w:p>
        </w:tc>
        <w:tc>
          <w:tcPr>
            <w:tcW w:w="1020" w:type="dxa"/>
            <w:vAlign w:val="bottom"/>
            <w:shd w:val="clear" w:color="auto" w:fill="0E2A35"/>
          </w:tcPr>
          <w:p>
            <w:pPr>
              <w:jc w:val="center"/>
              <w:ind w:right="188"/>
              <w:spacing w:after="0"/>
              <w:rPr>
                <w:sz w:val="20"/>
                <w:szCs w:val="20"/>
                <w:color w:val="auto"/>
              </w:rPr>
            </w:pPr>
            <w:r>
              <w:rPr>
                <w:rFonts w:ascii="Arial" w:cs="Arial" w:eastAsia="Arial" w:hAnsi="Arial"/>
                <w:sz w:val="13"/>
                <w:szCs w:val="13"/>
                <w:b w:val="1"/>
                <w:bCs w:val="1"/>
                <w:color w:val="FFFFFF"/>
              </w:rPr>
              <w:t>Payout)</w:t>
            </w:r>
          </w:p>
        </w:tc>
        <w:tc>
          <w:tcPr>
            <w:tcW w:w="20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40" w:type="dxa"/>
            <w:vAlign w:val="bottom"/>
            <w:shd w:val="clear" w:color="auto" w:fill="0E2A35"/>
          </w:tcPr>
          <w:p>
            <w:pPr>
              <w:jc w:val="right"/>
              <w:ind w:right="187"/>
              <w:spacing w:after="0"/>
              <w:rPr>
                <w:sz w:val="20"/>
                <w:szCs w:val="20"/>
                <w:color w:val="auto"/>
              </w:rPr>
            </w:pPr>
            <w:r>
              <w:rPr>
                <w:rFonts w:ascii="Arial" w:cs="Arial" w:eastAsia="Arial" w:hAnsi="Arial"/>
                <w:sz w:val="13"/>
                <w:szCs w:val="13"/>
                <w:b w:val="1"/>
                <w:bCs w:val="1"/>
                <w:color w:val="FFFFFF"/>
              </w:rPr>
              <w:t>Performance</w:t>
            </w:r>
          </w:p>
        </w:tc>
        <w:tc>
          <w:tcPr>
            <w:tcW w:w="820" w:type="dxa"/>
            <w:vAlign w:val="bottom"/>
            <w:shd w:val="clear" w:color="auto" w:fill="0E2A35"/>
          </w:tcPr>
          <w:p>
            <w:pPr>
              <w:jc w:val="center"/>
              <w:ind w:left="26"/>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89"/>
        </w:trPr>
        <w:tc>
          <w:tcPr>
            <w:tcW w:w="1780" w:type="dxa"/>
            <w:vAlign w:val="bottom"/>
            <w:shd w:val="clear" w:color="auto" w:fill="0E2A35"/>
          </w:tcPr>
          <w:p>
            <w:pPr>
              <w:spacing w:after="0"/>
              <w:rPr>
                <w:sz w:val="7"/>
                <w:szCs w:val="7"/>
                <w:color w:val="auto"/>
              </w:rPr>
            </w:pPr>
          </w:p>
        </w:tc>
        <w:tc>
          <w:tcPr>
            <w:tcW w:w="900" w:type="dxa"/>
            <w:vAlign w:val="bottom"/>
            <w:shd w:val="clear" w:color="auto" w:fill="0E2A35"/>
          </w:tcPr>
          <w:p>
            <w:pPr>
              <w:spacing w:after="0"/>
              <w:rPr>
                <w:sz w:val="7"/>
                <w:szCs w:val="7"/>
                <w:color w:val="auto"/>
              </w:rPr>
            </w:pPr>
          </w:p>
        </w:tc>
        <w:tc>
          <w:tcPr>
            <w:tcW w:w="220" w:type="dxa"/>
            <w:vAlign w:val="bottom"/>
            <w:shd w:val="clear" w:color="auto" w:fill="0E2A35"/>
          </w:tcPr>
          <w:p>
            <w:pPr>
              <w:spacing w:after="0"/>
              <w:rPr>
                <w:sz w:val="7"/>
                <w:szCs w:val="7"/>
                <w:color w:val="auto"/>
              </w:rPr>
            </w:pPr>
          </w:p>
        </w:tc>
        <w:tc>
          <w:tcPr>
            <w:tcW w:w="1020" w:type="dxa"/>
            <w:vAlign w:val="bottom"/>
            <w:shd w:val="clear" w:color="auto" w:fill="0E2A35"/>
          </w:tcPr>
          <w:p>
            <w:pPr>
              <w:spacing w:after="0"/>
              <w:rPr>
                <w:sz w:val="7"/>
                <w:szCs w:val="7"/>
                <w:color w:val="auto"/>
              </w:rPr>
            </w:pPr>
          </w:p>
        </w:tc>
        <w:tc>
          <w:tcPr>
            <w:tcW w:w="1000" w:type="dxa"/>
            <w:vAlign w:val="bottom"/>
            <w:shd w:val="clear" w:color="auto" w:fill="0E2A35"/>
          </w:tcPr>
          <w:p>
            <w:pPr>
              <w:spacing w:after="0"/>
              <w:rPr>
                <w:sz w:val="7"/>
                <w:szCs w:val="7"/>
                <w:color w:val="auto"/>
              </w:rPr>
            </w:pPr>
          </w:p>
        </w:tc>
        <w:tc>
          <w:tcPr>
            <w:tcW w:w="1040" w:type="dxa"/>
            <w:vAlign w:val="bottom"/>
            <w:shd w:val="clear" w:color="auto" w:fill="0E2A35"/>
          </w:tcPr>
          <w:p>
            <w:pPr>
              <w:spacing w:after="0"/>
              <w:rPr>
                <w:sz w:val="7"/>
                <w:szCs w:val="7"/>
                <w:color w:val="auto"/>
              </w:rPr>
            </w:pPr>
          </w:p>
        </w:tc>
        <w:tc>
          <w:tcPr>
            <w:tcW w:w="1260" w:type="dxa"/>
            <w:vAlign w:val="bottom"/>
            <w:shd w:val="clear" w:color="auto" w:fill="0E2A35"/>
          </w:tcPr>
          <w:p>
            <w:pPr>
              <w:spacing w:after="0"/>
              <w:rPr>
                <w:sz w:val="7"/>
                <w:szCs w:val="7"/>
                <w:color w:val="auto"/>
              </w:rPr>
            </w:pPr>
          </w:p>
        </w:tc>
        <w:tc>
          <w:tcPr>
            <w:tcW w:w="1240" w:type="dxa"/>
            <w:vAlign w:val="bottom"/>
            <w:shd w:val="clear" w:color="auto" w:fill="0E2A35"/>
          </w:tcPr>
          <w:p>
            <w:pPr>
              <w:spacing w:after="0"/>
              <w:rPr>
                <w:sz w:val="7"/>
                <w:szCs w:val="7"/>
                <w:color w:val="auto"/>
              </w:rPr>
            </w:pPr>
          </w:p>
        </w:tc>
        <w:tc>
          <w:tcPr>
            <w:tcW w:w="82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1780" w:type="dxa"/>
            <w:vAlign w:val="bottom"/>
          </w:tcPr>
          <w:p>
            <w:pPr>
              <w:ind w:left="60"/>
              <w:spacing w:after="0"/>
              <w:rPr>
                <w:sz w:val="20"/>
                <w:szCs w:val="20"/>
                <w:color w:val="auto"/>
              </w:rPr>
            </w:pPr>
            <w:r>
              <w:rPr>
                <w:rFonts w:ascii="Arial" w:cs="Arial" w:eastAsia="Arial" w:hAnsi="Arial"/>
                <w:sz w:val="16"/>
                <w:szCs w:val="16"/>
                <w:color w:val="0E2A35"/>
              </w:rPr>
              <w:t>Net Revenue</w:t>
            </w:r>
          </w:p>
        </w:tc>
        <w:tc>
          <w:tcPr>
            <w:tcW w:w="900" w:type="dxa"/>
            <w:vAlign w:val="bottom"/>
          </w:tcPr>
          <w:p>
            <w:pPr>
              <w:ind w:left="320"/>
              <w:spacing w:after="0"/>
              <w:rPr>
                <w:sz w:val="20"/>
                <w:szCs w:val="20"/>
                <w:color w:val="auto"/>
              </w:rPr>
            </w:pPr>
            <w:r>
              <w:rPr>
                <w:rFonts w:ascii="Arial" w:cs="Arial" w:eastAsia="Arial" w:hAnsi="Arial"/>
                <w:sz w:val="16"/>
                <w:szCs w:val="16"/>
                <w:color w:val="0E2A35"/>
              </w:rPr>
              <w:t>40.0%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20" w:type="dxa"/>
            <w:vAlign w:val="bottom"/>
          </w:tcPr>
          <w:p>
            <w:pPr>
              <w:jc w:val="right"/>
              <w:ind w:right="248"/>
              <w:spacing w:after="0"/>
              <w:rPr>
                <w:sz w:val="20"/>
                <w:szCs w:val="20"/>
                <w:color w:val="auto"/>
              </w:rPr>
            </w:pPr>
            <w:r>
              <w:rPr>
                <w:rFonts w:ascii="Arial" w:cs="Arial" w:eastAsia="Arial" w:hAnsi="Arial"/>
                <w:sz w:val="16"/>
                <w:szCs w:val="16"/>
                <w:color w:val="0E2A35"/>
                <w:w w:val="95"/>
              </w:rPr>
              <w:t>2,002,400</w:t>
            </w:r>
          </w:p>
        </w:tc>
        <w:tc>
          <w:tcPr>
            <w:tcW w:w="1000" w:type="dxa"/>
            <w:vAlign w:val="bottom"/>
          </w:tcPr>
          <w:p>
            <w:pPr>
              <w:jc w:val="right"/>
              <w:spacing w:after="0"/>
              <w:rPr>
                <w:sz w:val="20"/>
                <w:szCs w:val="20"/>
                <w:color w:val="auto"/>
              </w:rPr>
            </w:pPr>
            <w:r>
              <w:rPr>
                <w:rFonts w:ascii="Arial" w:cs="Arial" w:eastAsia="Arial" w:hAnsi="Arial"/>
                <w:sz w:val="16"/>
                <w:szCs w:val="16"/>
                <w:color w:val="0E2A35"/>
              </w:rPr>
              <w:t>$​2,308,600</w:t>
            </w:r>
          </w:p>
        </w:tc>
        <w:tc>
          <w:tcPr>
            <w:tcW w:w="1040" w:type="dxa"/>
            <w:vAlign w:val="bottom"/>
          </w:tcPr>
          <w:p>
            <w:pPr>
              <w:ind w:left="20"/>
              <w:spacing w:after="0"/>
              <w:rPr>
                <w:sz w:val="20"/>
                <w:szCs w:val="20"/>
                <w:color w:val="auto"/>
              </w:rPr>
            </w:pPr>
            <w:r>
              <w:rPr>
                <w:rFonts w:ascii="Arial" w:cs="Arial" w:eastAsia="Arial" w:hAnsi="Arial"/>
                <w:sz w:val="16"/>
                <w:szCs w:val="16"/>
                <w:color w:val="0E2A35"/>
              </w:rPr>
              <w:t>– 2,402,800</w:t>
            </w:r>
          </w:p>
        </w:tc>
        <w:tc>
          <w:tcPr>
            <w:tcW w:w="1260" w:type="dxa"/>
            <w:vAlign w:val="bottom"/>
          </w:tcPr>
          <w:p>
            <w:pPr>
              <w:jc w:val="right"/>
              <w:ind w:right="206"/>
              <w:spacing w:after="0"/>
              <w:rPr>
                <w:sz w:val="20"/>
                <w:szCs w:val="20"/>
                <w:color w:val="auto"/>
              </w:rPr>
            </w:pPr>
            <w:r>
              <w:rPr>
                <w:rFonts w:ascii="Arial" w:cs="Arial" w:eastAsia="Arial" w:hAnsi="Arial"/>
                <w:sz w:val="16"/>
                <w:szCs w:val="16"/>
                <w:color w:val="0E2A35"/>
              </w:rPr>
              <w:t>$2,591,300</w:t>
            </w:r>
          </w:p>
        </w:tc>
        <w:tc>
          <w:tcPr>
            <w:tcW w:w="1240" w:type="dxa"/>
            <w:vAlign w:val="bottom"/>
          </w:tcPr>
          <w:p>
            <w:pPr>
              <w:jc w:val="right"/>
              <w:ind w:right="207"/>
              <w:spacing w:after="0"/>
              <w:rPr>
                <w:sz w:val="20"/>
                <w:szCs w:val="20"/>
                <w:color w:val="auto"/>
              </w:rPr>
            </w:pPr>
            <w:r>
              <w:rPr>
                <w:rFonts w:ascii="Arial" w:cs="Arial" w:eastAsia="Arial" w:hAnsi="Arial"/>
                <w:sz w:val="16"/>
                <w:szCs w:val="16"/>
                <w:color w:val="0E2A35"/>
              </w:rPr>
              <w:t>$​1,671,693</w:t>
            </w:r>
          </w:p>
        </w:tc>
        <w:tc>
          <w:tcPr>
            <w:tcW w:w="820" w:type="dxa"/>
            <w:vAlign w:val="bottom"/>
          </w:tcPr>
          <w:p>
            <w:pPr>
              <w:ind w:left="340"/>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r>
        <w:trPr>
          <w:trHeight w:val="100"/>
        </w:trPr>
        <w:tc>
          <w:tcPr>
            <w:tcW w:w="178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80" w:type="dxa"/>
            <w:vAlign w:val="bottom"/>
          </w:tcPr>
          <w:p>
            <w:pPr>
              <w:ind w:left="60"/>
              <w:spacing w:after="0"/>
              <w:rPr>
                <w:sz w:val="20"/>
                <w:szCs w:val="20"/>
                <w:color w:val="auto"/>
              </w:rPr>
            </w:pPr>
            <w:r>
              <w:rPr>
                <w:rFonts w:ascii="Arial" w:cs="Arial" w:eastAsia="Arial" w:hAnsi="Arial"/>
                <w:sz w:val="16"/>
                <w:szCs w:val="16"/>
                <w:color w:val="0E2A35"/>
              </w:rPr>
              <w:t>Operating Income</w:t>
            </w:r>
          </w:p>
        </w:tc>
        <w:tc>
          <w:tcPr>
            <w:tcW w:w="900" w:type="dxa"/>
            <w:vAlign w:val="bottom"/>
          </w:tcPr>
          <w:p>
            <w:pPr>
              <w:ind w:left="320"/>
              <w:spacing w:after="0"/>
              <w:rPr>
                <w:sz w:val="20"/>
                <w:szCs w:val="20"/>
                <w:color w:val="auto"/>
              </w:rPr>
            </w:pPr>
            <w:r>
              <w:rPr>
                <w:rFonts w:ascii="Arial" w:cs="Arial" w:eastAsia="Arial" w:hAnsi="Arial"/>
                <w:sz w:val="16"/>
                <w:szCs w:val="16"/>
                <w:color w:val="0E2A35"/>
              </w:rPr>
              <w:t>50.0%</w:t>
            </w:r>
          </w:p>
        </w:tc>
        <w:tc>
          <w:tcPr>
            <w:tcW w:w="220" w:type="dxa"/>
            <w:vAlign w:val="bottom"/>
          </w:tcPr>
          <w:p>
            <w:pPr>
              <w:jc w:val="right"/>
              <w:spacing w:after="0"/>
              <w:rPr>
                <w:sz w:val="20"/>
                <w:szCs w:val="20"/>
                <w:color w:val="auto"/>
              </w:rPr>
            </w:pPr>
            <w:r>
              <w:rPr>
                <w:rFonts w:ascii="Arial" w:cs="Arial" w:eastAsia="Arial" w:hAnsi="Arial"/>
                <w:sz w:val="16"/>
                <w:szCs w:val="16"/>
                <w:color w:val="0E2A35"/>
              </w:rPr>
              <w:t>$</w:t>
            </w:r>
          </w:p>
        </w:tc>
        <w:tc>
          <w:tcPr>
            <w:tcW w:w="1020" w:type="dxa"/>
            <w:vAlign w:val="bottom"/>
          </w:tcPr>
          <w:p>
            <w:pPr>
              <w:jc w:val="right"/>
              <w:ind w:right="248"/>
              <w:spacing w:after="0"/>
              <w:rPr>
                <w:sz w:val="20"/>
                <w:szCs w:val="20"/>
                <w:color w:val="auto"/>
              </w:rPr>
            </w:pPr>
            <w:r>
              <w:rPr>
                <w:rFonts w:ascii="Arial" w:cs="Arial" w:eastAsia="Arial" w:hAnsi="Arial"/>
                <w:sz w:val="16"/>
                <w:szCs w:val="16"/>
                <w:color w:val="0E2A35"/>
              </w:rPr>
              <w:t>192,200​</w:t>
            </w:r>
          </w:p>
        </w:tc>
        <w:tc>
          <w:tcPr>
            <w:tcW w:w="1000" w:type="dxa"/>
            <w:vAlign w:val="bottom"/>
          </w:tcPr>
          <w:p>
            <w:pPr>
              <w:jc w:val="right"/>
              <w:spacing w:after="0"/>
              <w:rPr>
                <w:sz w:val="20"/>
                <w:szCs w:val="20"/>
                <w:color w:val="auto"/>
              </w:rPr>
            </w:pPr>
            <w:r>
              <w:rPr>
                <w:rFonts w:ascii="Arial" w:cs="Arial" w:eastAsia="Arial" w:hAnsi="Arial"/>
                <w:sz w:val="16"/>
                <w:szCs w:val="16"/>
                <w:color w:val="0E2A35"/>
              </w:rPr>
              <w:t>$​251,300</w:t>
            </w:r>
          </w:p>
        </w:tc>
        <w:tc>
          <w:tcPr>
            <w:tcW w:w="1040" w:type="dxa"/>
            <w:vAlign w:val="bottom"/>
          </w:tcPr>
          <w:p>
            <w:pPr>
              <w:ind w:left="20"/>
              <w:spacing w:after="0"/>
              <w:rPr>
                <w:sz w:val="20"/>
                <w:szCs w:val="20"/>
                <w:color w:val="auto"/>
              </w:rPr>
            </w:pPr>
            <w:r>
              <w:rPr>
                <w:rFonts w:ascii="Arial" w:cs="Arial" w:eastAsia="Arial" w:hAnsi="Arial"/>
                <w:sz w:val="16"/>
                <w:szCs w:val="16"/>
                <w:color w:val="0E2A35"/>
              </w:rPr>
              <w:t>– 261,300</w:t>
            </w:r>
          </w:p>
        </w:tc>
        <w:tc>
          <w:tcPr>
            <w:tcW w:w="1260" w:type="dxa"/>
            <w:vAlign w:val="bottom"/>
          </w:tcPr>
          <w:p>
            <w:pPr>
              <w:jc w:val="right"/>
              <w:ind w:right="226"/>
              <w:spacing w:after="0"/>
              <w:rPr>
                <w:sz w:val="20"/>
                <w:szCs w:val="20"/>
                <w:color w:val="auto"/>
              </w:rPr>
            </w:pPr>
            <w:r>
              <w:rPr>
                <w:rFonts w:ascii="Arial" w:cs="Arial" w:eastAsia="Arial" w:hAnsi="Arial"/>
                <w:sz w:val="16"/>
                <w:szCs w:val="16"/>
                <w:color w:val="0E2A35"/>
              </w:rPr>
              <w:t>$  294,700​</w:t>
            </w:r>
          </w:p>
        </w:tc>
        <w:tc>
          <w:tcPr>
            <w:tcW w:w="1240" w:type="dxa"/>
            <w:vAlign w:val="bottom"/>
          </w:tcPr>
          <w:p>
            <w:pPr>
              <w:jc w:val="right"/>
              <w:ind w:right="167"/>
              <w:spacing w:after="0"/>
              <w:rPr>
                <w:sz w:val="20"/>
                <w:szCs w:val="20"/>
                <w:color w:val="auto"/>
              </w:rPr>
            </w:pPr>
            <w:r>
              <w:rPr>
                <w:rFonts w:ascii="Arial" w:cs="Arial" w:eastAsia="Arial" w:hAnsi="Arial"/>
                <w:sz w:val="16"/>
                <w:szCs w:val="16"/>
                <w:color w:val="0E2A35"/>
              </w:rPr>
              <w:t>$​ 138,046​</w:t>
            </w:r>
          </w:p>
        </w:tc>
        <w:tc>
          <w:tcPr>
            <w:tcW w:w="820" w:type="dxa"/>
            <w:vAlign w:val="bottom"/>
          </w:tcPr>
          <w:p>
            <w:pPr>
              <w:ind w:left="340"/>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r>
        <w:trPr>
          <w:trHeight w:val="100"/>
        </w:trPr>
        <w:tc>
          <w:tcPr>
            <w:tcW w:w="178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2040" w:type="dxa"/>
            <w:vAlign w:val="bottom"/>
            <w:tcBorders>
              <w:bottom w:val="single" w:sz="8" w:color="0E2A35"/>
            </w:tcBorders>
            <w:gridSpan w:val="2"/>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80" w:type="dxa"/>
            <w:vAlign w:val="bottom"/>
          </w:tcPr>
          <w:p>
            <w:pPr>
              <w:ind w:left="60"/>
              <w:spacing w:after="0"/>
              <w:rPr>
                <w:sz w:val="20"/>
                <w:szCs w:val="20"/>
                <w:color w:val="auto"/>
              </w:rPr>
            </w:pPr>
            <w:r>
              <w:rPr>
                <w:rFonts w:ascii="Arial" w:cs="Arial" w:eastAsia="Arial" w:hAnsi="Arial"/>
                <w:sz w:val="16"/>
                <w:szCs w:val="16"/>
                <w:color w:val="0E2A35"/>
              </w:rPr>
              <w:t>Net Working Capital</w:t>
            </w:r>
          </w:p>
        </w:tc>
        <w:tc>
          <w:tcPr>
            <w:tcW w:w="900" w:type="dxa"/>
            <w:vAlign w:val="bottom"/>
          </w:tcPr>
          <w:p>
            <w:pPr>
              <w:ind w:left="320"/>
              <w:spacing w:after="0"/>
              <w:rPr>
                <w:sz w:val="20"/>
                <w:szCs w:val="20"/>
                <w:color w:val="auto"/>
              </w:rPr>
            </w:pPr>
            <w:r>
              <w:rPr>
                <w:rFonts w:ascii="Arial" w:cs="Arial" w:eastAsia="Arial" w:hAnsi="Arial"/>
                <w:sz w:val="16"/>
                <w:szCs w:val="16"/>
                <w:color w:val="0E2A35"/>
              </w:rPr>
              <w:t>10.0%</w:t>
            </w:r>
          </w:p>
        </w:tc>
        <w:tc>
          <w:tcPr>
            <w:tcW w:w="22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6"/>
                <w:szCs w:val="16"/>
                <w:color w:val="0E2A35"/>
              </w:rPr>
              <w:t>14.5%</w:t>
            </w:r>
          </w:p>
        </w:tc>
        <w:tc>
          <w:tcPr>
            <w:tcW w:w="2040" w:type="dxa"/>
            <w:vAlign w:val="bottom"/>
            <w:gridSpan w:val="2"/>
          </w:tcPr>
          <w:p>
            <w:pPr>
              <w:jc w:val="center"/>
              <w:spacing w:after="0"/>
              <w:rPr>
                <w:sz w:val="20"/>
                <w:szCs w:val="20"/>
                <w:color w:val="auto"/>
              </w:rPr>
            </w:pPr>
            <w:r>
              <w:rPr>
                <w:rFonts w:ascii="Arial" w:cs="Arial" w:eastAsia="Arial" w:hAnsi="Arial"/>
                <w:sz w:val="16"/>
                <w:szCs w:val="16"/>
                <w:color w:val="0E2A35"/>
                <w:w w:val="99"/>
              </w:rPr>
              <w:t>12.9% – 12.4%</w:t>
            </w:r>
          </w:p>
        </w:tc>
        <w:tc>
          <w:tcPr>
            <w:tcW w:w="1260" w:type="dxa"/>
            <w:vAlign w:val="bottom"/>
          </w:tcPr>
          <w:p>
            <w:pPr>
              <w:jc w:val="right"/>
              <w:ind w:right="66"/>
              <w:spacing w:after="0"/>
              <w:rPr>
                <w:sz w:val="20"/>
                <w:szCs w:val="20"/>
                <w:color w:val="auto"/>
              </w:rPr>
            </w:pPr>
            <w:r>
              <w:rPr>
                <w:rFonts w:ascii="Arial" w:cs="Arial" w:eastAsia="Arial" w:hAnsi="Arial"/>
                <w:sz w:val="16"/>
                <w:szCs w:val="16"/>
                <w:color w:val="0E2A35"/>
              </w:rPr>
              <w:t>11.4%</w:t>
            </w:r>
          </w:p>
        </w:tc>
        <w:tc>
          <w:tcPr>
            <w:tcW w:w="1240" w:type="dxa"/>
            <w:vAlign w:val="bottom"/>
          </w:tcPr>
          <w:p>
            <w:pPr>
              <w:jc w:val="right"/>
              <w:ind w:right="87"/>
              <w:spacing w:after="0"/>
              <w:rPr>
                <w:sz w:val="20"/>
                <w:szCs w:val="20"/>
                <w:color w:val="auto"/>
              </w:rPr>
            </w:pPr>
            <w:r>
              <w:rPr>
                <w:rFonts w:ascii="Arial" w:cs="Arial" w:eastAsia="Arial" w:hAnsi="Arial"/>
                <w:sz w:val="16"/>
                <w:szCs w:val="16"/>
                <w:color w:val="0E2A35"/>
              </w:rPr>
              <w:t>17​.9%</w:t>
            </w:r>
          </w:p>
        </w:tc>
        <w:tc>
          <w:tcPr>
            <w:tcW w:w="820" w:type="dxa"/>
            <w:vAlign w:val="bottom"/>
          </w:tcPr>
          <w:p>
            <w:pPr>
              <w:ind w:left="340"/>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r>
        <w:trPr>
          <w:trHeight w:val="100"/>
        </w:trPr>
        <w:tc>
          <w:tcPr>
            <w:tcW w:w="178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gridSpan w:val="2"/>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00" w:type="dxa"/>
            <w:vAlign w:val="bottom"/>
            <w:gridSpan w:val="2"/>
          </w:tcPr>
          <w:p>
            <w:pPr>
              <w:jc w:val="right"/>
              <w:ind w:right="67"/>
              <w:spacing w:after="0"/>
              <w:rPr>
                <w:sz w:val="20"/>
                <w:szCs w:val="20"/>
                <w:color w:val="auto"/>
              </w:rPr>
            </w:pPr>
            <w:r>
              <w:rPr>
                <w:rFonts w:ascii="Arial" w:cs="Arial" w:eastAsia="Arial" w:hAnsi="Arial"/>
                <w:sz w:val="16"/>
                <w:szCs w:val="16"/>
                <w:color w:val="0E2A35"/>
              </w:rPr>
              <w:t>Total Payout Percentage</w:t>
            </w:r>
          </w:p>
        </w:tc>
        <w:tc>
          <w:tcPr>
            <w:tcW w:w="820" w:type="dxa"/>
            <w:vAlign w:val="bottom"/>
          </w:tcPr>
          <w:p>
            <w:pPr>
              <w:ind w:left="340"/>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r>
        <w:trPr>
          <w:trHeight w:val="100"/>
        </w:trPr>
        <w:tc>
          <w:tcPr>
            <w:tcW w:w="178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102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2500" w:type="dxa"/>
            <w:vAlign w:val="bottom"/>
            <w:tcBorders>
              <w:bottom w:val="single" w:sz="8" w:color="0E2A35"/>
            </w:tcBorders>
            <w:gridSpan w:val="2"/>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00" w:type="dxa"/>
            <w:vAlign w:val="bottom"/>
            <w:gridSpan w:val="2"/>
          </w:tcPr>
          <w:p>
            <w:pPr>
              <w:jc w:val="right"/>
              <w:ind w:right="67"/>
              <w:spacing w:after="0"/>
              <w:rPr>
                <w:sz w:val="20"/>
                <w:szCs w:val="20"/>
                <w:color w:val="auto"/>
              </w:rPr>
            </w:pPr>
            <w:r>
              <w:rPr>
                <w:rFonts w:ascii="Arial" w:cs="Arial" w:eastAsia="Arial" w:hAnsi="Arial"/>
                <w:sz w:val="16"/>
                <w:szCs w:val="16"/>
                <w:color w:val="0E2A35"/>
              </w:rPr>
              <w:t>30% of Total Percentage</w:t>
            </w:r>
          </w:p>
        </w:tc>
        <w:tc>
          <w:tcPr>
            <w:tcW w:w="820" w:type="dxa"/>
            <w:vAlign w:val="bottom"/>
          </w:tcPr>
          <w:p>
            <w:pPr>
              <w:ind w:left="340"/>
              <w:spacing w:after="0"/>
              <w:rPr>
                <w:sz w:val="20"/>
                <w:szCs w:val="20"/>
                <w:color w:val="auto"/>
              </w:rPr>
            </w:pPr>
            <w:r>
              <w:rPr>
                <w:rFonts w:ascii="Arial" w:cs="Arial" w:eastAsia="Arial" w:hAnsi="Arial"/>
                <w:sz w:val="16"/>
                <w:szCs w:val="16"/>
                <w:color w:val="0E2A35"/>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58978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88" w:lineRule="exact"/>
        <w:rPr>
          <w:sz w:val="20"/>
          <w:szCs w:val="20"/>
          <w:color w:val="auto"/>
        </w:rPr>
      </w:pPr>
    </w:p>
    <w:p>
      <w:pPr>
        <w:ind w:left="360" w:right="100" w:hanging="360"/>
        <w:spacing w:after="0" w:line="236" w:lineRule="auto"/>
        <w:tabs>
          <w:tab w:leader="none" w:pos="360" w:val="left"/>
        </w:tabs>
        <w:numPr>
          <w:ilvl w:val="0"/>
          <w:numId w:val="32"/>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25% of his or her target bonus opportunity tied to individualized annual objectives, which are assessed by the CEO (or, the committee, in the case of the CEO), and the proposed bonus amount is approved by the committee.</w:t>
      </w:r>
    </w:p>
    <w:p>
      <w:pPr>
        <w:spacing w:after="0" w:line="29" w:lineRule="exact"/>
        <w:rPr>
          <w:rFonts w:ascii="Arial" w:cs="Arial" w:eastAsia="Arial" w:hAnsi="Arial"/>
          <w:sz w:val="13"/>
          <w:szCs w:val="13"/>
          <w:color w:val="0E2A35"/>
        </w:rPr>
      </w:pPr>
    </w:p>
    <w:p>
      <w:pPr>
        <w:ind w:left="360" w:right="440" w:hanging="360"/>
        <w:spacing w:after="0" w:line="236" w:lineRule="auto"/>
        <w:tabs>
          <w:tab w:leader="none" w:pos="360" w:val="left"/>
        </w:tabs>
        <w:numPr>
          <w:ilvl w:val="0"/>
          <w:numId w:val="32"/>
        </w:numPr>
        <w:rPr>
          <w:rFonts w:ascii="Arial" w:cs="Arial" w:eastAsia="Arial" w:hAnsi="Arial"/>
          <w:sz w:val="13"/>
          <w:szCs w:val="13"/>
          <w:color w:val="0E2A35"/>
        </w:rPr>
      </w:pPr>
      <w:r>
        <w:rPr>
          <w:rFonts w:ascii="Arial" w:cs="Arial" w:eastAsia="Arial" w:hAnsi="Arial"/>
          <w:sz w:val="13"/>
          <w:szCs w:val="13"/>
          <w:color w:val="0E2A35"/>
        </w:rPr>
        <w:t>Mr. Bower’s financial performance is based upon the Winnebago Outdoors business unit and the financial performance metrics are weighted: (i) 40% net revenue, (ii) 50% operating income and (iii) 10% net working capital.</w:t>
      </w:r>
    </w:p>
    <w:p>
      <w:pPr>
        <w:spacing w:after="0" w:line="29" w:lineRule="exact"/>
        <w:rPr>
          <w:rFonts w:ascii="Arial" w:cs="Arial" w:eastAsia="Arial" w:hAnsi="Arial"/>
          <w:sz w:val="13"/>
          <w:szCs w:val="13"/>
          <w:color w:val="0E2A35"/>
        </w:rPr>
      </w:pPr>
    </w:p>
    <w:p>
      <w:pPr>
        <w:ind w:left="360" w:hanging="360"/>
        <w:spacing w:after="0"/>
        <w:tabs>
          <w:tab w:leader="none" w:pos="360" w:val="left"/>
        </w:tabs>
        <w:numPr>
          <w:ilvl w:val="0"/>
          <w:numId w:val="32"/>
        </w:numPr>
        <w:rPr>
          <w:rFonts w:ascii="Arial" w:cs="Arial" w:eastAsia="Arial" w:hAnsi="Arial"/>
          <w:sz w:val="13"/>
          <w:szCs w:val="13"/>
          <w:color w:val="0E2A35"/>
        </w:rPr>
      </w:pPr>
      <w:r>
        <w:rPr>
          <w:rFonts w:ascii="Arial" w:cs="Arial" w:eastAsia="Arial" w:hAnsi="Arial"/>
          <w:sz w:val="13"/>
          <w:szCs w:val="13"/>
          <w:color w:val="0E2A35"/>
        </w:rPr>
        <w:t>The second six-month fiscal year OICP period is weighted at 30% of the overall OICP weighting.</w:t>
      </w:r>
    </w:p>
    <w:p>
      <w:pPr>
        <w:spacing w:after="0" w:line="178"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0E2A35"/>
        </w:rPr>
        <w:t>Enterprise-Wide Financial Performance Metrics (75% of the OICP for Messrs. Happe and Hughes and Ms. Bogart) for all Three Performance Periods — Total Financial Results</w:t>
      </w:r>
      <w:r>
        <w:rPr>
          <w:rFonts w:ascii="Arial" w:cs="Arial" w:eastAsia="Arial" w:hAnsi="Arial"/>
          <w:sz w:val="26"/>
          <w:szCs w:val="26"/>
          <w:color w:val="0E2A35"/>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5897880" cy="3943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97880" cy="394335"/>
                    </a:xfrm>
                    <a:prstGeom prst="rect">
                      <a:avLst/>
                    </a:prstGeom>
                    <a:noFill/>
                  </pic:spPr>
                </pic:pic>
              </a:graphicData>
            </a:graphic>
          </wp:anchor>
        </w:drawing>
      </w:r>
    </w:p>
    <w:p>
      <w:pPr>
        <w:ind w:left="8360"/>
        <w:spacing w:after="0"/>
        <w:rPr>
          <w:sz w:val="20"/>
          <w:szCs w:val="20"/>
          <w:color w:val="auto"/>
        </w:rPr>
      </w:pPr>
      <w:r>
        <w:rPr>
          <w:rFonts w:ascii="Arial" w:cs="Arial" w:eastAsia="Arial" w:hAnsi="Arial"/>
          <w:sz w:val="13"/>
          <w:szCs w:val="13"/>
          <w:b w:val="1"/>
          <w:bCs w:val="1"/>
          <w:color w:val="FFFFFF"/>
        </w:rPr>
        <w:t>​Actual Total</w:t>
      </w:r>
    </w:p>
    <w:p>
      <w:pPr>
        <w:ind w:left="8200"/>
        <w:spacing w:after="0" w:line="219" w:lineRule="auto"/>
        <w:rPr>
          <w:sz w:val="20"/>
          <w:szCs w:val="20"/>
          <w:color w:val="auto"/>
        </w:rPr>
      </w:pPr>
      <w:r>
        <w:rPr>
          <w:rFonts w:ascii="Arial" w:cs="Arial" w:eastAsia="Arial" w:hAnsi="Arial"/>
          <w:sz w:val="13"/>
          <w:szCs w:val="13"/>
          <w:b w:val="1"/>
          <w:bCs w:val="1"/>
          <w:color w:val="FFFFFF"/>
        </w:rPr>
        <w:t>Financial Payout</w:t>
      </w:r>
    </w:p>
    <w:p>
      <w:pPr>
        <w:ind w:left="8340"/>
        <w:spacing w:after="0"/>
        <w:rPr>
          <w:sz w:val="20"/>
          <w:szCs w:val="20"/>
          <w:color w:val="auto"/>
        </w:rPr>
      </w:pPr>
      <w:r>
        <w:rPr>
          <w:rFonts w:ascii="Arial" w:cs="Arial" w:eastAsia="Arial" w:hAnsi="Arial"/>
          <w:sz w:val="13"/>
          <w:szCs w:val="13"/>
          <w:b w:val="1"/>
          <w:bCs w:val="1"/>
          <w:color w:val="FFFFFF"/>
        </w:rPr>
        <w:t>% (Weighted)</w:t>
      </w:r>
    </w:p>
    <w:p>
      <w:pPr>
        <w:spacing w:after="0" w:line="199" w:lineRule="exact"/>
        <w:rPr>
          <w:sz w:val="20"/>
          <w:szCs w:val="20"/>
          <w:color w:val="auto"/>
        </w:rPr>
      </w:pPr>
    </w:p>
    <w:tbl>
      <w:tblPr>
        <w:tblLayout w:type="fixed"/>
        <w:tblInd w:w="2300" w:type="dxa"/>
        <w:tblCellMar>
          <w:top w:w="0" w:type="dxa"/>
          <w:left w:w="0" w:type="dxa"/>
          <w:bottom w:w="0" w:type="dxa"/>
          <w:right w:w="0" w:type="dxa"/>
        </w:tblCellMar>
      </w:tblPr>
      <w:tr>
        <w:trPr>
          <w:trHeight w:val="205"/>
        </w:trPr>
        <w:tc>
          <w:tcPr>
            <w:tcW w:w="5520" w:type="dxa"/>
            <w:vAlign w:val="bottom"/>
          </w:tcPr>
          <w:p>
            <w:pPr>
              <w:spacing w:after="0"/>
              <w:rPr>
                <w:sz w:val="20"/>
                <w:szCs w:val="20"/>
                <w:color w:val="auto"/>
              </w:rPr>
            </w:pPr>
            <w:r>
              <w:rPr>
                <w:rFonts w:ascii="Arial" w:cs="Arial" w:eastAsia="Arial" w:hAnsi="Arial"/>
                <w:sz w:val="16"/>
                <w:szCs w:val="16"/>
                <w:color w:val="0E2A35"/>
              </w:rPr>
              <w:t>Total Fiscal Year Financial Performance Metrics Payout Percentage</w:t>
            </w:r>
          </w:p>
        </w:tc>
        <w:tc>
          <w:tcPr>
            <w:tcW w:w="1200" w:type="dxa"/>
            <w:vAlign w:val="bottom"/>
          </w:tcPr>
          <w:p>
            <w:pPr>
              <w:ind w:left="760"/>
              <w:spacing w:after="0"/>
              <w:rPr>
                <w:sz w:val="20"/>
                <w:szCs w:val="20"/>
                <w:color w:val="auto"/>
              </w:rPr>
            </w:pPr>
            <w:r>
              <w:rPr>
                <w:rFonts w:ascii="Arial" w:cs="Arial" w:eastAsia="Arial" w:hAnsi="Arial"/>
                <w:sz w:val="16"/>
                <w:szCs w:val="16"/>
                <w:color w:val="0E2A35"/>
                <w:w w:val="92"/>
              </w:rPr>
              <w:t>​19.5%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58978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88" w:lineRule="exact"/>
        <w:rPr>
          <w:sz w:val="20"/>
          <w:szCs w:val="20"/>
          <w:color w:val="auto"/>
        </w:rPr>
      </w:pPr>
    </w:p>
    <w:p>
      <w:pPr>
        <w:ind w:left="360" w:right="100" w:hanging="360"/>
        <w:spacing w:after="0" w:line="236" w:lineRule="auto"/>
        <w:tabs>
          <w:tab w:leader="none" w:pos="360" w:val="left"/>
        </w:tabs>
        <w:numPr>
          <w:ilvl w:val="0"/>
          <w:numId w:val="33"/>
        </w:numPr>
        <w:rPr>
          <w:rFonts w:ascii="Arial" w:cs="Arial" w:eastAsia="Arial" w:hAnsi="Arial"/>
          <w:sz w:val="13"/>
          <w:szCs w:val="13"/>
          <w:color w:val="0E2A35"/>
        </w:rPr>
      </w:pPr>
      <w:r>
        <w:rPr>
          <w:rFonts w:ascii="Arial" w:cs="Arial" w:eastAsia="Arial" w:hAnsi="Arial"/>
          <w:sz w:val="13"/>
          <w:szCs w:val="13"/>
          <w:color w:val="0E2A35"/>
        </w:rPr>
        <w:t>Each of the NEOs, other than Mr. Clark, also has 25% of his or her target bonus opportunity tied to individualized annual objectives, which are assessed by the CEO (or, the committee, in the case of the CEO), and the proposed bonus amount is approved by the committee.</w:t>
      </w:r>
    </w:p>
    <w:p>
      <w:pPr>
        <w:spacing w:after="0" w:line="29" w:lineRule="exact"/>
        <w:rPr>
          <w:rFonts w:ascii="Arial" w:cs="Arial" w:eastAsia="Arial" w:hAnsi="Arial"/>
          <w:sz w:val="13"/>
          <w:szCs w:val="13"/>
          <w:color w:val="0E2A35"/>
        </w:rPr>
      </w:pPr>
    </w:p>
    <w:p>
      <w:pPr>
        <w:ind w:left="360" w:right="440" w:hanging="360"/>
        <w:spacing w:after="0" w:line="236" w:lineRule="auto"/>
        <w:tabs>
          <w:tab w:leader="none" w:pos="360" w:val="left"/>
        </w:tabs>
        <w:numPr>
          <w:ilvl w:val="0"/>
          <w:numId w:val="33"/>
        </w:numPr>
        <w:rPr>
          <w:rFonts w:ascii="Arial" w:cs="Arial" w:eastAsia="Arial" w:hAnsi="Arial"/>
          <w:sz w:val="13"/>
          <w:szCs w:val="13"/>
          <w:color w:val="0E2A35"/>
        </w:rPr>
      </w:pPr>
      <w:r>
        <w:rPr>
          <w:rFonts w:ascii="Arial" w:cs="Arial" w:eastAsia="Arial" w:hAnsi="Arial"/>
          <w:sz w:val="13"/>
          <w:szCs w:val="13"/>
          <w:color w:val="0E2A35"/>
        </w:rPr>
        <w:t>Mr. Bower’s financial performance is based upon the Winnebago Outdoors business unit and the financial performance metrics are weighted: (i) 40% net revenue, (ii) 50% operating income and (iii) 10% net working capital.</w:t>
      </w:r>
    </w:p>
    <w:p>
      <w:pPr>
        <w:spacing w:after="0" w:line="29" w:lineRule="exact"/>
        <w:rPr>
          <w:rFonts w:ascii="Arial" w:cs="Arial" w:eastAsia="Arial" w:hAnsi="Arial"/>
          <w:sz w:val="13"/>
          <w:szCs w:val="13"/>
          <w:color w:val="0E2A35"/>
        </w:rPr>
      </w:pPr>
    </w:p>
    <w:p>
      <w:pPr>
        <w:ind w:left="360" w:hanging="360"/>
        <w:spacing w:after="0"/>
        <w:tabs>
          <w:tab w:leader="none" w:pos="360" w:val="left"/>
        </w:tabs>
        <w:numPr>
          <w:ilvl w:val="0"/>
          <w:numId w:val="33"/>
        </w:numPr>
        <w:rPr>
          <w:rFonts w:ascii="Arial" w:cs="Arial" w:eastAsia="Arial" w:hAnsi="Arial"/>
          <w:sz w:val="13"/>
          <w:szCs w:val="13"/>
          <w:color w:val="0E2A35"/>
        </w:rPr>
      </w:pPr>
      <w:r>
        <w:rPr>
          <w:rFonts w:ascii="Arial" w:cs="Arial" w:eastAsia="Arial" w:hAnsi="Arial"/>
          <w:sz w:val="13"/>
          <w:szCs w:val="13"/>
          <w:color w:val="0E2A35"/>
        </w:rPr>
        <w:t>This represents the combined total payout results for the full-year performance period and the two six-month performance periods.</w:t>
      </w:r>
    </w:p>
    <w:p>
      <w:pPr>
        <w:spacing w:after="0" w:line="165" w:lineRule="exact"/>
        <w:rPr>
          <w:sz w:val="20"/>
          <w:szCs w:val="20"/>
          <w:color w:val="auto"/>
        </w:rPr>
      </w:pPr>
    </w:p>
    <w:p>
      <w:pPr>
        <w:ind w:right="540"/>
        <w:spacing w:after="0" w:line="261" w:lineRule="auto"/>
        <w:rPr>
          <w:sz w:val="20"/>
          <w:szCs w:val="20"/>
          <w:color w:val="auto"/>
        </w:rPr>
      </w:pPr>
      <w:r>
        <w:rPr>
          <w:rFonts w:ascii="Arial" w:cs="Arial" w:eastAsia="Arial" w:hAnsi="Arial"/>
          <w:sz w:val="16"/>
          <w:szCs w:val="16"/>
          <w:color w:val="0E2A35"/>
        </w:rPr>
        <w:t>When determining the level of actual performance for the OICP, the committee excluded the impact of certain events not contemplated when creating the initial targets. The metrics were adjusted for estimated productivity loss from supply chain disruption due to the Mercedes-Benz AG chassis recall in the first half of fiscal 2023.</w:t>
      </w:r>
    </w:p>
    <w:p>
      <w:pPr>
        <w:spacing w:after="0" w:line="142" w:lineRule="exact"/>
        <w:rPr>
          <w:sz w:val="20"/>
          <w:szCs w:val="20"/>
          <w:color w:val="auto"/>
        </w:rPr>
      </w:pPr>
    </w:p>
    <w:p>
      <w:pPr>
        <w:jc w:val="both"/>
        <w:ind w:right="100"/>
        <w:spacing w:after="0" w:line="256" w:lineRule="auto"/>
        <w:rPr>
          <w:sz w:val="20"/>
          <w:szCs w:val="20"/>
          <w:color w:val="auto"/>
        </w:rPr>
      </w:pPr>
      <w:r>
        <w:rPr>
          <w:rFonts w:ascii="Arial" w:cs="Arial" w:eastAsia="Arial" w:hAnsi="Arial"/>
          <w:sz w:val="16"/>
          <w:szCs w:val="16"/>
          <w:color w:val="0E2A35"/>
        </w:rPr>
        <w:t>The committee then considered and reviewed the CEO’s evaluation of each eligible NEO’s performance, other than himself. The committee determined that each of the participating NEOs earned his or her individual performance goal opportunity at a level of 130% of target for Mr. Hughes, 130% of target for Ms. Bogart and 110% of target for Mr. Bower. The committee also determined, in its sole discretion, that Mr. Happe’s level of achievement of his individual objectives was 125% of target.</w:t>
      </w:r>
    </w:p>
    <w:p>
      <w:pPr>
        <w:spacing w:after="0" w:line="283"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208915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4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0E2A35"/>
        </w:rPr>
        <w:t>The following table reflects the fiscal 2023 year-end salary, target OICP percentage and dollar amounts, and actual OICP percentage and dollar amounts earned by the NEOs, each as approved by the committee. The calculated portion of the OICP payout related to achievement of the metrics set at the beginning of the fiscal year is reported in the Summary Compensation Table under the “Non-Equity Incentive Plan Compensation” column.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0" w:type="dxa"/>
            <w:vAlign w:val="bottom"/>
            <w:shd w:val="clear" w:color="auto" w:fill="0E2A35"/>
          </w:tcPr>
          <w:p>
            <w:pPr>
              <w:spacing w:after="0"/>
              <w:rPr>
                <w:sz w:val="22"/>
                <w:szCs w:val="22"/>
                <w:color w:val="auto"/>
              </w:rPr>
            </w:pPr>
          </w:p>
        </w:tc>
        <w:tc>
          <w:tcPr>
            <w:tcW w:w="2320" w:type="dxa"/>
            <w:vAlign w:val="bottom"/>
            <w:shd w:val="clear" w:color="auto" w:fill="0E2A35"/>
          </w:tcPr>
          <w:p>
            <w:pPr>
              <w:spacing w:after="0"/>
              <w:rPr>
                <w:sz w:val="22"/>
                <w:szCs w:val="22"/>
                <w:color w:val="auto"/>
              </w:rPr>
            </w:pPr>
          </w:p>
        </w:tc>
        <w:tc>
          <w:tcPr>
            <w:tcW w:w="1820" w:type="dxa"/>
            <w:vAlign w:val="bottom"/>
            <w:shd w:val="clear" w:color="auto" w:fill="0E2A35"/>
          </w:tcPr>
          <w:p>
            <w:pPr>
              <w:jc w:val="right"/>
              <w:ind w:right="691"/>
              <w:spacing w:after="0"/>
              <w:rPr>
                <w:sz w:val="20"/>
                <w:szCs w:val="20"/>
                <w:color w:val="auto"/>
              </w:rPr>
            </w:pPr>
            <w:r>
              <w:rPr>
                <w:rFonts w:ascii="Arial" w:cs="Arial" w:eastAsia="Arial" w:hAnsi="Arial"/>
                <w:sz w:val="13"/>
                <w:szCs w:val="13"/>
                <w:b w:val="1"/>
                <w:bCs w:val="1"/>
                <w:color w:val="FFFFFF"/>
              </w:rPr>
              <w:t>​</w:t>
            </w:r>
          </w:p>
        </w:tc>
        <w:tc>
          <w:tcPr>
            <w:tcW w:w="220" w:type="dxa"/>
            <w:vAlign w:val="bottom"/>
            <w:shd w:val="clear" w:color="auto" w:fill="0E2A35"/>
          </w:tcPr>
          <w:p>
            <w:pPr>
              <w:spacing w:after="0"/>
              <w:rPr>
                <w:sz w:val="22"/>
                <w:szCs w:val="22"/>
                <w:color w:val="auto"/>
              </w:rPr>
            </w:pPr>
          </w:p>
        </w:tc>
        <w:tc>
          <w:tcPr>
            <w:tcW w:w="2100" w:type="dxa"/>
            <w:vAlign w:val="bottom"/>
            <w:gridSpan w:val="2"/>
            <w:shd w:val="clear" w:color="auto" w:fill="0E2A35"/>
          </w:tcPr>
          <w:p>
            <w:pPr>
              <w:jc w:val="right"/>
              <w:ind w:right="270"/>
              <w:spacing w:after="0"/>
              <w:rPr>
                <w:sz w:val="20"/>
                <w:szCs w:val="20"/>
                <w:color w:val="auto"/>
              </w:rPr>
            </w:pPr>
            <w:r>
              <w:rPr>
                <w:rFonts w:ascii="Arial" w:cs="Arial" w:eastAsia="Arial" w:hAnsi="Arial"/>
                <w:sz w:val="13"/>
                <w:szCs w:val="13"/>
                <w:b w:val="1"/>
                <w:bCs w:val="1"/>
                <w:color w:val="FFFFFF"/>
              </w:rPr>
              <w:t>Fiscal 2023 Target OICP</w:t>
            </w:r>
          </w:p>
        </w:tc>
        <w:tc>
          <w:tcPr>
            <w:tcW w:w="480" w:type="dxa"/>
            <w:vAlign w:val="bottom"/>
            <w:shd w:val="clear" w:color="auto" w:fill="0E2A35"/>
          </w:tcPr>
          <w:p>
            <w:pPr>
              <w:spacing w:after="0"/>
              <w:rPr>
                <w:sz w:val="22"/>
                <w:szCs w:val="22"/>
                <w:color w:val="auto"/>
              </w:rPr>
            </w:pPr>
          </w:p>
        </w:tc>
        <w:tc>
          <w:tcPr>
            <w:tcW w:w="1980" w:type="dxa"/>
            <w:vAlign w:val="bottom"/>
            <w:gridSpan w:val="3"/>
            <w:shd w:val="clear" w:color="auto" w:fill="0E2A35"/>
          </w:tcPr>
          <w:p>
            <w:pPr>
              <w:ind w:left="280"/>
              <w:spacing w:after="0"/>
              <w:rPr>
                <w:sz w:val="20"/>
                <w:szCs w:val="20"/>
                <w:color w:val="auto"/>
              </w:rPr>
            </w:pPr>
            <w:r>
              <w:rPr>
                <w:rFonts w:ascii="Arial" w:cs="Arial" w:eastAsia="Arial" w:hAnsi="Arial"/>
                <w:sz w:val="13"/>
                <w:szCs w:val="13"/>
                <w:b w:val="1"/>
                <w:bCs w:val="1"/>
                <w:color w:val="FFFFFF"/>
              </w:rPr>
              <w:t>Fiscal 2023 Actual OICP</w:t>
            </w:r>
          </w:p>
        </w:tc>
        <w:tc>
          <w:tcPr>
            <w:tcW w:w="0" w:type="dxa"/>
            <w:vAlign w:val="bottom"/>
          </w:tcPr>
          <w:p>
            <w:pPr>
              <w:spacing w:after="0"/>
              <w:rPr>
                <w:sz w:val="1"/>
                <w:szCs w:val="1"/>
                <w:color w:val="auto"/>
              </w:rPr>
            </w:pPr>
          </w:p>
        </w:tc>
      </w:tr>
      <w:tr>
        <w:trPr>
          <w:trHeight w:val="310"/>
        </w:trPr>
        <w:tc>
          <w:tcPr>
            <w:tcW w:w="2680" w:type="dxa"/>
            <w:vAlign w:val="bottom"/>
            <w:gridSpan w:val="2"/>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820" w:type="dxa"/>
            <w:vAlign w:val="bottom"/>
            <w:shd w:val="clear" w:color="auto" w:fill="0E2A35"/>
          </w:tcPr>
          <w:p>
            <w:pPr>
              <w:jc w:val="right"/>
              <w:ind w:right="411"/>
              <w:spacing w:after="0"/>
              <w:rPr>
                <w:sz w:val="20"/>
                <w:szCs w:val="20"/>
                <w:color w:val="auto"/>
              </w:rPr>
            </w:pPr>
            <w:r>
              <w:rPr>
                <w:rFonts w:ascii="Arial" w:cs="Arial" w:eastAsia="Arial" w:hAnsi="Arial"/>
                <w:sz w:val="13"/>
                <w:szCs w:val="13"/>
                <w:b w:val="1"/>
                <w:bCs w:val="1"/>
                <w:color w:val="FFFFFF"/>
              </w:rPr>
              <w:t>Fiscal 2023</w:t>
            </w:r>
          </w:p>
        </w:tc>
        <w:tc>
          <w:tcPr>
            <w:tcW w:w="220" w:type="dxa"/>
            <w:vAlign w:val="bottom"/>
            <w:shd w:val="clear" w:color="auto" w:fill="0E2A35"/>
          </w:tcPr>
          <w:p>
            <w:pPr>
              <w:spacing w:after="0"/>
              <w:rPr>
                <w:sz w:val="24"/>
                <w:szCs w:val="24"/>
                <w:color w:val="auto"/>
              </w:rPr>
            </w:pPr>
          </w:p>
        </w:tc>
        <w:tc>
          <w:tcPr>
            <w:tcW w:w="980" w:type="dxa"/>
            <w:vAlign w:val="bottom"/>
            <w:vMerge w:val="restart"/>
            <w:shd w:val="clear" w:color="auto" w:fill="0E2A35"/>
          </w:tcPr>
          <w:p>
            <w:pPr>
              <w:jc w:val="center"/>
              <w:ind w:right="193"/>
              <w:spacing w:after="0"/>
              <w:rPr>
                <w:sz w:val="20"/>
                <w:szCs w:val="20"/>
                <w:color w:val="auto"/>
              </w:rPr>
            </w:pPr>
            <w:r>
              <w:rPr>
                <w:rFonts w:ascii="Arial" w:cs="Arial" w:eastAsia="Arial" w:hAnsi="Arial"/>
                <w:sz w:val="13"/>
                <w:szCs w:val="13"/>
                <w:b w:val="1"/>
                <w:bCs w:val="1"/>
                <w:color w:val="FFFFFF"/>
                <w:w w:val="96"/>
              </w:rPr>
              <w:t>%​ of Salary</w:t>
            </w:r>
          </w:p>
        </w:tc>
        <w:tc>
          <w:tcPr>
            <w:tcW w:w="1120" w:type="dxa"/>
            <w:vAlign w:val="bottom"/>
            <w:vMerge w:val="restart"/>
            <w:shd w:val="clear" w:color="auto" w:fill="0E2A35"/>
          </w:tcPr>
          <w:p>
            <w:pPr>
              <w:jc w:val="right"/>
              <w:spacing w:after="0"/>
              <w:rPr>
                <w:sz w:val="20"/>
                <w:szCs w:val="20"/>
                <w:color w:val="auto"/>
              </w:rPr>
            </w:pPr>
            <w:r>
              <w:rPr>
                <w:rFonts w:ascii="Arial" w:cs="Arial" w:eastAsia="Arial" w:hAnsi="Arial"/>
                <w:sz w:val="13"/>
                <w:szCs w:val="13"/>
                <w:b w:val="1"/>
                <w:bCs w:val="1"/>
                <w:color w:val="FFFFFF"/>
              </w:rPr>
              <w:t>Target Award</w:t>
            </w:r>
          </w:p>
        </w:tc>
        <w:tc>
          <w:tcPr>
            <w:tcW w:w="480" w:type="dxa"/>
            <w:vAlign w:val="bottom"/>
            <w:shd w:val="clear" w:color="auto" w:fill="0E2A35"/>
          </w:tcPr>
          <w:p>
            <w:pPr>
              <w:spacing w:after="0"/>
              <w:rPr>
                <w:sz w:val="24"/>
                <w:szCs w:val="24"/>
                <w:color w:val="auto"/>
              </w:rPr>
            </w:pPr>
          </w:p>
        </w:tc>
        <w:tc>
          <w:tcPr>
            <w:tcW w:w="1000" w:type="dxa"/>
            <w:vAlign w:val="bottom"/>
            <w:gridSpan w:val="2"/>
            <w:vMerge w:val="restart"/>
            <w:shd w:val="clear" w:color="auto" w:fill="0E2A35"/>
          </w:tcPr>
          <w:p>
            <w:pPr>
              <w:jc w:val="right"/>
              <w:ind w:right="188"/>
              <w:spacing w:after="0"/>
              <w:rPr>
                <w:sz w:val="20"/>
                <w:szCs w:val="20"/>
                <w:color w:val="auto"/>
              </w:rPr>
            </w:pPr>
            <w:r>
              <w:rPr>
                <w:rFonts w:ascii="Arial" w:cs="Arial" w:eastAsia="Arial" w:hAnsi="Arial"/>
                <w:sz w:val="13"/>
                <w:szCs w:val="13"/>
                <w:b w:val="1"/>
                <w:bCs w:val="1"/>
                <w:color w:val="FFFFFF"/>
              </w:rPr>
              <w:t>%​ of Target</w:t>
            </w:r>
          </w:p>
        </w:tc>
        <w:tc>
          <w:tcPr>
            <w:tcW w:w="980" w:type="dxa"/>
            <w:vAlign w:val="bottom"/>
            <w:vMerge w:val="restart"/>
            <w:shd w:val="clear" w:color="auto" w:fill="0E2A35"/>
          </w:tcPr>
          <w:p>
            <w:pPr>
              <w:ind w:left="420"/>
              <w:spacing w:after="0"/>
              <w:rPr>
                <w:sz w:val="20"/>
                <w:szCs w:val="20"/>
                <w:color w:val="auto"/>
              </w:rPr>
            </w:pPr>
            <w:r>
              <w:rPr>
                <w:rFonts w:ascii="Arial" w:cs="Arial" w:eastAsia="Arial" w:hAnsi="Arial"/>
                <w:sz w:val="13"/>
                <w:szCs w:val="13"/>
                <w:b w:val="1"/>
                <w:bCs w:val="1"/>
                <w:color w:val="FFFFFF"/>
              </w:rPr>
              <w:t>Payout​​</w:t>
            </w:r>
          </w:p>
        </w:tc>
        <w:tc>
          <w:tcPr>
            <w:tcW w:w="0" w:type="dxa"/>
            <w:vAlign w:val="bottom"/>
          </w:tcPr>
          <w:p>
            <w:pPr>
              <w:spacing w:after="0"/>
              <w:rPr>
                <w:sz w:val="1"/>
                <w:szCs w:val="1"/>
                <w:color w:val="auto"/>
              </w:rPr>
            </w:pPr>
          </w:p>
        </w:tc>
      </w:tr>
      <w:tr>
        <w:trPr>
          <w:trHeight w:val="176"/>
        </w:trPr>
        <w:tc>
          <w:tcPr>
            <w:tcW w:w="2680" w:type="dxa"/>
            <w:vAlign w:val="bottom"/>
            <w:gridSpan w:val="2"/>
            <w:vMerge w:val="continue"/>
            <w:shd w:val="clear" w:color="auto" w:fill="0E2A35"/>
          </w:tcPr>
          <w:p>
            <w:pPr>
              <w:spacing w:after="0"/>
              <w:rPr>
                <w:sz w:val="15"/>
                <w:szCs w:val="15"/>
                <w:color w:val="auto"/>
              </w:rPr>
            </w:pPr>
          </w:p>
        </w:tc>
        <w:tc>
          <w:tcPr>
            <w:tcW w:w="1820" w:type="dxa"/>
            <w:vAlign w:val="bottom"/>
            <w:shd w:val="clear" w:color="auto" w:fill="0E2A35"/>
          </w:tcPr>
          <w:p>
            <w:pPr>
              <w:jc w:val="right"/>
              <w:ind w:right="211"/>
              <w:spacing w:after="0"/>
              <w:rPr>
                <w:sz w:val="20"/>
                <w:szCs w:val="20"/>
                <w:color w:val="auto"/>
              </w:rPr>
            </w:pPr>
            <w:r>
              <w:rPr>
                <w:rFonts w:ascii="Arial" w:cs="Arial" w:eastAsia="Arial" w:hAnsi="Arial"/>
                <w:sz w:val="13"/>
                <w:szCs w:val="13"/>
                <w:b w:val="1"/>
                <w:bCs w:val="1"/>
                <w:color w:val="FFFFFF"/>
              </w:rPr>
              <w:t>Eligible Earnings</w:t>
            </w:r>
          </w:p>
        </w:tc>
        <w:tc>
          <w:tcPr>
            <w:tcW w:w="220" w:type="dxa"/>
            <w:vAlign w:val="bottom"/>
            <w:shd w:val="clear" w:color="auto" w:fill="0E2A35"/>
          </w:tcPr>
          <w:p>
            <w:pPr>
              <w:spacing w:after="0"/>
              <w:rPr>
                <w:sz w:val="15"/>
                <w:szCs w:val="15"/>
                <w:color w:val="auto"/>
              </w:rPr>
            </w:pPr>
          </w:p>
        </w:tc>
        <w:tc>
          <w:tcPr>
            <w:tcW w:w="980" w:type="dxa"/>
            <w:vAlign w:val="bottom"/>
            <w:vMerge w:val="continue"/>
            <w:shd w:val="clear" w:color="auto" w:fill="0E2A35"/>
          </w:tcPr>
          <w:p>
            <w:pPr>
              <w:spacing w:after="0"/>
              <w:rPr>
                <w:sz w:val="15"/>
                <w:szCs w:val="15"/>
                <w:color w:val="auto"/>
              </w:rPr>
            </w:pPr>
          </w:p>
        </w:tc>
        <w:tc>
          <w:tcPr>
            <w:tcW w:w="1120" w:type="dxa"/>
            <w:vAlign w:val="bottom"/>
            <w:vMerge w:val="continue"/>
            <w:shd w:val="clear" w:color="auto" w:fill="0E2A35"/>
          </w:tcPr>
          <w:p>
            <w:pPr>
              <w:spacing w:after="0"/>
              <w:rPr>
                <w:sz w:val="15"/>
                <w:szCs w:val="15"/>
                <w:color w:val="auto"/>
              </w:rPr>
            </w:pPr>
          </w:p>
        </w:tc>
        <w:tc>
          <w:tcPr>
            <w:tcW w:w="480" w:type="dxa"/>
            <w:vAlign w:val="bottom"/>
            <w:shd w:val="clear" w:color="auto" w:fill="0E2A35"/>
          </w:tcPr>
          <w:p>
            <w:pPr>
              <w:spacing w:after="0"/>
              <w:rPr>
                <w:sz w:val="15"/>
                <w:szCs w:val="15"/>
                <w:color w:val="auto"/>
              </w:rPr>
            </w:pPr>
          </w:p>
        </w:tc>
        <w:tc>
          <w:tcPr>
            <w:tcW w:w="1000" w:type="dxa"/>
            <w:vAlign w:val="bottom"/>
            <w:gridSpan w:val="2"/>
            <w:vMerge w:val="continue"/>
            <w:shd w:val="clear" w:color="auto" w:fill="0E2A35"/>
          </w:tcPr>
          <w:p>
            <w:pPr>
              <w:spacing w:after="0"/>
              <w:rPr>
                <w:sz w:val="15"/>
                <w:szCs w:val="15"/>
                <w:color w:val="auto"/>
              </w:rPr>
            </w:pPr>
          </w:p>
        </w:tc>
        <w:tc>
          <w:tcPr>
            <w:tcW w:w="980" w:type="dxa"/>
            <w:vAlign w:val="bottom"/>
            <w:vMerge w:val="continue"/>
            <w:shd w:val="clear" w:color="auto" w:fill="0E2A35"/>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680" w:type="dxa"/>
            <w:vAlign w:val="bottom"/>
            <w:gridSpan w:val="2"/>
            <w:shd w:val="clear" w:color="auto" w:fill="0E2A35"/>
          </w:tcPr>
          <w:p>
            <w:pPr>
              <w:spacing w:after="0"/>
              <w:rPr>
                <w:sz w:val="7"/>
                <w:szCs w:val="7"/>
                <w:color w:val="auto"/>
              </w:rPr>
            </w:pPr>
          </w:p>
        </w:tc>
        <w:tc>
          <w:tcPr>
            <w:tcW w:w="1820" w:type="dxa"/>
            <w:vAlign w:val="bottom"/>
            <w:shd w:val="clear" w:color="auto" w:fill="0E2A35"/>
          </w:tcPr>
          <w:p>
            <w:pPr>
              <w:spacing w:after="0"/>
              <w:rPr>
                <w:sz w:val="7"/>
                <w:szCs w:val="7"/>
                <w:color w:val="auto"/>
              </w:rPr>
            </w:pPr>
          </w:p>
        </w:tc>
        <w:tc>
          <w:tcPr>
            <w:tcW w:w="220" w:type="dxa"/>
            <w:vAlign w:val="bottom"/>
            <w:shd w:val="clear" w:color="auto" w:fill="0E2A35"/>
          </w:tcPr>
          <w:p>
            <w:pPr>
              <w:spacing w:after="0"/>
              <w:rPr>
                <w:sz w:val="7"/>
                <w:szCs w:val="7"/>
                <w:color w:val="auto"/>
              </w:rPr>
            </w:pPr>
          </w:p>
        </w:tc>
        <w:tc>
          <w:tcPr>
            <w:tcW w:w="980" w:type="dxa"/>
            <w:vAlign w:val="bottom"/>
            <w:shd w:val="clear" w:color="auto" w:fill="0E2A35"/>
          </w:tcPr>
          <w:p>
            <w:pPr>
              <w:spacing w:after="0"/>
              <w:rPr>
                <w:sz w:val="7"/>
                <w:szCs w:val="7"/>
                <w:color w:val="auto"/>
              </w:rPr>
            </w:pPr>
          </w:p>
        </w:tc>
        <w:tc>
          <w:tcPr>
            <w:tcW w:w="1120" w:type="dxa"/>
            <w:vAlign w:val="bottom"/>
            <w:shd w:val="clear" w:color="auto" w:fill="0E2A35"/>
          </w:tcPr>
          <w:p>
            <w:pPr>
              <w:spacing w:after="0"/>
              <w:rPr>
                <w:sz w:val="7"/>
                <w:szCs w:val="7"/>
                <w:color w:val="auto"/>
              </w:rPr>
            </w:pPr>
          </w:p>
        </w:tc>
        <w:tc>
          <w:tcPr>
            <w:tcW w:w="480" w:type="dxa"/>
            <w:vAlign w:val="bottom"/>
            <w:shd w:val="clear" w:color="auto" w:fill="0E2A35"/>
          </w:tcPr>
          <w:p>
            <w:pPr>
              <w:spacing w:after="0"/>
              <w:rPr>
                <w:sz w:val="7"/>
                <w:szCs w:val="7"/>
                <w:color w:val="auto"/>
              </w:rPr>
            </w:pPr>
          </w:p>
        </w:tc>
        <w:tc>
          <w:tcPr>
            <w:tcW w:w="400" w:type="dxa"/>
            <w:vAlign w:val="bottom"/>
            <w:shd w:val="clear" w:color="auto" w:fill="0E2A35"/>
          </w:tcPr>
          <w:p>
            <w:pPr>
              <w:spacing w:after="0"/>
              <w:rPr>
                <w:sz w:val="7"/>
                <w:szCs w:val="7"/>
                <w:color w:val="auto"/>
              </w:rPr>
            </w:pPr>
          </w:p>
        </w:tc>
        <w:tc>
          <w:tcPr>
            <w:tcW w:w="600" w:type="dxa"/>
            <w:vAlign w:val="bottom"/>
            <w:shd w:val="clear" w:color="auto" w:fill="0E2A35"/>
          </w:tcPr>
          <w:p>
            <w:pPr>
              <w:spacing w:after="0"/>
              <w:rPr>
                <w:sz w:val="7"/>
                <w:szCs w:val="7"/>
                <w:color w:val="auto"/>
              </w:rPr>
            </w:pPr>
          </w:p>
        </w:tc>
        <w:tc>
          <w:tcPr>
            <w:tcW w:w="98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680" w:type="dxa"/>
            <w:vAlign w:val="bottom"/>
            <w:tcBorders>
              <w:bottom w:val="single" w:sz="8" w:color="0E2A35"/>
            </w:tcBorders>
            <w:gridSpan w:val="2"/>
          </w:tcPr>
          <w:p>
            <w:pPr>
              <w:ind w:left="60"/>
              <w:spacing w:after="0"/>
              <w:rPr>
                <w:sz w:val="20"/>
                <w:szCs w:val="20"/>
                <w:color w:val="auto"/>
              </w:rPr>
            </w:pPr>
            <w:r>
              <w:rPr>
                <w:rFonts w:ascii="Arial" w:cs="Arial" w:eastAsia="Arial" w:hAnsi="Arial"/>
                <w:sz w:val="14"/>
                <w:szCs w:val="14"/>
                <w:color w:val="0E2A35"/>
              </w:rPr>
              <w:t>Michael J. Happe</w:t>
            </w:r>
          </w:p>
        </w:tc>
        <w:tc>
          <w:tcPr>
            <w:tcW w:w="1820" w:type="dxa"/>
            <w:vAlign w:val="bottom"/>
            <w:tcBorders>
              <w:bottom w:val="single" w:sz="8" w:color="0E2A35"/>
            </w:tcBorders>
          </w:tcPr>
          <w:p>
            <w:pPr>
              <w:jc w:val="right"/>
              <w:ind w:right="391"/>
              <w:spacing w:after="0"/>
              <w:rPr>
                <w:sz w:val="20"/>
                <w:szCs w:val="20"/>
                <w:color w:val="auto"/>
              </w:rPr>
            </w:pPr>
            <w:r>
              <w:rPr>
                <w:rFonts w:ascii="Arial" w:cs="Arial" w:eastAsia="Arial" w:hAnsi="Arial"/>
                <w:sz w:val="14"/>
                <w:szCs w:val="14"/>
                <w:color w:val="0E2A35"/>
              </w:rPr>
              <w:t>$1,050,000</w:t>
            </w:r>
          </w:p>
        </w:tc>
        <w:tc>
          <w:tcPr>
            <w:tcW w:w="220" w:type="dxa"/>
            <w:vAlign w:val="bottom"/>
            <w:tcBorders>
              <w:bottom w:val="single" w:sz="8" w:color="0E2A35"/>
            </w:tcBorders>
          </w:tcPr>
          <w:p>
            <w:pPr>
              <w:spacing w:after="0"/>
              <w:rPr>
                <w:sz w:val="24"/>
                <w:szCs w:val="24"/>
                <w:color w:val="auto"/>
              </w:rPr>
            </w:pPr>
          </w:p>
        </w:tc>
        <w:tc>
          <w:tcPr>
            <w:tcW w:w="980" w:type="dxa"/>
            <w:vAlign w:val="bottom"/>
            <w:tcBorders>
              <w:bottom w:val="single" w:sz="8" w:color="0E2A35"/>
            </w:tcBorders>
          </w:tcPr>
          <w:p>
            <w:pPr>
              <w:jc w:val="center"/>
              <w:ind w:right="193"/>
              <w:spacing w:after="0"/>
              <w:rPr>
                <w:sz w:val="20"/>
                <w:szCs w:val="20"/>
                <w:color w:val="auto"/>
              </w:rPr>
            </w:pPr>
            <w:r>
              <w:rPr>
                <w:rFonts w:ascii="Arial" w:cs="Arial" w:eastAsia="Arial" w:hAnsi="Arial"/>
                <w:sz w:val="14"/>
                <w:szCs w:val="14"/>
                <w:color w:val="0E2A35"/>
                <w:w w:val="94"/>
              </w:rPr>
              <w:t>N/A​</w:t>
            </w:r>
            <w:r>
              <w:rPr>
                <w:rFonts w:ascii="Arial" w:cs="Arial" w:eastAsia="Arial" w:hAnsi="Arial"/>
                <w:sz w:val="23"/>
                <w:szCs w:val="23"/>
                <w:color w:val="0E2A35"/>
                <w:w w:val="94"/>
                <w:vertAlign w:val="superscript"/>
              </w:rPr>
              <w:t>(1)</w:t>
            </w:r>
          </w:p>
        </w:tc>
        <w:tc>
          <w:tcPr>
            <w:tcW w:w="1120" w:type="dxa"/>
            <w:vAlign w:val="bottom"/>
            <w:tcBorders>
              <w:bottom w:val="single" w:sz="8" w:color="0E2A35"/>
            </w:tcBorders>
          </w:tcPr>
          <w:p>
            <w:pPr>
              <w:jc w:val="right"/>
              <w:ind w:right="70"/>
              <w:spacing w:after="0"/>
              <w:rPr>
                <w:sz w:val="20"/>
                <w:szCs w:val="20"/>
                <w:color w:val="auto"/>
              </w:rPr>
            </w:pPr>
            <w:r>
              <w:rPr>
                <w:rFonts w:ascii="Arial" w:cs="Arial" w:eastAsia="Arial" w:hAnsi="Arial"/>
                <w:sz w:val="14"/>
                <w:szCs w:val="14"/>
                <w:color w:val="0E2A35"/>
              </w:rPr>
              <w:t>$1,200,000</w:t>
            </w:r>
          </w:p>
        </w:tc>
        <w:tc>
          <w:tcPr>
            <w:tcW w:w="480" w:type="dxa"/>
            <w:vAlign w:val="bottom"/>
            <w:tcBorders>
              <w:bottom w:val="single" w:sz="8" w:color="0E2A35"/>
            </w:tcBorders>
          </w:tcPr>
          <w:p>
            <w:pPr>
              <w:spacing w:after="0"/>
              <w:rPr>
                <w:sz w:val="24"/>
                <w:szCs w:val="24"/>
                <w:color w:val="auto"/>
              </w:rPr>
            </w:pPr>
          </w:p>
        </w:tc>
        <w:tc>
          <w:tcPr>
            <w:tcW w:w="40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w w:val="89"/>
              </w:rPr>
              <w:t>45​</w:t>
            </w:r>
          </w:p>
        </w:tc>
        <w:tc>
          <w:tcPr>
            <w:tcW w:w="600" w:type="dxa"/>
            <w:vAlign w:val="bottom"/>
            <w:tcBorders>
              <w:bottom w:val="single" w:sz="8" w:color="0E2A35"/>
            </w:tcBorders>
          </w:tcPr>
          <w:p>
            <w:pPr>
              <w:jc w:val="right"/>
              <w:ind w:right="408"/>
              <w:spacing w:after="0"/>
              <w:rPr>
                <w:sz w:val="20"/>
                <w:szCs w:val="20"/>
                <w:color w:val="auto"/>
              </w:rPr>
            </w:pPr>
            <w:r>
              <w:rPr>
                <w:rFonts w:ascii="Arial" w:cs="Arial" w:eastAsia="Arial" w:hAnsi="Arial"/>
                <w:sz w:val="14"/>
                <w:szCs w:val="14"/>
                <w:color w:val="0E2A35"/>
                <w:w w:val="85"/>
              </w:rPr>
              <w:t>.9</w:t>
            </w:r>
          </w:p>
        </w:tc>
        <w:tc>
          <w:tcPr>
            <w:tcW w:w="980" w:type="dxa"/>
            <w:vAlign w:val="bottom"/>
            <w:tcBorders>
              <w:bottom w:val="single" w:sz="8" w:color="0E2A35"/>
            </w:tcBorders>
          </w:tcPr>
          <w:p>
            <w:pPr>
              <w:ind w:left="280"/>
              <w:spacing w:after="0"/>
              <w:rPr>
                <w:sz w:val="20"/>
                <w:szCs w:val="20"/>
                <w:color w:val="auto"/>
              </w:rPr>
            </w:pPr>
            <w:r>
              <w:rPr>
                <w:rFonts w:ascii="Arial" w:cs="Arial" w:eastAsia="Arial" w:hAnsi="Arial"/>
                <w:sz w:val="14"/>
                <w:szCs w:val="14"/>
                <w:color w:val="0E2A35"/>
              </w:rPr>
              <w:t>$​550,500</w:t>
            </w:r>
          </w:p>
        </w:tc>
        <w:tc>
          <w:tcPr>
            <w:tcW w:w="0" w:type="dxa"/>
            <w:vAlign w:val="bottom"/>
          </w:tcPr>
          <w:p>
            <w:pPr>
              <w:spacing w:after="0"/>
              <w:rPr>
                <w:sz w:val="1"/>
                <w:szCs w:val="1"/>
                <w:color w:val="auto"/>
              </w:rPr>
            </w:pPr>
          </w:p>
        </w:tc>
      </w:tr>
      <w:tr>
        <w:trPr>
          <w:trHeight w:val="278"/>
        </w:trPr>
        <w:tc>
          <w:tcPr>
            <w:tcW w:w="2680" w:type="dxa"/>
            <w:vAlign w:val="bottom"/>
            <w:gridSpan w:val="2"/>
          </w:tcPr>
          <w:p>
            <w:pPr>
              <w:ind w:left="60"/>
              <w:spacing w:after="0"/>
              <w:rPr>
                <w:sz w:val="20"/>
                <w:szCs w:val="20"/>
                <w:color w:val="auto"/>
              </w:rPr>
            </w:pPr>
            <w:r>
              <w:rPr>
                <w:rFonts w:ascii="Arial" w:cs="Arial" w:eastAsia="Arial" w:hAnsi="Arial"/>
                <w:sz w:val="14"/>
                <w:szCs w:val="14"/>
                <w:color w:val="0E2A35"/>
              </w:rPr>
              <w:t>Bryan L. Hughes</w:t>
            </w:r>
          </w:p>
        </w:tc>
        <w:tc>
          <w:tcPr>
            <w:tcW w:w="1820" w:type="dxa"/>
            <w:vAlign w:val="bottom"/>
          </w:tcPr>
          <w:p>
            <w:pPr>
              <w:jc w:val="right"/>
              <w:ind w:right="391"/>
              <w:spacing w:after="0"/>
              <w:rPr>
                <w:sz w:val="20"/>
                <w:szCs w:val="20"/>
                <w:color w:val="auto"/>
              </w:rPr>
            </w:pPr>
            <w:r>
              <w:rPr>
                <w:rFonts w:ascii="Arial" w:cs="Arial" w:eastAsia="Arial" w:hAnsi="Arial"/>
                <w:sz w:val="14"/>
                <w:szCs w:val="14"/>
                <w:color w:val="0E2A35"/>
              </w:rPr>
              <w:t>575,000</w:t>
            </w:r>
          </w:p>
        </w:tc>
        <w:tc>
          <w:tcPr>
            <w:tcW w:w="1200" w:type="dxa"/>
            <w:vAlign w:val="bottom"/>
            <w:gridSpan w:val="2"/>
          </w:tcPr>
          <w:p>
            <w:pPr>
              <w:jc w:val="center"/>
              <w:spacing w:after="0"/>
              <w:rPr>
                <w:sz w:val="20"/>
                <w:szCs w:val="20"/>
                <w:color w:val="auto"/>
              </w:rPr>
            </w:pPr>
            <w:r>
              <w:rPr>
                <w:rFonts w:ascii="Arial" w:cs="Arial" w:eastAsia="Arial" w:hAnsi="Arial"/>
                <w:sz w:val="14"/>
                <w:szCs w:val="14"/>
                <w:color w:val="0E2A35"/>
              </w:rPr>
              <w:t>90.0%</w:t>
            </w:r>
          </w:p>
        </w:tc>
        <w:tc>
          <w:tcPr>
            <w:tcW w:w="1120" w:type="dxa"/>
            <w:vAlign w:val="bottom"/>
          </w:tcPr>
          <w:p>
            <w:pPr>
              <w:jc w:val="right"/>
              <w:ind w:right="70"/>
              <w:spacing w:after="0"/>
              <w:rPr>
                <w:sz w:val="20"/>
                <w:szCs w:val="20"/>
                <w:color w:val="auto"/>
              </w:rPr>
            </w:pPr>
            <w:r>
              <w:rPr>
                <w:rFonts w:ascii="Arial" w:cs="Arial" w:eastAsia="Arial" w:hAnsi="Arial"/>
                <w:sz w:val="14"/>
                <w:szCs w:val="14"/>
                <w:color w:val="0E2A35"/>
              </w:rPr>
              <w:t>517,500</w:t>
            </w:r>
          </w:p>
        </w:tc>
        <w:tc>
          <w:tcPr>
            <w:tcW w:w="48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Arial" w:cs="Arial" w:eastAsia="Arial" w:hAnsi="Arial"/>
                <w:sz w:val="14"/>
                <w:szCs w:val="14"/>
                <w:color w:val="0E2A35"/>
                <w:w w:val="89"/>
              </w:rPr>
              <w:t>47​</w:t>
            </w:r>
          </w:p>
        </w:tc>
        <w:tc>
          <w:tcPr>
            <w:tcW w:w="600" w:type="dxa"/>
            <w:vAlign w:val="bottom"/>
          </w:tcPr>
          <w:p>
            <w:pPr>
              <w:jc w:val="right"/>
              <w:ind w:right="408"/>
              <w:spacing w:after="0"/>
              <w:rPr>
                <w:sz w:val="20"/>
                <w:szCs w:val="20"/>
                <w:color w:val="auto"/>
              </w:rPr>
            </w:pPr>
            <w:r>
              <w:rPr>
                <w:rFonts w:ascii="Arial" w:cs="Arial" w:eastAsia="Arial" w:hAnsi="Arial"/>
                <w:sz w:val="14"/>
                <w:szCs w:val="14"/>
                <w:color w:val="0E2A35"/>
                <w:w w:val="85"/>
              </w:rPr>
              <w:t>.1</w:t>
            </w:r>
          </w:p>
        </w:tc>
        <w:tc>
          <w:tcPr>
            <w:tcW w:w="980" w:type="dxa"/>
            <w:vAlign w:val="bottom"/>
          </w:tcPr>
          <w:p>
            <w:pPr>
              <w:ind w:left="280"/>
              <w:spacing w:after="0"/>
              <w:rPr>
                <w:sz w:val="20"/>
                <w:szCs w:val="20"/>
                <w:color w:val="auto"/>
              </w:rPr>
            </w:pPr>
            <w:r>
              <w:rPr>
                <w:rFonts w:ascii="Arial" w:cs="Arial" w:eastAsia="Arial" w:hAnsi="Arial"/>
                <w:sz w:val="14"/>
                <w:szCs w:val="14"/>
                <w:color w:val="0E2A35"/>
              </w:rPr>
              <w:t>​ 243,872</w:t>
            </w:r>
          </w:p>
        </w:tc>
        <w:tc>
          <w:tcPr>
            <w:tcW w:w="0" w:type="dxa"/>
            <w:vAlign w:val="bottom"/>
          </w:tcPr>
          <w:p>
            <w:pPr>
              <w:spacing w:after="0"/>
              <w:rPr>
                <w:sz w:val="1"/>
                <w:szCs w:val="1"/>
                <w:color w:val="auto"/>
              </w:rPr>
            </w:pPr>
          </w:p>
        </w:tc>
      </w:tr>
      <w:tr>
        <w:trPr>
          <w:trHeight w:val="93"/>
        </w:trPr>
        <w:tc>
          <w:tcPr>
            <w:tcW w:w="2680" w:type="dxa"/>
            <w:vAlign w:val="bottom"/>
            <w:tcBorders>
              <w:bottom w:val="single" w:sz="8" w:color="0E2A35"/>
            </w:tcBorders>
            <w:gridSpan w:val="2"/>
          </w:tcPr>
          <w:p>
            <w:pPr>
              <w:spacing w:after="0"/>
              <w:rPr>
                <w:sz w:val="8"/>
                <w:szCs w:val="8"/>
                <w:color w:val="auto"/>
              </w:rPr>
            </w:pPr>
          </w:p>
        </w:tc>
        <w:tc>
          <w:tcPr>
            <w:tcW w:w="182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480" w:type="dxa"/>
            <w:vAlign w:val="bottom"/>
            <w:tcBorders>
              <w:bottom w:val="single" w:sz="8" w:color="0E2A35"/>
            </w:tcBorders>
          </w:tcPr>
          <w:p>
            <w:pPr>
              <w:spacing w:after="0"/>
              <w:rPr>
                <w:sz w:val="8"/>
                <w:szCs w:val="8"/>
                <w:color w:val="auto"/>
              </w:rPr>
            </w:pPr>
          </w:p>
        </w:tc>
        <w:tc>
          <w:tcPr>
            <w:tcW w:w="400" w:type="dxa"/>
            <w:vAlign w:val="bottom"/>
            <w:tcBorders>
              <w:bottom w:val="single" w:sz="8" w:color="0E2A35"/>
            </w:tcBorders>
          </w:tcPr>
          <w:p>
            <w:pPr>
              <w:spacing w:after="0"/>
              <w:rPr>
                <w:sz w:val="8"/>
                <w:szCs w:val="8"/>
                <w:color w:val="auto"/>
              </w:rPr>
            </w:pPr>
          </w:p>
        </w:tc>
        <w:tc>
          <w:tcPr>
            <w:tcW w:w="6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2680" w:type="dxa"/>
            <w:vAlign w:val="bottom"/>
            <w:gridSpan w:val="2"/>
          </w:tcPr>
          <w:p>
            <w:pPr>
              <w:ind w:left="60"/>
              <w:spacing w:after="0"/>
              <w:rPr>
                <w:sz w:val="20"/>
                <w:szCs w:val="20"/>
                <w:color w:val="auto"/>
              </w:rPr>
            </w:pPr>
            <w:r>
              <w:rPr>
                <w:rFonts w:ascii="Arial" w:cs="Arial" w:eastAsia="Arial" w:hAnsi="Arial"/>
                <w:sz w:val="14"/>
                <w:szCs w:val="14"/>
                <w:color w:val="0E2A35"/>
              </w:rPr>
              <w:t>Stacy L. Bogart</w:t>
            </w:r>
          </w:p>
        </w:tc>
        <w:tc>
          <w:tcPr>
            <w:tcW w:w="1820" w:type="dxa"/>
            <w:vAlign w:val="bottom"/>
          </w:tcPr>
          <w:p>
            <w:pPr>
              <w:jc w:val="right"/>
              <w:ind w:right="391"/>
              <w:spacing w:after="0"/>
              <w:rPr>
                <w:sz w:val="20"/>
                <w:szCs w:val="20"/>
                <w:color w:val="auto"/>
              </w:rPr>
            </w:pPr>
            <w:r>
              <w:rPr>
                <w:rFonts w:ascii="Arial" w:cs="Arial" w:eastAsia="Arial" w:hAnsi="Arial"/>
                <w:sz w:val="14"/>
                <w:szCs w:val="14"/>
                <w:color w:val="0E2A35"/>
              </w:rPr>
              <w:t>512,000</w:t>
            </w:r>
          </w:p>
        </w:tc>
        <w:tc>
          <w:tcPr>
            <w:tcW w:w="1200" w:type="dxa"/>
            <w:vAlign w:val="bottom"/>
            <w:gridSpan w:val="2"/>
          </w:tcPr>
          <w:p>
            <w:pPr>
              <w:jc w:val="center"/>
              <w:spacing w:after="0"/>
              <w:rPr>
                <w:sz w:val="20"/>
                <w:szCs w:val="20"/>
                <w:color w:val="auto"/>
              </w:rPr>
            </w:pPr>
            <w:r>
              <w:rPr>
                <w:rFonts w:ascii="Arial" w:cs="Arial" w:eastAsia="Arial" w:hAnsi="Arial"/>
                <w:sz w:val="14"/>
                <w:szCs w:val="14"/>
                <w:color w:val="0E2A35"/>
              </w:rPr>
              <w:t>80.0%</w:t>
            </w:r>
          </w:p>
        </w:tc>
        <w:tc>
          <w:tcPr>
            <w:tcW w:w="1120" w:type="dxa"/>
            <w:vAlign w:val="bottom"/>
          </w:tcPr>
          <w:p>
            <w:pPr>
              <w:jc w:val="right"/>
              <w:ind w:right="70"/>
              <w:spacing w:after="0"/>
              <w:rPr>
                <w:sz w:val="20"/>
                <w:szCs w:val="20"/>
                <w:color w:val="auto"/>
              </w:rPr>
            </w:pPr>
            <w:r>
              <w:rPr>
                <w:rFonts w:ascii="Arial" w:cs="Arial" w:eastAsia="Arial" w:hAnsi="Arial"/>
                <w:sz w:val="14"/>
                <w:szCs w:val="14"/>
                <w:color w:val="0E2A35"/>
              </w:rPr>
              <w:t>409,600</w:t>
            </w:r>
          </w:p>
        </w:tc>
        <w:tc>
          <w:tcPr>
            <w:tcW w:w="48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Arial" w:cs="Arial" w:eastAsia="Arial" w:hAnsi="Arial"/>
                <w:sz w:val="14"/>
                <w:szCs w:val="14"/>
                <w:color w:val="0E2A35"/>
                <w:w w:val="89"/>
              </w:rPr>
              <w:t>47​</w:t>
            </w:r>
          </w:p>
        </w:tc>
        <w:tc>
          <w:tcPr>
            <w:tcW w:w="600" w:type="dxa"/>
            <w:vAlign w:val="bottom"/>
          </w:tcPr>
          <w:p>
            <w:pPr>
              <w:jc w:val="right"/>
              <w:ind w:right="408"/>
              <w:spacing w:after="0"/>
              <w:rPr>
                <w:sz w:val="20"/>
                <w:szCs w:val="20"/>
                <w:color w:val="auto"/>
              </w:rPr>
            </w:pPr>
            <w:r>
              <w:rPr>
                <w:rFonts w:ascii="Arial" w:cs="Arial" w:eastAsia="Arial" w:hAnsi="Arial"/>
                <w:sz w:val="14"/>
                <w:szCs w:val="14"/>
                <w:color w:val="0E2A35"/>
                <w:w w:val="85"/>
              </w:rPr>
              <w:t>.1</w:t>
            </w:r>
          </w:p>
        </w:tc>
        <w:tc>
          <w:tcPr>
            <w:tcW w:w="980" w:type="dxa"/>
            <w:vAlign w:val="bottom"/>
          </w:tcPr>
          <w:p>
            <w:pPr>
              <w:ind w:left="280"/>
              <w:spacing w:after="0"/>
              <w:rPr>
                <w:sz w:val="20"/>
                <w:szCs w:val="20"/>
                <w:color w:val="auto"/>
              </w:rPr>
            </w:pPr>
            <w:r>
              <w:rPr>
                <w:rFonts w:ascii="Arial" w:cs="Arial" w:eastAsia="Arial" w:hAnsi="Arial"/>
                <w:sz w:val="14"/>
                <w:szCs w:val="14"/>
                <w:color w:val="0E2A35"/>
              </w:rPr>
              <w:t>​ 193,024</w:t>
            </w: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2320" w:type="dxa"/>
            <w:vAlign w:val="bottom"/>
            <w:tcBorders>
              <w:bottom w:val="single" w:sz="8" w:color="0E2A35"/>
            </w:tcBorders>
          </w:tcPr>
          <w:p>
            <w:pPr>
              <w:spacing w:after="0"/>
              <w:rPr>
                <w:sz w:val="8"/>
                <w:szCs w:val="8"/>
                <w:color w:val="auto"/>
              </w:rPr>
            </w:pPr>
          </w:p>
        </w:tc>
        <w:tc>
          <w:tcPr>
            <w:tcW w:w="182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480" w:type="dxa"/>
            <w:vAlign w:val="bottom"/>
            <w:tcBorders>
              <w:bottom w:val="single" w:sz="8" w:color="0E2A35"/>
            </w:tcBorders>
          </w:tcPr>
          <w:p>
            <w:pPr>
              <w:spacing w:after="0"/>
              <w:rPr>
                <w:sz w:val="8"/>
                <w:szCs w:val="8"/>
                <w:color w:val="auto"/>
              </w:rPr>
            </w:pPr>
          </w:p>
        </w:tc>
        <w:tc>
          <w:tcPr>
            <w:tcW w:w="400" w:type="dxa"/>
            <w:vAlign w:val="bottom"/>
            <w:tcBorders>
              <w:bottom w:val="single" w:sz="8" w:color="0E2A35"/>
            </w:tcBorders>
          </w:tcPr>
          <w:p>
            <w:pPr>
              <w:spacing w:after="0"/>
              <w:rPr>
                <w:sz w:val="8"/>
                <w:szCs w:val="8"/>
                <w:color w:val="auto"/>
              </w:rPr>
            </w:pPr>
          </w:p>
        </w:tc>
        <w:tc>
          <w:tcPr>
            <w:tcW w:w="60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60" w:type="dxa"/>
            <w:vAlign w:val="bottom"/>
          </w:tcPr>
          <w:p>
            <w:pPr>
              <w:ind w:left="60"/>
              <w:spacing w:after="0"/>
              <w:rPr>
                <w:sz w:val="20"/>
                <w:szCs w:val="20"/>
                <w:color w:val="auto"/>
              </w:rPr>
            </w:pPr>
            <w:r>
              <w:rPr>
                <w:rFonts w:ascii="Arial" w:cs="Arial" w:eastAsia="Arial" w:hAnsi="Arial"/>
                <w:sz w:val="14"/>
                <w:szCs w:val="14"/>
                <w:color w:val="0E2A35"/>
                <w:w w:val="99"/>
              </w:rPr>
              <w:t>Huw​</w:t>
            </w:r>
          </w:p>
        </w:tc>
        <w:tc>
          <w:tcPr>
            <w:tcW w:w="2320" w:type="dxa"/>
            <w:vAlign w:val="bottom"/>
          </w:tcPr>
          <w:p>
            <w:pPr>
              <w:ind w:left="20"/>
              <w:spacing w:after="0"/>
              <w:rPr>
                <w:sz w:val="20"/>
                <w:szCs w:val="20"/>
                <w:color w:val="auto"/>
              </w:rPr>
            </w:pPr>
            <w:r>
              <w:rPr>
                <w:rFonts w:ascii="Arial" w:cs="Arial" w:eastAsia="Arial" w:hAnsi="Arial"/>
                <w:sz w:val="14"/>
                <w:szCs w:val="14"/>
                <w:color w:val="0E2A35"/>
              </w:rPr>
              <w:t>S. Bower</w:t>
            </w:r>
          </w:p>
        </w:tc>
        <w:tc>
          <w:tcPr>
            <w:tcW w:w="1820" w:type="dxa"/>
            <w:vAlign w:val="bottom"/>
          </w:tcPr>
          <w:p>
            <w:pPr>
              <w:jc w:val="right"/>
              <w:ind w:right="391"/>
              <w:spacing w:after="0"/>
              <w:rPr>
                <w:sz w:val="20"/>
                <w:szCs w:val="20"/>
                <w:color w:val="auto"/>
              </w:rPr>
            </w:pPr>
            <w:r>
              <w:rPr>
                <w:rFonts w:ascii="Arial" w:cs="Arial" w:eastAsia="Arial" w:hAnsi="Arial"/>
                <w:sz w:val="14"/>
                <w:szCs w:val="14"/>
                <w:color w:val="0E2A35"/>
              </w:rPr>
              <w:t>592,000</w:t>
            </w:r>
          </w:p>
        </w:tc>
        <w:tc>
          <w:tcPr>
            <w:tcW w:w="1200" w:type="dxa"/>
            <w:vAlign w:val="bottom"/>
            <w:gridSpan w:val="2"/>
          </w:tcPr>
          <w:p>
            <w:pPr>
              <w:jc w:val="center"/>
              <w:spacing w:after="0"/>
              <w:rPr>
                <w:sz w:val="20"/>
                <w:szCs w:val="20"/>
                <w:color w:val="auto"/>
              </w:rPr>
            </w:pPr>
            <w:r>
              <w:rPr>
                <w:rFonts w:ascii="Arial" w:cs="Arial" w:eastAsia="Arial" w:hAnsi="Arial"/>
                <w:sz w:val="14"/>
                <w:szCs w:val="14"/>
                <w:color w:val="0E2A35"/>
              </w:rPr>
              <w:t>90.0%</w:t>
            </w:r>
          </w:p>
        </w:tc>
        <w:tc>
          <w:tcPr>
            <w:tcW w:w="1120" w:type="dxa"/>
            <w:vAlign w:val="bottom"/>
          </w:tcPr>
          <w:p>
            <w:pPr>
              <w:jc w:val="right"/>
              <w:ind w:right="70"/>
              <w:spacing w:after="0"/>
              <w:rPr>
                <w:sz w:val="20"/>
                <w:szCs w:val="20"/>
                <w:color w:val="auto"/>
              </w:rPr>
            </w:pPr>
            <w:r>
              <w:rPr>
                <w:rFonts w:ascii="Arial" w:cs="Arial" w:eastAsia="Arial" w:hAnsi="Arial"/>
                <w:sz w:val="14"/>
                <w:szCs w:val="14"/>
                <w:color w:val="0E2A35"/>
              </w:rPr>
              <w:t>532,800</w:t>
            </w:r>
          </w:p>
        </w:tc>
        <w:tc>
          <w:tcPr>
            <w:tcW w:w="48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Arial" w:cs="Arial" w:eastAsia="Arial" w:hAnsi="Arial"/>
                <w:sz w:val="14"/>
                <w:szCs w:val="14"/>
                <w:color w:val="0E2A35"/>
                <w:w w:val="89"/>
              </w:rPr>
              <w:t>27​</w:t>
            </w:r>
          </w:p>
        </w:tc>
        <w:tc>
          <w:tcPr>
            <w:tcW w:w="600" w:type="dxa"/>
            <w:vAlign w:val="bottom"/>
          </w:tcPr>
          <w:p>
            <w:pPr>
              <w:jc w:val="right"/>
              <w:ind w:right="408"/>
              <w:spacing w:after="0"/>
              <w:rPr>
                <w:sz w:val="20"/>
                <w:szCs w:val="20"/>
                <w:color w:val="auto"/>
              </w:rPr>
            </w:pPr>
            <w:r>
              <w:rPr>
                <w:rFonts w:ascii="Arial" w:cs="Arial" w:eastAsia="Arial" w:hAnsi="Arial"/>
                <w:sz w:val="14"/>
                <w:szCs w:val="14"/>
                <w:color w:val="0E2A35"/>
                <w:w w:val="85"/>
              </w:rPr>
              <w:t>.5</w:t>
            </w:r>
          </w:p>
        </w:tc>
        <w:tc>
          <w:tcPr>
            <w:tcW w:w="980" w:type="dxa"/>
            <w:vAlign w:val="bottom"/>
          </w:tcPr>
          <w:p>
            <w:pPr>
              <w:ind w:left="280"/>
              <w:spacing w:after="0"/>
              <w:rPr>
                <w:sz w:val="20"/>
                <w:szCs w:val="20"/>
                <w:color w:val="auto"/>
              </w:rPr>
            </w:pPr>
            <w:r>
              <w:rPr>
                <w:rFonts w:ascii="Arial" w:cs="Arial" w:eastAsia="Arial" w:hAnsi="Arial"/>
                <w:sz w:val="14"/>
                <w:szCs w:val="14"/>
                <w:color w:val="0E2A35"/>
              </w:rPr>
              <w:t>​ 146,520</w:t>
            </w:r>
          </w:p>
        </w:tc>
        <w:tc>
          <w:tcPr>
            <w:tcW w:w="0" w:type="dxa"/>
            <w:vAlign w:val="bottom"/>
          </w:tcPr>
          <w:p>
            <w:pPr>
              <w:spacing w:after="0"/>
              <w:rPr>
                <w:sz w:val="1"/>
                <w:szCs w:val="1"/>
                <w:color w:val="auto"/>
              </w:rPr>
            </w:pPr>
          </w:p>
        </w:tc>
      </w:tr>
      <w:tr>
        <w:trPr>
          <w:trHeight w:val="93"/>
        </w:trPr>
        <w:tc>
          <w:tcPr>
            <w:tcW w:w="2680" w:type="dxa"/>
            <w:vAlign w:val="bottom"/>
            <w:tcBorders>
              <w:bottom w:val="single" w:sz="8" w:color="0E2A35"/>
            </w:tcBorders>
            <w:gridSpan w:val="2"/>
          </w:tcPr>
          <w:p>
            <w:pPr>
              <w:spacing w:after="0"/>
              <w:rPr>
                <w:sz w:val="8"/>
                <w:szCs w:val="8"/>
                <w:color w:val="auto"/>
              </w:rPr>
            </w:pPr>
          </w:p>
        </w:tc>
        <w:tc>
          <w:tcPr>
            <w:tcW w:w="1820" w:type="dxa"/>
            <w:vAlign w:val="bottom"/>
            <w:tcBorders>
              <w:bottom w:val="single" w:sz="8" w:color="0E2A35"/>
            </w:tcBorders>
          </w:tcPr>
          <w:p>
            <w:pPr>
              <w:spacing w:after="0"/>
              <w:rPr>
                <w:sz w:val="8"/>
                <w:szCs w:val="8"/>
                <w:color w:val="auto"/>
              </w:rPr>
            </w:pPr>
          </w:p>
        </w:tc>
        <w:tc>
          <w:tcPr>
            <w:tcW w:w="220" w:type="dxa"/>
            <w:vAlign w:val="bottom"/>
            <w:tcBorders>
              <w:bottom w:val="single" w:sz="8" w:color="0E2A35"/>
            </w:tcBorders>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480" w:type="dxa"/>
            <w:vAlign w:val="bottom"/>
            <w:tcBorders>
              <w:bottom w:val="single" w:sz="8" w:color="0E2A35"/>
            </w:tcBorders>
          </w:tcPr>
          <w:p>
            <w:pPr>
              <w:spacing w:after="0"/>
              <w:rPr>
                <w:sz w:val="8"/>
                <w:szCs w:val="8"/>
                <w:color w:val="auto"/>
              </w:rPr>
            </w:pPr>
          </w:p>
        </w:tc>
        <w:tc>
          <w:tcPr>
            <w:tcW w:w="1000" w:type="dxa"/>
            <w:vAlign w:val="bottom"/>
            <w:tcBorders>
              <w:bottom w:val="single" w:sz="8" w:color="0E2A35"/>
            </w:tcBorders>
            <w:gridSpan w:val="2"/>
          </w:tcPr>
          <w:p>
            <w:pPr>
              <w:spacing w:after="0"/>
              <w:rPr>
                <w:sz w:val="8"/>
                <w:szCs w:val="8"/>
                <w:color w:val="auto"/>
              </w:rPr>
            </w:pPr>
          </w:p>
        </w:tc>
        <w:tc>
          <w:tcPr>
            <w:tcW w:w="9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408"/>
        </w:trPr>
        <w:tc>
          <w:tcPr>
            <w:tcW w:w="2680" w:type="dxa"/>
            <w:vAlign w:val="bottom"/>
            <w:gridSpan w:val="2"/>
          </w:tcPr>
          <w:p>
            <w:pPr>
              <w:ind w:left="60"/>
              <w:spacing w:after="0"/>
              <w:rPr>
                <w:sz w:val="20"/>
                <w:szCs w:val="20"/>
                <w:color w:val="auto"/>
              </w:rPr>
            </w:pPr>
            <w:r>
              <w:rPr>
                <w:rFonts w:ascii="Arial" w:cs="Arial" w:eastAsia="Arial" w:hAnsi="Arial"/>
                <w:sz w:val="14"/>
                <w:szCs w:val="14"/>
                <w:color w:val="0E2A35"/>
              </w:rPr>
              <w:t>Donald J. Clark</w:t>
            </w:r>
            <w:r>
              <w:rPr>
                <w:rFonts w:ascii="Arial" w:cs="Arial" w:eastAsia="Arial" w:hAnsi="Arial"/>
                <w:sz w:val="23"/>
                <w:szCs w:val="23"/>
                <w:color w:val="0E2A35"/>
                <w:vertAlign w:val="superscript"/>
              </w:rPr>
              <w:t>(2)</w:t>
            </w:r>
          </w:p>
        </w:tc>
        <w:tc>
          <w:tcPr>
            <w:tcW w:w="1820" w:type="dxa"/>
            <w:vAlign w:val="bottom"/>
          </w:tcPr>
          <w:p>
            <w:pPr>
              <w:jc w:val="right"/>
              <w:ind w:right="391"/>
              <w:spacing w:after="0"/>
              <w:rPr>
                <w:sz w:val="20"/>
                <w:szCs w:val="20"/>
                <w:color w:val="auto"/>
              </w:rPr>
            </w:pPr>
            <w:r>
              <w:rPr>
                <w:rFonts w:ascii="Arial" w:cs="Arial" w:eastAsia="Arial" w:hAnsi="Arial"/>
                <w:sz w:val="14"/>
                <w:szCs w:val="14"/>
                <w:color w:val="0E2A35"/>
              </w:rPr>
              <w:t>N/A</w:t>
            </w:r>
          </w:p>
        </w:tc>
        <w:tc>
          <w:tcPr>
            <w:tcW w:w="220" w:type="dxa"/>
            <w:vAlign w:val="bottom"/>
          </w:tcPr>
          <w:p>
            <w:pPr>
              <w:spacing w:after="0"/>
              <w:rPr>
                <w:sz w:val="24"/>
                <w:szCs w:val="24"/>
                <w:color w:val="auto"/>
              </w:rPr>
            </w:pPr>
          </w:p>
        </w:tc>
        <w:tc>
          <w:tcPr>
            <w:tcW w:w="980" w:type="dxa"/>
            <w:vAlign w:val="bottom"/>
          </w:tcPr>
          <w:p>
            <w:pPr>
              <w:jc w:val="center"/>
              <w:ind w:right="193"/>
              <w:spacing w:after="0"/>
              <w:rPr>
                <w:sz w:val="20"/>
                <w:szCs w:val="20"/>
                <w:color w:val="auto"/>
              </w:rPr>
            </w:pPr>
            <w:r>
              <w:rPr>
                <w:rFonts w:ascii="Arial" w:cs="Arial" w:eastAsia="Arial" w:hAnsi="Arial"/>
                <w:sz w:val="14"/>
                <w:szCs w:val="14"/>
                <w:color w:val="0E2A35"/>
              </w:rPr>
              <w:t>N/A</w:t>
            </w:r>
          </w:p>
        </w:tc>
        <w:tc>
          <w:tcPr>
            <w:tcW w:w="1120" w:type="dxa"/>
            <w:vAlign w:val="bottom"/>
          </w:tcPr>
          <w:p>
            <w:pPr>
              <w:jc w:val="right"/>
              <w:ind w:right="50"/>
              <w:spacing w:after="0"/>
              <w:rPr>
                <w:sz w:val="20"/>
                <w:szCs w:val="20"/>
                <w:color w:val="auto"/>
              </w:rPr>
            </w:pPr>
            <w:r>
              <w:rPr>
                <w:rFonts w:ascii="Arial" w:cs="Arial" w:eastAsia="Arial" w:hAnsi="Arial"/>
                <w:sz w:val="14"/>
                <w:szCs w:val="14"/>
                <w:color w:val="0E2A35"/>
              </w:rPr>
              <w:t>N/A</w:t>
            </w:r>
          </w:p>
        </w:tc>
        <w:tc>
          <w:tcPr>
            <w:tcW w:w="480" w:type="dxa"/>
            <w:vAlign w:val="bottom"/>
          </w:tcPr>
          <w:p>
            <w:pPr>
              <w:spacing w:after="0"/>
              <w:rPr>
                <w:sz w:val="24"/>
                <w:szCs w:val="24"/>
                <w:color w:val="auto"/>
              </w:rPr>
            </w:pPr>
          </w:p>
        </w:tc>
        <w:tc>
          <w:tcPr>
            <w:tcW w:w="1000" w:type="dxa"/>
            <w:vAlign w:val="bottom"/>
            <w:gridSpan w:val="2"/>
          </w:tcPr>
          <w:p>
            <w:pPr>
              <w:jc w:val="right"/>
              <w:ind w:right="408"/>
              <w:spacing w:after="0"/>
              <w:rPr>
                <w:sz w:val="20"/>
                <w:szCs w:val="20"/>
                <w:color w:val="auto"/>
              </w:rPr>
            </w:pPr>
            <w:r>
              <w:rPr>
                <w:rFonts w:ascii="Arial" w:cs="Arial" w:eastAsia="Arial" w:hAnsi="Arial"/>
                <w:sz w:val="14"/>
                <w:szCs w:val="14"/>
                <w:color w:val="0E2A35"/>
              </w:rPr>
              <w:t>N/A</w:t>
            </w:r>
          </w:p>
        </w:tc>
        <w:tc>
          <w:tcPr>
            <w:tcW w:w="980" w:type="dxa"/>
            <w:vAlign w:val="bottom"/>
          </w:tcPr>
          <w:p>
            <w:pPr>
              <w:ind w:left="640"/>
              <w:spacing w:after="0"/>
              <w:rPr>
                <w:sz w:val="20"/>
                <w:szCs w:val="20"/>
                <w:color w:val="auto"/>
              </w:rPr>
            </w:pPr>
            <w:r>
              <w:rPr>
                <w:rFonts w:ascii="Arial" w:cs="Arial" w:eastAsia="Arial" w:hAnsi="Arial"/>
                <w:sz w:val="14"/>
                <w:szCs w:val="14"/>
                <w:color w:val="0E2A35"/>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978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-1583055</wp:posOffset>
            </wp:positionV>
            <wp:extent cx="28975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78" w:lineRule="exact"/>
        <w:rPr>
          <w:sz w:val="20"/>
          <w:szCs w:val="20"/>
          <w:color w:val="auto"/>
        </w:rPr>
      </w:pPr>
    </w:p>
    <w:p>
      <w:pPr>
        <w:ind w:left="360" w:hanging="360"/>
        <w:spacing w:after="0"/>
        <w:tabs>
          <w:tab w:leader="none" w:pos="360" w:val="left"/>
        </w:tabs>
        <w:numPr>
          <w:ilvl w:val="0"/>
          <w:numId w:val="34"/>
        </w:numPr>
        <w:rPr>
          <w:rFonts w:ascii="Arial" w:cs="Arial" w:eastAsia="Arial" w:hAnsi="Arial"/>
          <w:sz w:val="13"/>
          <w:szCs w:val="13"/>
          <w:color w:val="0E2A35"/>
        </w:rPr>
      </w:pPr>
      <w:r>
        <w:rPr>
          <w:rFonts w:ascii="Arial" w:cs="Arial" w:eastAsia="Arial" w:hAnsi="Arial"/>
          <w:sz w:val="13"/>
          <w:szCs w:val="13"/>
          <w:color w:val="0E2A35"/>
        </w:rPr>
        <w:t>Mr. Happe’s target OICP is set at the listed target award amount and is not calculated as a percent of his eligible earnings.</w:t>
      </w:r>
    </w:p>
    <w:p>
      <w:pPr>
        <w:spacing w:after="0" w:line="39" w:lineRule="exact"/>
        <w:rPr>
          <w:rFonts w:ascii="Arial" w:cs="Arial" w:eastAsia="Arial" w:hAnsi="Arial"/>
          <w:sz w:val="13"/>
          <w:szCs w:val="13"/>
          <w:color w:val="0E2A35"/>
        </w:rPr>
      </w:pPr>
    </w:p>
    <w:p>
      <w:pPr>
        <w:jc w:val="both"/>
        <w:ind w:left="360" w:right="460" w:hanging="360"/>
        <w:spacing w:after="0" w:line="273" w:lineRule="auto"/>
        <w:tabs>
          <w:tab w:leader="none" w:pos="360" w:val="left"/>
        </w:tabs>
        <w:numPr>
          <w:ilvl w:val="0"/>
          <w:numId w:val="34"/>
        </w:numPr>
        <w:rPr>
          <w:rFonts w:ascii="Arial" w:cs="Arial" w:eastAsia="Arial" w:hAnsi="Arial"/>
          <w:sz w:val="12"/>
          <w:szCs w:val="12"/>
          <w:color w:val="0E2A35"/>
        </w:rPr>
      </w:pPr>
      <w:r>
        <w:rPr>
          <w:rFonts w:ascii="Arial" w:cs="Arial" w:eastAsia="Arial" w:hAnsi="Arial"/>
          <w:sz w:val="12"/>
          <w:szCs w:val="12"/>
          <w:color w:val="0E2A35"/>
        </w:rPr>
        <w:t>Mr. Clark does not participate in the OICP. For fiscal 2023, Mr. Clark received an incentive bonus of $6,099,325 under the Grand Design MIP. Mr. Clark’s incentive under such plan is calculated as 3.5% of the pretax net income of Grand Design (before taking into account any bonus payments thereunder).</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Fiscal 2023 Equity Awards</w:t>
      </w:r>
    </w:p>
    <w:p>
      <w:pPr>
        <w:spacing w:after="0" w:line="188"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0E2A35"/>
        </w:rPr>
        <w:t>We recognize long-term incentive opportunity as an important element of the total executive compensation program for NEOs. Long-term incentives are intended to retain and motivate executives and to encourage a strong link between management objectives and long-term shareholder interests.</w:t>
      </w:r>
    </w:p>
    <w:p>
      <w:pPr>
        <w:spacing w:after="0" w:line="142" w:lineRule="exact"/>
        <w:rPr>
          <w:sz w:val="20"/>
          <w:szCs w:val="20"/>
          <w:color w:val="auto"/>
        </w:rPr>
      </w:pPr>
    </w:p>
    <w:p>
      <w:pPr>
        <w:ind w:right="660"/>
        <w:spacing w:after="0" w:line="276" w:lineRule="auto"/>
        <w:rPr>
          <w:sz w:val="20"/>
          <w:szCs w:val="20"/>
          <w:color w:val="auto"/>
        </w:rPr>
      </w:pPr>
      <w:r>
        <w:rPr>
          <w:rFonts w:ascii="Arial" w:cs="Arial" w:eastAsia="Arial" w:hAnsi="Arial"/>
          <w:sz w:val="16"/>
          <w:szCs w:val="16"/>
          <w:color w:val="0E2A35"/>
        </w:rPr>
        <w:t>In fiscal 2023 we awarded long-term incentives under our 2019 Plan in the form of annual LTIP performance share units, restricted stock units and stock options.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LTIP / Performance Share Units</w:t>
      </w:r>
    </w:p>
    <w:p>
      <w:pPr>
        <w:spacing w:after="0" w:line="188"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0E2A35"/>
        </w:rPr>
        <w:t>Each year, the committee establishes a three-year performance plan to promote our long-term growth and profitability and to attract and retain executives by providing them an opportunity for an incentive award consisting of performance shares of the Company’s common stock. The amount of an NEO’s performance share incentive compensation for the three-year period is calculated to be in direct linear proportion to our measured financial performance expressed as a percentage against compensation targets as approved by the committee.</w:t>
      </w:r>
    </w:p>
    <w:p>
      <w:pPr>
        <w:spacing w:after="0" w:line="164"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0E2A35"/>
        </w:rPr>
        <w:t>In general, the awards are based upon our financial performance as measured against the specific three-year plan approved by the committee. The committee approved financial measurements and weightings for each specific three-year plan (as set forth in the following chart).</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0E2A35"/>
        </w:rPr>
        <w:t>For the fiscal 2023-2025 LTIP performance share units, the committee selected the following Company performance metrics for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0E2A35"/>
        </w:rPr>
        <w:t>Messrs. Happe, Hughes and Bower and Ms. Bogart: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94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Metric</w:t>
            </w:r>
          </w:p>
        </w:tc>
        <w:tc>
          <w:tcPr>
            <w:tcW w:w="4340" w:type="dxa"/>
            <w:vAlign w:val="bottom"/>
            <w:shd w:val="clear" w:color="auto" w:fill="0E2A35"/>
          </w:tcPr>
          <w:p>
            <w:pPr>
              <w:jc w:val="right"/>
              <w:spacing w:after="0"/>
              <w:rPr>
                <w:sz w:val="20"/>
                <w:szCs w:val="20"/>
                <w:color w:val="auto"/>
              </w:rPr>
            </w:pPr>
            <w:r>
              <w:rPr>
                <w:rFonts w:ascii="Arial" w:cs="Arial" w:eastAsia="Arial" w:hAnsi="Arial"/>
                <w:sz w:val="13"/>
                <w:szCs w:val="13"/>
                <w:b w:val="1"/>
                <w:bCs w:val="1"/>
                <w:color w:val="FFFFFF"/>
              </w:rPr>
              <w:t>Weight</w:t>
            </w:r>
          </w:p>
        </w:tc>
      </w:tr>
      <w:tr>
        <w:trPr>
          <w:trHeight w:val="89"/>
        </w:trPr>
        <w:tc>
          <w:tcPr>
            <w:tcW w:w="4940" w:type="dxa"/>
            <w:vAlign w:val="bottom"/>
            <w:shd w:val="clear" w:color="auto" w:fill="0E2A35"/>
          </w:tcPr>
          <w:p>
            <w:pPr>
              <w:spacing w:after="0"/>
              <w:rPr>
                <w:sz w:val="7"/>
                <w:szCs w:val="7"/>
                <w:color w:val="auto"/>
              </w:rPr>
            </w:pPr>
          </w:p>
        </w:tc>
        <w:tc>
          <w:tcPr>
            <w:tcW w:w="4340" w:type="dxa"/>
            <w:vAlign w:val="bottom"/>
            <w:shd w:val="clear" w:color="auto" w:fill="0E2A35"/>
          </w:tcPr>
          <w:p>
            <w:pPr>
              <w:spacing w:after="0"/>
              <w:rPr>
                <w:sz w:val="7"/>
                <w:szCs w:val="7"/>
                <w:color w:val="auto"/>
              </w:rPr>
            </w:pPr>
          </w:p>
        </w:tc>
      </w:tr>
      <w:tr>
        <w:trPr>
          <w:trHeight w:val="285"/>
        </w:trPr>
        <w:tc>
          <w:tcPr>
            <w:tcW w:w="4940" w:type="dxa"/>
            <w:vAlign w:val="bottom"/>
          </w:tcPr>
          <w:p>
            <w:pPr>
              <w:ind w:left="60"/>
              <w:spacing w:after="0"/>
              <w:rPr>
                <w:sz w:val="20"/>
                <w:szCs w:val="20"/>
                <w:color w:val="auto"/>
              </w:rPr>
            </w:pPr>
            <w:r>
              <w:rPr>
                <w:rFonts w:ascii="Arial" w:cs="Arial" w:eastAsia="Arial" w:hAnsi="Arial"/>
                <w:sz w:val="14"/>
                <w:szCs w:val="14"/>
                <w:color w:val="0E2A35"/>
              </w:rPr>
              <w:t>​Incentive ROIC</w:t>
            </w:r>
          </w:p>
        </w:tc>
        <w:tc>
          <w:tcPr>
            <w:tcW w:w="4340" w:type="dxa"/>
            <w:vAlign w:val="bottom"/>
          </w:tcPr>
          <w:p>
            <w:pPr>
              <w:jc w:val="right"/>
              <w:spacing w:after="0"/>
              <w:rPr>
                <w:sz w:val="20"/>
                <w:szCs w:val="20"/>
                <w:color w:val="auto"/>
              </w:rPr>
            </w:pPr>
            <w:r>
              <w:rPr>
                <w:rFonts w:ascii="Arial" w:cs="Arial" w:eastAsia="Arial" w:hAnsi="Arial"/>
                <w:sz w:val="14"/>
                <w:szCs w:val="14"/>
                <w:color w:val="0E2A35"/>
              </w:rPr>
              <w:t>50%</w:t>
            </w:r>
          </w:p>
        </w:tc>
      </w:tr>
      <w:tr>
        <w:trPr>
          <w:trHeight w:val="93"/>
        </w:trPr>
        <w:tc>
          <w:tcPr>
            <w:tcW w:w="4940" w:type="dxa"/>
            <w:vAlign w:val="bottom"/>
            <w:tcBorders>
              <w:bottom w:val="single" w:sz="8" w:color="0E2A35"/>
            </w:tcBorders>
          </w:tcPr>
          <w:p>
            <w:pPr>
              <w:spacing w:after="0"/>
              <w:rPr>
                <w:sz w:val="8"/>
                <w:szCs w:val="8"/>
                <w:color w:val="auto"/>
              </w:rPr>
            </w:pPr>
          </w:p>
        </w:tc>
        <w:tc>
          <w:tcPr>
            <w:tcW w:w="4340" w:type="dxa"/>
            <w:vAlign w:val="bottom"/>
            <w:tcBorders>
              <w:bottom w:val="single" w:sz="8" w:color="0E2A35"/>
            </w:tcBorders>
          </w:tcPr>
          <w:p>
            <w:pPr>
              <w:spacing w:after="0"/>
              <w:rPr>
                <w:sz w:val="8"/>
                <w:szCs w:val="8"/>
                <w:color w:val="auto"/>
              </w:rPr>
            </w:pPr>
          </w:p>
        </w:tc>
      </w:tr>
      <w:tr>
        <w:trPr>
          <w:trHeight w:val="278"/>
        </w:trPr>
        <w:tc>
          <w:tcPr>
            <w:tcW w:w="4940" w:type="dxa"/>
            <w:vAlign w:val="bottom"/>
          </w:tcPr>
          <w:p>
            <w:pPr>
              <w:ind w:left="60"/>
              <w:spacing w:after="0"/>
              <w:rPr>
                <w:sz w:val="20"/>
                <w:szCs w:val="20"/>
                <w:color w:val="auto"/>
              </w:rPr>
            </w:pPr>
            <w:r>
              <w:rPr>
                <w:rFonts w:ascii="Arial" w:cs="Arial" w:eastAsia="Arial" w:hAnsi="Arial"/>
                <w:sz w:val="14"/>
                <w:szCs w:val="14"/>
                <w:color w:val="0E2A35"/>
              </w:rPr>
              <w:t>​Incentive EPS</w:t>
            </w:r>
          </w:p>
        </w:tc>
        <w:tc>
          <w:tcPr>
            <w:tcW w:w="4340" w:type="dxa"/>
            <w:vAlign w:val="bottom"/>
          </w:tcPr>
          <w:p>
            <w:pPr>
              <w:jc w:val="right"/>
              <w:spacing w:after="0"/>
              <w:rPr>
                <w:sz w:val="20"/>
                <w:szCs w:val="20"/>
                <w:color w:val="auto"/>
              </w:rPr>
            </w:pPr>
            <w:r>
              <w:rPr>
                <w:rFonts w:ascii="Arial" w:cs="Arial" w:eastAsia="Arial" w:hAnsi="Arial"/>
                <w:sz w:val="14"/>
                <w:szCs w:val="14"/>
                <w:color w:val="0E2A35"/>
              </w:rPr>
              <w:t>50%</w:t>
            </w:r>
          </w:p>
        </w:tc>
      </w:tr>
      <w:tr>
        <w:trPr>
          <w:trHeight w:val="93"/>
        </w:trPr>
        <w:tc>
          <w:tcPr>
            <w:tcW w:w="4940" w:type="dxa"/>
            <w:vAlign w:val="bottom"/>
            <w:tcBorders>
              <w:bottom w:val="single" w:sz="8" w:color="0E2A35"/>
            </w:tcBorders>
          </w:tcPr>
          <w:p>
            <w:pPr>
              <w:spacing w:after="0"/>
              <w:rPr>
                <w:sz w:val="8"/>
                <w:szCs w:val="8"/>
                <w:color w:val="auto"/>
              </w:rPr>
            </w:pPr>
          </w:p>
        </w:tc>
        <w:tc>
          <w:tcPr>
            <w:tcW w:w="4340" w:type="dxa"/>
            <w:vAlign w:val="bottom"/>
            <w:tcBorders>
              <w:bottom w:val="single" w:sz="8" w:color="0E2A35"/>
            </w:tcBorders>
          </w:tcPr>
          <w:p>
            <w:pPr>
              <w:spacing w:after="0"/>
              <w:rPr>
                <w:sz w:val="8"/>
                <w:szCs w:val="8"/>
                <w:color w:val="auto"/>
              </w:rPr>
            </w:pPr>
          </w:p>
        </w:tc>
      </w:tr>
    </w:tbl>
    <w:p>
      <w:pPr>
        <w:spacing w:after="0" w:line="273"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0E2A35"/>
        </w:rPr>
        <w:t>The Incentive ROIC metric was adjusted for the LTIP to exclude the following: (i) costs associated with the acquisition of Lithionics Battery and (ii) amortization. The Incentive EPS metric was adjusted from diluted EPS to exclude the following: (i) pretax acquisition-related costs related to the Lithionics Battery acquisition, (ii) pretax amortization, (iii) impact of convertible notes, including dilution impact economically offset by a call spread overlay, certain pretax interest expense, and/or assumed dilution as a result of the adoption of ASU 2020-06 in fiscal 2023, and (iv) the tax impact of the aforementioned adjustments, as applicable.</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0E2A35"/>
        </w:rPr>
        <w:t>Given the financial challenges of establishing a three-year performance plan in a cyclical industry, the committee decided to separate the fiscal 2023-2025 LTIP into four measurement periods. Each of these four measurement periods has the financial performance metrics described above with performance goals set at the beginning of the three-year performance period. The measurement periods and associated plan weighting are indicated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08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Measurement Period</w:t>
            </w:r>
          </w:p>
        </w:tc>
        <w:tc>
          <w:tcPr>
            <w:tcW w:w="1200" w:type="dxa"/>
            <w:vAlign w:val="bottom"/>
            <w:shd w:val="clear" w:color="auto" w:fill="0E2A35"/>
          </w:tcPr>
          <w:p>
            <w:pPr>
              <w:jc w:val="right"/>
              <w:spacing w:after="0"/>
              <w:rPr>
                <w:sz w:val="20"/>
                <w:szCs w:val="20"/>
                <w:color w:val="auto"/>
              </w:rPr>
            </w:pPr>
            <w:r>
              <w:rPr>
                <w:rFonts w:ascii="Arial" w:cs="Arial" w:eastAsia="Arial" w:hAnsi="Arial"/>
                <w:sz w:val="13"/>
                <w:szCs w:val="13"/>
                <w:b w:val="1"/>
                <w:bCs w:val="1"/>
                <w:color w:val="FFFFFF"/>
              </w:rPr>
              <w:t>Weight</w:t>
            </w:r>
          </w:p>
        </w:tc>
      </w:tr>
      <w:tr>
        <w:trPr>
          <w:trHeight w:val="62"/>
        </w:trPr>
        <w:tc>
          <w:tcPr>
            <w:tcW w:w="8080" w:type="dxa"/>
            <w:vAlign w:val="bottom"/>
            <w:shd w:val="clear" w:color="auto" w:fill="0E2A35"/>
          </w:tcPr>
          <w:p>
            <w:pPr>
              <w:spacing w:after="0"/>
              <w:rPr>
                <w:sz w:val="5"/>
                <w:szCs w:val="5"/>
                <w:color w:val="auto"/>
              </w:rPr>
            </w:pPr>
          </w:p>
        </w:tc>
        <w:tc>
          <w:tcPr>
            <w:tcW w:w="1200" w:type="dxa"/>
            <w:vAlign w:val="bottom"/>
            <w:shd w:val="clear" w:color="auto" w:fill="0E2A35"/>
          </w:tcPr>
          <w:p>
            <w:pPr>
              <w:spacing w:after="0"/>
              <w:rPr>
                <w:sz w:val="5"/>
                <w:szCs w:val="5"/>
                <w:color w:val="auto"/>
              </w:rPr>
            </w:pPr>
          </w:p>
        </w:tc>
      </w:tr>
      <w:tr>
        <w:trPr>
          <w:trHeight w:val="268"/>
        </w:trPr>
        <w:tc>
          <w:tcPr>
            <w:tcW w:w="8080" w:type="dxa"/>
            <w:vAlign w:val="bottom"/>
          </w:tcPr>
          <w:p>
            <w:pPr>
              <w:ind w:left="60"/>
              <w:spacing w:after="0"/>
              <w:rPr>
                <w:sz w:val="20"/>
                <w:szCs w:val="20"/>
                <w:color w:val="auto"/>
              </w:rPr>
            </w:pPr>
            <w:r>
              <w:rPr>
                <w:rFonts w:ascii="Arial" w:cs="Arial" w:eastAsia="Arial" w:hAnsi="Arial"/>
                <w:sz w:val="14"/>
                <w:szCs w:val="14"/>
                <w:b w:val="1"/>
                <w:bCs w:val="1"/>
                <w:color w:val="0E2A35"/>
              </w:rPr>
              <w:t xml:space="preserve">Period 1: </w:t>
            </w:r>
            <w:r>
              <w:rPr>
                <w:rFonts w:ascii="Arial" w:cs="Arial" w:eastAsia="Arial" w:hAnsi="Arial"/>
                <w:sz w:val="14"/>
                <w:szCs w:val="14"/>
                <w:color w:val="0E2A35"/>
              </w:rPr>
              <w:t>fiscal 2023 (financial performance measured against established fiscal 2023 financial plan)</w:t>
            </w:r>
          </w:p>
        </w:tc>
        <w:tc>
          <w:tcPr>
            <w:tcW w:w="1200" w:type="dxa"/>
            <w:vAlign w:val="bottom"/>
          </w:tcPr>
          <w:p>
            <w:pPr>
              <w:jc w:val="right"/>
              <w:spacing w:after="0"/>
              <w:rPr>
                <w:sz w:val="20"/>
                <w:szCs w:val="20"/>
                <w:color w:val="auto"/>
              </w:rPr>
            </w:pPr>
            <w:r>
              <w:rPr>
                <w:rFonts w:ascii="Arial" w:cs="Arial" w:eastAsia="Arial" w:hAnsi="Arial"/>
                <w:sz w:val="14"/>
                <w:szCs w:val="14"/>
                <w:color w:val="0E2A35"/>
              </w:rPr>
              <w:t>25%</w:t>
            </w:r>
          </w:p>
        </w:tc>
      </w:tr>
      <w:tr>
        <w:trPr>
          <w:trHeight w:val="56"/>
        </w:trPr>
        <w:tc>
          <w:tcPr>
            <w:tcW w:w="8080" w:type="dxa"/>
            <w:vAlign w:val="bottom"/>
            <w:tcBorders>
              <w:bottom w:val="single" w:sz="8" w:color="0E2A35"/>
            </w:tcBorders>
          </w:tcPr>
          <w:p>
            <w:pPr>
              <w:spacing w:after="0"/>
              <w:rPr>
                <w:sz w:val="4"/>
                <w:szCs w:val="4"/>
                <w:color w:val="auto"/>
              </w:rPr>
            </w:pPr>
          </w:p>
        </w:tc>
        <w:tc>
          <w:tcPr>
            <w:tcW w:w="1200" w:type="dxa"/>
            <w:vAlign w:val="bottom"/>
            <w:tcBorders>
              <w:bottom w:val="single" w:sz="8" w:color="0E2A35"/>
            </w:tcBorders>
          </w:tcPr>
          <w:p>
            <w:pPr>
              <w:spacing w:after="0"/>
              <w:rPr>
                <w:sz w:val="4"/>
                <w:szCs w:val="4"/>
                <w:color w:val="auto"/>
              </w:rPr>
            </w:pPr>
          </w:p>
        </w:tc>
      </w:tr>
      <w:tr>
        <w:trPr>
          <w:trHeight w:val="231"/>
        </w:trPr>
        <w:tc>
          <w:tcPr>
            <w:tcW w:w="8080" w:type="dxa"/>
            <w:vAlign w:val="bottom"/>
          </w:tcPr>
          <w:p>
            <w:pPr>
              <w:ind w:left="60"/>
              <w:spacing w:after="0"/>
              <w:rPr>
                <w:sz w:val="20"/>
                <w:szCs w:val="20"/>
                <w:color w:val="auto"/>
              </w:rPr>
            </w:pPr>
            <w:r>
              <w:rPr>
                <w:rFonts w:ascii="Arial" w:cs="Arial" w:eastAsia="Arial" w:hAnsi="Arial"/>
                <w:sz w:val="14"/>
                <w:szCs w:val="14"/>
                <w:b w:val="1"/>
                <w:bCs w:val="1"/>
                <w:color w:val="0E2A35"/>
              </w:rPr>
              <w:t xml:space="preserve">Period 2: </w:t>
            </w:r>
            <w:r>
              <w:rPr>
                <w:rFonts w:ascii="Arial" w:cs="Arial" w:eastAsia="Arial" w:hAnsi="Arial"/>
                <w:sz w:val="14"/>
                <w:szCs w:val="14"/>
                <w:color w:val="0E2A35"/>
              </w:rPr>
              <w:t>fiscal 2023-2024 growth (financial performance measured against established fiscal 2023-2024 financial</w:t>
            </w:r>
          </w:p>
        </w:tc>
        <w:tc>
          <w:tcPr>
            <w:tcW w:w="1200" w:type="dxa"/>
            <w:vAlign w:val="bottom"/>
          </w:tcPr>
          <w:p>
            <w:pPr>
              <w:spacing w:after="0"/>
              <w:rPr>
                <w:sz w:val="20"/>
                <w:szCs w:val="20"/>
                <w:color w:val="auto"/>
              </w:rPr>
            </w:pPr>
          </w:p>
        </w:tc>
      </w:tr>
      <w:tr>
        <w:trPr>
          <w:trHeight w:val="182"/>
        </w:trPr>
        <w:tc>
          <w:tcPr>
            <w:tcW w:w="8080" w:type="dxa"/>
            <w:vAlign w:val="bottom"/>
          </w:tcPr>
          <w:p>
            <w:pPr>
              <w:ind w:left="220"/>
              <w:spacing w:after="0"/>
              <w:rPr>
                <w:sz w:val="20"/>
                <w:szCs w:val="20"/>
                <w:color w:val="auto"/>
              </w:rPr>
            </w:pPr>
            <w:r>
              <w:rPr>
                <w:rFonts w:ascii="Arial" w:cs="Arial" w:eastAsia="Arial" w:hAnsi="Arial"/>
                <w:sz w:val="14"/>
                <w:szCs w:val="14"/>
                <w:color w:val="0E2A35"/>
              </w:rPr>
              <w:t>growth rates which contribute to overall fiscal 2023-2025 financial plan)</w:t>
            </w:r>
          </w:p>
        </w:tc>
        <w:tc>
          <w:tcPr>
            <w:tcW w:w="1200" w:type="dxa"/>
            <w:vAlign w:val="bottom"/>
          </w:tcPr>
          <w:p>
            <w:pPr>
              <w:jc w:val="right"/>
              <w:spacing w:after="0"/>
              <w:rPr>
                <w:sz w:val="20"/>
                <w:szCs w:val="20"/>
                <w:color w:val="auto"/>
              </w:rPr>
            </w:pPr>
            <w:r>
              <w:rPr>
                <w:rFonts w:ascii="Arial" w:cs="Arial" w:eastAsia="Arial" w:hAnsi="Arial"/>
                <w:sz w:val="14"/>
                <w:szCs w:val="14"/>
                <w:color w:val="0E2A35"/>
              </w:rPr>
              <w:t>25%</w:t>
            </w:r>
          </w:p>
        </w:tc>
      </w:tr>
      <w:tr>
        <w:trPr>
          <w:trHeight w:val="66"/>
        </w:trPr>
        <w:tc>
          <w:tcPr>
            <w:tcW w:w="8080" w:type="dxa"/>
            <w:vAlign w:val="bottom"/>
            <w:tcBorders>
              <w:bottom w:val="single" w:sz="8" w:color="0E2A35"/>
            </w:tcBorders>
          </w:tcPr>
          <w:p>
            <w:pPr>
              <w:spacing w:after="0"/>
              <w:rPr>
                <w:sz w:val="5"/>
                <w:szCs w:val="5"/>
                <w:color w:val="auto"/>
              </w:rPr>
            </w:pPr>
          </w:p>
        </w:tc>
        <w:tc>
          <w:tcPr>
            <w:tcW w:w="1200" w:type="dxa"/>
            <w:vAlign w:val="bottom"/>
            <w:tcBorders>
              <w:bottom w:val="single" w:sz="8" w:color="0E2A35"/>
            </w:tcBorders>
          </w:tcPr>
          <w:p>
            <w:pPr>
              <w:spacing w:after="0"/>
              <w:rPr>
                <w:sz w:val="5"/>
                <w:szCs w:val="5"/>
                <w:color w:val="auto"/>
              </w:rPr>
            </w:pPr>
          </w:p>
        </w:tc>
      </w:tr>
      <w:tr>
        <w:trPr>
          <w:trHeight w:val="231"/>
        </w:trPr>
        <w:tc>
          <w:tcPr>
            <w:tcW w:w="8080" w:type="dxa"/>
            <w:vAlign w:val="bottom"/>
          </w:tcPr>
          <w:p>
            <w:pPr>
              <w:ind w:left="60"/>
              <w:spacing w:after="0"/>
              <w:rPr>
                <w:sz w:val="20"/>
                <w:szCs w:val="20"/>
                <w:color w:val="auto"/>
              </w:rPr>
            </w:pPr>
            <w:r>
              <w:rPr>
                <w:rFonts w:ascii="Arial" w:cs="Arial" w:eastAsia="Arial" w:hAnsi="Arial"/>
                <w:sz w:val="14"/>
                <w:szCs w:val="14"/>
                <w:b w:val="1"/>
                <w:bCs w:val="1"/>
                <w:color w:val="0E2A35"/>
              </w:rPr>
              <w:t xml:space="preserve">Period 3: </w:t>
            </w:r>
            <w:r>
              <w:rPr>
                <w:rFonts w:ascii="Arial" w:cs="Arial" w:eastAsia="Arial" w:hAnsi="Arial"/>
                <w:sz w:val="14"/>
                <w:szCs w:val="14"/>
                <w:color w:val="0E2A35"/>
              </w:rPr>
              <w:t>fiscal 2024-2025 growth (financial performance measured against established fiscal 2024-2025 financial</w:t>
            </w:r>
          </w:p>
        </w:tc>
        <w:tc>
          <w:tcPr>
            <w:tcW w:w="1200" w:type="dxa"/>
            <w:vAlign w:val="bottom"/>
          </w:tcPr>
          <w:p>
            <w:pPr>
              <w:spacing w:after="0"/>
              <w:rPr>
                <w:sz w:val="20"/>
                <w:szCs w:val="20"/>
                <w:color w:val="auto"/>
              </w:rPr>
            </w:pPr>
          </w:p>
        </w:tc>
      </w:tr>
      <w:tr>
        <w:trPr>
          <w:trHeight w:val="182"/>
        </w:trPr>
        <w:tc>
          <w:tcPr>
            <w:tcW w:w="8080" w:type="dxa"/>
            <w:vAlign w:val="bottom"/>
          </w:tcPr>
          <w:p>
            <w:pPr>
              <w:ind w:left="220"/>
              <w:spacing w:after="0"/>
              <w:rPr>
                <w:sz w:val="20"/>
                <w:szCs w:val="20"/>
                <w:color w:val="auto"/>
              </w:rPr>
            </w:pPr>
            <w:r>
              <w:rPr>
                <w:rFonts w:ascii="Arial" w:cs="Arial" w:eastAsia="Arial" w:hAnsi="Arial"/>
                <w:sz w:val="14"/>
                <w:szCs w:val="14"/>
                <w:color w:val="0E2A35"/>
              </w:rPr>
              <w:t>growth rates which contribute to overall fiscal 2024-2025 financial plan)</w:t>
            </w:r>
          </w:p>
        </w:tc>
        <w:tc>
          <w:tcPr>
            <w:tcW w:w="1200" w:type="dxa"/>
            <w:vAlign w:val="bottom"/>
          </w:tcPr>
          <w:p>
            <w:pPr>
              <w:jc w:val="right"/>
              <w:spacing w:after="0"/>
              <w:rPr>
                <w:sz w:val="20"/>
                <w:szCs w:val="20"/>
                <w:color w:val="auto"/>
              </w:rPr>
            </w:pPr>
            <w:r>
              <w:rPr>
                <w:rFonts w:ascii="Arial" w:cs="Arial" w:eastAsia="Arial" w:hAnsi="Arial"/>
                <w:sz w:val="14"/>
                <w:szCs w:val="14"/>
                <w:color w:val="0E2A35"/>
              </w:rPr>
              <w:t>25%</w:t>
            </w:r>
          </w:p>
        </w:tc>
      </w:tr>
      <w:tr>
        <w:trPr>
          <w:trHeight w:val="66"/>
        </w:trPr>
        <w:tc>
          <w:tcPr>
            <w:tcW w:w="8080" w:type="dxa"/>
            <w:vAlign w:val="bottom"/>
            <w:tcBorders>
              <w:bottom w:val="single" w:sz="8" w:color="0E2A35"/>
            </w:tcBorders>
          </w:tcPr>
          <w:p>
            <w:pPr>
              <w:spacing w:after="0"/>
              <w:rPr>
                <w:sz w:val="5"/>
                <w:szCs w:val="5"/>
                <w:color w:val="auto"/>
              </w:rPr>
            </w:pPr>
          </w:p>
        </w:tc>
        <w:tc>
          <w:tcPr>
            <w:tcW w:w="1200" w:type="dxa"/>
            <w:vAlign w:val="bottom"/>
            <w:tcBorders>
              <w:bottom w:val="single" w:sz="8" w:color="0E2A35"/>
            </w:tcBorders>
          </w:tcPr>
          <w:p>
            <w:pPr>
              <w:spacing w:after="0"/>
              <w:rPr>
                <w:sz w:val="5"/>
                <w:szCs w:val="5"/>
                <w:color w:val="auto"/>
              </w:rPr>
            </w:pPr>
          </w:p>
        </w:tc>
      </w:tr>
      <w:tr>
        <w:trPr>
          <w:trHeight w:val="261"/>
        </w:trPr>
        <w:tc>
          <w:tcPr>
            <w:tcW w:w="8080" w:type="dxa"/>
            <w:vAlign w:val="bottom"/>
          </w:tcPr>
          <w:p>
            <w:pPr>
              <w:ind w:left="60"/>
              <w:spacing w:after="0"/>
              <w:rPr>
                <w:sz w:val="20"/>
                <w:szCs w:val="20"/>
                <w:color w:val="auto"/>
              </w:rPr>
            </w:pPr>
            <w:r>
              <w:rPr>
                <w:rFonts w:ascii="Arial" w:cs="Arial" w:eastAsia="Arial" w:hAnsi="Arial"/>
                <w:sz w:val="14"/>
                <w:szCs w:val="14"/>
                <w:b w:val="1"/>
                <w:bCs w:val="1"/>
                <w:color w:val="0E2A35"/>
              </w:rPr>
              <w:t xml:space="preserve">Period 4: </w:t>
            </w:r>
            <w:r>
              <w:rPr>
                <w:rFonts w:ascii="Arial" w:cs="Arial" w:eastAsia="Arial" w:hAnsi="Arial"/>
                <w:sz w:val="14"/>
                <w:szCs w:val="14"/>
                <w:color w:val="0E2A35"/>
              </w:rPr>
              <w:t>fiscal 2023-2025 (financial performance measured against established fiscal 2025 financial plan)</w:t>
            </w:r>
          </w:p>
        </w:tc>
        <w:tc>
          <w:tcPr>
            <w:tcW w:w="1200" w:type="dxa"/>
            <w:vAlign w:val="bottom"/>
          </w:tcPr>
          <w:p>
            <w:pPr>
              <w:jc w:val="right"/>
              <w:spacing w:after="0"/>
              <w:rPr>
                <w:sz w:val="20"/>
                <w:szCs w:val="20"/>
                <w:color w:val="auto"/>
              </w:rPr>
            </w:pPr>
            <w:r>
              <w:rPr>
                <w:rFonts w:ascii="Arial" w:cs="Arial" w:eastAsia="Arial" w:hAnsi="Arial"/>
                <w:sz w:val="14"/>
                <w:szCs w:val="14"/>
                <w:color w:val="0E2A35"/>
              </w:rPr>
              <w:t>25%</w:t>
            </w:r>
          </w:p>
        </w:tc>
      </w:tr>
      <w:tr>
        <w:trPr>
          <w:trHeight w:val="83"/>
        </w:trPr>
        <w:tc>
          <w:tcPr>
            <w:tcW w:w="8080" w:type="dxa"/>
            <w:vAlign w:val="bottom"/>
            <w:tcBorders>
              <w:bottom w:val="single" w:sz="8" w:color="0E2A35"/>
            </w:tcBorders>
          </w:tcPr>
          <w:p>
            <w:pPr>
              <w:spacing w:after="0"/>
              <w:rPr>
                <w:sz w:val="7"/>
                <w:szCs w:val="7"/>
                <w:color w:val="auto"/>
              </w:rPr>
            </w:pPr>
          </w:p>
        </w:tc>
        <w:tc>
          <w:tcPr>
            <w:tcW w:w="1200" w:type="dxa"/>
            <w:vAlign w:val="bottom"/>
            <w:tcBorders>
              <w:bottom w:val="single" w:sz="8" w:color="0E2A35"/>
            </w:tcBorders>
          </w:tcPr>
          <w:p>
            <w:pPr>
              <w:spacing w:after="0"/>
              <w:rPr>
                <w:sz w:val="7"/>
                <w:szCs w:val="7"/>
                <w:color w:val="auto"/>
              </w:rPr>
            </w:pPr>
          </w:p>
        </w:tc>
      </w:tr>
    </w:tbl>
    <w:p>
      <w:pPr>
        <w:spacing w:after="0" w:line="287"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0E2A35"/>
        </w:rPr>
        <w:t>Following the completion of each of these measurement periods, the results are computed, and the payout results are “banked” until the end of Period 4. Employees must be employed by the Company on the date of payout, following the end of Period 4, to receive any payout. The number of performance shares that may be earned range from 0% to 200% of the target share amount.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Restricted Stock Units</w:t>
      </w:r>
    </w:p>
    <w:p>
      <w:pPr>
        <w:spacing w:after="0" w:line="201" w:lineRule="exact"/>
        <w:rPr>
          <w:sz w:val="20"/>
          <w:szCs w:val="20"/>
          <w:color w:val="auto"/>
        </w:rPr>
      </w:pPr>
    </w:p>
    <w:p>
      <w:pPr>
        <w:ind w:right="580"/>
        <w:spacing w:after="0" w:line="276" w:lineRule="auto"/>
        <w:rPr>
          <w:sz w:val="20"/>
          <w:szCs w:val="20"/>
          <w:color w:val="auto"/>
        </w:rPr>
      </w:pPr>
      <w:r>
        <w:rPr>
          <w:rFonts w:ascii="Arial" w:cs="Arial" w:eastAsia="Arial" w:hAnsi="Arial"/>
          <w:sz w:val="16"/>
          <w:szCs w:val="16"/>
          <w:color w:val="0E2A35"/>
        </w:rPr>
        <w:t>In fiscal 2023, NEOs were granted restricted stock units that vest in three equal annual installments, beginning on the first anniversary of the grant date.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Stock Options</w:t>
      </w:r>
    </w:p>
    <w:p>
      <w:pPr>
        <w:spacing w:after="0" w:line="201" w:lineRule="exact"/>
        <w:rPr>
          <w:sz w:val="20"/>
          <w:szCs w:val="20"/>
          <w:color w:val="auto"/>
        </w:rPr>
      </w:pPr>
    </w:p>
    <w:p>
      <w:pPr>
        <w:ind w:right="840"/>
        <w:spacing w:after="0" w:line="276" w:lineRule="auto"/>
        <w:rPr>
          <w:sz w:val="20"/>
          <w:szCs w:val="20"/>
          <w:color w:val="auto"/>
        </w:rPr>
      </w:pPr>
      <w:r>
        <w:rPr>
          <w:rFonts w:ascii="Arial" w:cs="Arial" w:eastAsia="Arial" w:hAnsi="Arial"/>
          <w:sz w:val="16"/>
          <w:szCs w:val="16"/>
          <w:color w:val="0E2A35"/>
        </w:rPr>
        <w:t>In fiscal 2023, NEOs were granted stock options that vest over three years in equal installments, beginning on the first anniversary of the grant date, and can be exercised over 10 years.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Fiscal 2023 Awards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0E2A35"/>
        </w:rPr>
        <w:t>The target value of the equity incentive awards granted to the NEOs in fiscal 2023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5897880" cy="7112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97880" cy="711200"/>
                    </a:xfrm>
                    <a:prstGeom prst="rect">
                      <a:avLst/>
                    </a:prstGeom>
                    <a:noFill/>
                  </pic:spPr>
                </pic:pic>
              </a:graphicData>
            </a:graphic>
          </wp:anchor>
        </w:drawing>
      </w:r>
    </w:p>
    <w:p>
      <w:pPr>
        <w:spacing w:after="0" w:line="17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FFFFFF"/>
        </w:rPr>
        <w:t>Annual Awards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60" w:type="dxa"/>
            <w:vAlign w:val="bottom"/>
          </w:tcPr>
          <w:p>
            <w:pPr>
              <w:spacing w:after="0"/>
              <w:rPr>
                <w:sz w:val="19"/>
                <w:szCs w:val="19"/>
                <w:color w:val="auto"/>
              </w:rPr>
            </w:pPr>
          </w:p>
        </w:tc>
        <w:tc>
          <w:tcPr>
            <w:tcW w:w="1540" w:type="dxa"/>
            <w:vAlign w:val="bottom"/>
            <w:shd w:val="clear" w:color="auto" w:fill="0E2A35"/>
          </w:tcPr>
          <w:p>
            <w:pPr>
              <w:jc w:val="center"/>
              <w:ind w:left="152"/>
              <w:spacing w:after="0"/>
              <w:rPr>
                <w:sz w:val="20"/>
                <w:szCs w:val="20"/>
                <w:color w:val="auto"/>
              </w:rPr>
            </w:pPr>
            <w:r>
              <w:rPr>
                <w:rFonts w:ascii="Arial" w:cs="Arial" w:eastAsia="Arial" w:hAnsi="Arial"/>
                <w:sz w:val="13"/>
                <w:szCs w:val="13"/>
                <w:b w:val="1"/>
                <w:bCs w:val="1"/>
                <w:color w:val="FFFFFF"/>
                <w:w w:val="90"/>
              </w:rPr>
              <w:t>LTIP /</w:t>
            </w:r>
          </w:p>
        </w:tc>
        <w:tc>
          <w:tcPr>
            <w:tcW w:w="1220" w:type="dxa"/>
            <w:vAlign w:val="bottom"/>
            <w:shd w:val="clear" w:color="auto" w:fill="0E2A35"/>
          </w:tcPr>
          <w:p>
            <w:pPr>
              <w:spacing w:after="0"/>
              <w:rPr>
                <w:sz w:val="19"/>
                <w:szCs w:val="19"/>
                <w:color w:val="auto"/>
              </w:rPr>
            </w:pPr>
          </w:p>
        </w:tc>
        <w:tc>
          <w:tcPr>
            <w:tcW w:w="900" w:type="dxa"/>
            <w:vAlign w:val="bottom"/>
            <w:shd w:val="clear" w:color="auto" w:fill="0E2A35"/>
          </w:tcPr>
          <w:p>
            <w:pPr>
              <w:spacing w:after="0"/>
              <w:rPr>
                <w:sz w:val="19"/>
                <w:szCs w:val="19"/>
                <w:color w:val="auto"/>
              </w:rPr>
            </w:pPr>
          </w:p>
        </w:tc>
        <w:tc>
          <w:tcPr>
            <w:tcW w:w="240" w:type="dxa"/>
            <w:vAlign w:val="bottom"/>
            <w:shd w:val="clear" w:color="auto" w:fill="0E2A35"/>
          </w:tcPr>
          <w:p>
            <w:pPr>
              <w:spacing w:after="0"/>
              <w:rPr>
                <w:sz w:val="19"/>
                <w:szCs w:val="19"/>
                <w:color w:val="auto"/>
              </w:rPr>
            </w:pPr>
          </w:p>
        </w:tc>
        <w:tc>
          <w:tcPr>
            <w:tcW w:w="1220" w:type="dxa"/>
            <w:vAlign w:val="bottom"/>
            <w:shd w:val="clear" w:color="auto" w:fill="0E2A35"/>
          </w:tcPr>
          <w:p>
            <w:pPr>
              <w:spacing w:after="0"/>
              <w:rPr>
                <w:sz w:val="19"/>
                <w:szCs w:val="19"/>
                <w:color w:val="auto"/>
              </w:rPr>
            </w:pPr>
          </w:p>
        </w:tc>
        <w:tc>
          <w:tcPr>
            <w:tcW w:w="1320" w:type="dxa"/>
            <w:vAlign w:val="bottom"/>
            <w:shd w:val="clear" w:color="auto" w:fill="0E2A35"/>
          </w:tcPr>
          <w:p>
            <w:pPr>
              <w:spacing w:after="0"/>
              <w:rPr>
                <w:sz w:val="19"/>
                <w:szCs w:val="19"/>
                <w:color w:val="auto"/>
              </w:rPr>
            </w:pPr>
          </w:p>
        </w:tc>
        <w:tc>
          <w:tcPr>
            <w:tcW w:w="108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760" w:type="dxa"/>
            <w:vAlign w:val="bottom"/>
          </w:tcPr>
          <w:p>
            <w:pPr>
              <w:spacing w:after="0"/>
              <w:rPr>
                <w:sz w:val="14"/>
                <w:szCs w:val="14"/>
                <w:color w:val="auto"/>
              </w:rPr>
            </w:pPr>
          </w:p>
        </w:tc>
        <w:tc>
          <w:tcPr>
            <w:tcW w:w="1540" w:type="dxa"/>
            <w:vAlign w:val="bottom"/>
            <w:shd w:val="clear" w:color="auto" w:fill="0E2A35"/>
          </w:tcPr>
          <w:p>
            <w:pPr>
              <w:jc w:val="center"/>
              <w:ind w:left="152"/>
              <w:spacing w:after="0"/>
              <w:rPr>
                <w:sz w:val="20"/>
                <w:szCs w:val="20"/>
                <w:color w:val="auto"/>
              </w:rPr>
            </w:pPr>
            <w:r>
              <w:rPr>
                <w:rFonts w:ascii="Arial" w:cs="Arial" w:eastAsia="Arial" w:hAnsi="Arial"/>
                <w:sz w:val="13"/>
                <w:szCs w:val="13"/>
                <w:b w:val="1"/>
                <w:bCs w:val="1"/>
                <w:color w:val="FFFFFF"/>
                <w:w w:val="95"/>
              </w:rPr>
              <w:t>Performance</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Restricted</w:t>
            </w:r>
          </w:p>
        </w:tc>
        <w:tc>
          <w:tcPr>
            <w:tcW w:w="900" w:type="dxa"/>
            <w:vAlign w:val="bottom"/>
            <w:shd w:val="clear" w:color="auto" w:fill="0E2A35"/>
          </w:tcPr>
          <w:p>
            <w:pPr>
              <w:jc w:val="center"/>
              <w:ind w:left="151"/>
              <w:spacing w:after="0"/>
              <w:rPr>
                <w:sz w:val="20"/>
                <w:szCs w:val="20"/>
                <w:color w:val="auto"/>
              </w:rPr>
            </w:pPr>
            <w:r>
              <w:rPr>
                <w:rFonts w:ascii="Arial" w:cs="Arial" w:eastAsia="Arial" w:hAnsi="Arial"/>
                <w:sz w:val="13"/>
                <w:szCs w:val="13"/>
                <w:b w:val="1"/>
                <w:bCs w:val="1"/>
                <w:color w:val="FFFFFF"/>
              </w:rPr>
              <w:t>Stock</w:t>
            </w:r>
          </w:p>
        </w:tc>
        <w:tc>
          <w:tcPr>
            <w:tcW w:w="240" w:type="dxa"/>
            <w:vAlign w:val="bottom"/>
            <w:shd w:val="clear" w:color="auto" w:fill="0E2A35"/>
          </w:tcPr>
          <w:p>
            <w:pPr>
              <w:spacing w:after="0"/>
              <w:rPr>
                <w:sz w:val="14"/>
                <w:szCs w:val="14"/>
                <w:color w:val="auto"/>
              </w:rPr>
            </w:pPr>
          </w:p>
        </w:tc>
        <w:tc>
          <w:tcPr>
            <w:tcW w:w="1220" w:type="dxa"/>
            <w:vAlign w:val="bottom"/>
            <w:shd w:val="clear" w:color="auto" w:fill="0E2A35"/>
          </w:tcPr>
          <w:p>
            <w:pPr>
              <w:spacing w:after="0"/>
              <w:rPr>
                <w:sz w:val="14"/>
                <w:szCs w:val="14"/>
                <w:color w:val="auto"/>
              </w:rPr>
            </w:pPr>
          </w:p>
        </w:tc>
        <w:tc>
          <w:tcPr>
            <w:tcW w:w="1320" w:type="dxa"/>
            <w:vAlign w:val="bottom"/>
            <w:shd w:val="clear" w:color="auto" w:fill="0E2A35"/>
          </w:tcPr>
          <w:p>
            <w:pPr>
              <w:spacing w:after="0"/>
              <w:rPr>
                <w:sz w:val="14"/>
                <w:szCs w:val="14"/>
                <w:color w:val="auto"/>
              </w:rPr>
            </w:pPr>
          </w:p>
        </w:tc>
        <w:tc>
          <w:tcPr>
            <w:tcW w:w="1080" w:type="dxa"/>
            <w:vAlign w:val="bottom"/>
            <w:vMerge w:val="restart"/>
            <w:shd w:val="clear" w:color="auto" w:fill="0E2A35"/>
          </w:tcPr>
          <w:p>
            <w:pPr>
              <w:jc w:val="right"/>
              <w:ind w:right="11"/>
              <w:spacing w:after="0"/>
              <w:rPr>
                <w:sz w:val="20"/>
                <w:szCs w:val="20"/>
                <w:color w:val="auto"/>
              </w:rPr>
            </w:pPr>
            <w:r>
              <w:rPr>
                <w:rFonts w:ascii="Arial" w:cs="Arial" w:eastAsia="Arial" w:hAnsi="Arial"/>
                <w:sz w:val="13"/>
                <w:szCs w:val="13"/>
                <w:b w:val="1"/>
                <w:bCs w:val="1"/>
                <w:color w:val="FFFFFF"/>
              </w:rPr>
              <w:t>%​ Increase/</w:t>
            </w:r>
          </w:p>
        </w:tc>
        <w:tc>
          <w:tcPr>
            <w:tcW w:w="0" w:type="dxa"/>
            <w:vAlign w:val="bottom"/>
          </w:tcPr>
          <w:p>
            <w:pPr>
              <w:spacing w:after="0"/>
              <w:rPr>
                <w:sz w:val="1"/>
                <w:szCs w:val="1"/>
                <w:color w:val="auto"/>
              </w:rPr>
            </w:pPr>
          </w:p>
        </w:tc>
      </w:tr>
      <w:tr>
        <w:trPr>
          <w:trHeight w:val="135"/>
        </w:trPr>
        <w:tc>
          <w:tcPr>
            <w:tcW w:w="1760" w:type="dxa"/>
            <w:vAlign w:val="bottom"/>
            <w:vMerge w:val="restart"/>
          </w:tcPr>
          <w:p>
            <w:pPr>
              <w:ind w:left="60"/>
              <w:spacing w:after="0"/>
              <w:rPr>
                <w:sz w:val="20"/>
                <w:szCs w:val="20"/>
                <w:color w:val="auto"/>
              </w:rPr>
            </w:pPr>
            <w:r>
              <w:rPr>
                <w:rFonts w:ascii="Arial" w:cs="Arial" w:eastAsia="Arial" w:hAnsi="Arial"/>
                <w:sz w:val="13"/>
                <w:szCs w:val="13"/>
                <w:b w:val="1"/>
                <w:bCs w:val="1"/>
                <w:color w:val="FFFFFF"/>
              </w:rPr>
              <w:t>Name</w:t>
            </w:r>
          </w:p>
        </w:tc>
        <w:tc>
          <w:tcPr>
            <w:tcW w:w="1540" w:type="dxa"/>
            <w:vAlign w:val="bottom"/>
            <w:shd w:val="clear" w:color="auto" w:fill="0E2A35"/>
          </w:tcPr>
          <w:p>
            <w:pPr>
              <w:jc w:val="center"/>
              <w:ind w:left="172"/>
              <w:spacing w:after="0" w:line="135" w:lineRule="exact"/>
              <w:rPr>
                <w:sz w:val="20"/>
                <w:szCs w:val="20"/>
                <w:color w:val="auto"/>
              </w:rPr>
            </w:pPr>
            <w:r>
              <w:rPr>
                <w:rFonts w:ascii="Arial" w:cs="Arial" w:eastAsia="Arial" w:hAnsi="Arial"/>
                <w:sz w:val="13"/>
                <w:szCs w:val="13"/>
                <w:b w:val="1"/>
                <w:bCs w:val="1"/>
                <w:color w:val="FFFFFF"/>
                <w:w w:val="96"/>
              </w:rPr>
              <w:t>Shares</w:t>
            </w:r>
          </w:p>
        </w:tc>
        <w:tc>
          <w:tcPr>
            <w:tcW w:w="12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Stock Units</w:t>
            </w:r>
          </w:p>
        </w:tc>
        <w:tc>
          <w:tcPr>
            <w:tcW w:w="900" w:type="dxa"/>
            <w:vAlign w:val="bottom"/>
            <w:shd w:val="clear" w:color="auto" w:fill="0E2A35"/>
          </w:tcPr>
          <w:p>
            <w:pPr>
              <w:jc w:val="center"/>
              <w:ind w:left="151"/>
              <w:spacing w:after="0" w:line="135" w:lineRule="exact"/>
              <w:rPr>
                <w:sz w:val="20"/>
                <w:szCs w:val="20"/>
                <w:color w:val="auto"/>
              </w:rPr>
            </w:pPr>
            <w:r>
              <w:rPr>
                <w:rFonts w:ascii="Arial" w:cs="Arial" w:eastAsia="Arial" w:hAnsi="Arial"/>
                <w:sz w:val="13"/>
                <w:szCs w:val="13"/>
                <w:b w:val="1"/>
                <w:bCs w:val="1"/>
                <w:color w:val="FFFFFF"/>
                <w:w w:val="97"/>
              </w:rPr>
              <w:t>Options</w:t>
            </w:r>
          </w:p>
        </w:tc>
        <w:tc>
          <w:tcPr>
            <w:tcW w:w="240" w:type="dxa"/>
            <w:vAlign w:val="bottom"/>
            <w:shd w:val="clear" w:color="auto" w:fill="0E2A35"/>
          </w:tcPr>
          <w:p>
            <w:pPr>
              <w:spacing w:after="0"/>
              <w:rPr>
                <w:sz w:val="11"/>
                <w:szCs w:val="11"/>
                <w:color w:val="auto"/>
              </w:rPr>
            </w:pPr>
          </w:p>
        </w:tc>
        <w:tc>
          <w:tcPr>
            <w:tcW w:w="1220" w:type="dxa"/>
            <w:vAlign w:val="bottom"/>
            <w:vMerge w:val="restart"/>
            <w:shd w:val="clear" w:color="auto" w:fill="0E2A35"/>
          </w:tcPr>
          <w:p>
            <w:pPr>
              <w:jc w:val="right"/>
              <w:ind w:right="197"/>
              <w:spacing w:after="0"/>
              <w:rPr>
                <w:sz w:val="20"/>
                <w:szCs w:val="20"/>
                <w:color w:val="auto"/>
              </w:rPr>
            </w:pPr>
            <w:r>
              <w:rPr>
                <w:rFonts w:ascii="Arial" w:cs="Arial" w:eastAsia="Arial" w:hAnsi="Arial"/>
                <w:sz w:val="13"/>
                <w:szCs w:val="13"/>
                <w:b w:val="1"/>
                <w:bCs w:val="1"/>
                <w:color w:val="FFFFFF"/>
              </w:rPr>
              <w:t>Fiscal 2023</w:t>
            </w:r>
          </w:p>
        </w:tc>
        <w:tc>
          <w:tcPr>
            <w:tcW w:w="1320" w:type="dxa"/>
            <w:vAlign w:val="bottom"/>
            <w:vMerge w:val="restart"/>
            <w:shd w:val="clear" w:color="auto" w:fill="0E2A35"/>
          </w:tcPr>
          <w:p>
            <w:pPr>
              <w:jc w:val="right"/>
              <w:ind w:right="250"/>
              <w:spacing w:after="0"/>
              <w:rPr>
                <w:sz w:val="20"/>
                <w:szCs w:val="20"/>
                <w:color w:val="auto"/>
              </w:rPr>
            </w:pPr>
            <w:r>
              <w:rPr>
                <w:rFonts w:ascii="Arial" w:cs="Arial" w:eastAsia="Arial" w:hAnsi="Arial"/>
                <w:sz w:val="13"/>
                <w:szCs w:val="13"/>
                <w:b w:val="1"/>
                <w:bCs w:val="1"/>
                <w:color w:val="FFFFFF"/>
              </w:rPr>
              <w:t>Fiscal 2022</w:t>
            </w:r>
          </w:p>
        </w:tc>
        <w:tc>
          <w:tcPr>
            <w:tcW w:w="1080" w:type="dxa"/>
            <w:vAlign w:val="bottom"/>
            <w:vMerge w:val="continue"/>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1760" w:type="dxa"/>
            <w:vAlign w:val="bottom"/>
            <w:vMerge w:val="continue"/>
          </w:tcPr>
          <w:p>
            <w:pPr>
              <w:spacing w:after="0"/>
              <w:rPr>
                <w:sz w:val="22"/>
                <w:szCs w:val="22"/>
                <w:color w:val="auto"/>
              </w:rPr>
            </w:pPr>
          </w:p>
        </w:tc>
        <w:tc>
          <w:tcPr>
            <w:tcW w:w="1540" w:type="dxa"/>
            <w:vAlign w:val="bottom"/>
            <w:shd w:val="clear" w:color="auto" w:fill="0E2A35"/>
          </w:tcPr>
          <w:p>
            <w:pPr>
              <w:jc w:val="center"/>
              <w:ind w:left="192"/>
              <w:spacing w:after="0"/>
              <w:rPr>
                <w:sz w:val="20"/>
                <w:szCs w:val="20"/>
                <w:color w:val="auto"/>
              </w:rPr>
            </w:pPr>
            <w:r>
              <w:rPr>
                <w:rFonts w:ascii="Arial" w:cs="Arial" w:eastAsia="Arial" w:hAnsi="Arial"/>
                <w:sz w:val="13"/>
                <w:szCs w:val="13"/>
                <w:b w:val="1"/>
                <w:bCs w:val="1"/>
                <w:color w:val="FFFFFF"/>
                <w:w w:val="94"/>
              </w:rPr>
              <w:t>(50%)</w:t>
            </w:r>
            <w:r>
              <w:rPr>
                <w:rFonts w:ascii="Arial" w:cs="Arial" w:eastAsia="Arial" w:hAnsi="Arial"/>
                <w:sz w:val="20"/>
                <w:szCs w:val="20"/>
                <w:b w:val="1"/>
                <w:bCs w:val="1"/>
                <w:color w:val="FFFFFF"/>
                <w:w w:val="94"/>
                <w:vertAlign w:val="superscript"/>
              </w:rPr>
              <w:t>(1)</w:t>
            </w:r>
          </w:p>
        </w:tc>
        <w:tc>
          <w:tcPr>
            <w:tcW w:w="12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(35%)</w:t>
            </w:r>
          </w:p>
        </w:tc>
        <w:tc>
          <w:tcPr>
            <w:tcW w:w="900" w:type="dxa"/>
            <w:vAlign w:val="bottom"/>
            <w:shd w:val="clear" w:color="auto" w:fill="0E2A35"/>
          </w:tcPr>
          <w:p>
            <w:pPr>
              <w:jc w:val="center"/>
              <w:ind w:left="171"/>
              <w:spacing w:after="0"/>
              <w:rPr>
                <w:sz w:val="20"/>
                <w:szCs w:val="20"/>
                <w:color w:val="auto"/>
              </w:rPr>
            </w:pPr>
            <w:r>
              <w:rPr>
                <w:rFonts w:ascii="Arial" w:cs="Arial" w:eastAsia="Arial" w:hAnsi="Arial"/>
                <w:sz w:val="13"/>
                <w:szCs w:val="13"/>
                <w:b w:val="1"/>
                <w:bCs w:val="1"/>
                <w:color w:val="FFFFFF"/>
                <w:w w:val="97"/>
              </w:rPr>
              <w:t>(15%)</w:t>
            </w:r>
          </w:p>
        </w:tc>
        <w:tc>
          <w:tcPr>
            <w:tcW w:w="240" w:type="dxa"/>
            <w:vAlign w:val="bottom"/>
            <w:shd w:val="clear" w:color="auto" w:fill="0E2A35"/>
          </w:tcPr>
          <w:p>
            <w:pPr>
              <w:spacing w:after="0"/>
              <w:rPr>
                <w:sz w:val="22"/>
                <w:szCs w:val="22"/>
                <w:color w:val="auto"/>
              </w:rPr>
            </w:pPr>
          </w:p>
        </w:tc>
        <w:tc>
          <w:tcPr>
            <w:tcW w:w="1220" w:type="dxa"/>
            <w:vAlign w:val="bottom"/>
            <w:vMerge w:val="continue"/>
            <w:shd w:val="clear" w:color="auto" w:fill="0E2A35"/>
          </w:tcPr>
          <w:p>
            <w:pPr>
              <w:spacing w:after="0"/>
              <w:rPr>
                <w:sz w:val="22"/>
                <w:szCs w:val="22"/>
                <w:color w:val="auto"/>
              </w:rPr>
            </w:pPr>
          </w:p>
        </w:tc>
        <w:tc>
          <w:tcPr>
            <w:tcW w:w="1320" w:type="dxa"/>
            <w:vAlign w:val="bottom"/>
            <w:vMerge w:val="continue"/>
            <w:shd w:val="clear" w:color="auto" w:fill="0E2A35"/>
          </w:tcPr>
          <w:p>
            <w:pPr>
              <w:spacing w:after="0"/>
              <w:rPr>
                <w:sz w:val="22"/>
                <w:szCs w:val="22"/>
                <w:color w:val="auto"/>
              </w:rPr>
            </w:pPr>
          </w:p>
        </w:tc>
        <w:tc>
          <w:tcPr>
            <w:tcW w:w="1080" w:type="dxa"/>
            <w:vAlign w:val="bottom"/>
            <w:shd w:val="clear" w:color="auto" w:fill="0E2A35"/>
          </w:tcPr>
          <w:p>
            <w:pPr>
              <w:jc w:val="right"/>
              <w:ind w:right="11"/>
              <w:spacing w:after="0"/>
              <w:rPr>
                <w:sz w:val="20"/>
                <w:szCs w:val="20"/>
                <w:color w:val="auto"/>
              </w:rPr>
            </w:pPr>
            <w:r>
              <w:rPr>
                <w:rFonts w:ascii="Arial" w:cs="Arial" w:eastAsia="Arial" w:hAnsi="Arial"/>
                <w:sz w:val="13"/>
                <w:szCs w:val="13"/>
                <w:b w:val="1"/>
                <w:bCs w:val="1"/>
                <w:color w:val="FFFFFF"/>
              </w:rPr>
              <w:t>Decrease</w:t>
            </w:r>
            <w:r>
              <w:rPr>
                <w:rFonts w:ascii="Arial" w:cs="Arial" w:eastAsia="Arial" w:hAnsi="Arial"/>
                <w:sz w:val="20"/>
                <w:szCs w:val="20"/>
                <w:b w:val="1"/>
                <w:bCs w:val="1"/>
                <w:color w:val="FFFFFF"/>
                <w:vertAlign w:val="superscript"/>
              </w:rPr>
              <w:t>(1)</w:t>
            </w:r>
          </w:p>
        </w:tc>
        <w:tc>
          <w:tcPr>
            <w:tcW w:w="0" w:type="dxa"/>
            <w:vAlign w:val="bottom"/>
          </w:tcPr>
          <w:p>
            <w:pPr>
              <w:spacing w:after="0"/>
              <w:rPr>
                <w:sz w:val="1"/>
                <w:szCs w:val="1"/>
                <w:color w:val="auto"/>
              </w:rPr>
            </w:pPr>
          </w:p>
        </w:tc>
      </w:tr>
      <w:tr>
        <w:trPr>
          <w:trHeight w:val="378"/>
        </w:trPr>
        <w:tc>
          <w:tcPr>
            <w:tcW w:w="176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Michael J. Happe</w:t>
            </w:r>
          </w:p>
        </w:tc>
        <w:tc>
          <w:tcPr>
            <w:tcW w:w="1540" w:type="dxa"/>
            <w:vAlign w:val="bottom"/>
            <w:tcBorders>
              <w:bottom w:val="single" w:sz="8" w:color="0E2A35"/>
            </w:tcBorders>
          </w:tcPr>
          <w:p>
            <w:pPr>
              <w:jc w:val="right"/>
              <w:ind w:right="232"/>
              <w:spacing w:after="0"/>
              <w:rPr>
                <w:sz w:val="20"/>
                <w:szCs w:val="20"/>
                <w:color w:val="auto"/>
              </w:rPr>
            </w:pPr>
            <w:r>
              <w:rPr>
                <w:rFonts w:ascii="Arial" w:cs="Arial" w:eastAsia="Arial" w:hAnsi="Arial"/>
                <w:sz w:val="14"/>
                <w:szCs w:val="14"/>
                <w:color w:val="0E2A35"/>
              </w:rPr>
              <w:t>$2,499,987</w:t>
            </w:r>
          </w:p>
        </w:tc>
        <w:tc>
          <w:tcPr>
            <w:tcW w:w="1220" w:type="dxa"/>
            <w:vAlign w:val="bottom"/>
            <w:tcBorders>
              <w:bottom w:val="single" w:sz="8" w:color="0E2A35"/>
            </w:tcBorders>
          </w:tcPr>
          <w:p>
            <w:pPr>
              <w:jc w:val="right"/>
              <w:ind w:right="171"/>
              <w:spacing w:after="0"/>
              <w:rPr>
                <w:sz w:val="20"/>
                <w:szCs w:val="20"/>
                <w:color w:val="auto"/>
              </w:rPr>
            </w:pPr>
            <w:r>
              <w:rPr>
                <w:rFonts w:ascii="Arial" w:cs="Arial" w:eastAsia="Arial" w:hAnsi="Arial"/>
                <w:sz w:val="14"/>
                <w:szCs w:val="14"/>
                <w:color w:val="0E2A35"/>
              </w:rPr>
              <w:t>$1,750,008</w:t>
            </w:r>
          </w:p>
        </w:tc>
        <w:tc>
          <w:tcPr>
            <w:tcW w:w="90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$749,992</w:t>
            </w:r>
          </w:p>
        </w:tc>
        <w:tc>
          <w:tcPr>
            <w:tcW w:w="1460" w:type="dxa"/>
            <w:vAlign w:val="bottom"/>
            <w:tcBorders>
              <w:bottom w:val="single" w:sz="8" w:color="0E2A35"/>
            </w:tcBorders>
            <w:gridSpan w:val="2"/>
          </w:tcPr>
          <w:p>
            <w:pPr>
              <w:jc w:val="right"/>
              <w:ind w:right="217"/>
              <w:spacing w:after="0"/>
              <w:rPr>
                <w:sz w:val="20"/>
                <w:szCs w:val="20"/>
                <w:color w:val="auto"/>
              </w:rPr>
            </w:pPr>
            <w:r>
              <w:rPr>
                <w:rFonts w:ascii="Arial" w:cs="Arial" w:eastAsia="Arial" w:hAnsi="Arial"/>
                <w:sz w:val="14"/>
                <w:szCs w:val="14"/>
                <w:color w:val="0E2A35"/>
              </w:rPr>
              <w:t>$4,999,988</w:t>
            </w:r>
          </w:p>
        </w:tc>
        <w:tc>
          <w:tcPr>
            <w:tcW w:w="1320" w:type="dxa"/>
            <w:vAlign w:val="bottom"/>
            <w:tcBorders>
              <w:bottom w:val="single" w:sz="8" w:color="0E2A35"/>
            </w:tcBorders>
          </w:tcPr>
          <w:p>
            <w:pPr>
              <w:jc w:val="right"/>
              <w:ind w:right="250"/>
              <w:spacing w:after="0"/>
              <w:rPr>
                <w:sz w:val="20"/>
                <w:szCs w:val="20"/>
                <w:color w:val="auto"/>
              </w:rPr>
            </w:pPr>
            <w:r>
              <w:rPr>
                <w:rFonts w:ascii="Arial" w:cs="Arial" w:eastAsia="Arial" w:hAnsi="Arial"/>
                <w:sz w:val="14"/>
                <w:szCs w:val="14"/>
                <w:color w:val="0E2A35"/>
              </w:rPr>
              <w:t>$4,199,956</w:t>
            </w:r>
          </w:p>
        </w:tc>
        <w:tc>
          <w:tcPr>
            <w:tcW w:w="108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19.0%</w:t>
            </w:r>
            <w:r>
              <w:rPr>
                <w:rFonts w:ascii="Arial" w:cs="Arial" w:eastAsia="Arial" w:hAnsi="Arial"/>
                <w:sz w:val="23"/>
                <w:szCs w:val="23"/>
                <w:color w:val="0E2A35"/>
                <w:vertAlign w:val="superscript"/>
              </w:rPr>
              <w:t>(2)</w:t>
            </w:r>
          </w:p>
        </w:tc>
        <w:tc>
          <w:tcPr>
            <w:tcW w:w="0" w:type="dxa"/>
            <w:vAlign w:val="bottom"/>
          </w:tcPr>
          <w:p>
            <w:pPr>
              <w:spacing w:after="0"/>
              <w:rPr>
                <w:sz w:val="1"/>
                <w:szCs w:val="1"/>
                <w:color w:val="auto"/>
              </w:rPr>
            </w:pPr>
          </w:p>
        </w:tc>
      </w:tr>
      <w:tr>
        <w:trPr>
          <w:trHeight w:val="265"/>
        </w:trPr>
        <w:tc>
          <w:tcPr>
            <w:tcW w:w="1760" w:type="dxa"/>
            <w:vAlign w:val="bottom"/>
          </w:tcPr>
          <w:p>
            <w:pPr>
              <w:ind w:left="60"/>
              <w:spacing w:after="0"/>
              <w:rPr>
                <w:sz w:val="20"/>
                <w:szCs w:val="20"/>
                <w:color w:val="auto"/>
              </w:rPr>
            </w:pPr>
            <w:r>
              <w:rPr>
                <w:rFonts w:ascii="Arial" w:cs="Arial" w:eastAsia="Arial" w:hAnsi="Arial"/>
                <w:sz w:val="14"/>
                <w:szCs w:val="14"/>
                <w:color w:val="0E2A35"/>
              </w:rPr>
              <w:t>Bryan L. Hughes</w:t>
            </w:r>
          </w:p>
        </w:tc>
        <w:tc>
          <w:tcPr>
            <w:tcW w:w="1540" w:type="dxa"/>
            <w:vAlign w:val="bottom"/>
          </w:tcPr>
          <w:p>
            <w:pPr>
              <w:jc w:val="right"/>
              <w:ind w:right="232"/>
              <w:spacing w:after="0"/>
              <w:rPr>
                <w:sz w:val="20"/>
                <w:szCs w:val="20"/>
                <w:color w:val="auto"/>
              </w:rPr>
            </w:pPr>
            <w:r>
              <w:rPr>
                <w:rFonts w:ascii="Arial" w:cs="Arial" w:eastAsia="Arial" w:hAnsi="Arial"/>
                <w:sz w:val="14"/>
                <w:szCs w:val="14"/>
                <w:color w:val="0E2A35"/>
              </w:rPr>
              <w:t>503,127</w:t>
            </w:r>
          </w:p>
        </w:tc>
        <w:tc>
          <w:tcPr>
            <w:tcW w:w="1220" w:type="dxa"/>
            <w:vAlign w:val="bottom"/>
          </w:tcPr>
          <w:p>
            <w:pPr>
              <w:jc w:val="right"/>
              <w:ind w:right="171"/>
              <w:spacing w:after="0"/>
              <w:rPr>
                <w:sz w:val="20"/>
                <w:szCs w:val="20"/>
                <w:color w:val="auto"/>
              </w:rPr>
            </w:pPr>
            <w:r>
              <w:rPr>
                <w:rFonts w:ascii="Arial" w:cs="Arial" w:eastAsia="Arial" w:hAnsi="Arial"/>
                <w:sz w:val="14"/>
                <w:szCs w:val="14"/>
                <w:color w:val="0E2A35"/>
              </w:rPr>
              <w:t>352,189</w:t>
            </w:r>
          </w:p>
        </w:tc>
        <w:tc>
          <w:tcPr>
            <w:tcW w:w="900" w:type="dxa"/>
            <w:vAlign w:val="bottom"/>
          </w:tcPr>
          <w:p>
            <w:pPr>
              <w:jc w:val="right"/>
              <w:spacing w:after="0"/>
              <w:rPr>
                <w:sz w:val="20"/>
                <w:szCs w:val="20"/>
                <w:color w:val="auto"/>
              </w:rPr>
            </w:pPr>
            <w:r>
              <w:rPr>
                <w:rFonts w:ascii="Arial" w:cs="Arial" w:eastAsia="Arial" w:hAnsi="Arial"/>
                <w:sz w:val="14"/>
                <w:szCs w:val="14"/>
                <w:color w:val="0E2A35"/>
              </w:rPr>
              <w:t>150,942</w:t>
            </w:r>
          </w:p>
        </w:tc>
        <w:tc>
          <w:tcPr>
            <w:tcW w:w="1460" w:type="dxa"/>
            <w:vAlign w:val="bottom"/>
            <w:gridSpan w:val="2"/>
          </w:tcPr>
          <w:p>
            <w:pPr>
              <w:jc w:val="right"/>
              <w:ind w:right="217"/>
              <w:spacing w:after="0"/>
              <w:rPr>
                <w:sz w:val="20"/>
                <w:szCs w:val="20"/>
                <w:color w:val="auto"/>
              </w:rPr>
            </w:pPr>
            <w:r>
              <w:rPr>
                <w:rFonts w:ascii="Arial" w:cs="Arial" w:eastAsia="Arial" w:hAnsi="Arial"/>
                <w:sz w:val="14"/>
                <w:szCs w:val="14"/>
                <w:color w:val="0E2A35"/>
              </w:rPr>
              <w:t>1,006,258</w:t>
            </w:r>
          </w:p>
        </w:tc>
        <w:tc>
          <w:tcPr>
            <w:tcW w:w="1320" w:type="dxa"/>
            <w:vAlign w:val="bottom"/>
          </w:tcPr>
          <w:p>
            <w:pPr>
              <w:jc w:val="right"/>
              <w:ind w:right="250"/>
              <w:spacing w:after="0"/>
              <w:rPr>
                <w:sz w:val="20"/>
                <w:szCs w:val="20"/>
                <w:color w:val="auto"/>
              </w:rPr>
            </w:pPr>
            <w:r>
              <w:rPr>
                <w:rFonts w:ascii="Arial" w:cs="Arial" w:eastAsia="Arial" w:hAnsi="Arial"/>
                <w:sz w:val="14"/>
                <w:szCs w:val="14"/>
                <w:color w:val="0E2A35"/>
              </w:rPr>
              <w:t>880,028</w:t>
            </w:r>
          </w:p>
        </w:tc>
        <w:tc>
          <w:tcPr>
            <w:tcW w:w="1080" w:type="dxa"/>
            <w:vAlign w:val="bottom"/>
          </w:tcPr>
          <w:p>
            <w:pPr>
              <w:jc w:val="right"/>
              <w:ind w:right="271"/>
              <w:spacing w:after="0"/>
              <w:rPr>
                <w:sz w:val="20"/>
                <w:szCs w:val="20"/>
                <w:color w:val="auto"/>
              </w:rPr>
            </w:pPr>
            <w:r>
              <w:rPr>
                <w:rFonts w:ascii="Arial" w:cs="Arial" w:eastAsia="Arial" w:hAnsi="Arial"/>
                <w:sz w:val="14"/>
                <w:szCs w:val="14"/>
                <w:color w:val="0E2A35"/>
              </w:rPr>
              <w:t>14.3</w:t>
            </w:r>
          </w:p>
        </w:tc>
        <w:tc>
          <w:tcPr>
            <w:tcW w:w="0" w:type="dxa"/>
            <w:vAlign w:val="bottom"/>
          </w:tcPr>
          <w:p>
            <w:pPr>
              <w:spacing w:after="0"/>
              <w:rPr>
                <w:sz w:val="1"/>
                <w:szCs w:val="1"/>
                <w:color w:val="auto"/>
              </w:rPr>
            </w:pPr>
          </w:p>
        </w:tc>
      </w:tr>
      <w:tr>
        <w:trPr>
          <w:trHeight w:val="80"/>
        </w:trPr>
        <w:tc>
          <w:tcPr>
            <w:tcW w:w="1760" w:type="dxa"/>
            <w:vAlign w:val="bottom"/>
            <w:tcBorders>
              <w:bottom w:val="single" w:sz="8" w:color="0E2A35"/>
            </w:tcBorders>
          </w:tcPr>
          <w:p>
            <w:pPr>
              <w:spacing w:after="0"/>
              <w:rPr>
                <w:sz w:val="6"/>
                <w:szCs w:val="6"/>
                <w:color w:val="auto"/>
              </w:rPr>
            </w:pPr>
          </w:p>
        </w:tc>
        <w:tc>
          <w:tcPr>
            <w:tcW w:w="15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90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108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760" w:type="dxa"/>
            <w:vAlign w:val="bottom"/>
          </w:tcPr>
          <w:p>
            <w:pPr>
              <w:ind w:left="60"/>
              <w:spacing w:after="0"/>
              <w:rPr>
                <w:sz w:val="20"/>
                <w:szCs w:val="20"/>
                <w:color w:val="auto"/>
              </w:rPr>
            </w:pPr>
            <w:r>
              <w:rPr>
                <w:rFonts w:ascii="Arial" w:cs="Arial" w:eastAsia="Arial" w:hAnsi="Arial"/>
                <w:sz w:val="14"/>
                <w:szCs w:val="14"/>
                <w:color w:val="0E2A35"/>
              </w:rPr>
              <w:t>Stacy L. Bogart</w:t>
            </w:r>
          </w:p>
        </w:tc>
        <w:tc>
          <w:tcPr>
            <w:tcW w:w="1540" w:type="dxa"/>
            <w:vAlign w:val="bottom"/>
          </w:tcPr>
          <w:p>
            <w:pPr>
              <w:jc w:val="right"/>
              <w:ind w:right="232"/>
              <w:spacing w:after="0"/>
              <w:rPr>
                <w:sz w:val="20"/>
                <w:szCs w:val="20"/>
                <w:color w:val="auto"/>
              </w:rPr>
            </w:pPr>
            <w:r>
              <w:rPr>
                <w:rFonts w:ascii="Arial" w:cs="Arial" w:eastAsia="Arial" w:hAnsi="Arial"/>
                <w:sz w:val="14"/>
                <w:szCs w:val="14"/>
                <w:color w:val="0E2A35"/>
              </w:rPr>
              <w:t>383,992</w:t>
            </w:r>
          </w:p>
        </w:tc>
        <w:tc>
          <w:tcPr>
            <w:tcW w:w="1220" w:type="dxa"/>
            <w:vAlign w:val="bottom"/>
          </w:tcPr>
          <w:p>
            <w:pPr>
              <w:jc w:val="right"/>
              <w:ind w:right="171"/>
              <w:spacing w:after="0"/>
              <w:rPr>
                <w:sz w:val="20"/>
                <w:szCs w:val="20"/>
                <w:color w:val="auto"/>
              </w:rPr>
            </w:pPr>
            <w:r>
              <w:rPr>
                <w:rFonts w:ascii="Arial" w:cs="Arial" w:eastAsia="Arial" w:hAnsi="Arial"/>
                <w:sz w:val="14"/>
                <w:szCs w:val="14"/>
                <w:color w:val="0E2A35"/>
              </w:rPr>
              <w:t>268,783</w:t>
            </w:r>
          </w:p>
        </w:tc>
        <w:tc>
          <w:tcPr>
            <w:tcW w:w="900" w:type="dxa"/>
            <w:vAlign w:val="bottom"/>
          </w:tcPr>
          <w:p>
            <w:pPr>
              <w:jc w:val="right"/>
              <w:spacing w:after="0"/>
              <w:rPr>
                <w:sz w:val="20"/>
                <w:szCs w:val="20"/>
                <w:color w:val="auto"/>
              </w:rPr>
            </w:pPr>
            <w:r>
              <w:rPr>
                <w:rFonts w:ascii="Arial" w:cs="Arial" w:eastAsia="Arial" w:hAnsi="Arial"/>
                <w:sz w:val="14"/>
                <w:szCs w:val="14"/>
                <w:color w:val="0E2A35"/>
              </w:rPr>
              <w:t>115,199</w:t>
            </w:r>
          </w:p>
        </w:tc>
        <w:tc>
          <w:tcPr>
            <w:tcW w:w="1460" w:type="dxa"/>
            <w:vAlign w:val="bottom"/>
            <w:gridSpan w:val="2"/>
          </w:tcPr>
          <w:p>
            <w:pPr>
              <w:jc w:val="right"/>
              <w:ind w:right="217"/>
              <w:spacing w:after="0"/>
              <w:rPr>
                <w:sz w:val="20"/>
                <w:szCs w:val="20"/>
                <w:color w:val="auto"/>
              </w:rPr>
            </w:pPr>
            <w:r>
              <w:rPr>
                <w:rFonts w:ascii="Arial" w:cs="Arial" w:eastAsia="Arial" w:hAnsi="Arial"/>
                <w:sz w:val="14"/>
                <w:szCs w:val="14"/>
                <w:color w:val="0E2A35"/>
              </w:rPr>
              <w:t>767,975</w:t>
            </w:r>
          </w:p>
        </w:tc>
        <w:tc>
          <w:tcPr>
            <w:tcW w:w="1320" w:type="dxa"/>
            <w:vAlign w:val="bottom"/>
          </w:tcPr>
          <w:p>
            <w:pPr>
              <w:jc w:val="right"/>
              <w:ind w:right="250"/>
              <w:spacing w:after="0"/>
              <w:rPr>
                <w:sz w:val="20"/>
                <w:szCs w:val="20"/>
                <w:color w:val="auto"/>
              </w:rPr>
            </w:pPr>
            <w:r>
              <w:rPr>
                <w:rFonts w:ascii="Arial" w:cs="Arial" w:eastAsia="Arial" w:hAnsi="Arial"/>
                <w:sz w:val="14"/>
                <w:szCs w:val="14"/>
                <w:color w:val="0E2A35"/>
              </w:rPr>
              <w:t>710,508</w:t>
            </w:r>
          </w:p>
        </w:tc>
        <w:tc>
          <w:tcPr>
            <w:tcW w:w="1080" w:type="dxa"/>
            <w:vAlign w:val="bottom"/>
          </w:tcPr>
          <w:p>
            <w:pPr>
              <w:jc w:val="right"/>
              <w:ind w:right="271"/>
              <w:spacing w:after="0"/>
              <w:rPr>
                <w:sz w:val="20"/>
                <w:szCs w:val="20"/>
                <w:color w:val="auto"/>
              </w:rPr>
            </w:pPr>
            <w:r>
              <w:rPr>
                <w:rFonts w:ascii="Arial" w:cs="Arial" w:eastAsia="Arial" w:hAnsi="Arial"/>
                <w:sz w:val="14"/>
                <w:szCs w:val="14"/>
                <w:color w:val="0E2A35"/>
              </w:rPr>
              <w:t>8.1</w:t>
            </w:r>
          </w:p>
        </w:tc>
        <w:tc>
          <w:tcPr>
            <w:tcW w:w="0" w:type="dxa"/>
            <w:vAlign w:val="bottom"/>
          </w:tcPr>
          <w:p>
            <w:pPr>
              <w:spacing w:after="0"/>
              <w:rPr>
                <w:sz w:val="1"/>
                <w:szCs w:val="1"/>
                <w:color w:val="auto"/>
              </w:rPr>
            </w:pPr>
          </w:p>
        </w:tc>
      </w:tr>
      <w:tr>
        <w:trPr>
          <w:trHeight w:val="80"/>
        </w:trPr>
        <w:tc>
          <w:tcPr>
            <w:tcW w:w="1760" w:type="dxa"/>
            <w:vAlign w:val="bottom"/>
            <w:tcBorders>
              <w:bottom w:val="single" w:sz="8" w:color="0E2A35"/>
            </w:tcBorders>
          </w:tcPr>
          <w:p>
            <w:pPr>
              <w:spacing w:after="0"/>
              <w:rPr>
                <w:sz w:val="6"/>
                <w:szCs w:val="6"/>
                <w:color w:val="auto"/>
              </w:rPr>
            </w:pPr>
          </w:p>
        </w:tc>
        <w:tc>
          <w:tcPr>
            <w:tcW w:w="15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90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108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760" w:type="dxa"/>
            <w:vAlign w:val="bottom"/>
          </w:tcPr>
          <w:p>
            <w:pPr>
              <w:ind w:left="60"/>
              <w:spacing w:after="0"/>
              <w:rPr>
                <w:sz w:val="20"/>
                <w:szCs w:val="20"/>
                <w:color w:val="auto"/>
              </w:rPr>
            </w:pPr>
            <w:r>
              <w:rPr>
                <w:rFonts w:ascii="Arial" w:cs="Arial" w:eastAsia="Arial" w:hAnsi="Arial"/>
                <w:sz w:val="14"/>
                <w:szCs w:val="14"/>
                <w:color w:val="0E2A35"/>
              </w:rPr>
              <w:t>Huw S. Bower</w:t>
            </w:r>
          </w:p>
        </w:tc>
        <w:tc>
          <w:tcPr>
            <w:tcW w:w="1540" w:type="dxa"/>
            <w:vAlign w:val="bottom"/>
          </w:tcPr>
          <w:p>
            <w:pPr>
              <w:jc w:val="right"/>
              <w:ind w:right="232"/>
              <w:spacing w:after="0"/>
              <w:rPr>
                <w:sz w:val="20"/>
                <w:szCs w:val="20"/>
                <w:color w:val="auto"/>
              </w:rPr>
            </w:pPr>
            <w:r>
              <w:rPr>
                <w:rFonts w:ascii="Arial" w:cs="Arial" w:eastAsia="Arial" w:hAnsi="Arial"/>
                <w:sz w:val="14"/>
                <w:szCs w:val="14"/>
                <w:color w:val="0E2A35"/>
              </w:rPr>
              <w:t>532,799</w:t>
            </w:r>
          </w:p>
        </w:tc>
        <w:tc>
          <w:tcPr>
            <w:tcW w:w="1220" w:type="dxa"/>
            <w:vAlign w:val="bottom"/>
          </w:tcPr>
          <w:p>
            <w:pPr>
              <w:jc w:val="right"/>
              <w:ind w:right="171"/>
              <w:spacing w:after="0"/>
              <w:rPr>
                <w:sz w:val="20"/>
                <w:szCs w:val="20"/>
                <w:color w:val="auto"/>
              </w:rPr>
            </w:pPr>
            <w:r>
              <w:rPr>
                <w:rFonts w:ascii="Arial" w:cs="Arial" w:eastAsia="Arial" w:hAnsi="Arial"/>
                <w:sz w:val="14"/>
                <w:szCs w:val="14"/>
                <w:color w:val="0E2A35"/>
              </w:rPr>
              <w:t>372,942</w:t>
            </w:r>
          </w:p>
        </w:tc>
        <w:tc>
          <w:tcPr>
            <w:tcW w:w="900" w:type="dxa"/>
            <w:vAlign w:val="bottom"/>
          </w:tcPr>
          <w:p>
            <w:pPr>
              <w:jc w:val="right"/>
              <w:spacing w:after="0"/>
              <w:rPr>
                <w:sz w:val="20"/>
                <w:szCs w:val="20"/>
                <w:color w:val="auto"/>
              </w:rPr>
            </w:pPr>
            <w:r>
              <w:rPr>
                <w:rFonts w:ascii="Arial" w:cs="Arial" w:eastAsia="Arial" w:hAnsi="Arial"/>
                <w:sz w:val="14"/>
                <w:szCs w:val="14"/>
                <w:color w:val="0E2A35"/>
              </w:rPr>
              <w:t>159,847</w:t>
            </w:r>
          </w:p>
        </w:tc>
        <w:tc>
          <w:tcPr>
            <w:tcW w:w="1460" w:type="dxa"/>
            <w:vAlign w:val="bottom"/>
            <w:gridSpan w:val="2"/>
          </w:tcPr>
          <w:p>
            <w:pPr>
              <w:jc w:val="right"/>
              <w:ind w:right="217"/>
              <w:spacing w:after="0"/>
              <w:rPr>
                <w:sz w:val="20"/>
                <w:szCs w:val="20"/>
                <w:color w:val="auto"/>
              </w:rPr>
            </w:pPr>
            <w:r>
              <w:rPr>
                <w:rFonts w:ascii="Arial" w:cs="Arial" w:eastAsia="Arial" w:hAnsi="Arial"/>
                <w:sz w:val="14"/>
                <w:szCs w:val="14"/>
                <w:color w:val="0E2A35"/>
              </w:rPr>
              <w:t>1,065,589</w:t>
            </w:r>
          </w:p>
        </w:tc>
        <w:tc>
          <w:tcPr>
            <w:tcW w:w="1320" w:type="dxa"/>
            <w:vAlign w:val="bottom"/>
          </w:tcPr>
          <w:p>
            <w:pPr>
              <w:jc w:val="right"/>
              <w:ind w:right="250"/>
              <w:spacing w:after="0"/>
              <w:rPr>
                <w:sz w:val="20"/>
                <w:szCs w:val="20"/>
                <w:color w:val="auto"/>
              </w:rPr>
            </w:pPr>
            <w:r>
              <w:rPr>
                <w:rFonts w:ascii="Arial" w:cs="Arial" w:eastAsia="Arial" w:hAnsi="Arial"/>
                <w:sz w:val="14"/>
                <w:szCs w:val="14"/>
                <w:color w:val="0E2A35"/>
              </w:rPr>
              <w:t>1,019,557</w:t>
            </w:r>
          </w:p>
        </w:tc>
        <w:tc>
          <w:tcPr>
            <w:tcW w:w="1080" w:type="dxa"/>
            <w:vAlign w:val="bottom"/>
          </w:tcPr>
          <w:p>
            <w:pPr>
              <w:jc w:val="right"/>
              <w:ind w:right="271"/>
              <w:spacing w:after="0"/>
              <w:rPr>
                <w:sz w:val="20"/>
                <w:szCs w:val="20"/>
                <w:color w:val="auto"/>
              </w:rPr>
            </w:pPr>
            <w:r>
              <w:rPr>
                <w:rFonts w:ascii="Arial" w:cs="Arial" w:eastAsia="Arial" w:hAnsi="Arial"/>
                <w:sz w:val="14"/>
                <w:szCs w:val="14"/>
                <w:color w:val="0E2A35"/>
              </w:rPr>
              <w:t>4.5</w:t>
            </w:r>
          </w:p>
        </w:tc>
        <w:tc>
          <w:tcPr>
            <w:tcW w:w="0" w:type="dxa"/>
            <w:vAlign w:val="bottom"/>
          </w:tcPr>
          <w:p>
            <w:pPr>
              <w:spacing w:after="0"/>
              <w:rPr>
                <w:sz w:val="1"/>
                <w:szCs w:val="1"/>
                <w:color w:val="auto"/>
              </w:rPr>
            </w:pPr>
          </w:p>
        </w:tc>
      </w:tr>
      <w:tr>
        <w:trPr>
          <w:trHeight w:val="79"/>
        </w:trPr>
        <w:tc>
          <w:tcPr>
            <w:tcW w:w="1760" w:type="dxa"/>
            <w:vAlign w:val="bottom"/>
            <w:tcBorders>
              <w:bottom w:val="single" w:sz="8" w:color="0E2A35"/>
            </w:tcBorders>
          </w:tcPr>
          <w:p>
            <w:pPr>
              <w:spacing w:after="0"/>
              <w:rPr>
                <w:sz w:val="6"/>
                <w:szCs w:val="6"/>
                <w:color w:val="auto"/>
              </w:rPr>
            </w:pPr>
          </w:p>
        </w:tc>
        <w:tc>
          <w:tcPr>
            <w:tcW w:w="15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900" w:type="dxa"/>
            <w:vAlign w:val="bottom"/>
            <w:tcBorders>
              <w:bottom w:val="single" w:sz="8" w:color="0E2A35"/>
            </w:tcBorders>
          </w:tcPr>
          <w:p>
            <w:pPr>
              <w:spacing w:after="0"/>
              <w:rPr>
                <w:sz w:val="6"/>
                <w:szCs w:val="6"/>
                <w:color w:val="auto"/>
              </w:rPr>
            </w:pPr>
          </w:p>
        </w:tc>
        <w:tc>
          <w:tcPr>
            <w:tcW w:w="240" w:type="dxa"/>
            <w:vAlign w:val="bottom"/>
            <w:tcBorders>
              <w:bottom w:val="single" w:sz="8" w:color="0E2A35"/>
            </w:tcBorders>
          </w:tcPr>
          <w:p>
            <w:pPr>
              <w:spacing w:after="0"/>
              <w:rPr>
                <w:sz w:val="6"/>
                <w:szCs w:val="6"/>
                <w:color w:val="auto"/>
              </w:rPr>
            </w:pPr>
          </w:p>
        </w:tc>
        <w:tc>
          <w:tcPr>
            <w:tcW w:w="122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108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395"/>
        </w:trPr>
        <w:tc>
          <w:tcPr>
            <w:tcW w:w="1760" w:type="dxa"/>
            <w:vAlign w:val="bottom"/>
          </w:tcPr>
          <w:p>
            <w:pPr>
              <w:ind w:left="60"/>
              <w:spacing w:after="0"/>
              <w:rPr>
                <w:sz w:val="20"/>
                <w:szCs w:val="20"/>
                <w:color w:val="auto"/>
              </w:rPr>
            </w:pPr>
            <w:r>
              <w:rPr>
                <w:rFonts w:ascii="Arial" w:cs="Arial" w:eastAsia="Arial" w:hAnsi="Arial"/>
                <w:sz w:val="14"/>
                <w:szCs w:val="14"/>
                <w:color w:val="0E2A35"/>
              </w:rPr>
              <w:t>Donald J. Clark</w:t>
            </w:r>
            <w:r>
              <w:rPr>
                <w:rFonts w:ascii="Arial" w:cs="Arial" w:eastAsia="Arial" w:hAnsi="Arial"/>
                <w:sz w:val="23"/>
                <w:szCs w:val="23"/>
                <w:color w:val="0E2A35"/>
                <w:vertAlign w:val="superscript"/>
              </w:rPr>
              <w:t>(3)</w:t>
            </w:r>
          </w:p>
        </w:tc>
        <w:tc>
          <w:tcPr>
            <w:tcW w:w="1540" w:type="dxa"/>
            <w:vAlign w:val="bottom"/>
          </w:tcPr>
          <w:p>
            <w:pPr>
              <w:jc w:val="right"/>
              <w:ind w:right="232"/>
              <w:spacing w:after="0"/>
              <w:rPr>
                <w:sz w:val="20"/>
                <w:szCs w:val="20"/>
                <w:color w:val="auto"/>
              </w:rPr>
            </w:pPr>
            <w:r>
              <w:rPr>
                <w:rFonts w:ascii="Arial" w:cs="Arial" w:eastAsia="Arial" w:hAnsi="Arial"/>
                <w:sz w:val="14"/>
                <w:szCs w:val="14"/>
                <w:color w:val="0E2A35"/>
              </w:rPr>
              <w:t>N/A</w:t>
            </w:r>
          </w:p>
        </w:tc>
        <w:tc>
          <w:tcPr>
            <w:tcW w:w="1220" w:type="dxa"/>
            <w:vAlign w:val="bottom"/>
          </w:tcPr>
          <w:p>
            <w:pPr>
              <w:jc w:val="right"/>
              <w:ind w:right="171"/>
              <w:spacing w:after="0"/>
              <w:rPr>
                <w:sz w:val="20"/>
                <w:szCs w:val="20"/>
                <w:color w:val="auto"/>
              </w:rPr>
            </w:pPr>
            <w:r>
              <w:rPr>
                <w:rFonts w:ascii="Arial" w:cs="Arial" w:eastAsia="Arial" w:hAnsi="Arial"/>
                <w:sz w:val="14"/>
                <w:szCs w:val="14"/>
                <w:color w:val="0E2A35"/>
              </w:rPr>
              <w:t>914,899​</w:t>
            </w:r>
          </w:p>
        </w:tc>
        <w:tc>
          <w:tcPr>
            <w:tcW w:w="900" w:type="dxa"/>
            <w:vAlign w:val="bottom"/>
          </w:tcPr>
          <w:p>
            <w:pPr>
              <w:jc w:val="right"/>
              <w:spacing w:after="0"/>
              <w:rPr>
                <w:sz w:val="20"/>
                <w:szCs w:val="20"/>
                <w:color w:val="auto"/>
              </w:rPr>
            </w:pPr>
            <w:r>
              <w:rPr>
                <w:rFonts w:ascii="Arial" w:cs="Arial" w:eastAsia="Arial" w:hAnsi="Arial"/>
                <w:sz w:val="14"/>
                <w:szCs w:val="14"/>
                <w:color w:val="0E2A35"/>
              </w:rPr>
              <w:t>N/A</w:t>
            </w:r>
          </w:p>
        </w:tc>
        <w:tc>
          <w:tcPr>
            <w:tcW w:w="1460" w:type="dxa"/>
            <w:vAlign w:val="bottom"/>
            <w:gridSpan w:val="2"/>
          </w:tcPr>
          <w:p>
            <w:pPr>
              <w:jc w:val="right"/>
              <w:ind w:right="217"/>
              <w:spacing w:after="0"/>
              <w:rPr>
                <w:sz w:val="20"/>
                <w:szCs w:val="20"/>
                <w:color w:val="auto"/>
              </w:rPr>
            </w:pPr>
            <w:r>
              <w:rPr>
                <w:rFonts w:ascii="Arial" w:cs="Arial" w:eastAsia="Arial" w:hAnsi="Arial"/>
                <w:sz w:val="14"/>
                <w:szCs w:val="14"/>
                <w:color w:val="0E2A35"/>
              </w:rPr>
              <w:t>914,899</w:t>
            </w:r>
          </w:p>
        </w:tc>
        <w:tc>
          <w:tcPr>
            <w:tcW w:w="1320" w:type="dxa"/>
            <w:vAlign w:val="bottom"/>
          </w:tcPr>
          <w:p>
            <w:pPr>
              <w:jc w:val="right"/>
              <w:ind w:right="250"/>
              <w:spacing w:after="0"/>
              <w:rPr>
                <w:sz w:val="20"/>
                <w:szCs w:val="20"/>
                <w:color w:val="auto"/>
              </w:rPr>
            </w:pPr>
            <w:r>
              <w:rPr>
                <w:rFonts w:ascii="Arial" w:cs="Arial" w:eastAsia="Arial" w:hAnsi="Arial"/>
                <w:sz w:val="14"/>
                <w:szCs w:val="14"/>
                <w:color w:val="0E2A35"/>
              </w:rPr>
              <w:t>1,958,594​</w:t>
            </w:r>
          </w:p>
        </w:tc>
        <w:tc>
          <w:tcPr>
            <w:tcW w:w="1080" w:type="dxa"/>
            <w:vAlign w:val="bottom"/>
          </w:tcPr>
          <w:p>
            <w:pPr>
              <w:jc w:val="right"/>
              <w:ind w:right="211"/>
              <w:spacing w:after="0"/>
              <w:rPr>
                <w:sz w:val="20"/>
                <w:szCs w:val="20"/>
                <w:color w:val="auto"/>
              </w:rPr>
            </w:pPr>
            <w:r>
              <w:rPr>
                <w:rFonts w:ascii="Arial" w:cs="Arial" w:eastAsia="Arial" w:hAnsi="Arial"/>
                <w:sz w:val="14"/>
                <w:szCs w:val="14"/>
                <w:color w:val="0E2A35"/>
              </w:rPr>
              <w:t>(53​.3)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978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78" w:lineRule="exact"/>
        <w:rPr>
          <w:sz w:val="20"/>
          <w:szCs w:val="20"/>
          <w:color w:val="auto"/>
        </w:rPr>
      </w:pPr>
    </w:p>
    <w:p>
      <w:pPr>
        <w:ind w:left="360" w:hanging="360"/>
        <w:spacing w:after="0"/>
        <w:tabs>
          <w:tab w:leader="none" w:pos="360" w:val="left"/>
        </w:tabs>
        <w:numPr>
          <w:ilvl w:val="0"/>
          <w:numId w:val="35"/>
        </w:numPr>
        <w:rPr>
          <w:rFonts w:ascii="Arial" w:cs="Arial" w:eastAsia="Arial" w:hAnsi="Arial"/>
          <w:sz w:val="13"/>
          <w:szCs w:val="13"/>
          <w:color w:val="0E2A35"/>
        </w:rPr>
      </w:pPr>
      <w:r>
        <w:rPr>
          <w:rFonts w:ascii="Arial" w:cs="Arial" w:eastAsia="Arial" w:hAnsi="Arial"/>
          <w:sz w:val="13"/>
          <w:szCs w:val="13"/>
          <w:color w:val="0E2A35"/>
        </w:rPr>
        <w:t>To perform this calculation, we assumed that the LTIP/performance share unit awards for fiscal 2023 and fiscal 2022 were earned at target.</w:t>
      </w:r>
    </w:p>
    <w:p>
      <w:pPr>
        <w:spacing w:after="0" w:line="39" w:lineRule="exact"/>
        <w:rPr>
          <w:rFonts w:ascii="Arial" w:cs="Arial" w:eastAsia="Arial" w:hAnsi="Arial"/>
          <w:sz w:val="13"/>
          <w:szCs w:val="13"/>
          <w:color w:val="0E2A35"/>
        </w:rPr>
      </w:pPr>
    </w:p>
    <w:p>
      <w:pPr>
        <w:ind w:left="360" w:right="240" w:hanging="360"/>
        <w:spacing w:after="0" w:line="236" w:lineRule="auto"/>
        <w:tabs>
          <w:tab w:leader="none" w:pos="360" w:val="left"/>
        </w:tabs>
        <w:numPr>
          <w:ilvl w:val="0"/>
          <w:numId w:val="35"/>
        </w:numPr>
        <w:rPr>
          <w:rFonts w:ascii="Arial" w:cs="Arial" w:eastAsia="Arial" w:hAnsi="Arial"/>
          <w:sz w:val="13"/>
          <w:szCs w:val="13"/>
          <w:color w:val="0E2A35"/>
        </w:rPr>
      </w:pPr>
      <w:r>
        <w:rPr>
          <w:rFonts w:ascii="Arial" w:cs="Arial" w:eastAsia="Arial" w:hAnsi="Arial"/>
          <w:sz w:val="13"/>
          <w:szCs w:val="13"/>
          <w:color w:val="0E2A35"/>
        </w:rPr>
        <w:t>The committee approved the increase in the target value of equity incentives awards granted to these NEOs in fiscal 2023 based on a review of each NEO’s target value of equity incentive awards as compared to the peer group, market data, and individual performance.</w:t>
      </w:r>
    </w:p>
    <w:p>
      <w:pPr>
        <w:spacing w:after="0" w:line="29" w:lineRule="exact"/>
        <w:rPr>
          <w:rFonts w:ascii="Arial" w:cs="Arial" w:eastAsia="Arial" w:hAnsi="Arial"/>
          <w:sz w:val="13"/>
          <w:szCs w:val="13"/>
          <w:color w:val="0E2A35"/>
        </w:rPr>
      </w:pPr>
    </w:p>
    <w:p>
      <w:pPr>
        <w:ind w:left="360" w:right="340" w:hanging="360"/>
        <w:spacing w:after="0" w:line="236" w:lineRule="auto"/>
        <w:tabs>
          <w:tab w:leader="none" w:pos="360" w:val="left"/>
        </w:tabs>
        <w:numPr>
          <w:ilvl w:val="0"/>
          <w:numId w:val="35"/>
        </w:numPr>
        <w:rPr>
          <w:rFonts w:ascii="Arial" w:cs="Arial" w:eastAsia="Arial" w:hAnsi="Arial"/>
          <w:sz w:val="13"/>
          <w:szCs w:val="13"/>
          <w:color w:val="0E2A35"/>
        </w:rPr>
      </w:pPr>
      <w:r>
        <w:rPr>
          <w:rFonts w:ascii="Arial" w:cs="Arial" w:eastAsia="Arial" w:hAnsi="Arial"/>
          <w:sz w:val="13"/>
          <w:szCs w:val="13"/>
          <w:color w:val="0E2A35"/>
        </w:rPr>
        <w:t>Under the terms of Mr. Clark’s employment agreement, for fiscal 2023 and 2022, he received 15% of this Grand Design MIP award delivered in the form of restricted stock units.</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Payout of the Fiscal 2021-2023 LTIP Cycle</w:t>
      </w:r>
    </w:p>
    <w:p>
      <w:pPr>
        <w:spacing w:after="0" w:line="201"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0E2A35"/>
        </w:rPr>
        <w:t>For the fiscal 2021-2023 LTIP performance share units, the committee used the metrics of Incentive ROIC and Incentive EPS for each of the following performance periods: (i) Period 1: fiscal 2021; (ii) Period 2: fiscal 2021-2022 growth (financial performance measured against established 2021-2022 financial growth rates which contribute to the overall fiscal 2021-2022 financial plan);</w:t>
      </w:r>
    </w:p>
    <w:p>
      <w:pPr>
        <w:spacing w:after="0" w:line="2" w:lineRule="exact"/>
        <w:rPr>
          <w:sz w:val="20"/>
          <w:szCs w:val="20"/>
          <w:color w:val="auto"/>
        </w:rPr>
      </w:pPr>
    </w:p>
    <w:p>
      <w:pPr>
        <w:ind w:right="140"/>
        <w:spacing w:after="0" w:line="246" w:lineRule="auto"/>
        <w:tabs>
          <w:tab w:leader="none" w:pos="261" w:val="left"/>
        </w:tabs>
        <w:numPr>
          <w:ilvl w:val="0"/>
          <w:numId w:val="36"/>
        </w:numPr>
        <w:rPr>
          <w:rFonts w:ascii="Arial" w:cs="Arial" w:eastAsia="Arial" w:hAnsi="Arial"/>
          <w:sz w:val="16"/>
          <w:szCs w:val="16"/>
          <w:color w:val="0E2A35"/>
        </w:rPr>
      </w:pPr>
      <w:r>
        <w:rPr>
          <w:rFonts w:ascii="Arial" w:cs="Arial" w:eastAsia="Arial" w:hAnsi="Arial"/>
          <w:sz w:val="16"/>
          <w:szCs w:val="16"/>
          <w:color w:val="0E2A35"/>
        </w:rPr>
        <w:t>Period 3: fiscal 2022-2023 growth (financial performance measured against established 2022-2023 financial growth rates which contribute to the overall fiscal 2022-2023 financial plan); and (iv) Period 4: fiscal 2021-2023 (financial performance measured against established fiscal 2023 plan). The awards were determined based on our performance against these metrics. The payout scale provided for a minimum award of 0% of the shares granted and a maximum award of 200% of the shares granted. The table below reflects our performance against these metrics and the amount paid to eligible NEOs under the fiscal</w:t>
      </w:r>
    </w:p>
    <w:p>
      <w:pPr>
        <w:spacing w:after="0" w:line="2" w:lineRule="exact"/>
        <w:rPr>
          <w:rFonts w:ascii="Arial" w:cs="Arial" w:eastAsia="Arial" w:hAnsi="Arial"/>
          <w:sz w:val="16"/>
          <w:szCs w:val="16"/>
          <w:color w:val="0E2A35"/>
        </w:rPr>
      </w:pPr>
    </w:p>
    <w:p>
      <w:pPr>
        <w:spacing w:after="0"/>
        <w:rPr>
          <w:rFonts w:ascii="Arial" w:cs="Arial" w:eastAsia="Arial" w:hAnsi="Arial"/>
          <w:sz w:val="16"/>
          <w:szCs w:val="16"/>
          <w:color w:val="0E2A35"/>
        </w:rPr>
      </w:pPr>
      <w:r>
        <w:rPr>
          <w:rFonts w:ascii="Arial" w:cs="Arial" w:eastAsia="Arial" w:hAnsi="Arial"/>
          <w:sz w:val="16"/>
          <w:szCs w:val="16"/>
          <w:color w:val="0E2A35"/>
        </w:rPr>
        <w:t>2021-2023 LTIP performance share units: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0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Performance</w:t>
            </w:r>
          </w:p>
        </w:tc>
        <w:tc>
          <w:tcPr>
            <w:tcW w:w="780" w:type="dxa"/>
            <w:vAlign w:val="bottom"/>
            <w:shd w:val="clear" w:color="auto" w:fill="0E2A35"/>
          </w:tcPr>
          <w:p>
            <w:pPr>
              <w:spacing w:after="0"/>
              <w:rPr>
                <w:sz w:val="19"/>
                <w:szCs w:val="19"/>
                <w:color w:val="auto"/>
              </w:rPr>
            </w:pPr>
          </w:p>
        </w:tc>
        <w:tc>
          <w:tcPr>
            <w:tcW w:w="1300" w:type="dxa"/>
            <w:vAlign w:val="bottom"/>
            <w:shd w:val="clear" w:color="auto" w:fill="0E2A35"/>
          </w:tcPr>
          <w:p>
            <w:pPr>
              <w:spacing w:after="0"/>
              <w:rPr>
                <w:sz w:val="19"/>
                <w:szCs w:val="19"/>
                <w:color w:val="auto"/>
              </w:rPr>
            </w:pPr>
          </w:p>
        </w:tc>
        <w:tc>
          <w:tcPr>
            <w:tcW w:w="380" w:type="dxa"/>
            <w:vAlign w:val="bottom"/>
            <w:shd w:val="clear" w:color="auto" w:fill="0E2A35"/>
          </w:tcPr>
          <w:p>
            <w:pPr>
              <w:spacing w:after="0"/>
              <w:rPr>
                <w:sz w:val="19"/>
                <w:szCs w:val="19"/>
                <w:color w:val="auto"/>
              </w:rPr>
            </w:pPr>
          </w:p>
        </w:tc>
        <w:tc>
          <w:tcPr>
            <w:tcW w:w="420" w:type="dxa"/>
            <w:vAlign w:val="bottom"/>
            <w:shd w:val="clear" w:color="auto" w:fill="0E2A35"/>
          </w:tcPr>
          <w:p>
            <w:pPr>
              <w:spacing w:after="0"/>
              <w:rPr>
                <w:sz w:val="19"/>
                <w:szCs w:val="19"/>
                <w:color w:val="auto"/>
              </w:rPr>
            </w:pPr>
          </w:p>
        </w:tc>
        <w:tc>
          <w:tcPr>
            <w:tcW w:w="10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Threshold</w:t>
            </w:r>
          </w:p>
        </w:tc>
        <w:tc>
          <w:tcPr>
            <w:tcW w:w="128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060" w:type="dxa"/>
            <w:vAlign w:val="bottom"/>
            <w:gridSpan w:val="2"/>
            <w:shd w:val="clear" w:color="auto" w:fill="0E2A35"/>
          </w:tcPr>
          <w:p>
            <w:pPr>
              <w:jc w:val="center"/>
              <w:ind w:right="8"/>
              <w:spacing w:after="0"/>
              <w:rPr>
                <w:sz w:val="20"/>
                <w:szCs w:val="20"/>
                <w:color w:val="auto"/>
              </w:rPr>
            </w:pPr>
            <w:r>
              <w:rPr>
                <w:rFonts w:ascii="Arial" w:cs="Arial" w:eastAsia="Arial" w:hAnsi="Arial"/>
                <w:sz w:val="13"/>
                <w:szCs w:val="13"/>
                <w:b w:val="1"/>
                <w:bCs w:val="1"/>
                <w:color w:val="FFFFFF"/>
                <w:w w:val="96"/>
              </w:rPr>
              <w:t>Maximum</w:t>
            </w:r>
          </w:p>
        </w:tc>
        <w:tc>
          <w:tcPr>
            <w:tcW w:w="1140" w:type="dxa"/>
            <w:vAlign w:val="bottom"/>
            <w:shd w:val="clear" w:color="auto" w:fill="0E2A35"/>
          </w:tcPr>
          <w:p>
            <w:pPr>
              <w:spacing w:after="0"/>
              <w:rPr>
                <w:sz w:val="19"/>
                <w:szCs w:val="19"/>
                <w:color w:val="auto"/>
              </w:rPr>
            </w:pPr>
          </w:p>
        </w:tc>
        <w:tc>
          <w:tcPr>
            <w:tcW w:w="880" w:type="dxa"/>
            <w:vAlign w:val="bottom"/>
            <w:gridSpan w:val="3"/>
            <w:vMerge w:val="restart"/>
            <w:shd w:val="clear" w:color="auto" w:fill="0E2A35"/>
          </w:tcPr>
          <w:p>
            <w:pPr>
              <w:jc w:val="right"/>
              <w:ind w:right="208"/>
              <w:spacing w:after="0"/>
              <w:rPr>
                <w:sz w:val="20"/>
                <w:szCs w:val="20"/>
                <w:color w:val="auto"/>
              </w:rPr>
            </w:pPr>
            <w:r>
              <w:rPr>
                <w:rFonts w:ascii="Arial" w:cs="Arial" w:eastAsia="Arial" w:hAnsi="Arial"/>
                <w:sz w:val="13"/>
                <w:szCs w:val="13"/>
                <w:b w:val="1"/>
                <w:bCs w:val="1"/>
                <w:color w:val="FFFFFF"/>
              </w:rPr>
              <w:t>Actual</w:t>
            </w:r>
          </w:p>
        </w:tc>
        <w:tc>
          <w:tcPr>
            <w:tcW w:w="0" w:type="dxa"/>
            <w:vAlign w:val="bottom"/>
          </w:tcPr>
          <w:p>
            <w:pPr>
              <w:spacing w:after="0"/>
              <w:rPr>
                <w:sz w:val="1"/>
                <w:szCs w:val="1"/>
                <w:color w:val="auto"/>
              </w:rPr>
            </w:pPr>
          </w:p>
        </w:tc>
      </w:tr>
      <w:tr>
        <w:trPr>
          <w:trHeight w:val="135"/>
        </w:trPr>
        <w:tc>
          <w:tcPr>
            <w:tcW w:w="1000" w:type="dxa"/>
            <w:vAlign w:val="bottom"/>
            <w:vMerge w:val="continue"/>
            <w:shd w:val="clear" w:color="auto" w:fill="0E2A35"/>
          </w:tcPr>
          <w:p>
            <w:pPr>
              <w:spacing w:after="0"/>
              <w:rPr>
                <w:sz w:val="11"/>
                <w:szCs w:val="11"/>
                <w:color w:val="auto"/>
              </w:rPr>
            </w:pPr>
          </w:p>
        </w:tc>
        <w:tc>
          <w:tcPr>
            <w:tcW w:w="780" w:type="dxa"/>
            <w:vAlign w:val="bottom"/>
            <w:vMerge w:val="restart"/>
            <w:shd w:val="clear" w:color="auto" w:fill="0E2A35"/>
          </w:tcPr>
          <w:p>
            <w:pPr>
              <w:jc w:val="right"/>
              <w:ind w:right="130"/>
              <w:spacing w:after="0"/>
              <w:rPr>
                <w:sz w:val="20"/>
                <w:szCs w:val="20"/>
                <w:color w:val="auto"/>
              </w:rPr>
            </w:pPr>
            <w:r>
              <w:rPr>
                <w:rFonts w:ascii="Arial" w:cs="Arial" w:eastAsia="Arial" w:hAnsi="Arial"/>
                <w:sz w:val="13"/>
                <w:szCs w:val="13"/>
                <w:b w:val="1"/>
                <w:bCs w:val="1"/>
                <w:color w:val="FFFFFF"/>
              </w:rPr>
              <w:t>Weight</w:t>
            </w:r>
          </w:p>
        </w:tc>
        <w:tc>
          <w:tcPr>
            <w:tcW w:w="130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Metric</w:t>
            </w:r>
          </w:p>
        </w:tc>
        <w:tc>
          <w:tcPr>
            <w:tcW w:w="800" w:type="dxa"/>
            <w:vAlign w:val="bottom"/>
            <w:gridSpan w:val="2"/>
            <w:vMerge w:val="restart"/>
            <w:shd w:val="clear" w:color="auto" w:fill="0E2A35"/>
          </w:tcPr>
          <w:p>
            <w:pPr>
              <w:jc w:val="right"/>
              <w:ind w:right="148"/>
              <w:spacing w:after="0"/>
              <w:rPr>
                <w:sz w:val="20"/>
                <w:szCs w:val="20"/>
                <w:color w:val="auto"/>
              </w:rPr>
            </w:pPr>
            <w:r>
              <w:rPr>
                <w:rFonts w:ascii="Arial" w:cs="Arial" w:eastAsia="Arial" w:hAnsi="Arial"/>
                <w:sz w:val="13"/>
                <w:szCs w:val="13"/>
                <w:b w:val="1"/>
                <w:bCs w:val="1"/>
                <w:color w:val="FFFFFF"/>
              </w:rPr>
              <w:t>Weight</w:t>
            </w:r>
          </w:p>
        </w:tc>
        <w:tc>
          <w:tcPr>
            <w:tcW w:w="104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(25%</w:t>
            </w:r>
          </w:p>
        </w:tc>
        <w:tc>
          <w:tcPr>
            <w:tcW w:w="128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rPr>
              <w:t>(100%</w:t>
            </w:r>
          </w:p>
        </w:tc>
        <w:tc>
          <w:tcPr>
            <w:tcW w:w="106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(200%</w:t>
            </w:r>
          </w:p>
        </w:tc>
        <w:tc>
          <w:tcPr>
            <w:tcW w:w="1140" w:type="dxa"/>
            <w:vAlign w:val="bottom"/>
            <w:vMerge w:val="restart"/>
            <w:shd w:val="clear" w:color="auto" w:fill="0E2A35"/>
          </w:tcPr>
          <w:p>
            <w:pPr>
              <w:jc w:val="right"/>
              <w:ind w:right="169"/>
              <w:spacing w:after="0"/>
              <w:rPr>
                <w:sz w:val="20"/>
                <w:szCs w:val="20"/>
                <w:color w:val="auto"/>
              </w:rPr>
            </w:pPr>
            <w:r>
              <w:rPr>
                <w:rFonts w:ascii="Arial" w:cs="Arial" w:eastAsia="Arial" w:hAnsi="Arial"/>
                <w:sz w:val="13"/>
                <w:szCs w:val="13"/>
                <w:b w:val="1"/>
                <w:bCs w:val="1"/>
                <w:color w:val="FFFFFF"/>
              </w:rPr>
              <w:t>Performance</w:t>
            </w:r>
          </w:p>
        </w:tc>
        <w:tc>
          <w:tcPr>
            <w:tcW w:w="880" w:type="dxa"/>
            <w:vAlign w:val="bottom"/>
            <w:gridSpan w:val="3"/>
            <w:vMerge w:val="continue"/>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0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Period</w:t>
            </w:r>
          </w:p>
        </w:tc>
        <w:tc>
          <w:tcPr>
            <w:tcW w:w="780" w:type="dxa"/>
            <w:vAlign w:val="bottom"/>
            <w:vMerge w:val="continue"/>
            <w:shd w:val="clear" w:color="auto" w:fill="0E2A35"/>
          </w:tcPr>
          <w:p>
            <w:pPr>
              <w:spacing w:after="0"/>
              <w:rPr>
                <w:sz w:val="15"/>
                <w:szCs w:val="15"/>
                <w:color w:val="auto"/>
              </w:rPr>
            </w:pPr>
          </w:p>
        </w:tc>
        <w:tc>
          <w:tcPr>
            <w:tcW w:w="1300" w:type="dxa"/>
            <w:vAlign w:val="bottom"/>
            <w:vMerge w:val="continue"/>
            <w:shd w:val="clear" w:color="auto" w:fill="0E2A35"/>
          </w:tcPr>
          <w:p>
            <w:pPr>
              <w:spacing w:after="0"/>
              <w:rPr>
                <w:sz w:val="15"/>
                <w:szCs w:val="15"/>
                <w:color w:val="auto"/>
              </w:rPr>
            </w:pPr>
          </w:p>
        </w:tc>
        <w:tc>
          <w:tcPr>
            <w:tcW w:w="800" w:type="dxa"/>
            <w:vAlign w:val="bottom"/>
            <w:gridSpan w:val="2"/>
            <w:vMerge w:val="continue"/>
            <w:shd w:val="clear" w:color="auto" w:fill="0E2A35"/>
          </w:tcPr>
          <w:p>
            <w:pPr>
              <w:spacing w:after="0"/>
              <w:rPr>
                <w:sz w:val="15"/>
                <w:szCs w:val="15"/>
                <w:color w:val="auto"/>
              </w:rPr>
            </w:pPr>
          </w:p>
        </w:tc>
        <w:tc>
          <w:tcPr>
            <w:tcW w:w="10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8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06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140" w:type="dxa"/>
            <w:vAlign w:val="bottom"/>
            <w:vMerge w:val="continue"/>
            <w:shd w:val="clear" w:color="auto" w:fill="0E2A35"/>
          </w:tcPr>
          <w:p>
            <w:pPr>
              <w:spacing w:after="0"/>
              <w:rPr>
                <w:sz w:val="15"/>
                <w:szCs w:val="15"/>
                <w:color w:val="auto"/>
              </w:rPr>
            </w:pPr>
          </w:p>
        </w:tc>
        <w:tc>
          <w:tcPr>
            <w:tcW w:w="880" w:type="dxa"/>
            <w:vAlign w:val="bottom"/>
            <w:gridSpan w:val="3"/>
            <w:shd w:val="clear" w:color="auto" w:fill="0E2A35"/>
          </w:tcPr>
          <w:p>
            <w:pPr>
              <w:jc w:val="right"/>
              <w:ind w:right="88"/>
              <w:spacing w:after="0"/>
              <w:rPr>
                <w:sz w:val="20"/>
                <w:szCs w:val="20"/>
                <w:color w:val="auto"/>
              </w:rPr>
            </w:pPr>
            <w:r>
              <w:rPr>
                <w:rFonts w:ascii="Arial" w:cs="Arial" w:eastAsia="Arial" w:hAnsi="Arial"/>
                <w:sz w:val="13"/>
                <w:szCs w:val="13"/>
                <w:b w:val="1"/>
                <w:bCs w:val="1"/>
                <w:color w:val="FFFFFF"/>
              </w:rPr>
              <w:t>Payout %</w:t>
            </w:r>
          </w:p>
        </w:tc>
        <w:tc>
          <w:tcPr>
            <w:tcW w:w="0" w:type="dxa"/>
            <w:vAlign w:val="bottom"/>
          </w:tcPr>
          <w:p>
            <w:pPr>
              <w:spacing w:after="0"/>
              <w:rPr>
                <w:sz w:val="1"/>
                <w:szCs w:val="1"/>
                <w:color w:val="auto"/>
              </w:rPr>
            </w:pPr>
          </w:p>
        </w:tc>
      </w:tr>
      <w:tr>
        <w:trPr>
          <w:trHeight w:val="89"/>
        </w:trPr>
        <w:tc>
          <w:tcPr>
            <w:tcW w:w="1000" w:type="dxa"/>
            <w:vAlign w:val="bottom"/>
            <w:shd w:val="clear" w:color="auto" w:fill="0E2A35"/>
          </w:tcPr>
          <w:p>
            <w:pPr>
              <w:spacing w:after="0"/>
              <w:rPr>
                <w:sz w:val="7"/>
                <w:szCs w:val="7"/>
                <w:color w:val="auto"/>
              </w:rPr>
            </w:pPr>
          </w:p>
        </w:tc>
        <w:tc>
          <w:tcPr>
            <w:tcW w:w="780" w:type="dxa"/>
            <w:vAlign w:val="bottom"/>
            <w:shd w:val="clear" w:color="auto" w:fill="0E2A35"/>
          </w:tcPr>
          <w:p>
            <w:pPr>
              <w:spacing w:after="0"/>
              <w:rPr>
                <w:sz w:val="7"/>
                <w:szCs w:val="7"/>
                <w:color w:val="auto"/>
              </w:rPr>
            </w:pPr>
          </w:p>
        </w:tc>
        <w:tc>
          <w:tcPr>
            <w:tcW w:w="1300" w:type="dxa"/>
            <w:vAlign w:val="bottom"/>
            <w:shd w:val="clear" w:color="auto" w:fill="0E2A35"/>
          </w:tcPr>
          <w:p>
            <w:pPr>
              <w:spacing w:after="0"/>
              <w:rPr>
                <w:sz w:val="7"/>
                <w:szCs w:val="7"/>
                <w:color w:val="auto"/>
              </w:rPr>
            </w:pPr>
          </w:p>
        </w:tc>
        <w:tc>
          <w:tcPr>
            <w:tcW w:w="380" w:type="dxa"/>
            <w:vAlign w:val="bottom"/>
            <w:shd w:val="clear" w:color="auto" w:fill="0E2A35"/>
          </w:tcPr>
          <w:p>
            <w:pPr>
              <w:spacing w:after="0"/>
              <w:rPr>
                <w:sz w:val="7"/>
                <w:szCs w:val="7"/>
                <w:color w:val="auto"/>
              </w:rPr>
            </w:pPr>
          </w:p>
        </w:tc>
        <w:tc>
          <w:tcPr>
            <w:tcW w:w="420" w:type="dxa"/>
            <w:vAlign w:val="bottom"/>
            <w:shd w:val="clear" w:color="auto" w:fill="0E2A35"/>
          </w:tcPr>
          <w:p>
            <w:pPr>
              <w:spacing w:after="0"/>
              <w:rPr>
                <w:sz w:val="7"/>
                <w:szCs w:val="7"/>
                <w:color w:val="auto"/>
              </w:rPr>
            </w:pPr>
          </w:p>
        </w:tc>
        <w:tc>
          <w:tcPr>
            <w:tcW w:w="500" w:type="dxa"/>
            <w:vAlign w:val="bottom"/>
            <w:shd w:val="clear" w:color="auto" w:fill="0E2A35"/>
          </w:tcPr>
          <w:p>
            <w:pPr>
              <w:spacing w:after="0"/>
              <w:rPr>
                <w:sz w:val="7"/>
                <w:szCs w:val="7"/>
                <w:color w:val="auto"/>
              </w:rPr>
            </w:pPr>
          </w:p>
        </w:tc>
        <w:tc>
          <w:tcPr>
            <w:tcW w:w="540" w:type="dxa"/>
            <w:vAlign w:val="bottom"/>
            <w:shd w:val="clear" w:color="auto" w:fill="0E2A35"/>
          </w:tcPr>
          <w:p>
            <w:pPr>
              <w:spacing w:after="0"/>
              <w:rPr>
                <w:sz w:val="7"/>
                <w:szCs w:val="7"/>
                <w:color w:val="auto"/>
              </w:rPr>
            </w:pPr>
          </w:p>
        </w:tc>
        <w:tc>
          <w:tcPr>
            <w:tcW w:w="1280" w:type="dxa"/>
            <w:vAlign w:val="bottom"/>
            <w:gridSpan w:val="2"/>
            <w:shd w:val="clear" w:color="auto" w:fill="0E2A35"/>
          </w:tcPr>
          <w:p>
            <w:pPr>
              <w:spacing w:after="0"/>
              <w:rPr>
                <w:sz w:val="7"/>
                <w:szCs w:val="7"/>
                <w:color w:val="auto"/>
              </w:rPr>
            </w:pPr>
          </w:p>
        </w:tc>
        <w:tc>
          <w:tcPr>
            <w:tcW w:w="440" w:type="dxa"/>
            <w:vAlign w:val="bottom"/>
            <w:shd w:val="clear" w:color="auto" w:fill="0E2A35"/>
          </w:tcPr>
          <w:p>
            <w:pPr>
              <w:spacing w:after="0"/>
              <w:rPr>
                <w:sz w:val="7"/>
                <w:szCs w:val="7"/>
                <w:color w:val="auto"/>
              </w:rPr>
            </w:pPr>
          </w:p>
        </w:tc>
        <w:tc>
          <w:tcPr>
            <w:tcW w:w="620" w:type="dxa"/>
            <w:vAlign w:val="bottom"/>
            <w:shd w:val="clear" w:color="auto" w:fill="0E2A35"/>
          </w:tcPr>
          <w:p>
            <w:pPr>
              <w:spacing w:after="0"/>
              <w:rPr>
                <w:sz w:val="7"/>
                <w:szCs w:val="7"/>
                <w:color w:val="auto"/>
              </w:rPr>
            </w:pPr>
          </w:p>
        </w:tc>
        <w:tc>
          <w:tcPr>
            <w:tcW w:w="1140" w:type="dxa"/>
            <w:vAlign w:val="bottom"/>
            <w:shd w:val="clear" w:color="auto" w:fill="0E2A35"/>
          </w:tcPr>
          <w:p>
            <w:pPr>
              <w:spacing w:after="0"/>
              <w:rPr>
                <w:sz w:val="7"/>
                <w:szCs w:val="7"/>
                <w:color w:val="auto"/>
              </w:rPr>
            </w:pPr>
          </w:p>
        </w:tc>
        <w:tc>
          <w:tcPr>
            <w:tcW w:w="880" w:type="dxa"/>
            <w:vAlign w:val="bottom"/>
            <w:gridSpan w:val="3"/>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0E2A35"/>
              </w:rPr>
              <w:t>Incentive ROIC</w:t>
            </w:r>
          </w:p>
        </w:tc>
        <w:tc>
          <w:tcPr>
            <w:tcW w:w="380" w:type="dxa"/>
            <w:vAlign w:val="bottom"/>
          </w:tcPr>
          <w:p>
            <w:pPr>
              <w:ind w:left="220"/>
              <w:spacing w:after="0"/>
              <w:rPr>
                <w:sz w:val="20"/>
                <w:szCs w:val="20"/>
                <w:color w:val="auto"/>
              </w:rPr>
            </w:pPr>
            <w:r>
              <w:rPr>
                <w:rFonts w:ascii="Arial" w:cs="Arial" w:eastAsia="Arial" w:hAnsi="Arial"/>
                <w:sz w:val="14"/>
                <w:szCs w:val="14"/>
                <w:color w:val="0E2A35"/>
                <w:w w:val="89"/>
              </w:rPr>
              <w:t>50​</w:t>
            </w:r>
          </w:p>
        </w:tc>
        <w:tc>
          <w:tcPr>
            <w:tcW w:w="420" w:type="dxa"/>
            <w:vAlign w:val="bottom"/>
          </w:tcPr>
          <w:p>
            <w:pPr>
              <w:jc w:val="right"/>
              <w:ind w:right="108"/>
              <w:spacing w:after="0"/>
              <w:rPr>
                <w:sz w:val="20"/>
                <w:szCs w:val="20"/>
                <w:color w:val="auto"/>
              </w:rPr>
            </w:pPr>
            <w:r>
              <w:rPr>
                <w:rFonts w:ascii="Arial" w:cs="Arial" w:eastAsia="Arial" w:hAnsi="Arial"/>
                <w:sz w:val="14"/>
                <w:szCs w:val="14"/>
                <w:color w:val="0E2A35"/>
                <w:w w:val="90"/>
              </w:rPr>
              <w:t>.0%</w:t>
            </w:r>
          </w:p>
        </w:tc>
        <w:tc>
          <w:tcPr>
            <w:tcW w:w="500" w:type="dxa"/>
            <w:vAlign w:val="bottom"/>
          </w:tcPr>
          <w:p>
            <w:pPr>
              <w:spacing w:after="0"/>
              <w:rPr>
                <w:sz w:val="24"/>
                <w:szCs w:val="2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0E2A35"/>
              </w:rPr>
              <w:t>9​.6%</w:t>
            </w:r>
          </w:p>
        </w:tc>
        <w:tc>
          <w:tcPr>
            <w:tcW w:w="1280" w:type="dxa"/>
            <w:vAlign w:val="bottom"/>
            <w:gridSpan w:val="2"/>
          </w:tcPr>
          <w:p>
            <w:pPr>
              <w:jc w:val="right"/>
              <w:ind w:right="108"/>
              <w:spacing w:after="0"/>
              <w:rPr>
                <w:sz w:val="20"/>
                <w:szCs w:val="20"/>
                <w:color w:val="auto"/>
              </w:rPr>
            </w:pPr>
            <w:r>
              <w:rPr>
                <w:rFonts w:ascii="Arial" w:cs="Arial" w:eastAsia="Arial" w:hAnsi="Arial"/>
                <w:sz w:val="14"/>
                <w:szCs w:val="14"/>
                <w:color w:val="0E2A35"/>
              </w:rPr>
              <w:t>11.4% - 12.6%</w:t>
            </w:r>
          </w:p>
        </w:tc>
        <w:tc>
          <w:tcPr>
            <w:tcW w:w="440" w:type="dxa"/>
            <w:vAlign w:val="bottom"/>
          </w:tcPr>
          <w:p>
            <w:pPr>
              <w:spacing w:after="0"/>
              <w:rPr>
                <w:sz w:val="24"/>
                <w:szCs w:val="2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0E2A35"/>
              </w:rPr>
              <w:t>13​.8%</w:t>
            </w:r>
          </w:p>
        </w:tc>
        <w:tc>
          <w:tcPr>
            <w:tcW w:w="1140" w:type="dxa"/>
            <w:vAlign w:val="bottom"/>
          </w:tcPr>
          <w:p>
            <w:pPr>
              <w:jc w:val="right"/>
              <w:ind w:right="209"/>
              <w:spacing w:after="0"/>
              <w:rPr>
                <w:sz w:val="20"/>
                <w:szCs w:val="20"/>
                <w:color w:val="auto"/>
              </w:rPr>
            </w:pPr>
            <w:r>
              <w:rPr>
                <w:rFonts w:ascii="Arial" w:cs="Arial" w:eastAsia="Arial" w:hAnsi="Arial"/>
                <w:sz w:val="14"/>
                <w:szCs w:val="14"/>
                <w:color w:val="0E2A35"/>
              </w:rPr>
              <w:t>20.3%</w:t>
            </w:r>
          </w:p>
        </w:tc>
        <w:tc>
          <w:tcPr>
            <w:tcW w:w="880" w:type="dxa"/>
            <w:vAlign w:val="bottom"/>
            <w:gridSpan w:val="3"/>
          </w:tcPr>
          <w:p>
            <w:pPr>
              <w:jc w:val="right"/>
              <w:ind w:right="108"/>
              <w:spacing w:after="0"/>
              <w:rPr>
                <w:sz w:val="20"/>
                <w:szCs w:val="20"/>
                <w:color w:val="auto"/>
              </w:rPr>
            </w:pPr>
            <w:r>
              <w:rPr>
                <w:rFonts w:ascii="Arial" w:cs="Arial" w:eastAsia="Arial" w:hAnsi="Arial"/>
                <w:sz w:val="14"/>
                <w:szCs w:val="14"/>
                <w:color w:val="0E2A35"/>
              </w:rPr>
              <w:t>200.0%</w:t>
            </w: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000" w:type="dxa"/>
            <w:vAlign w:val="bottom"/>
            <w:vMerge w:val="restart"/>
          </w:tcPr>
          <w:p>
            <w:pPr>
              <w:ind w:left="60"/>
              <w:spacing w:after="0"/>
              <w:rPr>
                <w:sz w:val="20"/>
                <w:szCs w:val="20"/>
                <w:color w:val="auto"/>
              </w:rPr>
            </w:pPr>
            <w:r>
              <w:rPr>
                <w:rFonts w:ascii="Arial" w:cs="Arial" w:eastAsia="Arial" w:hAnsi="Arial"/>
                <w:sz w:val="14"/>
                <w:szCs w:val="14"/>
                <w:b w:val="1"/>
                <w:bCs w:val="1"/>
                <w:color w:val="0E2A35"/>
              </w:rPr>
              <w:t>Period 1</w:t>
            </w:r>
            <w:r>
              <w:rPr>
                <w:rFonts w:ascii="Arial" w:cs="Arial" w:eastAsia="Arial" w:hAnsi="Arial"/>
                <w:sz w:val="23"/>
                <w:szCs w:val="23"/>
                <w:color w:val="0E2A35"/>
                <w:vertAlign w:val="superscript"/>
              </w:rPr>
              <w:t>(1)</w:t>
            </w:r>
          </w:p>
        </w:tc>
        <w:tc>
          <w:tcPr>
            <w:tcW w:w="7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0E2A35"/>
              </w:rPr>
              <w:t>Incentive EPS</w:t>
            </w:r>
          </w:p>
        </w:tc>
        <w:tc>
          <w:tcPr>
            <w:tcW w:w="380" w:type="dxa"/>
            <w:vAlign w:val="bottom"/>
          </w:tcPr>
          <w:p>
            <w:pPr>
              <w:ind w:left="220"/>
              <w:spacing w:after="0"/>
              <w:rPr>
                <w:sz w:val="20"/>
                <w:szCs w:val="20"/>
                <w:color w:val="auto"/>
              </w:rPr>
            </w:pPr>
            <w:r>
              <w:rPr>
                <w:rFonts w:ascii="Arial" w:cs="Arial" w:eastAsia="Arial" w:hAnsi="Arial"/>
                <w:sz w:val="14"/>
                <w:szCs w:val="14"/>
                <w:color w:val="0E2A35"/>
                <w:w w:val="89"/>
              </w:rPr>
              <w:t>50​</w:t>
            </w:r>
          </w:p>
        </w:tc>
        <w:tc>
          <w:tcPr>
            <w:tcW w:w="420" w:type="dxa"/>
            <w:vAlign w:val="bottom"/>
          </w:tcPr>
          <w:p>
            <w:pPr>
              <w:jc w:val="right"/>
              <w:ind w:right="108"/>
              <w:spacing w:after="0"/>
              <w:rPr>
                <w:sz w:val="20"/>
                <w:szCs w:val="20"/>
                <w:color w:val="auto"/>
              </w:rPr>
            </w:pPr>
            <w:r>
              <w:rPr>
                <w:rFonts w:ascii="Arial" w:cs="Arial" w:eastAsia="Arial" w:hAnsi="Arial"/>
                <w:sz w:val="14"/>
                <w:szCs w:val="14"/>
                <w:color w:val="0E2A35"/>
                <w:w w:val="90"/>
              </w:rPr>
              <w:t>.0%</w:t>
            </w:r>
          </w:p>
        </w:tc>
        <w:tc>
          <w:tcPr>
            <w:tcW w:w="500" w:type="dxa"/>
            <w:vAlign w:val="bottom"/>
          </w:tcPr>
          <w:p>
            <w:pPr>
              <w:jc w:val="right"/>
              <w:spacing w:after="0"/>
              <w:rPr>
                <w:sz w:val="20"/>
                <w:szCs w:val="20"/>
                <w:color w:val="auto"/>
              </w:rPr>
            </w:pPr>
            <w:r>
              <w:rPr>
                <w:rFonts w:ascii="Arial" w:cs="Arial" w:eastAsia="Arial" w:hAnsi="Arial"/>
                <w:sz w:val="14"/>
                <w:szCs w:val="14"/>
                <w:color w:val="0E2A35"/>
              </w:rPr>
              <w:t>$​</w:t>
            </w:r>
          </w:p>
        </w:tc>
        <w:tc>
          <w:tcPr>
            <w:tcW w:w="540" w:type="dxa"/>
            <w:vAlign w:val="bottom"/>
          </w:tcPr>
          <w:p>
            <w:pPr>
              <w:jc w:val="right"/>
              <w:ind w:right="128"/>
              <w:spacing w:after="0"/>
              <w:rPr>
                <w:sz w:val="20"/>
                <w:szCs w:val="20"/>
                <w:color w:val="auto"/>
              </w:rPr>
            </w:pPr>
            <w:r>
              <w:rPr>
                <w:rFonts w:ascii="Arial" w:cs="Arial" w:eastAsia="Arial" w:hAnsi="Arial"/>
                <w:sz w:val="14"/>
                <w:szCs w:val="14"/>
                <w:color w:val="0E2A35"/>
              </w:rPr>
              <w:t>3.50</w:t>
            </w:r>
          </w:p>
        </w:tc>
        <w:tc>
          <w:tcPr>
            <w:tcW w:w="580" w:type="dxa"/>
            <w:vAlign w:val="bottom"/>
          </w:tcPr>
          <w:p>
            <w:pPr>
              <w:jc w:val="right"/>
              <w:spacing w:after="0"/>
              <w:rPr>
                <w:sz w:val="20"/>
                <w:szCs w:val="20"/>
                <w:color w:val="auto"/>
              </w:rPr>
            </w:pPr>
            <w:r>
              <w:rPr>
                <w:rFonts w:ascii="Arial" w:cs="Arial" w:eastAsia="Arial" w:hAnsi="Arial"/>
                <w:sz w:val="14"/>
                <w:szCs w:val="14"/>
                <w:color w:val="0E2A35"/>
              </w:rPr>
              <w:t>$​4.14</w:t>
            </w:r>
          </w:p>
        </w:tc>
        <w:tc>
          <w:tcPr>
            <w:tcW w:w="700" w:type="dxa"/>
            <w:vAlign w:val="bottom"/>
          </w:tcPr>
          <w:p>
            <w:pPr>
              <w:ind w:left="20"/>
              <w:spacing w:after="0"/>
              <w:rPr>
                <w:sz w:val="20"/>
                <w:szCs w:val="20"/>
                <w:color w:val="auto"/>
              </w:rPr>
            </w:pPr>
            <w:r>
              <w:rPr>
                <w:rFonts w:ascii="Arial" w:cs="Arial" w:eastAsia="Arial" w:hAnsi="Arial"/>
                <w:sz w:val="14"/>
                <w:szCs w:val="14"/>
                <w:color w:val="0E2A35"/>
              </w:rPr>
              <w:t>- $4.58</w:t>
            </w:r>
          </w:p>
        </w:tc>
        <w:tc>
          <w:tcPr>
            <w:tcW w:w="440" w:type="dxa"/>
            <w:vAlign w:val="bottom"/>
          </w:tcPr>
          <w:p>
            <w:pPr>
              <w:spacing w:after="0"/>
              <w:rPr>
                <w:sz w:val="24"/>
                <w:szCs w:val="24"/>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color w:val="0E2A35"/>
              </w:rPr>
              <w:t>$​ 5.01</w:t>
            </w:r>
          </w:p>
        </w:tc>
        <w:tc>
          <w:tcPr>
            <w:tcW w:w="1140" w:type="dxa"/>
            <w:vAlign w:val="bottom"/>
          </w:tcPr>
          <w:p>
            <w:pPr>
              <w:jc w:val="right"/>
              <w:ind w:right="349"/>
              <w:spacing w:after="0"/>
              <w:rPr>
                <w:sz w:val="20"/>
                <w:szCs w:val="20"/>
                <w:color w:val="auto"/>
              </w:rPr>
            </w:pPr>
            <w:r>
              <w:rPr>
                <w:rFonts w:ascii="Arial" w:cs="Arial" w:eastAsia="Arial" w:hAnsi="Arial"/>
                <w:sz w:val="14"/>
                <w:szCs w:val="14"/>
                <w:color w:val="0E2A35"/>
              </w:rPr>
              <w:t>$ 8.66</w:t>
            </w:r>
          </w:p>
        </w:tc>
        <w:tc>
          <w:tcPr>
            <w:tcW w:w="880" w:type="dxa"/>
            <w:vAlign w:val="bottom"/>
            <w:gridSpan w:val="3"/>
          </w:tcPr>
          <w:p>
            <w:pPr>
              <w:jc w:val="right"/>
              <w:ind w:right="108"/>
              <w:spacing w:after="0"/>
              <w:rPr>
                <w:sz w:val="20"/>
                <w:szCs w:val="20"/>
                <w:color w:val="auto"/>
              </w:rPr>
            </w:pPr>
            <w:r>
              <w:rPr>
                <w:rFonts w:ascii="Arial" w:cs="Arial" w:eastAsia="Arial" w:hAnsi="Arial"/>
                <w:sz w:val="14"/>
                <w:szCs w:val="14"/>
                <w:color w:val="0E2A35"/>
              </w:rPr>
              <w:t>200.0%</w:t>
            </w:r>
          </w:p>
        </w:tc>
        <w:tc>
          <w:tcPr>
            <w:tcW w:w="0" w:type="dxa"/>
            <w:vAlign w:val="bottom"/>
          </w:tcPr>
          <w:p>
            <w:pPr>
              <w:spacing w:after="0"/>
              <w:rPr>
                <w:sz w:val="1"/>
                <w:szCs w:val="1"/>
                <w:color w:val="auto"/>
              </w:rPr>
            </w:pPr>
          </w:p>
        </w:tc>
      </w:tr>
      <w:tr>
        <w:trPr>
          <w:trHeight w:val="93"/>
        </w:trPr>
        <w:tc>
          <w:tcPr>
            <w:tcW w:w="1000" w:type="dxa"/>
            <w:vAlign w:val="bottom"/>
            <w:vMerge w:val="continue"/>
          </w:tcPr>
          <w:p>
            <w:pPr>
              <w:spacing w:after="0"/>
              <w:rPr>
                <w:sz w:val="8"/>
                <w:szCs w:val="8"/>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4"/>
                <w:szCs w:val="14"/>
                <w:color w:val="0E2A35"/>
              </w:rPr>
              <w:t>25%</w:t>
            </w: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0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2"/>
            <w:vMerge w:val="restart"/>
          </w:tcPr>
          <w:p>
            <w:pPr>
              <w:jc w:val="right"/>
              <w:ind w:right="89"/>
              <w:spacing w:after="0"/>
              <w:rPr>
                <w:sz w:val="20"/>
                <w:szCs w:val="20"/>
                <w:color w:val="auto"/>
              </w:rPr>
            </w:pPr>
            <w:r>
              <w:rPr>
                <w:rFonts w:ascii="Arial" w:cs="Arial" w:eastAsia="Arial" w:hAnsi="Arial"/>
                <w:sz w:val="14"/>
                <w:szCs w:val="14"/>
                <w:color w:val="0E2A35"/>
              </w:rPr>
              <w:t>Payout Percentage</w:t>
            </w:r>
          </w:p>
        </w:tc>
        <w:tc>
          <w:tcPr>
            <w:tcW w:w="880" w:type="dxa"/>
            <w:vAlign w:val="bottom"/>
            <w:gridSpan w:val="3"/>
            <w:vMerge w:val="restart"/>
          </w:tcPr>
          <w:p>
            <w:pPr>
              <w:jc w:val="right"/>
              <w:ind w:right="108"/>
              <w:spacing w:after="0"/>
              <w:rPr>
                <w:sz w:val="20"/>
                <w:szCs w:val="20"/>
                <w:color w:val="auto"/>
              </w:rPr>
            </w:pPr>
            <w:r>
              <w:rPr>
                <w:rFonts w:ascii="Arial" w:cs="Arial" w:eastAsia="Arial" w:hAnsi="Arial"/>
                <w:sz w:val="14"/>
                <w:szCs w:val="14"/>
                <w:color w:val="0E2A35"/>
              </w:rPr>
              <w:t>200.0%</w:t>
            </w:r>
          </w:p>
        </w:tc>
        <w:tc>
          <w:tcPr>
            <w:tcW w:w="0" w:type="dxa"/>
            <w:vAlign w:val="bottom"/>
          </w:tcPr>
          <w:p>
            <w:pPr>
              <w:spacing w:after="0"/>
              <w:rPr>
                <w:sz w:val="1"/>
                <w:szCs w:val="1"/>
                <w:color w:val="auto"/>
              </w:rPr>
            </w:pPr>
          </w:p>
        </w:tc>
      </w:tr>
      <w:tr>
        <w:trPr>
          <w:trHeight w:val="86"/>
        </w:trPr>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2200" w:type="dxa"/>
            <w:vAlign w:val="bottom"/>
            <w:tcBorders>
              <w:bottom w:val="single" w:sz="8" w:color="0E2A35"/>
            </w:tcBorders>
            <w:gridSpan w:val="3"/>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gridSpan w:val="3"/>
          </w:tcPr>
          <w:p>
            <w:pPr>
              <w:jc w:val="right"/>
              <w:ind w:right="89"/>
              <w:spacing w:after="0"/>
              <w:rPr>
                <w:sz w:val="20"/>
                <w:szCs w:val="20"/>
                <w:color w:val="auto"/>
              </w:rPr>
            </w:pPr>
            <w:r>
              <w:rPr>
                <w:rFonts w:ascii="Arial" w:cs="Arial" w:eastAsia="Arial" w:hAnsi="Arial"/>
                <w:sz w:val="14"/>
                <w:szCs w:val="14"/>
                <w:color w:val="0E2A35"/>
              </w:rPr>
              <w:t>Weighted Payout Percentage</w:t>
            </w:r>
          </w:p>
        </w:tc>
        <w:tc>
          <w:tcPr>
            <w:tcW w:w="260" w:type="dxa"/>
            <w:vAlign w:val="bottom"/>
          </w:tcPr>
          <w:p>
            <w:pPr>
              <w:spacing w:after="0"/>
              <w:rPr>
                <w:sz w:val="24"/>
                <w:szCs w:val="24"/>
                <w:color w:val="auto"/>
              </w:rPr>
            </w:pPr>
          </w:p>
        </w:tc>
        <w:tc>
          <w:tcPr>
            <w:tcW w:w="620" w:type="dxa"/>
            <w:vAlign w:val="bottom"/>
            <w:gridSpan w:val="2"/>
          </w:tcPr>
          <w:p>
            <w:pPr>
              <w:jc w:val="right"/>
              <w:ind w:right="108"/>
              <w:spacing w:after="0"/>
              <w:rPr>
                <w:sz w:val="20"/>
                <w:szCs w:val="20"/>
                <w:color w:val="auto"/>
              </w:rPr>
            </w:pPr>
            <w:r>
              <w:rPr>
                <w:rFonts w:ascii="Arial" w:cs="Arial" w:eastAsia="Arial" w:hAnsi="Arial"/>
                <w:sz w:val="14"/>
                <w:szCs w:val="14"/>
                <w:color w:val="0E2A35"/>
              </w:rPr>
              <w:t>50.0%</w:t>
            </w:r>
          </w:p>
        </w:tc>
        <w:tc>
          <w:tcPr>
            <w:tcW w:w="0" w:type="dxa"/>
            <w:vAlign w:val="bottom"/>
          </w:tcPr>
          <w:p>
            <w:pPr>
              <w:spacing w:after="0"/>
              <w:rPr>
                <w:sz w:val="1"/>
                <w:szCs w:val="1"/>
                <w:color w:val="auto"/>
              </w:rPr>
            </w:pPr>
          </w:p>
        </w:tc>
      </w:tr>
      <w:tr>
        <w:trPr>
          <w:trHeight w:val="93"/>
        </w:trPr>
        <w:tc>
          <w:tcPr>
            <w:tcW w:w="100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0E2A35"/>
              </w:rPr>
              <w:t>Incentive ROIC</w:t>
            </w:r>
          </w:p>
        </w:tc>
        <w:tc>
          <w:tcPr>
            <w:tcW w:w="380" w:type="dxa"/>
            <w:vAlign w:val="bottom"/>
          </w:tcPr>
          <w:p>
            <w:pPr>
              <w:ind w:left="220"/>
              <w:spacing w:after="0"/>
              <w:rPr>
                <w:sz w:val="20"/>
                <w:szCs w:val="20"/>
                <w:color w:val="auto"/>
              </w:rPr>
            </w:pPr>
            <w:r>
              <w:rPr>
                <w:rFonts w:ascii="Arial" w:cs="Arial" w:eastAsia="Arial" w:hAnsi="Arial"/>
                <w:sz w:val="14"/>
                <w:szCs w:val="14"/>
                <w:color w:val="0E2A35"/>
                <w:w w:val="89"/>
              </w:rPr>
              <w:t>50​</w:t>
            </w:r>
          </w:p>
        </w:tc>
        <w:tc>
          <w:tcPr>
            <w:tcW w:w="420" w:type="dxa"/>
            <w:vAlign w:val="bottom"/>
          </w:tcPr>
          <w:p>
            <w:pPr>
              <w:jc w:val="right"/>
              <w:ind w:right="108"/>
              <w:spacing w:after="0"/>
              <w:rPr>
                <w:sz w:val="20"/>
                <w:szCs w:val="20"/>
                <w:color w:val="auto"/>
              </w:rPr>
            </w:pPr>
            <w:r>
              <w:rPr>
                <w:rFonts w:ascii="Arial" w:cs="Arial" w:eastAsia="Arial" w:hAnsi="Arial"/>
                <w:sz w:val="14"/>
                <w:szCs w:val="14"/>
                <w:color w:val="0E2A35"/>
                <w:w w:val="90"/>
              </w:rPr>
              <w:t>.0%</w:t>
            </w:r>
          </w:p>
        </w:tc>
        <w:tc>
          <w:tcPr>
            <w:tcW w:w="500" w:type="dxa"/>
            <w:vAlign w:val="bottom"/>
          </w:tcPr>
          <w:p>
            <w:pPr>
              <w:spacing w:after="0"/>
              <w:rPr>
                <w:sz w:val="24"/>
                <w:szCs w:val="2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0E2A35"/>
              </w:rPr>
              <w:t>17​.0%</w:t>
            </w:r>
          </w:p>
        </w:tc>
        <w:tc>
          <w:tcPr>
            <w:tcW w:w="580" w:type="dxa"/>
            <w:vAlign w:val="bottom"/>
          </w:tcPr>
          <w:p>
            <w:pPr>
              <w:jc w:val="right"/>
              <w:spacing w:after="0"/>
              <w:rPr>
                <w:sz w:val="20"/>
                <w:szCs w:val="20"/>
                <w:color w:val="auto"/>
              </w:rPr>
            </w:pPr>
            <w:r>
              <w:rPr>
                <w:rFonts w:ascii="Arial" w:cs="Arial" w:eastAsia="Arial" w:hAnsi="Arial"/>
                <w:sz w:val="14"/>
                <w:szCs w:val="14"/>
                <w:color w:val="0E2A35"/>
              </w:rPr>
              <w:t>20.2%</w:t>
            </w:r>
          </w:p>
        </w:tc>
        <w:tc>
          <w:tcPr>
            <w:tcW w:w="700" w:type="dxa"/>
            <w:vAlign w:val="bottom"/>
          </w:tcPr>
          <w:p>
            <w:pPr>
              <w:ind w:left="20"/>
              <w:spacing w:after="0"/>
              <w:rPr>
                <w:sz w:val="20"/>
                <w:szCs w:val="20"/>
                <w:color w:val="auto"/>
              </w:rPr>
            </w:pPr>
            <w:r>
              <w:rPr>
                <w:rFonts w:ascii="Arial" w:cs="Arial" w:eastAsia="Arial" w:hAnsi="Arial"/>
                <w:sz w:val="14"/>
                <w:szCs w:val="14"/>
                <w:color w:val="0E2A35"/>
              </w:rPr>
              <w:t>- 22.4%</w:t>
            </w:r>
          </w:p>
        </w:tc>
        <w:tc>
          <w:tcPr>
            <w:tcW w:w="440" w:type="dxa"/>
            <w:vAlign w:val="bottom"/>
          </w:tcPr>
          <w:p>
            <w:pPr>
              <w:spacing w:after="0"/>
              <w:rPr>
                <w:sz w:val="24"/>
                <w:szCs w:val="2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0E2A35"/>
              </w:rPr>
              <w:t>24​.5%</w:t>
            </w:r>
          </w:p>
        </w:tc>
        <w:tc>
          <w:tcPr>
            <w:tcW w:w="1140" w:type="dxa"/>
            <w:vAlign w:val="bottom"/>
          </w:tcPr>
          <w:p>
            <w:pPr>
              <w:jc w:val="right"/>
              <w:ind w:right="209"/>
              <w:spacing w:after="0"/>
              <w:rPr>
                <w:sz w:val="20"/>
                <w:szCs w:val="20"/>
                <w:color w:val="auto"/>
              </w:rPr>
            </w:pPr>
            <w:r>
              <w:rPr>
                <w:rFonts w:ascii="Arial" w:cs="Arial" w:eastAsia="Arial" w:hAnsi="Arial"/>
                <w:sz w:val="14"/>
                <w:szCs w:val="14"/>
                <w:color w:val="0E2A35"/>
              </w:rPr>
              <w:t>25.9%</w:t>
            </w:r>
          </w:p>
        </w:tc>
        <w:tc>
          <w:tcPr>
            <w:tcW w:w="880" w:type="dxa"/>
            <w:vAlign w:val="bottom"/>
            <w:gridSpan w:val="3"/>
          </w:tcPr>
          <w:p>
            <w:pPr>
              <w:jc w:val="right"/>
              <w:ind w:right="108"/>
              <w:spacing w:after="0"/>
              <w:rPr>
                <w:sz w:val="20"/>
                <w:szCs w:val="20"/>
                <w:color w:val="auto"/>
              </w:rPr>
            </w:pPr>
            <w:r>
              <w:rPr>
                <w:rFonts w:ascii="Arial" w:cs="Arial" w:eastAsia="Arial" w:hAnsi="Arial"/>
                <w:sz w:val="14"/>
                <w:szCs w:val="14"/>
                <w:color w:val="0E2A35"/>
              </w:rPr>
              <w:t>200.0%</w:t>
            </w: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gridSpan w:val="2"/>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000" w:type="dxa"/>
            <w:vAlign w:val="bottom"/>
            <w:vMerge w:val="restart"/>
          </w:tcPr>
          <w:p>
            <w:pPr>
              <w:ind w:left="60"/>
              <w:spacing w:after="0"/>
              <w:rPr>
                <w:sz w:val="20"/>
                <w:szCs w:val="20"/>
                <w:color w:val="auto"/>
              </w:rPr>
            </w:pPr>
            <w:r>
              <w:rPr>
                <w:rFonts w:ascii="Arial" w:cs="Arial" w:eastAsia="Arial" w:hAnsi="Arial"/>
                <w:sz w:val="14"/>
                <w:szCs w:val="14"/>
                <w:b w:val="1"/>
                <w:bCs w:val="1"/>
                <w:color w:val="0E2A35"/>
              </w:rPr>
              <w:t>Period 2</w:t>
            </w:r>
            <w:r>
              <w:rPr>
                <w:rFonts w:ascii="Arial" w:cs="Arial" w:eastAsia="Arial" w:hAnsi="Arial"/>
                <w:sz w:val="23"/>
                <w:szCs w:val="23"/>
                <w:color w:val="0E2A35"/>
                <w:vertAlign w:val="superscript"/>
              </w:rPr>
              <w:t>(2)</w:t>
            </w:r>
          </w:p>
        </w:tc>
        <w:tc>
          <w:tcPr>
            <w:tcW w:w="7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0E2A35"/>
              </w:rPr>
              <w:t>Incentive EPS</w:t>
            </w:r>
          </w:p>
        </w:tc>
        <w:tc>
          <w:tcPr>
            <w:tcW w:w="380" w:type="dxa"/>
            <w:vAlign w:val="bottom"/>
          </w:tcPr>
          <w:p>
            <w:pPr>
              <w:ind w:left="220"/>
              <w:spacing w:after="0"/>
              <w:rPr>
                <w:sz w:val="20"/>
                <w:szCs w:val="20"/>
                <w:color w:val="auto"/>
              </w:rPr>
            </w:pPr>
            <w:r>
              <w:rPr>
                <w:rFonts w:ascii="Arial" w:cs="Arial" w:eastAsia="Arial" w:hAnsi="Arial"/>
                <w:sz w:val="14"/>
                <w:szCs w:val="14"/>
                <w:color w:val="0E2A35"/>
                <w:w w:val="89"/>
              </w:rPr>
              <w:t>50​</w:t>
            </w:r>
          </w:p>
        </w:tc>
        <w:tc>
          <w:tcPr>
            <w:tcW w:w="420" w:type="dxa"/>
            <w:vAlign w:val="bottom"/>
          </w:tcPr>
          <w:p>
            <w:pPr>
              <w:jc w:val="right"/>
              <w:ind w:right="108"/>
              <w:spacing w:after="0"/>
              <w:rPr>
                <w:sz w:val="20"/>
                <w:szCs w:val="20"/>
                <w:color w:val="auto"/>
              </w:rPr>
            </w:pPr>
            <w:r>
              <w:rPr>
                <w:rFonts w:ascii="Arial" w:cs="Arial" w:eastAsia="Arial" w:hAnsi="Arial"/>
                <w:sz w:val="14"/>
                <w:szCs w:val="14"/>
                <w:color w:val="0E2A35"/>
                <w:w w:val="90"/>
              </w:rPr>
              <w:t>.0%</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0E2A35"/>
              </w:rPr>
              <w:t>$​10.39</w:t>
            </w:r>
          </w:p>
        </w:tc>
        <w:tc>
          <w:tcPr>
            <w:tcW w:w="580" w:type="dxa"/>
            <w:vAlign w:val="bottom"/>
          </w:tcPr>
          <w:p>
            <w:pPr>
              <w:jc w:val="right"/>
              <w:spacing w:after="0"/>
              <w:rPr>
                <w:sz w:val="20"/>
                <w:szCs w:val="20"/>
                <w:color w:val="auto"/>
              </w:rPr>
            </w:pPr>
            <w:r>
              <w:rPr>
                <w:rFonts w:ascii="Arial" w:cs="Arial" w:eastAsia="Arial" w:hAnsi="Arial"/>
                <w:sz w:val="14"/>
                <w:szCs w:val="14"/>
                <w:color w:val="0E2A35"/>
              </w:rPr>
              <w:t>$​10.70</w:t>
            </w:r>
          </w:p>
        </w:tc>
        <w:tc>
          <w:tcPr>
            <w:tcW w:w="700" w:type="dxa"/>
            <w:vAlign w:val="bottom"/>
          </w:tcPr>
          <w:p>
            <w:pPr>
              <w:ind w:left="20"/>
              <w:spacing w:after="0"/>
              <w:rPr>
                <w:sz w:val="20"/>
                <w:szCs w:val="20"/>
                <w:color w:val="auto"/>
              </w:rPr>
            </w:pPr>
            <w:r>
              <w:rPr>
                <w:rFonts w:ascii="Arial" w:cs="Arial" w:eastAsia="Arial" w:hAnsi="Arial"/>
                <w:sz w:val="14"/>
                <w:szCs w:val="14"/>
                <w:color w:val="0E2A35"/>
              </w:rPr>
              <w:t>- $10.95</w:t>
            </w:r>
          </w:p>
        </w:tc>
        <w:tc>
          <w:tcPr>
            <w:tcW w:w="440" w:type="dxa"/>
            <w:vAlign w:val="bottom"/>
          </w:tcPr>
          <w:p>
            <w:pPr>
              <w:jc w:val="right"/>
              <w:spacing w:after="0"/>
              <w:rPr>
                <w:sz w:val="20"/>
                <w:szCs w:val="20"/>
                <w:color w:val="auto"/>
              </w:rPr>
            </w:pPr>
            <w:r>
              <w:rPr>
                <w:rFonts w:ascii="Arial" w:cs="Arial" w:eastAsia="Arial" w:hAnsi="Arial"/>
                <w:sz w:val="14"/>
                <w:szCs w:val="14"/>
                <w:color w:val="0E2A35"/>
              </w:rPr>
              <w:t>$​</w:t>
            </w:r>
          </w:p>
        </w:tc>
        <w:tc>
          <w:tcPr>
            <w:tcW w:w="620" w:type="dxa"/>
            <w:vAlign w:val="bottom"/>
          </w:tcPr>
          <w:p>
            <w:pPr>
              <w:jc w:val="right"/>
              <w:ind w:right="148"/>
              <w:spacing w:after="0"/>
              <w:rPr>
                <w:sz w:val="20"/>
                <w:szCs w:val="20"/>
                <w:color w:val="auto"/>
              </w:rPr>
            </w:pPr>
            <w:r>
              <w:rPr>
                <w:rFonts w:ascii="Arial" w:cs="Arial" w:eastAsia="Arial" w:hAnsi="Arial"/>
                <w:sz w:val="14"/>
                <w:szCs w:val="14"/>
                <w:color w:val="0E2A35"/>
              </w:rPr>
              <w:t>11.15</w:t>
            </w:r>
          </w:p>
        </w:tc>
        <w:tc>
          <w:tcPr>
            <w:tcW w:w="1140" w:type="dxa"/>
            <w:vAlign w:val="bottom"/>
          </w:tcPr>
          <w:p>
            <w:pPr>
              <w:jc w:val="right"/>
              <w:ind w:right="349"/>
              <w:spacing w:after="0"/>
              <w:rPr>
                <w:sz w:val="20"/>
                <w:szCs w:val="20"/>
                <w:color w:val="auto"/>
              </w:rPr>
            </w:pPr>
            <w:r>
              <w:rPr>
                <w:rFonts w:ascii="Arial" w:cs="Arial" w:eastAsia="Arial" w:hAnsi="Arial"/>
                <w:sz w:val="14"/>
                <w:szCs w:val="14"/>
                <w:color w:val="0E2A35"/>
              </w:rPr>
              <w:t>$12.39</w:t>
            </w:r>
          </w:p>
        </w:tc>
        <w:tc>
          <w:tcPr>
            <w:tcW w:w="880" w:type="dxa"/>
            <w:vAlign w:val="bottom"/>
            <w:gridSpan w:val="3"/>
          </w:tcPr>
          <w:p>
            <w:pPr>
              <w:jc w:val="right"/>
              <w:ind w:right="108"/>
              <w:spacing w:after="0"/>
              <w:rPr>
                <w:sz w:val="20"/>
                <w:szCs w:val="20"/>
                <w:color w:val="auto"/>
              </w:rPr>
            </w:pPr>
            <w:r>
              <w:rPr>
                <w:rFonts w:ascii="Arial" w:cs="Arial" w:eastAsia="Arial" w:hAnsi="Arial"/>
                <w:sz w:val="14"/>
                <w:szCs w:val="14"/>
                <w:color w:val="0E2A35"/>
              </w:rPr>
              <w:t>200.0%</w:t>
            </w:r>
          </w:p>
        </w:tc>
        <w:tc>
          <w:tcPr>
            <w:tcW w:w="0" w:type="dxa"/>
            <w:vAlign w:val="bottom"/>
          </w:tcPr>
          <w:p>
            <w:pPr>
              <w:spacing w:after="0"/>
              <w:rPr>
                <w:sz w:val="1"/>
                <w:szCs w:val="1"/>
                <w:color w:val="auto"/>
              </w:rPr>
            </w:pPr>
          </w:p>
        </w:tc>
      </w:tr>
      <w:tr>
        <w:trPr>
          <w:trHeight w:val="93"/>
        </w:trPr>
        <w:tc>
          <w:tcPr>
            <w:tcW w:w="1000" w:type="dxa"/>
            <w:vAlign w:val="bottom"/>
            <w:vMerge w:val="continue"/>
          </w:tcPr>
          <w:p>
            <w:pPr>
              <w:spacing w:after="0"/>
              <w:rPr>
                <w:sz w:val="8"/>
                <w:szCs w:val="8"/>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4"/>
                <w:szCs w:val="14"/>
                <w:color w:val="0E2A35"/>
              </w:rPr>
              <w:t>25%</w:t>
            </w: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0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2"/>
            <w:vMerge w:val="restart"/>
          </w:tcPr>
          <w:p>
            <w:pPr>
              <w:jc w:val="right"/>
              <w:ind w:right="89"/>
              <w:spacing w:after="0"/>
              <w:rPr>
                <w:sz w:val="20"/>
                <w:szCs w:val="20"/>
                <w:color w:val="auto"/>
              </w:rPr>
            </w:pPr>
            <w:r>
              <w:rPr>
                <w:rFonts w:ascii="Arial" w:cs="Arial" w:eastAsia="Arial" w:hAnsi="Arial"/>
                <w:sz w:val="14"/>
                <w:szCs w:val="14"/>
                <w:color w:val="0E2A35"/>
              </w:rPr>
              <w:t>Payout Percentage</w:t>
            </w:r>
          </w:p>
        </w:tc>
        <w:tc>
          <w:tcPr>
            <w:tcW w:w="880" w:type="dxa"/>
            <w:vAlign w:val="bottom"/>
            <w:gridSpan w:val="3"/>
            <w:vMerge w:val="restart"/>
          </w:tcPr>
          <w:p>
            <w:pPr>
              <w:jc w:val="right"/>
              <w:ind w:right="108"/>
              <w:spacing w:after="0"/>
              <w:rPr>
                <w:sz w:val="20"/>
                <w:szCs w:val="20"/>
                <w:color w:val="auto"/>
              </w:rPr>
            </w:pPr>
            <w:r>
              <w:rPr>
                <w:rFonts w:ascii="Arial" w:cs="Arial" w:eastAsia="Arial" w:hAnsi="Arial"/>
                <w:sz w:val="14"/>
                <w:szCs w:val="14"/>
                <w:color w:val="0E2A35"/>
              </w:rPr>
              <w:t>200.0%</w:t>
            </w:r>
          </w:p>
        </w:tc>
        <w:tc>
          <w:tcPr>
            <w:tcW w:w="0" w:type="dxa"/>
            <w:vAlign w:val="bottom"/>
          </w:tcPr>
          <w:p>
            <w:pPr>
              <w:spacing w:after="0"/>
              <w:rPr>
                <w:sz w:val="1"/>
                <w:szCs w:val="1"/>
                <w:color w:val="auto"/>
              </w:rPr>
            </w:pPr>
          </w:p>
        </w:tc>
      </w:tr>
      <w:tr>
        <w:trPr>
          <w:trHeight w:val="86"/>
        </w:trPr>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2200" w:type="dxa"/>
            <w:vAlign w:val="bottom"/>
            <w:tcBorders>
              <w:bottom w:val="single" w:sz="8" w:color="0E2A35"/>
            </w:tcBorders>
            <w:gridSpan w:val="3"/>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gridSpan w:val="3"/>
          </w:tcPr>
          <w:p>
            <w:pPr>
              <w:jc w:val="right"/>
              <w:ind w:right="89"/>
              <w:spacing w:after="0"/>
              <w:rPr>
                <w:sz w:val="20"/>
                <w:szCs w:val="20"/>
                <w:color w:val="auto"/>
              </w:rPr>
            </w:pPr>
            <w:r>
              <w:rPr>
                <w:rFonts w:ascii="Arial" w:cs="Arial" w:eastAsia="Arial" w:hAnsi="Arial"/>
                <w:sz w:val="14"/>
                <w:szCs w:val="14"/>
                <w:color w:val="0E2A35"/>
              </w:rPr>
              <w:t>Weighted Payout Percentage</w:t>
            </w:r>
          </w:p>
        </w:tc>
        <w:tc>
          <w:tcPr>
            <w:tcW w:w="260" w:type="dxa"/>
            <w:vAlign w:val="bottom"/>
          </w:tcPr>
          <w:p>
            <w:pPr>
              <w:spacing w:after="0"/>
              <w:rPr>
                <w:sz w:val="24"/>
                <w:szCs w:val="24"/>
                <w:color w:val="auto"/>
              </w:rPr>
            </w:pPr>
          </w:p>
        </w:tc>
        <w:tc>
          <w:tcPr>
            <w:tcW w:w="620" w:type="dxa"/>
            <w:vAlign w:val="bottom"/>
            <w:gridSpan w:val="2"/>
          </w:tcPr>
          <w:p>
            <w:pPr>
              <w:jc w:val="right"/>
              <w:ind w:right="108"/>
              <w:spacing w:after="0"/>
              <w:rPr>
                <w:sz w:val="20"/>
                <w:szCs w:val="20"/>
                <w:color w:val="auto"/>
              </w:rPr>
            </w:pPr>
            <w:r>
              <w:rPr>
                <w:rFonts w:ascii="Arial" w:cs="Arial" w:eastAsia="Arial" w:hAnsi="Arial"/>
                <w:sz w:val="14"/>
                <w:szCs w:val="14"/>
                <w:color w:val="0E2A35"/>
              </w:rPr>
              <w:t>50.0%</w:t>
            </w:r>
          </w:p>
        </w:tc>
        <w:tc>
          <w:tcPr>
            <w:tcW w:w="0" w:type="dxa"/>
            <w:vAlign w:val="bottom"/>
          </w:tcPr>
          <w:p>
            <w:pPr>
              <w:spacing w:after="0"/>
              <w:rPr>
                <w:sz w:val="1"/>
                <w:szCs w:val="1"/>
                <w:color w:val="auto"/>
              </w:rPr>
            </w:pPr>
          </w:p>
        </w:tc>
      </w:tr>
      <w:tr>
        <w:trPr>
          <w:trHeight w:val="93"/>
        </w:trPr>
        <w:tc>
          <w:tcPr>
            <w:tcW w:w="100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0E2A35"/>
              </w:rPr>
              <w:t>Incentive ROIC</w:t>
            </w:r>
          </w:p>
        </w:tc>
        <w:tc>
          <w:tcPr>
            <w:tcW w:w="380" w:type="dxa"/>
            <w:vAlign w:val="bottom"/>
          </w:tcPr>
          <w:p>
            <w:pPr>
              <w:ind w:left="220"/>
              <w:spacing w:after="0"/>
              <w:rPr>
                <w:sz w:val="20"/>
                <w:szCs w:val="20"/>
                <w:color w:val="auto"/>
              </w:rPr>
            </w:pPr>
            <w:r>
              <w:rPr>
                <w:rFonts w:ascii="Arial" w:cs="Arial" w:eastAsia="Arial" w:hAnsi="Arial"/>
                <w:sz w:val="14"/>
                <w:szCs w:val="14"/>
                <w:color w:val="0E2A35"/>
                <w:w w:val="89"/>
              </w:rPr>
              <w:t>50​</w:t>
            </w:r>
          </w:p>
        </w:tc>
        <w:tc>
          <w:tcPr>
            <w:tcW w:w="420" w:type="dxa"/>
            <w:vAlign w:val="bottom"/>
          </w:tcPr>
          <w:p>
            <w:pPr>
              <w:jc w:val="right"/>
              <w:ind w:right="108"/>
              <w:spacing w:after="0"/>
              <w:rPr>
                <w:sz w:val="20"/>
                <w:szCs w:val="20"/>
                <w:color w:val="auto"/>
              </w:rPr>
            </w:pPr>
            <w:r>
              <w:rPr>
                <w:rFonts w:ascii="Arial" w:cs="Arial" w:eastAsia="Arial" w:hAnsi="Arial"/>
                <w:sz w:val="14"/>
                <w:szCs w:val="14"/>
                <w:color w:val="0E2A35"/>
                <w:w w:val="90"/>
              </w:rPr>
              <w:t>.0%</w:t>
            </w:r>
          </w:p>
        </w:tc>
        <w:tc>
          <w:tcPr>
            <w:tcW w:w="500" w:type="dxa"/>
            <w:vAlign w:val="bottom"/>
          </w:tcPr>
          <w:p>
            <w:pPr>
              <w:spacing w:after="0"/>
              <w:rPr>
                <w:sz w:val="24"/>
                <w:szCs w:val="2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0E2A35"/>
              </w:rPr>
              <w:t>21​.5%</w:t>
            </w:r>
          </w:p>
        </w:tc>
        <w:tc>
          <w:tcPr>
            <w:tcW w:w="580" w:type="dxa"/>
            <w:vAlign w:val="bottom"/>
          </w:tcPr>
          <w:p>
            <w:pPr>
              <w:jc w:val="right"/>
              <w:spacing w:after="0"/>
              <w:rPr>
                <w:sz w:val="20"/>
                <w:szCs w:val="20"/>
                <w:color w:val="auto"/>
              </w:rPr>
            </w:pPr>
            <w:r>
              <w:rPr>
                <w:rFonts w:ascii="Arial" w:cs="Arial" w:eastAsia="Arial" w:hAnsi="Arial"/>
                <w:sz w:val="14"/>
                <w:szCs w:val="14"/>
                <w:color w:val="0E2A35"/>
              </w:rPr>
              <w:t>25.6%</w:t>
            </w:r>
          </w:p>
        </w:tc>
        <w:tc>
          <w:tcPr>
            <w:tcW w:w="700" w:type="dxa"/>
            <w:vAlign w:val="bottom"/>
          </w:tcPr>
          <w:p>
            <w:pPr>
              <w:ind w:left="20"/>
              <w:spacing w:after="0"/>
              <w:rPr>
                <w:sz w:val="20"/>
                <w:szCs w:val="20"/>
                <w:color w:val="auto"/>
              </w:rPr>
            </w:pPr>
            <w:r>
              <w:rPr>
                <w:rFonts w:ascii="Arial" w:cs="Arial" w:eastAsia="Arial" w:hAnsi="Arial"/>
                <w:sz w:val="14"/>
                <w:szCs w:val="14"/>
                <w:color w:val="0E2A35"/>
              </w:rPr>
              <w:t>- 28.2%</w:t>
            </w:r>
          </w:p>
        </w:tc>
        <w:tc>
          <w:tcPr>
            <w:tcW w:w="440" w:type="dxa"/>
            <w:vAlign w:val="bottom"/>
          </w:tcPr>
          <w:p>
            <w:pPr>
              <w:spacing w:after="0"/>
              <w:rPr>
                <w:sz w:val="24"/>
                <w:szCs w:val="2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0E2A35"/>
              </w:rPr>
              <w:t>30​.9%</w:t>
            </w:r>
          </w:p>
        </w:tc>
        <w:tc>
          <w:tcPr>
            <w:tcW w:w="1140" w:type="dxa"/>
            <w:vAlign w:val="bottom"/>
          </w:tcPr>
          <w:p>
            <w:pPr>
              <w:jc w:val="right"/>
              <w:ind w:right="209"/>
              <w:spacing w:after="0"/>
              <w:rPr>
                <w:sz w:val="20"/>
                <w:szCs w:val="20"/>
                <w:color w:val="auto"/>
              </w:rPr>
            </w:pPr>
            <w:r>
              <w:rPr>
                <w:rFonts w:ascii="Arial" w:cs="Arial" w:eastAsia="Arial" w:hAnsi="Arial"/>
                <w:sz w:val="14"/>
                <w:szCs w:val="14"/>
                <w:color w:val="0E2A35"/>
              </w:rPr>
              <w:t>​  13.3%</w:t>
            </w:r>
          </w:p>
        </w:tc>
        <w:tc>
          <w:tcPr>
            <w:tcW w:w="260" w:type="dxa"/>
            <w:vAlign w:val="bottom"/>
          </w:tcPr>
          <w:p>
            <w:pPr>
              <w:ind w:left="200"/>
              <w:spacing w:after="0"/>
              <w:rPr>
                <w:sz w:val="20"/>
                <w:szCs w:val="20"/>
                <w:color w:val="auto"/>
              </w:rPr>
            </w:pPr>
            <w:r>
              <w:rPr>
                <w:rFonts w:ascii="Arial" w:cs="Arial" w:eastAsia="Arial" w:hAnsi="Arial"/>
                <w:sz w:val="14"/>
                <w:szCs w:val="14"/>
                <w:color w:val="0E2A35"/>
              </w:rPr>
              <w:t>​</w:t>
            </w:r>
          </w:p>
        </w:tc>
        <w:tc>
          <w:tcPr>
            <w:tcW w:w="620" w:type="dxa"/>
            <w:vAlign w:val="bottom"/>
            <w:gridSpan w:val="2"/>
          </w:tcPr>
          <w:p>
            <w:pPr>
              <w:jc w:val="right"/>
              <w:ind w:right="108"/>
              <w:spacing w:after="0"/>
              <w:rPr>
                <w:sz w:val="20"/>
                <w:szCs w:val="20"/>
                <w:color w:val="auto"/>
              </w:rPr>
            </w:pPr>
            <w:r>
              <w:rPr>
                <w:rFonts w:ascii="Arial" w:cs="Arial" w:eastAsia="Arial" w:hAnsi="Arial"/>
                <w:sz w:val="14"/>
                <w:szCs w:val="14"/>
                <w:color w:val="0E2A35"/>
              </w:rPr>
              <w:t>0.0%</w:t>
            </w: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1040" w:type="dxa"/>
            <w:vAlign w:val="bottom"/>
            <w:tcBorders>
              <w:bottom w:val="single" w:sz="8" w:color="0E2A35"/>
            </w:tcBorders>
            <w:gridSpan w:val="2"/>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1060" w:type="dxa"/>
            <w:vAlign w:val="bottom"/>
            <w:tcBorders>
              <w:bottom w:val="single" w:sz="8" w:color="0E2A35"/>
            </w:tcBorders>
            <w:gridSpan w:val="2"/>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000" w:type="dxa"/>
            <w:vAlign w:val="bottom"/>
            <w:vMerge w:val="restart"/>
          </w:tcPr>
          <w:p>
            <w:pPr>
              <w:ind w:left="60"/>
              <w:spacing w:after="0"/>
              <w:rPr>
                <w:sz w:val="20"/>
                <w:szCs w:val="20"/>
                <w:color w:val="auto"/>
              </w:rPr>
            </w:pPr>
            <w:r>
              <w:rPr>
                <w:rFonts w:ascii="Arial" w:cs="Arial" w:eastAsia="Arial" w:hAnsi="Arial"/>
                <w:sz w:val="14"/>
                <w:szCs w:val="14"/>
                <w:b w:val="1"/>
                <w:bCs w:val="1"/>
                <w:color w:val="0E2A35"/>
              </w:rPr>
              <w:t>Period 3</w:t>
            </w:r>
            <w:r>
              <w:rPr>
                <w:rFonts w:ascii="Arial" w:cs="Arial" w:eastAsia="Arial" w:hAnsi="Arial"/>
                <w:sz w:val="23"/>
                <w:szCs w:val="23"/>
                <w:color w:val="0E2A35"/>
                <w:vertAlign w:val="superscript"/>
              </w:rPr>
              <w:t>(3)</w:t>
            </w:r>
          </w:p>
        </w:tc>
        <w:tc>
          <w:tcPr>
            <w:tcW w:w="7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0E2A35"/>
              </w:rPr>
              <w:t>Incentive EPS</w:t>
            </w:r>
          </w:p>
        </w:tc>
        <w:tc>
          <w:tcPr>
            <w:tcW w:w="380" w:type="dxa"/>
            <w:vAlign w:val="bottom"/>
          </w:tcPr>
          <w:p>
            <w:pPr>
              <w:ind w:left="220"/>
              <w:spacing w:after="0"/>
              <w:rPr>
                <w:sz w:val="20"/>
                <w:szCs w:val="20"/>
                <w:color w:val="auto"/>
              </w:rPr>
            </w:pPr>
            <w:r>
              <w:rPr>
                <w:rFonts w:ascii="Arial" w:cs="Arial" w:eastAsia="Arial" w:hAnsi="Arial"/>
                <w:sz w:val="14"/>
                <w:szCs w:val="14"/>
                <w:color w:val="0E2A35"/>
                <w:w w:val="89"/>
              </w:rPr>
              <w:t>50​</w:t>
            </w:r>
          </w:p>
        </w:tc>
        <w:tc>
          <w:tcPr>
            <w:tcW w:w="420" w:type="dxa"/>
            <w:vAlign w:val="bottom"/>
          </w:tcPr>
          <w:p>
            <w:pPr>
              <w:jc w:val="right"/>
              <w:ind w:right="108"/>
              <w:spacing w:after="0"/>
              <w:rPr>
                <w:sz w:val="20"/>
                <w:szCs w:val="20"/>
                <w:color w:val="auto"/>
              </w:rPr>
            </w:pPr>
            <w:r>
              <w:rPr>
                <w:rFonts w:ascii="Arial" w:cs="Arial" w:eastAsia="Arial" w:hAnsi="Arial"/>
                <w:sz w:val="14"/>
                <w:szCs w:val="14"/>
                <w:color w:val="0E2A35"/>
                <w:w w:val="90"/>
              </w:rPr>
              <w:t>.0%</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0E2A35"/>
              </w:rPr>
              <w:t>$​14.87</w:t>
            </w:r>
          </w:p>
        </w:tc>
        <w:tc>
          <w:tcPr>
            <w:tcW w:w="580" w:type="dxa"/>
            <w:vAlign w:val="bottom"/>
          </w:tcPr>
          <w:p>
            <w:pPr>
              <w:jc w:val="right"/>
              <w:spacing w:after="0"/>
              <w:rPr>
                <w:sz w:val="20"/>
                <w:szCs w:val="20"/>
                <w:color w:val="auto"/>
              </w:rPr>
            </w:pPr>
            <w:r>
              <w:rPr>
                <w:rFonts w:ascii="Arial" w:cs="Arial" w:eastAsia="Arial" w:hAnsi="Arial"/>
                <w:sz w:val="14"/>
                <w:szCs w:val="14"/>
                <w:color w:val="0E2A35"/>
              </w:rPr>
              <w:t>$​15.30</w:t>
            </w:r>
          </w:p>
        </w:tc>
        <w:tc>
          <w:tcPr>
            <w:tcW w:w="700" w:type="dxa"/>
            <w:vAlign w:val="bottom"/>
          </w:tcPr>
          <w:p>
            <w:pPr>
              <w:ind w:left="20"/>
              <w:spacing w:after="0"/>
              <w:rPr>
                <w:sz w:val="20"/>
                <w:szCs w:val="20"/>
                <w:color w:val="auto"/>
              </w:rPr>
            </w:pPr>
            <w:r>
              <w:rPr>
                <w:rFonts w:ascii="Arial" w:cs="Arial" w:eastAsia="Arial" w:hAnsi="Arial"/>
                <w:sz w:val="14"/>
                <w:szCs w:val="14"/>
                <w:color w:val="0E2A35"/>
              </w:rPr>
              <w:t>- $15.67</w:t>
            </w:r>
          </w:p>
        </w:tc>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0E2A35"/>
              </w:rPr>
              <w:t>$​15.95</w:t>
            </w:r>
          </w:p>
        </w:tc>
        <w:tc>
          <w:tcPr>
            <w:tcW w:w="1140" w:type="dxa"/>
            <w:vAlign w:val="bottom"/>
          </w:tcPr>
          <w:p>
            <w:pPr>
              <w:jc w:val="right"/>
              <w:ind w:right="329"/>
              <w:spacing w:after="0"/>
              <w:rPr>
                <w:sz w:val="20"/>
                <w:szCs w:val="20"/>
                <w:color w:val="auto"/>
              </w:rPr>
            </w:pPr>
            <w:r>
              <w:rPr>
                <w:rFonts w:ascii="Arial" w:cs="Arial" w:eastAsia="Arial" w:hAnsi="Arial"/>
                <w:sz w:val="14"/>
                <w:szCs w:val="14"/>
                <w:color w:val="0E2A35"/>
              </w:rPr>
              <w:t>$ ​ 6.07</w:t>
            </w:r>
          </w:p>
        </w:tc>
        <w:tc>
          <w:tcPr>
            <w:tcW w:w="260" w:type="dxa"/>
            <w:vAlign w:val="bottom"/>
          </w:tcPr>
          <w:p>
            <w:pPr>
              <w:ind w:left="200"/>
              <w:spacing w:after="0"/>
              <w:rPr>
                <w:sz w:val="20"/>
                <w:szCs w:val="20"/>
                <w:color w:val="auto"/>
              </w:rPr>
            </w:pPr>
            <w:r>
              <w:rPr>
                <w:rFonts w:ascii="Arial" w:cs="Arial" w:eastAsia="Arial" w:hAnsi="Arial"/>
                <w:sz w:val="14"/>
                <w:szCs w:val="14"/>
                <w:color w:val="0E2A35"/>
              </w:rPr>
              <w:t>​</w:t>
            </w:r>
          </w:p>
        </w:tc>
        <w:tc>
          <w:tcPr>
            <w:tcW w:w="620" w:type="dxa"/>
            <w:vAlign w:val="bottom"/>
            <w:gridSpan w:val="2"/>
          </w:tcPr>
          <w:p>
            <w:pPr>
              <w:jc w:val="right"/>
              <w:ind w:right="108"/>
              <w:spacing w:after="0"/>
              <w:rPr>
                <w:sz w:val="20"/>
                <w:szCs w:val="20"/>
                <w:color w:val="auto"/>
              </w:rPr>
            </w:pPr>
            <w:r>
              <w:rPr>
                <w:rFonts w:ascii="Arial" w:cs="Arial" w:eastAsia="Arial" w:hAnsi="Arial"/>
                <w:sz w:val="14"/>
                <w:szCs w:val="14"/>
                <w:color w:val="0E2A35"/>
              </w:rPr>
              <w:t>0.0%</w:t>
            </w:r>
          </w:p>
        </w:tc>
        <w:tc>
          <w:tcPr>
            <w:tcW w:w="0" w:type="dxa"/>
            <w:vAlign w:val="bottom"/>
          </w:tcPr>
          <w:p>
            <w:pPr>
              <w:spacing w:after="0"/>
              <w:rPr>
                <w:sz w:val="1"/>
                <w:szCs w:val="1"/>
                <w:color w:val="auto"/>
              </w:rPr>
            </w:pPr>
          </w:p>
        </w:tc>
      </w:tr>
      <w:tr>
        <w:trPr>
          <w:trHeight w:val="93"/>
        </w:trPr>
        <w:tc>
          <w:tcPr>
            <w:tcW w:w="1000" w:type="dxa"/>
            <w:vAlign w:val="bottom"/>
            <w:vMerge w:val="continue"/>
          </w:tcPr>
          <w:p>
            <w:pPr>
              <w:spacing w:after="0"/>
              <w:rPr>
                <w:sz w:val="8"/>
                <w:szCs w:val="8"/>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4"/>
                <w:szCs w:val="14"/>
                <w:color w:val="0E2A35"/>
              </w:rPr>
              <w:t>25%</w:t>
            </w: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0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2"/>
            <w:vMerge w:val="restart"/>
          </w:tcPr>
          <w:p>
            <w:pPr>
              <w:jc w:val="right"/>
              <w:ind w:right="89"/>
              <w:spacing w:after="0"/>
              <w:rPr>
                <w:sz w:val="20"/>
                <w:szCs w:val="20"/>
                <w:color w:val="auto"/>
              </w:rPr>
            </w:pPr>
            <w:r>
              <w:rPr>
                <w:rFonts w:ascii="Arial" w:cs="Arial" w:eastAsia="Arial" w:hAnsi="Arial"/>
                <w:sz w:val="14"/>
                <w:szCs w:val="14"/>
                <w:color w:val="0E2A35"/>
              </w:rPr>
              <w:t>Payout Percentage</w:t>
            </w:r>
          </w:p>
        </w:tc>
        <w:tc>
          <w:tcPr>
            <w:tcW w:w="260" w:type="dxa"/>
            <w:vAlign w:val="bottom"/>
            <w:vMerge w:val="restart"/>
          </w:tcPr>
          <w:p>
            <w:pPr>
              <w:ind w:left="200"/>
              <w:spacing w:after="0"/>
              <w:rPr>
                <w:sz w:val="20"/>
                <w:szCs w:val="20"/>
                <w:color w:val="auto"/>
              </w:rPr>
            </w:pPr>
            <w:r>
              <w:rPr>
                <w:rFonts w:ascii="Arial" w:cs="Arial" w:eastAsia="Arial" w:hAnsi="Arial"/>
                <w:sz w:val="14"/>
                <w:szCs w:val="14"/>
                <w:color w:val="0E2A35"/>
              </w:rPr>
              <w:t>​</w:t>
            </w:r>
          </w:p>
        </w:tc>
        <w:tc>
          <w:tcPr>
            <w:tcW w:w="6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0E2A35"/>
              </w:rPr>
              <w:t>0.0%</w:t>
            </w:r>
          </w:p>
        </w:tc>
        <w:tc>
          <w:tcPr>
            <w:tcW w:w="0" w:type="dxa"/>
            <w:vAlign w:val="bottom"/>
          </w:tcPr>
          <w:p>
            <w:pPr>
              <w:spacing w:after="0"/>
              <w:rPr>
                <w:sz w:val="1"/>
                <w:szCs w:val="1"/>
                <w:color w:val="auto"/>
              </w:rPr>
            </w:pPr>
          </w:p>
        </w:tc>
      </w:tr>
      <w:tr>
        <w:trPr>
          <w:trHeight w:val="86"/>
        </w:trPr>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2200" w:type="dxa"/>
            <w:vAlign w:val="bottom"/>
            <w:tcBorders>
              <w:bottom w:val="single" w:sz="8" w:color="0E2A35"/>
            </w:tcBorders>
            <w:gridSpan w:val="3"/>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gridSpan w:val="3"/>
          </w:tcPr>
          <w:p>
            <w:pPr>
              <w:jc w:val="right"/>
              <w:ind w:right="89"/>
              <w:spacing w:after="0"/>
              <w:rPr>
                <w:sz w:val="20"/>
                <w:szCs w:val="20"/>
                <w:color w:val="auto"/>
              </w:rPr>
            </w:pPr>
            <w:r>
              <w:rPr>
                <w:rFonts w:ascii="Arial" w:cs="Arial" w:eastAsia="Arial" w:hAnsi="Arial"/>
                <w:sz w:val="14"/>
                <w:szCs w:val="14"/>
                <w:color w:val="0E2A35"/>
              </w:rPr>
              <w:t>Weighted Payout Percentage</w:t>
            </w:r>
          </w:p>
        </w:tc>
        <w:tc>
          <w:tcPr>
            <w:tcW w:w="260" w:type="dxa"/>
            <w:vAlign w:val="bottom"/>
          </w:tcPr>
          <w:p>
            <w:pPr>
              <w:ind w:left="200"/>
              <w:spacing w:after="0"/>
              <w:rPr>
                <w:sz w:val="20"/>
                <w:szCs w:val="20"/>
                <w:color w:val="auto"/>
              </w:rPr>
            </w:pPr>
            <w:r>
              <w:rPr>
                <w:rFonts w:ascii="Arial" w:cs="Arial" w:eastAsia="Arial" w:hAnsi="Arial"/>
                <w:sz w:val="14"/>
                <w:szCs w:val="14"/>
                <w:color w:val="0E2A35"/>
              </w:rPr>
              <w:t>​</w:t>
            </w:r>
          </w:p>
        </w:tc>
        <w:tc>
          <w:tcPr>
            <w:tcW w:w="620" w:type="dxa"/>
            <w:vAlign w:val="bottom"/>
            <w:gridSpan w:val="2"/>
          </w:tcPr>
          <w:p>
            <w:pPr>
              <w:jc w:val="right"/>
              <w:ind w:right="108"/>
              <w:spacing w:after="0"/>
              <w:rPr>
                <w:sz w:val="20"/>
                <w:szCs w:val="20"/>
                <w:color w:val="auto"/>
              </w:rPr>
            </w:pPr>
            <w:r>
              <w:rPr>
                <w:rFonts w:ascii="Arial" w:cs="Arial" w:eastAsia="Arial" w:hAnsi="Arial"/>
                <w:sz w:val="14"/>
                <w:szCs w:val="14"/>
                <w:color w:val="0E2A35"/>
              </w:rPr>
              <w:t>0.0%</w:t>
            </w:r>
          </w:p>
        </w:tc>
        <w:tc>
          <w:tcPr>
            <w:tcW w:w="0" w:type="dxa"/>
            <w:vAlign w:val="bottom"/>
          </w:tcPr>
          <w:p>
            <w:pPr>
              <w:spacing w:after="0"/>
              <w:rPr>
                <w:sz w:val="1"/>
                <w:szCs w:val="1"/>
                <w:color w:val="auto"/>
              </w:rPr>
            </w:pPr>
          </w:p>
        </w:tc>
      </w:tr>
      <w:tr>
        <w:trPr>
          <w:trHeight w:val="93"/>
        </w:trPr>
        <w:tc>
          <w:tcPr>
            <w:tcW w:w="100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880" w:type="dxa"/>
            <w:vAlign w:val="bottom"/>
            <w:tcBorders>
              <w:bottom w:val="single" w:sz="8" w:color="0E2A35"/>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0E2A35"/>
              </w:rPr>
              <w:t>Incentive ROIC</w:t>
            </w:r>
          </w:p>
        </w:tc>
        <w:tc>
          <w:tcPr>
            <w:tcW w:w="380" w:type="dxa"/>
            <w:vAlign w:val="bottom"/>
          </w:tcPr>
          <w:p>
            <w:pPr>
              <w:ind w:left="220"/>
              <w:spacing w:after="0"/>
              <w:rPr>
                <w:sz w:val="20"/>
                <w:szCs w:val="20"/>
                <w:color w:val="auto"/>
              </w:rPr>
            </w:pPr>
            <w:r>
              <w:rPr>
                <w:rFonts w:ascii="Arial" w:cs="Arial" w:eastAsia="Arial" w:hAnsi="Arial"/>
                <w:sz w:val="14"/>
                <w:szCs w:val="14"/>
                <w:color w:val="0E2A35"/>
                <w:w w:val="89"/>
              </w:rPr>
              <w:t>50​</w:t>
            </w:r>
          </w:p>
        </w:tc>
        <w:tc>
          <w:tcPr>
            <w:tcW w:w="420" w:type="dxa"/>
            <w:vAlign w:val="bottom"/>
          </w:tcPr>
          <w:p>
            <w:pPr>
              <w:jc w:val="right"/>
              <w:ind w:right="108"/>
              <w:spacing w:after="0"/>
              <w:rPr>
                <w:sz w:val="20"/>
                <w:szCs w:val="20"/>
                <w:color w:val="auto"/>
              </w:rPr>
            </w:pPr>
            <w:r>
              <w:rPr>
                <w:rFonts w:ascii="Arial" w:cs="Arial" w:eastAsia="Arial" w:hAnsi="Arial"/>
                <w:sz w:val="14"/>
                <w:szCs w:val="14"/>
                <w:color w:val="0E2A35"/>
                <w:w w:val="90"/>
              </w:rPr>
              <w:t>.0%</w:t>
            </w:r>
          </w:p>
        </w:tc>
        <w:tc>
          <w:tcPr>
            <w:tcW w:w="500" w:type="dxa"/>
            <w:vAlign w:val="bottom"/>
          </w:tcPr>
          <w:p>
            <w:pPr>
              <w:spacing w:after="0"/>
              <w:rPr>
                <w:sz w:val="24"/>
                <w:szCs w:val="24"/>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0E2A35"/>
                <w:w w:val="95"/>
              </w:rPr>
              <w:t>11.1%</w:t>
            </w:r>
          </w:p>
        </w:tc>
        <w:tc>
          <w:tcPr>
            <w:tcW w:w="580" w:type="dxa"/>
            <w:vAlign w:val="bottom"/>
          </w:tcPr>
          <w:p>
            <w:pPr>
              <w:jc w:val="right"/>
              <w:spacing w:after="0"/>
              <w:rPr>
                <w:sz w:val="20"/>
                <w:szCs w:val="20"/>
                <w:color w:val="auto"/>
              </w:rPr>
            </w:pPr>
            <w:r>
              <w:rPr>
                <w:rFonts w:ascii="Arial" w:cs="Arial" w:eastAsia="Arial" w:hAnsi="Arial"/>
                <w:sz w:val="14"/>
                <w:szCs w:val="14"/>
                <w:color w:val="0E2A35"/>
              </w:rPr>
              <w:t>13.2%</w:t>
            </w:r>
          </w:p>
        </w:tc>
        <w:tc>
          <w:tcPr>
            <w:tcW w:w="700" w:type="dxa"/>
            <w:vAlign w:val="bottom"/>
          </w:tcPr>
          <w:p>
            <w:pPr>
              <w:ind w:left="20"/>
              <w:spacing w:after="0"/>
              <w:rPr>
                <w:sz w:val="20"/>
                <w:szCs w:val="20"/>
                <w:color w:val="auto"/>
              </w:rPr>
            </w:pPr>
            <w:r>
              <w:rPr>
                <w:rFonts w:ascii="Arial" w:cs="Arial" w:eastAsia="Arial" w:hAnsi="Arial"/>
                <w:sz w:val="14"/>
                <w:szCs w:val="14"/>
                <w:color w:val="0E2A35"/>
              </w:rPr>
              <w:t>- 14.6%</w:t>
            </w:r>
          </w:p>
        </w:tc>
        <w:tc>
          <w:tcPr>
            <w:tcW w:w="440" w:type="dxa"/>
            <w:vAlign w:val="bottom"/>
          </w:tcPr>
          <w:p>
            <w:pPr>
              <w:spacing w:after="0"/>
              <w:rPr>
                <w:sz w:val="24"/>
                <w:szCs w:val="2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0E2A35"/>
              </w:rPr>
              <w:t>16.0%</w:t>
            </w:r>
          </w:p>
        </w:tc>
        <w:tc>
          <w:tcPr>
            <w:tcW w:w="1140" w:type="dxa"/>
            <w:vAlign w:val="bottom"/>
          </w:tcPr>
          <w:p>
            <w:pPr>
              <w:jc w:val="right"/>
              <w:ind w:right="209"/>
              <w:spacing w:after="0"/>
              <w:rPr>
                <w:sz w:val="20"/>
                <w:szCs w:val="20"/>
                <w:color w:val="auto"/>
              </w:rPr>
            </w:pPr>
            <w:r>
              <w:rPr>
                <w:rFonts w:ascii="Arial" w:cs="Arial" w:eastAsia="Arial" w:hAnsi="Arial"/>
                <w:sz w:val="14"/>
                <w:szCs w:val="14"/>
                <w:color w:val="0E2A35"/>
              </w:rPr>
              <w:t>​  12.1%</w:t>
            </w:r>
          </w:p>
        </w:tc>
        <w:tc>
          <w:tcPr>
            <w:tcW w:w="880" w:type="dxa"/>
            <w:vAlign w:val="bottom"/>
            <w:gridSpan w:val="3"/>
          </w:tcPr>
          <w:p>
            <w:pPr>
              <w:jc w:val="right"/>
              <w:ind w:right="108"/>
              <w:spacing w:after="0"/>
              <w:rPr>
                <w:sz w:val="20"/>
                <w:szCs w:val="20"/>
                <w:color w:val="auto"/>
              </w:rPr>
            </w:pPr>
            <w:r>
              <w:rPr>
                <w:rFonts w:ascii="Arial" w:cs="Arial" w:eastAsia="Arial" w:hAnsi="Arial"/>
                <w:sz w:val="14"/>
                <w:szCs w:val="14"/>
                <w:color w:val="0E2A35"/>
              </w:rPr>
              <w:t>​ 60.7%</w:t>
            </w: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gridSpan w:val="2"/>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gridSpan w:val="2"/>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000" w:type="dxa"/>
            <w:vAlign w:val="bottom"/>
            <w:vMerge w:val="restart"/>
          </w:tcPr>
          <w:p>
            <w:pPr>
              <w:ind w:left="60"/>
              <w:spacing w:after="0"/>
              <w:rPr>
                <w:sz w:val="20"/>
                <w:szCs w:val="20"/>
                <w:color w:val="auto"/>
              </w:rPr>
            </w:pPr>
            <w:r>
              <w:rPr>
                <w:rFonts w:ascii="Arial" w:cs="Arial" w:eastAsia="Arial" w:hAnsi="Arial"/>
                <w:sz w:val="14"/>
                <w:szCs w:val="14"/>
                <w:b w:val="1"/>
                <w:bCs w:val="1"/>
                <w:color w:val="0E2A35"/>
              </w:rPr>
              <w:t>Period 4</w:t>
            </w:r>
            <w:r>
              <w:rPr>
                <w:rFonts w:ascii="Arial" w:cs="Arial" w:eastAsia="Arial" w:hAnsi="Arial"/>
                <w:sz w:val="23"/>
                <w:szCs w:val="23"/>
                <w:color w:val="0E2A35"/>
                <w:vertAlign w:val="superscript"/>
              </w:rPr>
              <w:t>(4)</w:t>
            </w:r>
          </w:p>
        </w:tc>
        <w:tc>
          <w:tcPr>
            <w:tcW w:w="7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0E2A35"/>
              </w:rPr>
              <w:t>Incentive EPS</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0E2A35"/>
              </w:rPr>
              <w:t>50.0%</w:t>
            </w:r>
          </w:p>
        </w:tc>
        <w:tc>
          <w:tcPr>
            <w:tcW w:w="500" w:type="dxa"/>
            <w:vAlign w:val="bottom"/>
          </w:tcPr>
          <w:p>
            <w:pPr>
              <w:jc w:val="right"/>
              <w:ind w:right="92"/>
              <w:spacing w:after="0"/>
              <w:rPr>
                <w:sz w:val="20"/>
                <w:szCs w:val="20"/>
                <w:color w:val="auto"/>
              </w:rPr>
            </w:pPr>
            <w:r>
              <w:rPr>
                <w:rFonts w:ascii="Arial" w:cs="Arial" w:eastAsia="Arial" w:hAnsi="Arial"/>
                <w:sz w:val="14"/>
                <w:szCs w:val="14"/>
                <w:color w:val="0E2A35"/>
              </w:rPr>
              <w:t>$</w:t>
            </w:r>
          </w:p>
        </w:tc>
        <w:tc>
          <w:tcPr>
            <w:tcW w:w="540" w:type="dxa"/>
            <w:vAlign w:val="bottom"/>
          </w:tcPr>
          <w:p>
            <w:pPr>
              <w:jc w:val="right"/>
              <w:ind w:right="188"/>
              <w:spacing w:after="0"/>
              <w:rPr>
                <w:sz w:val="20"/>
                <w:szCs w:val="20"/>
                <w:color w:val="auto"/>
              </w:rPr>
            </w:pPr>
            <w:r>
              <w:rPr>
                <w:rFonts w:ascii="Arial" w:cs="Arial" w:eastAsia="Arial" w:hAnsi="Arial"/>
                <w:sz w:val="14"/>
                <w:szCs w:val="14"/>
                <w:color w:val="0E2A35"/>
                <w:w w:val="95"/>
              </w:rPr>
              <w:t>5.51</w:t>
            </w:r>
          </w:p>
        </w:tc>
        <w:tc>
          <w:tcPr>
            <w:tcW w:w="580" w:type="dxa"/>
            <w:vAlign w:val="bottom"/>
          </w:tcPr>
          <w:p>
            <w:pPr>
              <w:jc w:val="right"/>
              <w:spacing w:after="0"/>
              <w:rPr>
                <w:sz w:val="20"/>
                <w:szCs w:val="20"/>
                <w:color w:val="auto"/>
              </w:rPr>
            </w:pPr>
            <w:r>
              <w:rPr>
                <w:rFonts w:ascii="Arial" w:cs="Arial" w:eastAsia="Arial" w:hAnsi="Arial"/>
                <w:sz w:val="14"/>
                <w:szCs w:val="14"/>
                <w:color w:val="0E2A35"/>
              </w:rPr>
              <w:t>$6.55</w:t>
            </w:r>
          </w:p>
        </w:tc>
        <w:tc>
          <w:tcPr>
            <w:tcW w:w="700" w:type="dxa"/>
            <w:vAlign w:val="bottom"/>
          </w:tcPr>
          <w:p>
            <w:pPr>
              <w:ind w:left="20"/>
              <w:spacing w:after="0"/>
              <w:rPr>
                <w:sz w:val="20"/>
                <w:szCs w:val="20"/>
                <w:color w:val="auto"/>
              </w:rPr>
            </w:pPr>
            <w:r>
              <w:rPr>
                <w:rFonts w:ascii="Arial" w:cs="Arial" w:eastAsia="Arial" w:hAnsi="Arial"/>
                <w:sz w:val="14"/>
                <w:szCs w:val="14"/>
                <w:color w:val="0E2A35"/>
              </w:rPr>
              <w:t>- $7.23</w:t>
            </w:r>
          </w:p>
        </w:tc>
        <w:tc>
          <w:tcPr>
            <w:tcW w:w="440" w:type="dxa"/>
            <w:vAlign w:val="bottom"/>
          </w:tcPr>
          <w:p>
            <w:pPr>
              <w:jc w:val="right"/>
              <w:ind w:right="11"/>
              <w:spacing w:after="0"/>
              <w:rPr>
                <w:sz w:val="20"/>
                <w:szCs w:val="20"/>
                <w:color w:val="auto"/>
              </w:rPr>
            </w:pPr>
            <w:r>
              <w:rPr>
                <w:rFonts w:ascii="Arial" w:cs="Arial" w:eastAsia="Arial" w:hAnsi="Arial"/>
                <w:sz w:val="14"/>
                <w:szCs w:val="14"/>
                <w:color w:val="0E2A35"/>
              </w:rPr>
              <w:t>$</w:t>
            </w:r>
          </w:p>
        </w:tc>
        <w:tc>
          <w:tcPr>
            <w:tcW w:w="620" w:type="dxa"/>
            <w:vAlign w:val="bottom"/>
          </w:tcPr>
          <w:p>
            <w:pPr>
              <w:jc w:val="right"/>
              <w:ind w:right="188"/>
              <w:spacing w:after="0"/>
              <w:rPr>
                <w:sz w:val="20"/>
                <w:szCs w:val="20"/>
                <w:color w:val="auto"/>
              </w:rPr>
            </w:pPr>
            <w:r>
              <w:rPr>
                <w:rFonts w:ascii="Arial" w:cs="Arial" w:eastAsia="Arial" w:hAnsi="Arial"/>
                <w:sz w:val="14"/>
                <w:szCs w:val="14"/>
                <w:color w:val="0E2A35"/>
              </w:rPr>
              <w:t>7.92</w:t>
            </w:r>
          </w:p>
        </w:tc>
        <w:tc>
          <w:tcPr>
            <w:tcW w:w="1140" w:type="dxa"/>
            <w:vAlign w:val="bottom"/>
          </w:tcPr>
          <w:p>
            <w:pPr>
              <w:jc w:val="right"/>
              <w:ind w:right="329"/>
              <w:spacing w:after="0"/>
              <w:rPr>
                <w:sz w:val="20"/>
                <w:szCs w:val="20"/>
                <w:color w:val="auto"/>
              </w:rPr>
            </w:pPr>
            <w:r>
              <w:rPr>
                <w:rFonts w:ascii="Arial" w:cs="Arial" w:eastAsia="Arial" w:hAnsi="Arial"/>
                <w:sz w:val="14"/>
                <w:szCs w:val="14"/>
                <w:color w:val="0E2A35"/>
              </w:rPr>
              <w:t>$ ​ 7.24</w:t>
            </w:r>
          </w:p>
        </w:tc>
        <w:tc>
          <w:tcPr>
            <w:tcW w:w="440" w:type="dxa"/>
            <w:vAlign w:val="bottom"/>
            <w:gridSpan w:val="2"/>
          </w:tcPr>
          <w:p>
            <w:pPr>
              <w:ind w:left="200"/>
              <w:spacing w:after="0"/>
              <w:rPr>
                <w:sz w:val="20"/>
                <w:szCs w:val="20"/>
                <w:color w:val="auto"/>
              </w:rPr>
            </w:pPr>
            <w:r>
              <w:rPr>
                <w:rFonts w:ascii="Arial" w:cs="Arial" w:eastAsia="Arial" w:hAnsi="Arial"/>
                <w:sz w:val="14"/>
                <w:szCs w:val="14"/>
                <w:color w:val="0E2A35"/>
                <w:w w:val="94"/>
              </w:rPr>
              <w:t>101​</w:t>
            </w:r>
          </w:p>
        </w:tc>
        <w:tc>
          <w:tcPr>
            <w:tcW w:w="440" w:type="dxa"/>
            <w:vAlign w:val="bottom"/>
          </w:tcPr>
          <w:p>
            <w:pPr>
              <w:jc w:val="right"/>
              <w:ind w:right="108"/>
              <w:spacing w:after="0"/>
              <w:rPr>
                <w:sz w:val="20"/>
                <w:szCs w:val="20"/>
                <w:color w:val="auto"/>
              </w:rPr>
            </w:pPr>
            <w:r>
              <w:rPr>
                <w:rFonts w:ascii="Arial" w:cs="Arial" w:eastAsia="Arial" w:hAnsi="Arial"/>
                <w:sz w:val="14"/>
                <w:szCs w:val="14"/>
                <w:color w:val="0E2A35"/>
                <w:w w:val="99"/>
              </w:rPr>
              <w:t>.4%</w:t>
            </w:r>
          </w:p>
        </w:tc>
        <w:tc>
          <w:tcPr>
            <w:tcW w:w="0" w:type="dxa"/>
            <w:vAlign w:val="bottom"/>
          </w:tcPr>
          <w:p>
            <w:pPr>
              <w:spacing w:after="0"/>
              <w:rPr>
                <w:sz w:val="1"/>
                <w:szCs w:val="1"/>
                <w:color w:val="auto"/>
              </w:rPr>
            </w:pPr>
          </w:p>
        </w:tc>
      </w:tr>
      <w:tr>
        <w:trPr>
          <w:trHeight w:val="93"/>
        </w:trPr>
        <w:tc>
          <w:tcPr>
            <w:tcW w:w="1000" w:type="dxa"/>
            <w:vAlign w:val="bottom"/>
            <w:vMerge w:val="continue"/>
          </w:tcPr>
          <w:p>
            <w:pPr>
              <w:spacing w:after="0"/>
              <w:rPr>
                <w:sz w:val="8"/>
                <w:szCs w:val="8"/>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4"/>
                <w:szCs w:val="14"/>
                <w:color w:val="0E2A35"/>
              </w:rPr>
              <w:t>25%</w:t>
            </w: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6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260" w:type="dxa"/>
            <w:vAlign w:val="bottom"/>
            <w:tcBorders>
              <w:bottom w:val="single" w:sz="8" w:color="0E2A35"/>
            </w:tcBorders>
          </w:tcPr>
          <w:p>
            <w:pPr>
              <w:spacing w:after="0"/>
              <w:rPr>
                <w:sz w:val="8"/>
                <w:szCs w:val="8"/>
                <w:color w:val="auto"/>
              </w:rPr>
            </w:pPr>
          </w:p>
        </w:tc>
        <w:tc>
          <w:tcPr>
            <w:tcW w:w="18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0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2"/>
            <w:vMerge w:val="restart"/>
          </w:tcPr>
          <w:p>
            <w:pPr>
              <w:jc w:val="right"/>
              <w:ind w:right="89"/>
              <w:spacing w:after="0"/>
              <w:rPr>
                <w:sz w:val="20"/>
                <w:szCs w:val="20"/>
                <w:color w:val="auto"/>
              </w:rPr>
            </w:pPr>
            <w:r>
              <w:rPr>
                <w:rFonts w:ascii="Arial" w:cs="Arial" w:eastAsia="Arial" w:hAnsi="Arial"/>
                <w:sz w:val="14"/>
                <w:szCs w:val="14"/>
                <w:color w:val="0E2A35"/>
              </w:rPr>
              <w:t>Payout Percentage</w:t>
            </w:r>
          </w:p>
        </w:tc>
        <w:tc>
          <w:tcPr>
            <w:tcW w:w="880" w:type="dxa"/>
            <w:vAlign w:val="bottom"/>
            <w:gridSpan w:val="3"/>
            <w:vMerge w:val="restart"/>
          </w:tcPr>
          <w:p>
            <w:pPr>
              <w:jc w:val="right"/>
              <w:ind w:right="108"/>
              <w:spacing w:after="0"/>
              <w:rPr>
                <w:sz w:val="20"/>
                <w:szCs w:val="20"/>
                <w:color w:val="auto"/>
              </w:rPr>
            </w:pPr>
            <w:r>
              <w:rPr>
                <w:rFonts w:ascii="Arial" w:cs="Arial" w:eastAsia="Arial" w:hAnsi="Arial"/>
                <w:sz w:val="14"/>
                <w:szCs w:val="14"/>
                <w:color w:val="0E2A35"/>
              </w:rPr>
              <w:t>​ 81.1%</w:t>
            </w:r>
          </w:p>
        </w:tc>
        <w:tc>
          <w:tcPr>
            <w:tcW w:w="0" w:type="dxa"/>
            <w:vAlign w:val="bottom"/>
          </w:tcPr>
          <w:p>
            <w:pPr>
              <w:spacing w:after="0"/>
              <w:rPr>
                <w:sz w:val="1"/>
                <w:szCs w:val="1"/>
                <w:color w:val="auto"/>
              </w:rPr>
            </w:pPr>
          </w:p>
        </w:tc>
      </w:tr>
      <w:tr>
        <w:trPr>
          <w:trHeight w:val="86"/>
        </w:trPr>
        <w:tc>
          <w:tcPr>
            <w:tcW w:w="10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2200" w:type="dxa"/>
            <w:vAlign w:val="bottom"/>
            <w:tcBorders>
              <w:bottom w:val="single" w:sz="8" w:color="0E2A35"/>
            </w:tcBorders>
            <w:gridSpan w:val="3"/>
          </w:tcPr>
          <w:p>
            <w:pPr>
              <w:spacing w:after="0"/>
              <w:rPr>
                <w:sz w:val="8"/>
                <w:szCs w:val="8"/>
                <w:color w:val="auto"/>
              </w:rPr>
            </w:pPr>
          </w:p>
        </w:tc>
        <w:tc>
          <w:tcPr>
            <w:tcW w:w="880" w:type="dxa"/>
            <w:vAlign w:val="bottom"/>
            <w:tcBorders>
              <w:bottom w:val="single" w:sz="8" w:color="0E2A35"/>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0" w:type="dxa"/>
            <w:vAlign w:val="bottom"/>
            <w:gridSpan w:val="3"/>
          </w:tcPr>
          <w:p>
            <w:pPr>
              <w:jc w:val="right"/>
              <w:ind w:right="89"/>
              <w:spacing w:after="0"/>
              <w:rPr>
                <w:sz w:val="20"/>
                <w:szCs w:val="20"/>
                <w:color w:val="auto"/>
              </w:rPr>
            </w:pPr>
            <w:r>
              <w:rPr>
                <w:rFonts w:ascii="Arial" w:cs="Arial" w:eastAsia="Arial" w:hAnsi="Arial"/>
                <w:sz w:val="14"/>
                <w:szCs w:val="14"/>
                <w:color w:val="0E2A35"/>
              </w:rPr>
              <w:t>Weighted Payout Percentage</w:t>
            </w:r>
          </w:p>
        </w:tc>
        <w:tc>
          <w:tcPr>
            <w:tcW w:w="880" w:type="dxa"/>
            <w:vAlign w:val="bottom"/>
            <w:gridSpan w:val="3"/>
          </w:tcPr>
          <w:p>
            <w:pPr>
              <w:jc w:val="right"/>
              <w:ind w:right="108"/>
              <w:spacing w:after="0"/>
              <w:rPr>
                <w:sz w:val="20"/>
                <w:szCs w:val="20"/>
                <w:color w:val="auto"/>
              </w:rPr>
            </w:pPr>
            <w:r>
              <w:rPr>
                <w:rFonts w:ascii="Arial" w:cs="Arial" w:eastAsia="Arial" w:hAnsi="Arial"/>
                <w:sz w:val="14"/>
                <w:szCs w:val="14"/>
                <w:color w:val="0E2A35"/>
              </w:rPr>
              <w:t>​ 20.3%</w:t>
            </w:r>
          </w:p>
        </w:tc>
        <w:tc>
          <w:tcPr>
            <w:tcW w:w="0" w:type="dxa"/>
            <w:vAlign w:val="bottom"/>
          </w:tcPr>
          <w:p>
            <w:pPr>
              <w:spacing w:after="0"/>
              <w:rPr>
                <w:sz w:val="1"/>
                <w:szCs w:val="1"/>
                <w:color w:val="auto"/>
              </w:rPr>
            </w:pPr>
          </w:p>
        </w:tc>
      </w:tr>
      <w:tr>
        <w:trPr>
          <w:trHeight w:val="93"/>
        </w:trPr>
        <w:tc>
          <w:tcPr>
            <w:tcW w:w="100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130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4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700" w:type="dxa"/>
            <w:vAlign w:val="bottom"/>
            <w:tcBorders>
              <w:bottom w:val="single" w:sz="8" w:color="0E2A35"/>
            </w:tcBorders>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1760" w:type="dxa"/>
            <w:vAlign w:val="bottom"/>
            <w:tcBorders>
              <w:bottom w:val="single" w:sz="8" w:color="0E2A35"/>
            </w:tcBorders>
            <w:gridSpan w:val="2"/>
          </w:tcPr>
          <w:p>
            <w:pPr>
              <w:spacing w:after="0"/>
              <w:rPr>
                <w:sz w:val="8"/>
                <w:szCs w:val="8"/>
                <w:color w:val="auto"/>
              </w:rPr>
            </w:pPr>
          </w:p>
        </w:tc>
        <w:tc>
          <w:tcPr>
            <w:tcW w:w="440" w:type="dxa"/>
            <w:vAlign w:val="bottom"/>
            <w:tcBorders>
              <w:bottom w:val="single" w:sz="8" w:color="0E2A35"/>
            </w:tcBorders>
            <w:gridSpan w:val="2"/>
          </w:tcPr>
          <w:p>
            <w:pPr>
              <w:spacing w:after="0"/>
              <w:rPr>
                <w:sz w:val="8"/>
                <w:szCs w:val="8"/>
                <w:color w:val="auto"/>
              </w:rPr>
            </w:pPr>
          </w:p>
        </w:tc>
        <w:tc>
          <w:tcPr>
            <w:tcW w:w="44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gridSpan w:val="2"/>
          </w:tcPr>
          <w:p>
            <w:pPr>
              <w:jc w:val="right"/>
              <w:ind w:right="89"/>
              <w:spacing w:after="0"/>
              <w:rPr>
                <w:sz w:val="20"/>
                <w:szCs w:val="20"/>
                <w:color w:val="auto"/>
              </w:rPr>
            </w:pPr>
            <w:r>
              <w:rPr>
                <w:rFonts w:ascii="Arial" w:cs="Arial" w:eastAsia="Arial" w:hAnsi="Arial"/>
                <w:sz w:val="14"/>
                <w:szCs w:val="14"/>
                <w:color w:val="0E2A35"/>
              </w:rPr>
              <w:t>Total Payout Percentage</w:t>
            </w:r>
          </w:p>
        </w:tc>
        <w:tc>
          <w:tcPr>
            <w:tcW w:w="440" w:type="dxa"/>
            <w:vAlign w:val="bottom"/>
            <w:gridSpan w:val="2"/>
          </w:tcPr>
          <w:p>
            <w:pPr>
              <w:ind w:left="200"/>
              <w:spacing w:after="0"/>
              <w:rPr>
                <w:sz w:val="20"/>
                <w:szCs w:val="20"/>
                <w:color w:val="auto"/>
              </w:rPr>
            </w:pPr>
            <w:r>
              <w:rPr>
                <w:rFonts w:ascii="Arial" w:cs="Arial" w:eastAsia="Arial" w:hAnsi="Arial"/>
                <w:sz w:val="14"/>
                <w:szCs w:val="14"/>
                <w:color w:val="0E2A35"/>
                <w:w w:val="94"/>
              </w:rPr>
              <w:t>120​</w:t>
            </w:r>
          </w:p>
        </w:tc>
        <w:tc>
          <w:tcPr>
            <w:tcW w:w="440" w:type="dxa"/>
            <w:vAlign w:val="bottom"/>
          </w:tcPr>
          <w:p>
            <w:pPr>
              <w:jc w:val="right"/>
              <w:ind w:right="108"/>
              <w:spacing w:after="0"/>
              <w:rPr>
                <w:sz w:val="20"/>
                <w:szCs w:val="20"/>
                <w:color w:val="auto"/>
              </w:rPr>
            </w:pPr>
            <w:r>
              <w:rPr>
                <w:rFonts w:ascii="Arial" w:cs="Arial" w:eastAsia="Arial" w:hAnsi="Arial"/>
                <w:sz w:val="14"/>
                <w:szCs w:val="14"/>
                <w:color w:val="0E2A35"/>
                <w:w w:val="99"/>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58978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81" w:lineRule="exact"/>
        <w:rPr>
          <w:sz w:val="20"/>
          <w:szCs w:val="20"/>
          <w:color w:val="auto"/>
        </w:rPr>
      </w:pPr>
    </w:p>
    <w:p>
      <w:pPr>
        <w:ind w:left="360" w:right="20" w:hanging="360"/>
        <w:spacing w:after="0" w:line="224" w:lineRule="auto"/>
        <w:tabs>
          <w:tab w:leader="none" w:pos="360" w:val="left"/>
        </w:tabs>
        <w:numPr>
          <w:ilvl w:val="0"/>
          <w:numId w:val="37"/>
        </w:numPr>
        <w:rPr>
          <w:rFonts w:ascii="Arial" w:cs="Arial" w:eastAsia="Arial" w:hAnsi="Arial"/>
          <w:sz w:val="13"/>
          <w:szCs w:val="13"/>
          <w:color w:val="0E2A35"/>
        </w:rPr>
      </w:pPr>
      <w:r>
        <w:rPr>
          <w:rFonts w:ascii="Arial" w:cs="Arial" w:eastAsia="Arial" w:hAnsi="Arial"/>
          <w:sz w:val="13"/>
          <w:szCs w:val="13"/>
          <w:color w:val="0E2A35"/>
        </w:rPr>
        <w:t>When determining the level of actual performance for Period 1, the committee excluded the impact of certain events not contemplated when creating the initial targets. The Incentive ROIC metric was adjusted for the LTIP to exclude the acquisition-related costs associated with the Barletta acquisition. The Incentive EPS metric was adjusted from diluted EPS to exclude the following: (i) pretax acquisition-related costs associated with the Barletta acquisition, (ii) pretax non-cash interest expense, (iii) pretax gain on the sale of property, plant and equipment, (iv) dilution of convertible notes which is economically offset by a call spread overlay that was put in place upon issuance, and (v) tax impact of the aforementioned adjustments, as applicable.</w:t>
      </w:r>
    </w:p>
    <w:p>
      <w:pPr>
        <w:spacing w:after="0" w:line="31" w:lineRule="exact"/>
        <w:rPr>
          <w:rFonts w:ascii="Arial" w:cs="Arial" w:eastAsia="Arial" w:hAnsi="Arial"/>
          <w:sz w:val="13"/>
          <w:szCs w:val="13"/>
          <w:color w:val="0E2A35"/>
        </w:rPr>
      </w:pPr>
    </w:p>
    <w:p>
      <w:pPr>
        <w:ind w:left="360" w:right="140" w:hanging="360"/>
        <w:spacing w:after="0" w:line="223" w:lineRule="auto"/>
        <w:tabs>
          <w:tab w:leader="none" w:pos="360" w:val="left"/>
        </w:tabs>
        <w:numPr>
          <w:ilvl w:val="0"/>
          <w:numId w:val="37"/>
        </w:numPr>
        <w:rPr>
          <w:rFonts w:ascii="Arial" w:cs="Arial" w:eastAsia="Arial" w:hAnsi="Arial"/>
          <w:sz w:val="13"/>
          <w:szCs w:val="13"/>
          <w:color w:val="0E2A35"/>
        </w:rPr>
      </w:pPr>
      <w:r>
        <w:rPr>
          <w:rFonts w:ascii="Arial" w:cs="Arial" w:eastAsia="Arial" w:hAnsi="Arial"/>
          <w:sz w:val="13"/>
          <w:szCs w:val="13"/>
          <w:color w:val="0E2A35"/>
        </w:rPr>
        <w:t>When determining the level of actual performance for Period 2, the committee excluded the impact of certain events not contemplated when creating the initial targets. The Incentive ROIC metric was adjusted for the LTIP to exclude the following: (i) the net financial impact of the Barletta acquisition, (ii) acquisition-related costs associated with the acquisition of Barletta, and (iii) litigation reserves. The Incentive EPS metric was adjusted from diluted EPS to exclude the following: (i) pretax net financial impact of the Barletta acquisition, (ii) pretax acquisition-related costs related to the Barletta acquisition, (iii) pretax earnout valuation adjustments related to the Barletta acquisition, (iv) pretax non-cash interest expense, (v) pretax litigation reserves, and (vi) tax impact of the aforementioned adjustments, as applicable.</w:t>
      </w:r>
    </w:p>
    <w:p>
      <w:pPr>
        <w:spacing w:after="0" w:line="30" w:lineRule="exact"/>
        <w:rPr>
          <w:rFonts w:ascii="Arial" w:cs="Arial" w:eastAsia="Arial" w:hAnsi="Arial"/>
          <w:sz w:val="13"/>
          <w:szCs w:val="13"/>
          <w:color w:val="0E2A35"/>
        </w:rPr>
      </w:pPr>
    </w:p>
    <w:p>
      <w:pPr>
        <w:ind w:left="360" w:right="40" w:hanging="360"/>
        <w:spacing w:after="0" w:line="222" w:lineRule="auto"/>
        <w:tabs>
          <w:tab w:leader="none" w:pos="360" w:val="left"/>
        </w:tabs>
        <w:numPr>
          <w:ilvl w:val="0"/>
          <w:numId w:val="37"/>
        </w:numPr>
        <w:rPr>
          <w:rFonts w:ascii="Arial" w:cs="Arial" w:eastAsia="Arial" w:hAnsi="Arial"/>
          <w:sz w:val="13"/>
          <w:szCs w:val="13"/>
          <w:color w:val="0E2A35"/>
        </w:rPr>
      </w:pPr>
      <w:r>
        <w:rPr>
          <w:rFonts w:ascii="Arial" w:cs="Arial" w:eastAsia="Arial" w:hAnsi="Arial"/>
          <w:sz w:val="13"/>
          <w:szCs w:val="13"/>
          <w:color w:val="0E2A35"/>
        </w:rPr>
        <w:t>When determining the level of actual performance for Period 3, the committee excluded the impact of certain events not contemplated when creating the initial targets. The Incentive ROIC metric was adjusted for the LTIP to exclude the following: (i) the net financial impacts of the Barletta and Lithionics Battery acquisitions, and (ii) the acquisition-related costs associated with the acquisitions of Barletta and Lithionics Battery. The Incentive EPS metric was adjusted from diluted EPS to exclude the following: (i) pretax net financial impacts of the Barletta and Lithionics Battery acquisitions, (ii) pretax acquisition-related costs related to the Barletta and Lithionics acquisitions, (iii) pretax earnout valuation adjustments related to the Barletta acquisition, (iv) pretax litigation reserves, (v) impact of convertible notes, including dilution impact economically offset by a call spread overlay, certain pretax interest expense, and/or assumed dilution as a result of the adoption of ASU 2020-06 in fiscal 2023, and (vi) tax impact of the aforementioned adjustments, as applicable.</w:t>
      </w:r>
    </w:p>
    <w:p>
      <w:pPr>
        <w:spacing w:after="0" w:line="293"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200660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39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60" w:right="20" w:hanging="360"/>
        <w:spacing w:after="0" w:line="224" w:lineRule="auto"/>
        <w:tabs>
          <w:tab w:leader="none" w:pos="360" w:val="left"/>
        </w:tabs>
        <w:numPr>
          <w:ilvl w:val="0"/>
          <w:numId w:val="38"/>
        </w:numPr>
        <w:rPr>
          <w:rFonts w:ascii="Arial" w:cs="Arial" w:eastAsia="Arial" w:hAnsi="Arial"/>
          <w:sz w:val="13"/>
          <w:szCs w:val="13"/>
          <w:color w:val="0E2A35"/>
        </w:rPr>
      </w:pPr>
      <w:r>
        <w:rPr>
          <w:rFonts w:ascii="Arial" w:cs="Arial" w:eastAsia="Arial" w:hAnsi="Arial"/>
          <w:sz w:val="13"/>
          <w:szCs w:val="13"/>
          <w:color w:val="0E2A35"/>
        </w:rPr>
        <w:t>When determining the level of actual performance for Period 4, the committee excluded the impact of certain events not contemplated when creating the initial targets. The Incentive EPS metric was adjusted from diluted EPS to exclude the following: (i) pretax acquisition-related costs related to the Barletta and Lithionics Battery acquisitions, (ii) pretax earnout valuation adjustments related to the Barletta acquisition, (iii) pretax litigation reserves, (iv) impact of convertible notes, including dilution impact economically offset by a call spread overlay, certain pretax interest expense, and/or assumed dilution as a result of the adoption of ASU 2020-06 in fiscal 2023, and (v) tax impact of the aforementioned adjustments, as applicable.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Benefits</w:t>
      </w:r>
    </w:p>
    <w:p>
      <w:pPr>
        <w:spacing w:after="0" w:line="188" w:lineRule="exact"/>
        <w:rPr>
          <w:sz w:val="20"/>
          <w:szCs w:val="20"/>
          <w:color w:val="auto"/>
        </w:rPr>
      </w:pPr>
    </w:p>
    <w:p>
      <w:pPr>
        <w:ind w:right="480"/>
        <w:spacing w:after="0" w:line="276" w:lineRule="auto"/>
        <w:rPr>
          <w:sz w:val="20"/>
          <w:szCs w:val="20"/>
          <w:color w:val="auto"/>
        </w:rPr>
      </w:pPr>
      <w:r>
        <w:rPr>
          <w:rFonts w:ascii="Arial" w:cs="Arial" w:eastAsia="Arial" w:hAnsi="Arial"/>
          <w:sz w:val="16"/>
          <w:szCs w:val="16"/>
          <w:color w:val="0E2A35"/>
        </w:rPr>
        <w:t>Our NEOs are eligible to participate in the same benefit plans designed for all our full-time employees. The basic insurance package includes health, dental, disability and basic group life insurance.</w:t>
      </w:r>
    </w:p>
    <w:p>
      <w:pPr>
        <w:spacing w:after="0" w:line="130" w:lineRule="exact"/>
        <w:rPr>
          <w:sz w:val="20"/>
          <w:szCs w:val="20"/>
          <w:color w:val="auto"/>
        </w:rPr>
      </w:pPr>
    </w:p>
    <w:p>
      <w:pPr>
        <w:ind w:right="580"/>
        <w:spacing w:after="0" w:line="261" w:lineRule="auto"/>
        <w:rPr>
          <w:sz w:val="20"/>
          <w:szCs w:val="20"/>
          <w:color w:val="auto"/>
        </w:rPr>
      </w:pPr>
      <w:r>
        <w:rPr>
          <w:rFonts w:ascii="Arial" w:cs="Arial" w:eastAsia="Arial" w:hAnsi="Arial"/>
          <w:sz w:val="16"/>
          <w:szCs w:val="16"/>
          <w:color w:val="0E2A35"/>
        </w:rPr>
        <w:t>Except as specifically summarized in this Compensation Discussion and Analysis and the “2014 and 2019 Incentive Compensation Plan Payments” section below, we do not currently provide payments and benefits for NEOs following their retirement, including, but not limited to, tax-qualified defined benefit plans and supplemental executive retirement plans.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Profit Sharing and Deferred Savings and Investment Plan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0E2A35"/>
        </w:rPr>
        <w:t>We maintain a 401(k) plan, the Winnebago Industries, Inc. Profit Sharing and Deferred Savings and Investment Plan (the 401(k)</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0E2A35"/>
        </w:rPr>
        <w:t>Plan), which is a tax-qualified defined contribution plan maintained for the benefit of substantially all hourly and salaried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employees, including our executives. The 401(k) Plan offers NEOs and all other employees the opportunity to defer a percentage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of income that is a part of their base compensation, and effective January 1, 2021, employees may defer a percentage of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that is part of their base salary and incentive pay (401(k) Eligible Compensation). Effective January 1, 2022, the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matching contribution increased to $1.00 per $1.00 of employee contribution, up to 3% of 401(k) Eligible Compensation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$0.50 per $1.00 of employee contribution up to the next 2% of 401(k) Eligible Compensation (subject to IRS limits and 401(k) safe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harbor considerations), subject to a two-year, pro-rata vesting period for those employees hired after January 1, 2018. Effective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January 1, 2021, Newmar employees became eligible for the 401(k) Plan. Effective April 1, 2022, Grand Design employees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became eligible for the 401(k) Plan. Effective January 10, 2023, Barletta employees became eligible for the 401I(k) Plan.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Although executives, including the NEOs, are eligible to participate in the 401(k) Plan, the application of the annual limitation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contributions under the Internal Revenue Code (the Code) prevents executives from participating at the same level as non-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executives. This compensation element is tax-deferred and is not intended to affect the value of any other compensation element.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Executive Deferred Compensation Plan (Non-Qualified Deferred Compensation Plan)</w:t>
      </w:r>
    </w:p>
    <w:p>
      <w:pPr>
        <w:spacing w:after="0" w:line="18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0E2A35"/>
        </w:rPr>
        <w:t>Under the Executive Deferred Compensation Plan (Deferred Compensation Plan), executive officers and certain key employees may annually choose to defer up to 50% of their salary and up to 100% of their cash incentive awards. The committee has determined that the Deferred Compensation Plan will have the same nominal investment options as the 401(k) Plan. The Company does not provide any matching contributions to the Deferred Compensation Plan.</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Perquisites</w:t>
      </w:r>
    </w:p>
    <w:p>
      <w:pPr>
        <w:spacing w:after="0" w:line="18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0E2A35"/>
        </w:rPr>
        <w:t>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0E2A35"/>
        </w:rPr>
        <w:t>The perquisites provided to our NEOs include:</w:t>
      </w:r>
    </w:p>
    <w:p>
      <w:pPr>
        <w:spacing w:after="0" w:line="186" w:lineRule="exact"/>
        <w:rPr>
          <w:sz w:val="20"/>
          <w:szCs w:val="20"/>
          <w:color w:val="auto"/>
        </w:rPr>
      </w:pPr>
    </w:p>
    <w:p>
      <w:pPr>
        <w:ind w:left="720" w:right="520" w:hanging="360"/>
        <w:spacing w:after="0" w:line="286" w:lineRule="auto"/>
        <w:tabs>
          <w:tab w:leader="none" w:pos="720" w:val="left"/>
        </w:tabs>
        <w:numPr>
          <w:ilvl w:val="0"/>
          <w:numId w:val="39"/>
        </w:numPr>
        <w:rPr>
          <w:rFonts w:ascii="Arial" w:cs="Arial" w:eastAsia="Arial" w:hAnsi="Arial"/>
          <w:sz w:val="16"/>
          <w:szCs w:val="16"/>
          <w:color w:val="C7D265"/>
        </w:rPr>
      </w:pPr>
      <w:r>
        <w:rPr>
          <w:rFonts w:ascii="Arial" w:cs="Arial" w:eastAsia="Arial" w:hAnsi="Arial"/>
          <w:sz w:val="16"/>
          <w:szCs w:val="16"/>
          <w:b w:val="1"/>
          <w:bCs w:val="1"/>
          <w:color w:val="0E2A35"/>
        </w:rPr>
        <w:t xml:space="preserve">Executive Physical. </w:t>
      </w:r>
      <w:r>
        <w:rPr>
          <w:rFonts w:ascii="Arial" w:cs="Arial" w:eastAsia="Arial" w:hAnsi="Arial"/>
          <w:sz w:val="16"/>
          <w:szCs w:val="16"/>
          <w:color w:val="0E2A35"/>
        </w:rPr>
        <w:t>To encourage executives to monitor and maintain good health, we pay for voluntary annual</w:t>
      </w:r>
      <w:r>
        <w:rPr>
          <w:rFonts w:ascii="Arial" w:cs="Arial" w:eastAsia="Arial" w:hAnsi="Arial"/>
          <w:sz w:val="16"/>
          <w:szCs w:val="16"/>
          <w:b w:val="1"/>
          <w:bCs w:val="1"/>
          <w:color w:val="0E2A35"/>
        </w:rPr>
        <w:t xml:space="preserve"> </w:t>
      </w:r>
      <w:r>
        <w:rPr>
          <w:rFonts w:ascii="Arial" w:cs="Arial" w:eastAsia="Arial" w:hAnsi="Arial"/>
          <w:sz w:val="16"/>
          <w:szCs w:val="16"/>
          <w:color w:val="0E2A35"/>
        </w:rPr>
        <w:t>physical examinations for executives, including the NEOs.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720" w:right="100" w:hanging="360"/>
        <w:spacing w:after="0" w:line="259" w:lineRule="auto"/>
        <w:tabs>
          <w:tab w:leader="none" w:pos="720" w:val="left"/>
        </w:tabs>
        <w:numPr>
          <w:ilvl w:val="0"/>
          <w:numId w:val="40"/>
        </w:numPr>
        <w:rPr>
          <w:rFonts w:ascii="Arial" w:cs="Arial" w:eastAsia="Arial" w:hAnsi="Arial"/>
          <w:sz w:val="16"/>
          <w:szCs w:val="16"/>
          <w:color w:val="C7D265"/>
        </w:rPr>
      </w:pPr>
      <w:r>
        <w:rPr>
          <w:rFonts w:ascii="Arial" w:cs="Arial" w:eastAsia="Arial" w:hAnsi="Arial"/>
          <w:sz w:val="16"/>
          <w:szCs w:val="16"/>
          <w:b w:val="1"/>
          <w:bCs w:val="1"/>
          <w:color w:val="0E2A35"/>
        </w:rPr>
        <w:t xml:space="preserve">Recreational Vehicle and Boat Use. </w:t>
      </w:r>
      <w:r>
        <w:rPr>
          <w:rFonts w:ascii="Arial" w:cs="Arial" w:eastAsia="Arial" w:hAnsi="Arial"/>
          <w:sz w:val="16"/>
          <w:szCs w:val="16"/>
          <w:color w:val="0E2A35"/>
        </w:rPr>
        <w:t>Our executives, including NEOs, can use our recreational vehicles and boats on</w:t>
      </w:r>
      <w:r>
        <w:rPr>
          <w:rFonts w:ascii="Arial" w:cs="Arial" w:eastAsia="Arial" w:hAnsi="Arial"/>
          <w:sz w:val="16"/>
          <w:szCs w:val="16"/>
          <w:b w:val="1"/>
          <w:bCs w:val="1"/>
          <w:color w:val="0E2A35"/>
        </w:rPr>
        <w:t xml:space="preserve"> </w:t>
      </w:r>
      <w:r>
        <w:rPr>
          <w:rFonts w:ascii="Arial" w:cs="Arial" w:eastAsia="Arial" w:hAnsi="Arial"/>
          <w:sz w:val="16"/>
          <w:szCs w:val="16"/>
          <w:color w:val="0E2A35"/>
        </w:rPr>
        <w:t>a periodic and temporary basis. We encourage our executives to have a first-hand understanding of the outdoor lifestyle experienced by our customers and to provide our executives with the opportunity to evaluate product design and efficiency.</w:t>
      </w:r>
    </w:p>
    <w:p>
      <w:pPr>
        <w:spacing w:after="0" w:line="150" w:lineRule="exact"/>
        <w:rPr>
          <w:rFonts w:ascii="Arial" w:cs="Arial" w:eastAsia="Arial" w:hAnsi="Arial"/>
          <w:sz w:val="16"/>
          <w:szCs w:val="16"/>
          <w:color w:val="C7D265"/>
        </w:rPr>
      </w:pPr>
    </w:p>
    <w:p>
      <w:pPr>
        <w:ind w:left="720" w:hanging="360"/>
        <w:spacing w:after="0"/>
        <w:tabs>
          <w:tab w:leader="none" w:pos="720" w:val="left"/>
        </w:tabs>
        <w:numPr>
          <w:ilvl w:val="0"/>
          <w:numId w:val="40"/>
        </w:numPr>
        <w:rPr>
          <w:rFonts w:ascii="Arial" w:cs="Arial" w:eastAsia="Arial" w:hAnsi="Arial"/>
          <w:sz w:val="16"/>
          <w:szCs w:val="16"/>
          <w:color w:val="C7D265"/>
        </w:rPr>
      </w:pPr>
      <w:r>
        <w:rPr>
          <w:rFonts w:ascii="Arial" w:cs="Arial" w:eastAsia="Arial" w:hAnsi="Arial"/>
          <w:sz w:val="16"/>
          <w:szCs w:val="16"/>
          <w:b w:val="1"/>
          <w:bCs w:val="1"/>
          <w:color w:val="0E2A35"/>
        </w:rPr>
        <w:t xml:space="preserve">Car Allowance. </w:t>
      </w:r>
      <w:r>
        <w:rPr>
          <w:rFonts w:ascii="Arial" w:cs="Arial" w:eastAsia="Arial" w:hAnsi="Arial"/>
          <w:sz w:val="16"/>
          <w:szCs w:val="16"/>
          <w:color w:val="0E2A35"/>
        </w:rPr>
        <w:t>A car allowance is provided as frequent travel is required.</w:t>
      </w:r>
    </w:p>
    <w:p>
      <w:pPr>
        <w:spacing w:after="0" w:line="180" w:lineRule="exact"/>
        <w:rPr>
          <w:rFonts w:ascii="Arial" w:cs="Arial" w:eastAsia="Arial" w:hAnsi="Arial"/>
          <w:sz w:val="16"/>
          <w:szCs w:val="16"/>
          <w:color w:val="C7D265"/>
        </w:rPr>
      </w:pPr>
    </w:p>
    <w:p>
      <w:pPr>
        <w:ind w:left="720" w:right="140" w:hanging="360"/>
        <w:spacing w:after="0" w:line="286" w:lineRule="auto"/>
        <w:tabs>
          <w:tab w:leader="none" w:pos="720" w:val="left"/>
        </w:tabs>
        <w:numPr>
          <w:ilvl w:val="0"/>
          <w:numId w:val="40"/>
        </w:numPr>
        <w:rPr>
          <w:rFonts w:ascii="Arial" w:cs="Arial" w:eastAsia="Arial" w:hAnsi="Arial"/>
          <w:sz w:val="16"/>
          <w:szCs w:val="16"/>
          <w:color w:val="C7D265"/>
        </w:rPr>
      </w:pPr>
      <w:r>
        <w:rPr>
          <w:rFonts w:ascii="Arial" w:cs="Arial" w:eastAsia="Arial" w:hAnsi="Arial"/>
          <w:sz w:val="16"/>
          <w:szCs w:val="16"/>
          <w:b w:val="1"/>
          <w:bCs w:val="1"/>
          <w:color w:val="0E2A35"/>
        </w:rPr>
        <w:t xml:space="preserve">Financial and Tax Planning. </w:t>
      </w:r>
      <w:r>
        <w:rPr>
          <w:rFonts w:ascii="Arial" w:cs="Arial" w:eastAsia="Arial" w:hAnsi="Arial"/>
          <w:sz w:val="16"/>
          <w:szCs w:val="16"/>
          <w:color w:val="0E2A35"/>
        </w:rPr>
        <w:t>To address complex tax and financial situations, a tax and financial planning payment is</w:t>
      </w:r>
      <w:r>
        <w:rPr>
          <w:rFonts w:ascii="Arial" w:cs="Arial" w:eastAsia="Arial" w:hAnsi="Arial"/>
          <w:sz w:val="16"/>
          <w:szCs w:val="16"/>
          <w:b w:val="1"/>
          <w:bCs w:val="1"/>
          <w:color w:val="0E2A35"/>
        </w:rPr>
        <w:t xml:space="preserve"> </w:t>
      </w:r>
      <w:r>
        <w:rPr>
          <w:rFonts w:ascii="Arial" w:cs="Arial" w:eastAsia="Arial" w:hAnsi="Arial"/>
          <w:sz w:val="16"/>
          <w:szCs w:val="16"/>
          <w:color w:val="0E2A35"/>
        </w:rPr>
        <w:t>provided.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Additional Compensation Policies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Stock Ownership Guidelines</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0E2A35"/>
        </w:rPr>
        <w:t>The committee has adopted stock ownership guidelines for executive officers. In general, each executive officer has five years from the date he or she becomes an executive to accumulate the appropriate number of shares. In addition, each executive officer is required to retain 50% of any after-tax shares received from the vesting of awards or exercise of stock options until the applicable stock ownership guideline is met. The purpose of the guidelines is to encourage our executive officers to own and retain Company shares, thereby aligning their interests with our shareholders.</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0E2A35"/>
        </w:rPr>
        <w:t>We review our stock ownership guidelines on a periodic basis. The table below describes the current ownership guidelines for the NEOs. Each of our NEOs has either met his or her stock ownership guideline goal or is on track to meet this goal within the prescribed five-year time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897880" cy="4286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97880" cy="428625"/>
                    </a:xfrm>
                    <a:prstGeom prst="rect">
                      <a:avLst/>
                    </a:prstGeom>
                    <a:noFill/>
                  </pic:spPr>
                </pic:pic>
              </a:graphicData>
            </a:graphic>
          </wp:anchor>
        </w:drawing>
      </w:r>
    </w:p>
    <w:p>
      <w:pPr>
        <w:spacing w:after="0" w:line="151" w:lineRule="exact"/>
        <w:rPr>
          <w:sz w:val="20"/>
          <w:szCs w:val="20"/>
          <w:color w:val="auto"/>
        </w:rPr>
      </w:pPr>
    </w:p>
    <w:p>
      <w:pPr>
        <w:ind w:left="7260"/>
        <w:spacing w:after="0"/>
        <w:rPr>
          <w:sz w:val="20"/>
          <w:szCs w:val="20"/>
          <w:color w:val="auto"/>
        </w:rPr>
      </w:pPr>
      <w:r>
        <w:rPr>
          <w:rFonts w:ascii="Arial" w:cs="Arial" w:eastAsia="Arial" w:hAnsi="Arial"/>
          <w:sz w:val="13"/>
          <w:szCs w:val="13"/>
          <w:b w:val="1"/>
          <w:bCs w:val="1"/>
          <w:color w:val="FFFFFF"/>
        </w:rPr>
        <w:t>Stock Ownership Guideline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200" w:type="dxa"/>
            <w:vAlign w:val="bottom"/>
            <w:gridSpan w:val="2"/>
          </w:tcPr>
          <w:p>
            <w:pPr>
              <w:ind w:left="60"/>
              <w:spacing w:after="0"/>
              <w:rPr>
                <w:sz w:val="20"/>
                <w:szCs w:val="20"/>
                <w:color w:val="auto"/>
              </w:rPr>
            </w:pPr>
            <w:r>
              <w:rPr>
                <w:rFonts w:ascii="Arial" w:cs="Arial" w:eastAsia="Arial" w:hAnsi="Arial"/>
                <w:sz w:val="13"/>
                <w:szCs w:val="13"/>
                <w:b w:val="1"/>
                <w:bCs w:val="1"/>
                <w:color w:val="FFFFFF"/>
              </w:rPr>
              <w:t>Name</w:t>
            </w:r>
          </w:p>
        </w:tc>
        <w:tc>
          <w:tcPr>
            <w:tcW w:w="1840" w:type="dxa"/>
            <w:vAlign w:val="bottom"/>
            <w:shd w:val="clear" w:color="auto" w:fill="0E2A35"/>
          </w:tcPr>
          <w:p>
            <w:pPr>
              <w:jc w:val="right"/>
              <w:ind w:right="330"/>
              <w:spacing w:after="0"/>
              <w:rPr>
                <w:sz w:val="20"/>
                <w:szCs w:val="20"/>
                <w:color w:val="auto"/>
              </w:rPr>
            </w:pPr>
            <w:r>
              <w:rPr>
                <w:rFonts w:ascii="Arial" w:cs="Arial" w:eastAsia="Arial" w:hAnsi="Arial"/>
                <w:sz w:val="13"/>
                <w:szCs w:val="13"/>
                <w:b w:val="1"/>
                <w:bCs w:val="1"/>
                <w:color w:val="FFFFFF"/>
              </w:rPr>
              <w:t>%​ of Salary</w:t>
            </w:r>
          </w:p>
        </w:tc>
        <w:tc>
          <w:tcPr>
            <w:tcW w:w="1240" w:type="dxa"/>
            <w:vAlign w:val="bottom"/>
            <w:shd w:val="clear" w:color="auto" w:fill="0E2A35"/>
          </w:tcPr>
          <w:p>
            <w:pPr>
              <w:jc w:val="right"/>
              <w:ind w:right="210"/>
              <w:spacing w:after="0"/>
              <w:rPr>
                <w:sz w:val="20"/>
                <w:szCs w:val="20"/>
                <w:color w:val="auto"/>
              </w:rPr>
            </w:pPr>
            <w:r>
              <w:rPr>
                <w:rFonts w:ascii="Arial" w:cs="Arial" w:eastAsia="Arial" w:hAnsi="Arial"/>
                <w:sz w:val="13"/>
                <w:szCs w:val="13"/>
                <w:b w:val="1"/>
                <w:bCs w:val="1"/>
                <w:color w:val="FFFFFF"/>
              </w:rPr>
              <w:t>Value</w:t>
            </w:r>
          </w:p>
        </w:tc>
      </w:tr>
      <w:tr>
        <w:trPr>
          <w:trHeight w:val="76"/>
        </w:trPr>
        <w:tc>
          <w:tcPr>
            <w:tcW w:w="6200" w:type="dxa"/>
            <w:vAlign w:val="bottom"/>
            <w:gridSpan w:val="2"/>
          </w:tcPr>
          <w:p>
            <w:pPr>
              <w:spacing w:after="0"/>
              <w:rPr>
                <w:sz w:val="6"/>
                <w:szCs w:val="6"/>
                <w:color w:val="auto"/>
              </w:rPr>
            </w:pPr>
          </w:p>
        </w:tc>
        <w:tc>
          <w:tcPr>
            <w:tcW w:w="1840" w:type="dxa"/>
            <w:vAlign w:val="bottom"/>
            <w:shd w:val="clear" w:color="auto" w:fill="0E2A35"/>
          </w:tcPr>
          <w:p>
            <w:pPr>
              <w:spacing w:after="0"/>
              <w:rPr>
                <w:sz w:val="6"/>
                <w:szCs w:val="6"/>
                <w:color w:val="auto"/>
              </w:rPr>
            </w:pPr>
          </w:p>
        </w:tc>
        <w:tc>
          <w:tcPr>
            <w:tcW w:w="1240" w:type="dxa"/>
            <w:vAlign w:val="bottom"/>
            <w:shd w:val="clear" w:color="auto" w:fill="0E2A35"/>
          </w:tcPr>
          <w:p>
            <w:pPr>
              <w:spacing w:after="0"/>
              <w:rPr>
                <w:sz w:val="6"/>
                <w:szCs w:val="6"/>
                <w:color w:val="auto"/>
              </w:rPr>
            </w:pPr>
          </w:p>
        </w:tc>
      </w:tr>
      <w:tr>
        <w:trPr>
          <w:trHeight w:val="271"/>
        </w:trPr>
        <w:tc>
          <w:tcPr>
            <w:tcW w:w="6200" w:type="dxa"/>
            <w:vAlign w:val="bottom"/>
            <w:gridSpan w:val="2"/>
          </w:tcPr>
          <w:p>
            <w:pPr>
              <w:ind w:left="60"/>
              <w:spacing w:after="0"/>
              <w:rPr>
                <w:sz w:val="20"/>
                <w:szCs w:val="20"/>
                <w:color w:val="auto"/>
              </w:rPr>
            </w:pPr>
            <w:r>
              <w:rPr>
                <w:rFonts w:ascii="Arial" w:cs="Arial" w:eastAsia="Arial" w:hAnsi="Arial"/>
                <w:sz w:val="14"/>
                <w:szCs w:val="14"/>
                <w:color w:val="0E2A35"/>
              </w:rPr>
              <w:t>Michael J. Happe</w:t>
            </w:r>
          </w:p>
        </w:tc>
        <w:tc>
          <w:tcPr>
            <w:tcW w:w="1840" w:type="dxa"/>
            <w:vAlign w:val="bottom"/>
          </w:tcPr>
          <w:p>
            <w:pPr>
              <w:jc w:val="right"/>
              <w:ind w:right="450"/>
              <w:spacing w:after="0"/>
              <w:rPr>
                <w:sz w:val="20"/>
                <w:szCs w:val="20"/>
                <w:color w:val="auto"/>
              </w:rPr>
            </w:pPr>
            <w:r>
              <w:rPr>
                <w:rFonts w:ascii="Arial" w:cs="Arial" w:eastAsia="Arial" w:hAnsi="Arial"/>
                <w:sz w:val="14"/>
                <w:szCs w:val="14"/>
                <w:color w:val="0E2A35"/>
              </w:rPr>
              <w:t>500%</w:t>
            </w:r>
          </w:p>
        </w:tc>
        <w:tc>
          <w:tcPr>
            <w:tcW w:w="1240" w:type="dxa"/>
            <w:vAlign w:val="bottom"/>
          </w:tcPr>
          <w:p>
            <w:pPr>
              <w:jc w:val="right"/>
              <w:ind w:right="50"/>
              <w:spacing w:after="0"/>
              <w:rPr>
                <w:sz w:val="20"/>
                <w:szCs w:val="20"/>
                <w:color w:val="auto"/>
              </w:rPr>
            </w:pPr>
            <w:r>
              <w:rPr>
                <w:rFonts w:ascii="Arial" w:cs="Arial" w:eastAsia="Arial" w:hAnsi="Arial"/>
                <w:sz w:val="14"/>
                <w:szCs w:val="14"/>
                <w:color w:val="0E2A35"/>
              </w:rPr>
              <w:t>$5,250,000</w:t>
            </w:r>
          </w:p>
        </w:tc>
      </w:tr>
      <w:tr>
        <w:trPr>
          <w:trHeight w:val="80"/>
        </w:trPr>
        <w:tc>
          <w:tcPr>
            <w:tcW w:w="6200" w:type="dxa"/>
            <w:vAlign w:val="bottom"/>
            <w:tcBorders>
              <w:bottom w:val="single" w:sz="8" w:color="0E2A35"/>
            </w:tcBorders>
            <w:gridSpan w:val="2"/>
          </w:tcPr>
          <w:p>
            <w:pPr>
              <w:spacing w:after="0"/>
              <w:rPr>
                <w:sz w:val="6"/>
                <w:szCs w:val="6"/>
                <w:color w:val="auto"/>
              </w:rPr>
            </w:pPr>
          </w:p>
        </w:tc>
        <w:tc>
          <w:tcPr>
            <w:tcW w:w="184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r>
      <w:tr>
        <w:trPr>
          <w:trHeight w:val="265"/>
        </w:trPr>
        <w:tc>
          <w:tcPr>
            <w:tcW w:w="6200" w:type="dxa"/>
            <w:vAlign w:val="bottom"/>
            <w:gridSpan w:val="2"/>
          </w:tcPr>
          <w:p>
            <w:pPr>
              <w:ind w:left="60"/>
              <w:spacing w:after="0"/>
              <w:rPr>
                <w:sz w:val="20"/>
                <w:szCs w:val="20"/>
                <w:color w:val="auto"/>
              </w:rPr>
            </w:pPr>
            <w:r>
              <w:rPr>
                <w:rFonts w:ascii="Arial" w:cs="Arial" w:eastAsia="Arial" w:hAnsi="Arial"/>
                <w:sz w:val="14"/>
                <w:szCs w:val="14"/>
                <w:color w:val="0E2A35"/>
              </w:rPr>
              <w:t>Bryan L. Hughes</w:t>
            </w:r>
          </w:p>
        </w:tc>
        <w:tc>
          <w:tcPr>
            <w:tcW w:w="1840" w:type="dxa"/>
            <w:vAlign w:val="bottom"/>
          </w:tcPr>
          <w:p>
            <w:pPr>
              <w:jc w:val="right"/>
              <w:ind w:right="450"/>
              <w:spacing w:after="0"/>
              <w:rPr>
                <w:sz w:val="20"/>
                <w:szCs w:val="20"/>
                <w:color w:val="auto"/>
              </w:rPr>
            </w:pPr>
            <w:r>
              <w:rPr>
                <w:rFonts w:ascii="Arial" w:cs="Arial" w:eastAsia="Arial" w:hAnsi="Arial"/>
                <w:sz w:val="14"/>
                <w:szCs w:val="14"/>
                <w:color w:val="0E2A35"/>
              </w:rPr>
              <w:t>300%</w:t>
            </w:r>
          </w:p>
        </w:tc>
        <w:tc>
          <w:tcPr>
            <w:tcW w:w="1240" w:type="dxa"/>
            <w:vAlign w:val="bottom"/>
          </w:tcPr>
          <w:p>
            <w:pPr>
              <w:jc w:val="right"/>
              <w:ind w:right="50"/>
              <w:spacing w:after="0"/>
              <w:rPr>
                <w:sz w:val="20"/>
                <w:szCs w:val="20"/>
                <w:color w:val="auto"/>
              </w:rPr>
            </w:pPr>
            <w:r>
              <w:rPr>
                <w:rFonts w:ascii="Arial" w:cs="Arial" w:eastAsia="Arial" w:hAnsi="Arial"/>
                <w:sz w:val="14"/>
                <w:szCs w:val="14"/>
                <w:color w:val="0E2A35"/>
              </w:rPr>
              <w:t>1,725,000</w:t>
            </w:r>
          </w:p>
        </w:tc>
      </w:tr>
      <w:tr>
        <w:trPr>
          <w:trHeight w:val="79"/>
        </w:trPr>
        <w:tc>
          <w:tcPr>
            <w:tcW w:w="6200" w:type="dxa"/>
            <w:vAlign w:val="bottom"/>
            <w:tcBorders>
              <w:bottom w:val="single" w:sz="8" w:color="0E2A35"/>
            </w:tcBorders>
            <w:gridSpan w:val="2"/>
          </w:tcPr>
          <w:p>
            <w:pPr>
              <w:spacing w:after="0"/>
              <w:rPr>
                <w:sz w:val="6"/>
                <w:szCs w:val="6"/>
                <w:color w:val="auto"/>
              </w:rPr>
            </w:pPr>
          </w:p>
        </w:tc>
        <w:tc>
          <w:tcPr>
            <w:tcW w:w="184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r>
      <w:tr>
        <w:trPr>
          <w:trHeight w:val="265"/>
        </w:trPr>
        <w:tc>
          <w:tcPr>
            <w:tcW w:w="6200" w:type="dxa"/>
            <w:vAlign w:val="bottom"/>
            <w:gridSpan w:val="2"/>
          </w:tcPr>
          <w:p>
            <w:pPr>
              <w:ind w:left="60"/>
              <w:spacing w:after="0"/>
              <w:rPr>
                <w:sz w:val="20"/>
                <w:szCs w:val="20"/>
                <w:color w:val="auto"/>
              </w:rPr>
            </w:pPr>
            <w:r>
              <w:rPr>
                <w:rFonts w:ascii="Arial" w:cs="Arial" w:eastAsia="Arial" w:hAnsi="Arial"/>
                <w:sz w:val="14"/>
                <w:szCs w:val="14"/>
                <w:color w:val="0E2A35"/>
              </w:rPr>
              <w:t>Stacy L. Bogart</w:t>
            </w:r>
          </w:p>
        </w:tc>
        <w:tc>
          <w:tcPr>
            <w:tcW w:w="1840" w:type="dxa"/>
            <w:vAlign w:val="bottom"/>
          </w:tcPr>
          <w:p>
            <w:pPr>
              <w:jc w:val="right"/>
              <w:ind w:right="450"/>
              <w:spacing w:after="0"/>
              <w:rPr>
                <w:sz w:val="20"/>
                <w:szCs w:val="20"/>
                <w:color w:val="auto"/>
              </w:rPr>
            </w:pPr>
            <w:r>
              <w:rPr>
                <w:rFonts w:ascii="Arial" w:cs="Arial" w:eastAsia="Arial" w:hAnsi="Arial"/>
                <w:sz w:val="14"/>
                <w:szCs w:val="14"/>
                <w:color w:val="0E2A35"/>
              </w:rPr>
              <w:t>250%</w:t>
            </w:r>
          </w:p>
        </w:tc>
        <w:tc>
          <w:tcPr>
            <w:tcW w:w="1240" w:type="dxa"/>
            <w:vAlign w:val="bottom"/>
          </w:tcPr>
          <w:p>
            <w:pPr>
              <w:jc w:val="right"/>
              <w:ind w:right="50"/>
              <w:spacing w:after="0"/>
              <w:rPr>
                <w:sz w:val="20"/>
                <w:szCs w:val="20"/>
                <w:color w:val="auto"/>
              </w:rPr>
            </w:pPr>
            <w:r>
              <w:rPr>
                <w:rFonts w:ascii="Arial" w:cs="Arial" w:eastAsia="Arial" w:hAnsi="Arial"/>
                <w:sz w:val="14"/>
                <w:szCs w:val="14"/>
                <w:color w:val="0E2A35"/>
              </w:rPr>
              <w:t>1,280,000</w:t>
            </w:r>
          </w:p>
        </w:tc>
      </w:tr>
      <w:tr>
        <w:trPr>
          <w:trHeight w:val="80"/>
        </w:trPr>
        <w:tc>
          <w:tcPr>
            <w:tcW w:w="360" w:type="dxa"/>
            <w:vAlign w:val="bottom"/>
            <w:tcBorders>
              <w:bottom w:val="single" w:sz="8" w:color="0E2A35"/>
            </w:tcBorders>
          </w:tcPr>
          <w:p>
            <w:pPr>
              <w:spacing w:after="0"/>
              <w:rPr>
                <w:sz w:val="6"/>
                <w:szCs w:val="6"/>
                <w:color w:val="auto"/>
              </w:rPr>
            </w:pPr>
          </w:p>
        </w:tc>
        <w:tc>
          <w:tcPr>
            <w:tcW w:w="5840" w:type="dxa"/>
            <w:vAlign w:val="bottom"/>
            <w:tcBorders>
              <w:bottom w:val="single" w:sz="8" w:color="0E2A35"/>
            </w:tcBorders>
          </w:tcPr>
          <w:p>
            <w:pPr>
              <w:spacing w:after="0"/>
              <w:rPr>
                <w:sz w:val="6"/>
                <w:szCs w:val="6"/>
                <w:color w:val="auto"/>
              </w:rPr>
            </w:pPr>
          </w:p>
        </w:tc>
        <w:tc>
          <w:tcPr>
            <w:tcW w:w="184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r>
      <w:tr>
        <w:trPr>
          <w:trHeight w:val="265"/>
        </w:trPr>
        <w:tc>
          <w:tcPr>
            <w:tcW w:w="360" w:type="dxa"/>
            <w:vAlign w:val="bottom"/>
          </w:tcPr>
          <w:p>
            <w:pPr>
              <w:ind w:left="60"/>
              <w:spacing w:after="0"/>
              <w:rPr>
                <w:sz w:val="20"/>
                <w:szCs w:val="20"/>
                <w:color w:val="auto"/>
              </w:rPr>
            </w:pPr>
            <w:r>
              <w:rPr>
                <w:rFonts w:ascii="Arial" w:cs="Arial" w:eastAsia="Arial" w:hAnsi="Arial"/>
                <w:sz w:val="14"/>
                <w:szCs w:val="14"/>
                <w:color w:val="0E2A35"/>
                <w:w w:val="99"/>
              </w:rPr>
              <w:t>Huw​</w:t>
            </w:r>
          </w:p>
        </w:tc>
        <w:tc>
          <w:tcPr>
            <w:tcW w:w="5840" w:type="dxa"/>
            <w:vAlign w:val="bottom"/>
          </w:tcPr>
          <w:p>
            <w:pPr>
              <w:ind w:left="20"/>
              <w:spacing w:after="0"/>
              <w:rPr>
                <w:sz w:val="20"/>
                <w:szCs w:val="20"/>
                <w:color w:val="auto"/>
              </w:rPr>
            </w:pPr>
            <w:r>
              <w:rPr>
                <w:rFonts w:ascii="Arial" w:cs="Arial" w:eastAsia="Arial" w:hAnsi="Arial"/>
                <w:sz w:val="14"/>
                <w:szCs w:val="14"/>
                <w:color w:val="0E2A35"/>
              </w:rPr>
              <w:t>S. Bower</w:t>
            </w:r>
          </w:p>
        </w:tc>
        <w:tc>
          <w:tcPr>
            <w:tcW w:w="1840" w:type="dxa"/>
            <w:vAlign w:val="bottom"/>
          </w:tcPr>
          <w:p>
            <w:pPr>
              <w:jc w:val="right"/>
              <w:ind w:right="450"/>
              <w:spacing w:after="0"/>
              <w:rPr>
                <w:sz w:val="20"/>
                <w:szCs w:val="20"/>
                <w:color w:val="auto"/>
              </w:rPr>
            </w:pPr>
            <w:r>
              <w:rPr>
                <w:rFonts w:ascii="Arial" w:cs="Arial" w:eastAsia="Arial" w:hAnsi="Arial"/>
                <w:sz w:val="14"/>
                <w:szCs w:val="14"/>
                <w:color w:val="0E2A35"/>
              </w:rPr>
              <w:t>250%</w:t>
            </w:r>
          </w:p>
        </w:tc>
        <w:tc>
          <w:tcPr>
            <w:tcW w:w="1240" w:type="dxa"/>
            <w:vAlign w:val="bottom"/>
          </w:tcPr>
          <w:p>
            <w:pPr>
              <w:jc w:val="right"/>
              <w:ind w:right="50"/>
              <w:spacing w:after="0"/>
              <w:rPr>
                <w:sz w:val="20"/>
                <w:szCs w:val="20"/>
                <w:color w:val="auto"/>
              </w:rPr>
            </w:pPr>
            <w:r>
              <w:rPr>
                <w:rFonts w:ascii="Arial" w:cs="Arial" w:eastAsia="Arial" w:hAnsi="Arial"/>
                <w:sz w:val="14"/>
                <w:szCs w:val="14"/>
                <w:color w:val="0E2A35"/>
              </w:rPr>
              <w:t>1,480,000</w:t>
            </w:r>
          </w:p>
        </w:tc>
      </w:tr>
      <w:tr>
        <w:trPr>
          <w:trHeight w:val="79"/>
        </w:trPr>
        <w:tc>
          <w:tcPr>
            <w:tcW w:w="6200" w:type="dxa"/>
            <w:vAlign w:val="bottom"/>
            <w:tcBorders>
              <w:bottom w:val="single" w:sz="8" w:color="0E2A35"/>
            </w:tcBorders>
            <w:gridSpan w:val="2"/>
          </w:tcPr>
          <w:p>
            <w:pPr>
              <w:spacing w:after="0"/>
              <w:rPr>
                <w:sz w:val="6"/>
                <w:szCs w:val="6"/>
                <w:color w:val="auto"/>
              </w:rPr>
            </w:pPr>
          </w:p>
        </w:tc>
        <w:tc>
          <w:tcPr>
            <w:tcW w:w="184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r>
      <w:tr>
        <w:trPr>
          <w:trHeight w:val="265"/>
        </w:trPr>
        <w:tc>
          <w:tcPr>
            <w:tcW w:w="6200" w:type="dxa"/>
            <w:vAlign w:val="bottom"/>
            <w:gridSpan w:val="2"/>
          </w:tcPr>
          <w:p>
            <w:pPr>
              <w:ind w:left="60"/>
              <w:spacing w:after="0"/>
              <w:rPr>
                <w:sz w:val="20"/>
                <w:szCs w:val="20"/>
                <w:color w:val="auto"/>
              </w:rPr>
            </w:pPr>
            <w:r>
              <w:rPr>
                <w:rFonts w:ascii="Arial" w:cs="Arial" w:eastAsia="Arial" w:hAnsi="Arial"/>
                <w:sz w:val="14"/>
                <w:szCs w:val="14"/>
                <w:color w:val="0E2A35"/>
              </w:rPr>
              <w:t>Donald J. Clark</w:t>
            </w:r>
          </w:p>
        </w:tc>
        <w:tc>
          <w:tcPr>
            <w:tcW w:w="1840" w:type="dxa"/>
            <w:vAlign w:val="bottom"/>
          </w:tcPr>
          <w:p>
            <w:pPr>
              <w:jc w:val="right"/>
              <w:ind w:right="450"/>
              <w:spacing w:after="0"/>
              <w:rPr>
                <w:sz w:val="20"/>
                <w:szCs w:val="20"/>
                <w:color w:val="auto"/>
              </w:rPr>
            </w:pPr>
            <w:r>
              <w:rPr>
                <w:rFonts w:ascii="Arial" w:cs="Arial" w:eastAsia="Arial" w:hAnsi="Arial"/>
                <w:sz w:val="14"/>
                <w:szCs w:val="14"/>
                <w:color w:val="0E2A35"/>
              </w:rPr>
              <w:t>250%</w:t>
            </w:r>
          </w:p>
        </w:tc>
        <w:tc>
          <w:tcPr>
            <w:tcW w:w="1240" w:type="dxa"/>
            <w:vAlign w:val="bottom"/>
          </w:tcPr>
          <w:p>
            <w:pPr>
              <w:jc w:val="right"/>
              <w:ind w:right="50"/>
              <w:spacing w:after="0"/>
              <w:rPr>
                <w:sz w:val="20"/>
                <w:szCs w:val="20"/>
                <w:color w:val="auto"/>
              </w:rPr>
            </w:pPr>
            <w:r>
              <w:rPr>
                <w:rFonts w:ascii="Arial" w:cs="Arial" w:eastAsia="Arial" w:hAnsi="Arial"/>
                <w:sz w:val="14"/>
                <w:szCs w:val="14"/>
                <w:color w:val="0E2A35"/>
              </w:rPr>
              <w:t>1,000,000</w:t>
            </w:r>
          </w:p>
        </w:tc>
      </w:tr>
      <w:tr>
        <w:trPr>
          <w:trHeight w:val="93"/>
        </w:trPr>
        <w:tc>
          <w:tcPr>
            <w:tcW w:w="360" w:type="dxa"/>
            <w:vAlign w:val="bottom"/>
            <w:tcBorders>
              <w:bottom w:val="single" w:sz="8" w:color="0E2A35"/>
            </w:tcBorders>
          </w:tcPr>
          <w:p>
            <w:pPr>
              <w:spacing w:after="0"/>
              <w:rPr>
                <w:sz w:val="8"/>
                <w:szCs w:val="8"/>
                <w:color w:val="auto"/>
              </w:rPr>
            </w:pPr>
          </w:p>
        </w:tc>
        <w:tc>
          <w:tcPr>
            <w:tcW w:w="5840" w:type="dxa"/>
            <w:vAlign w:val="bottom"/>
            <w:tcBorders>
              <w:bottom w:val="single" w:sz="8" w:color="0E2A35"/>
            </w:tcBorders>
          </w:tcPr>
          <w:p>
            <w:pPr>
              <w:spacing w:after="0"/>
              <w:rPr>
                <w:sz w:val="8"/>
                <w:szCs w:val="8"/>
                <w:color w:val="auto"/>
              </w:rPr>
            </w:pPr>
          </w:p>
        </w:tc>
        <w:tc>
          <w:tcPr>
            <w:tcW w:w="18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Employment, Severance and Change in Control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Employment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0E2A35"/>
        </w:rPr>
        <w:t>Mr. Happe and Mr. Clark are the only NEOs with individual employment agreements with the Company.</w:t>
      </w:r>
    </w:p>
    <w:p>
      <w:pPr>
        <w:spacing w:after="0" w:line="18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0E2A35"/>
        </w:rPr>
        <w:t>In December 2021, the committee completed a review of benchmarking data and market practices regarding executive officer severance outside of a change in control. Following that review, the committee approved, and Mr. Happe and the Company entered into an amended and restated employment agreement, which amended the pre-change in control severance benefits for Mr. Happe. If Mr. Happe is terminated by the Company without cause or terminates employment with the Company for good reason (as such terms are defined in his employment agreement), he is entitled to severance pay of two times his annual base salary, payable in installments over 24 months, and an amount equal to two times his target annual bonus plus the annual COBRA premium cost for Mr. Happe’s group medical, dental and vision insurance coverage, payable in a lump sum. Mr. Happe also is subject to one-year non-competition and non-solicitation covenants following termination of employment.</w:t>
      </w:r>
    </w:p>
    <w:p>
      <w:pPr>
        <w:spacing w:after="0" w:line="168" w:lineRule="exact"/>
        <w:rPr>
          <w:sz w:val="20"/>
          <w:szCs w:val="20"/>
          <w:color w:val="auto"/>
        </w:rPr>
      </w:pPr>
    </w:p>
    <w:p>
      <w:pPr>
        <w:spacing w:after="0" w:line="251" w:lineRule="auto"/>
        <w:rPr>
          <w:sz w:val="20"/>
          <w:szCs w:val="20"/>
          <w:color w:val="auto"/>
        </w:rPr>
      </w:pPr>
      <w:r>
        <w:rPr>
          <w:rFonts w:ascii="Arial" w:cs="Arial" w:eastAsia="Arial" w:hAnsi="Arial"/>
          <w:sz w:val="16"/>
          <w:szCs w:val="16"/>
          <w:color w:val="0E2A35"/>
        </w:rPr>
        <w:t>If Mr. Clark is terminated by the Company without cause or terminates employment with the Company for good reason (as such terms are defined in his employment agreement), he is entitled to severance pay of his base salary for 12 months and any earned but unpaid incentive bonus due under the Grand Design MIP through the fiscal quarter in which the termination occurred.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0E2A35"/>
        </w:rPr>
        <w:t>Mr. Clark is subject to a non-compete and non-solicitation covenants that terminate one year following termination of employment.</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Executive Officer Severance Plan</w:t>
      </w:r>
    </w:p>
    <w:p>
      <w:pPr>
        <w:spacing w:after="0" w:line="16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0E2A35"/>
        </w:rPr>
        <w:t>In December 2021, in connection with the review of severance practices described above, the committee approved a new Winnebago Executive Officer Severance Plan (the Executive Severance Plan) that applies to all of the Company’s executive officers, including the NEOs, other than Messrs. Happe and Clark and provides severance benefits for eligible executives outside of a change in control of the Company. The Executive Severance Plan provides that, in the event of a termination of an eligible executive’s employment without cause or for good reason, the eligible executive would be entitled to receive 12 months of salary continuation and a payment equal to the target annual incentive under the OICP (as well as annual COBRA premium cost), subject to certain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Executive Change in Control Agreements</w:t>
      </w:r>
    </w:p>
    <w:p>
      <w:pPr>
        <w:spacing w:after="0" w:line="162"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0E2A35"/>
        </w:rPr>
        <w:t>Each of the NEOs, including Mr. Happe and Mr. Clark, have also entered into an Executive Change in Control Agreement (CIC Agreement) with the Company.</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0E2A35"/>
        </w:rPr>
        <w:t>The CIC Agreements generally provide that, in the event of a termination of the executive’s employment (for a reason other than death, disability, termination for cause or, under certain circumstances, a voluntary termination of employment by the executive) within two years of a change of control, such executive will receive a severance only relative to salary and target annual incentives under the OICP (as well as annual COBRA premium cost) at a 2x multiple (or 3x, in the case of Mr. Happe only). The CIC Agreement for Mr. Clark provides that the severance benefit payable would be capped at $3,000,000.</w:t>
      </w:r>
    </w:p>
    <w:p>
      <w:pPr>
        <w:spacing w:after="0" w:line="12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0E2A35"/>
        </w:rPr>
        <w:t>The committee believes these arrangements are an important part of the total executive compensation program because they protect our interest in the continuity and stability of the executive group, and to facilitate a smooth transition in the event that an executive’s employment is terminated under circumstances covered by the arrangements. The committee also believes that the CIC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in Control-Executive Change in Control Agreements” below for additional detail.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Insider Trading, Hedging and Pledging</w:t>
      </w:r>
    </w:p>
    <w:p>
      <w:pPr>
        <w:spacing w:after="0" w:line="16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The Company’s insider trading policy prohibits the unauthorized disclosure of any nonpublic information acquired in the workplace and the misuse of material nonpublic information (as defined in the policy) in securities trading. Additionally, our insider trading policy includes our policy on hedging and pledging, which is described in in the Corporate Governance section of this proxy statement under the heading “Anti-Hedging and Anti-Pledging.”</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Clawback Policies</w:t>
      </w:r>
    </w:p>
    <w:p>
      <w:pPr>
        <w:spacing w:after="0" w:line="148"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0E2A35"/>
        </w:rPr>
        <w:t>Our incentive compensation programs include “clawback” provisions for each of the OICP and LTIP programs, which, in part, provide for the recoupment of incentive compensation payouts if payments are made based upon the achievement of financial results that are subsequently subject to a restatement due to material noncompliance with financial reporting requirements. In addition, our compensation recovery policies (the Clawback Policies), provides for the recovery of certain compensation from all of our officers subject to Section 16 of the Exchange Act in certain circumstances. The Clawback Policies provide that the Company will require recovery of erroneously awarded compensation incentive-based compensation in the event of a financial restatement, all as required by the SEC rules and NYSE listing requirements, and such compensation as the committee determines in the event of certain misconduct by the Section 16 officer.</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Tax Considerations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Deductibility of Executive Compensation</w:t>
      </w:r>
    </w:p>
    <w:p>
      <w:pPr>
        <w:spacing w:after="0" w:line="189"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0E2A35"/>
        </w:rPr>
        <w:t>Section 162(m) of the Internal Revenue Code denies a deduction to any publicly-held corporation for compensation paid to certain “covered employees” in a taxable year to the extent that compensation to the covered employee exceeds $1,000,000. While our committee is mindful of the benefit to us of the deductibility, it believes that we should maintain flexibility in compensating our executive officers in a manner that best promotes our corporate objectives.</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Section 409A of the Internal Revenue Code</w:t>
      </w:r>
    </w:p>
    <w:p>
      <w:pPr>
        <w:spacing w:after="0" w:line="16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0E2A35"/>
        </w:rPr>
        <w:t>Section 409A of the Code (Section 409A), which governs the form and timing of payment of deferred compensation, imposes sanctions, including a 20% penalty and an interest penalty, on a recipient of deferred compensation that does not comply with Section 409A. Although the Company makes no guarantees with respect to exemption from, or compliance with, Section 409A, our committee takes into account the potential implications of Section 409A in determining the form and timing of compensation awarded to our executives and strives to structure its nonqualified deferred compensation plans to meet these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Compensation-Related Risk Assessment</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0E2A35"/>
        </w:rPr>
        <w:t>Our committee has analyzed the potential material risks that may be created by our compensation programs. Because performance-based incentives play a large role in our executive compensation program, it is important to ensure that these incentives do not result in our employees taking actions that may conflict with the Company’s long-term interests. The committee reviewed and concluded that the Company’s compensation programs are designed and administered with the appropriate balance of risk and reward in relation to its overall business strategy and do not encourage employees to take unnecessary or excessive risks.</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Human Resources Committee Report</w:t>
      </w:r>
    </w:p>
    <w:p>
      <w:pPr>
        <w:spacing w:after="0" w:line="201"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0E2A35"/>
        </w:rPr>
        <w:t>The Human Resources Committee of the Board has reviewed and discussed the foregoing Compensation Discussion and Analysis as required by Item 402(b) of Regulation S-K with management and, based on such review and discussion, the committee recommended to the Board that the Compensation Discussion and Analysis be included in the Annual Report on Form 10-K and this proxy statement.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0E2A35"/>
        </w:rPr>
        <w:t>Human Resources Committee: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0E2A35"/>
        </w:rPr>
        <w:t>John M. Murabito,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Sara E. Armbruster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Jacqueline D. Woods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Human Resources Committee Interlocks and Insider Participation</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E2A35"/>
        </w:rPr>
        <w:t>The current members of the Human Resources Committee, Mses. Armbruster, Kroon, and Woods and Mr. Murabito, were not at any time during fiscal 2023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or the Human Resources Committee during fiscal 2023.</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Compensation Tables and Narrative Disclosure</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Summary Compensation Table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0E2A35"/>
        </w:rPr>
        <w:t>The tables below contain compensation information for each of our NEOs for fiscal 2023, 2022, and 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400" w:type="dxa"/>
            <w:vAlign w:val="bottom"/>
            <w:shd w:val="clear" w:color="auto" w:fill="0E2A35"/>
          </w:tcPr>
          <w:p>
            <w:pPr>
              <w:spacing w:after="0"/>
              <w:rPr>
                <w:sz w:val="19"/>
                <w:szCs w:val="19"/>
                <w:color w:val="auto"/>
              </w:rPr>
            </w:pPr>
          </w:p>
        </w:tc>
        <w:tc>
          <w:tcPr>
            <w:tcW w:w="540" w:type="dxa"/>
            <w:vAlign w:val="bottom"/>
            <w:shd w:val="clear" w:color="auto" w:fill="0E2A35"/>
          </w:tcPr>
          <w:p>
            <w:pPr>
              <w:spacing w:after="0"/>
              <w:rPr>
                <w:sz w:val="19"/>
                <w:szCs w:val="19"/>
                <w:color w:val="auto"/>
              </w:rPr>
            </w:pPr>
          </w:p>
        </w:tc>
        <w:tc>
          <w:tcPr>
            <w:tcW w:w="720" w:type="dxa"/>
            <w:vAlign w:val="bottom"/>
            <w:shd w:val="clear" w:color="auto" w:fill="0E2A35"/>
          </w:tcPr>
          <w:p>
            <w:pPr>
              <w:spacing w:after="0"/>
              <w:rPr>
                <w:sz w:val="19"/>
                <w:szCs w:val="19"/>
                <w:color w:val="auto"/>
              </w:rPr>
            </w:pPr>
          </w:p>
        </w:tc>
        <w:tc>
          <w:tcPr>
            <w:tcW w:w="660" w:type="dxa"/>
            <w:vAlign w:val="bottom"/>
            <w:shd w:val="clear" w:color="auto" w:fill="0E2A35"/>
          </w:tcPr>
          <w:p>
            <w:pPr>
              <w:spacing w:after="0"/>
              <w:rPr>
                <w:sz w:val="19"/>
                <w:szCs w:val="19"/>
                <w:color w:val="auto"/>
              </w:rPr>
            </w:pPr>
          </w:p>
        </w:tc>
        <w:tc>
          <w:tcPr>
            <w:tcW w:w="760" w:type="dxa"/>
            <w:vAlign w:val="bottom"/>
            <w:shd w:val="clear" w:color="auto" w:fill="0E2A35"/>
          </w:tcPr>
          <w:p>
            <w:pPr>
              <w:spacing w:after="0"/>
              <w:rPr>
                <w:sz w:val="19"/>
                <w:szCs w:val="19"/>
                <w:color w:val="auto"/>
              </w:rPr>
            </w:pPr>
          </w:p>
        </w:tc>
        <w:tc>
          <w:tcPr>
            <w:tcW w:w="800" w:type="dxa"/>
            <w:vAlign w:val="bottom"/>
            <w:shd w:val="clear" w:color="auto" w:fill="0E2A35"/>
          </w:tcPr>
          <w:p>
            <w:pPr>
              <w:spacing w:after="0"/>
              <w:rPr>
                <w:sz w:val="19"/>
                <w:szCs w:val="19"/>
                <w:color w:val="auto"/>
              </w:rPr>
            </w:pPr>
          </w:p>
        </w:tc>
        <w:tc>
          <w:tcPr>
            <w:tcW w:w="340" w:type="dxa"/>
            <w:vAlign w:val="bottom"/>
            <w:shd w:val="clear" w:color="auto" w:fill="0E2A35"/>
          </w:tcPr>
          <w:p>
            <w:pPr>
              <w:spacing w:after="0"/>
              <w:rPr>
                <w:sz w:val="19"/>
                <w:szCs w:val="19"/>
                <w:color w:val="auto"/>
              </w:rPr>
            </w:pPr>
          </w:p>
        </w:tc>
        <w:tc>
          <w:tcPr>
            <w:tcW w:w="580" w:type="dxa"/>
            <w:vAlign w:val="bottom"/>
            <w:shd w:val="clear" w:color="auto" w:fill="0E2A35"/>
          </w:tcPr>
          <w:p>
            <w:pPr>
              <w:spacing w:after="0"/>
              <w:rPr>
                <w:sz w:val="19"/>
                <w:szCs w:val="19"/>
                <w:color w:val="auto"/>
              </w:rPr>
            </w:pPr>
          </w:p>
        </w:tc>
        <w:tc>
          <w:tcPr>
            <w:tcW w:w="320" w:type="dxa"/>
            <w:vAlign w:val="bottom"/>
            <w:shd w:val="clear" w:color="auto" w:fill="0E2A35"/>
          </w:tcPr>
          <w:p>
            <w:pPr>
              <w:spacing w:after="0"/>
              <w:rPr>
                <w:sz w:val="19"/>
                <w:szCs w:val="19"/>
                <w:color w:val="auto"/>
              </w:rPr>
            </w:pPr>
          </w:p>
        </w:tc>
        <w:tc>
          <w:tcPr>
            <w:tcW w:w="11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Changes in</w:t>
            </w:r>
          </w:p>
        </w:tc>
        <w:tc>
          <w:tcPr>
            <w:tcW w:w="1240" w:type="dxa"/>
            <w:vAlign w:val="bottom"/>
            <w:shd w:val="clear" w:color="auto" w:fill="0E2A35"/>
          </w:tcPr>
          <w:p>
            <w:pPr>
              <w:spacing w:after="0"/>
              <w:rPr>
                <w:sz w:val="19"/>
                <w:szCs w:val="19"/>
                <w:color w:val="auto"/>
              </w:rPr>
            </w:pPr>
          </w:p>
        </w:tc>
        <w:tc>
          <w:tcPr>
            <w:tcW w:w="78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spacing w:after="0"/>
              <w:rPr>
                <w:sz w:val="11"/>
                <w:szCs w:val="11"/>
                <w:color w:val="auto"/>
              </w:rPr>
            </w:pPr>
          </w:p>
        </w:tc>
        <w:tc>
          <w:tcPr>
            <w:tcW w:w="54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660" w:type="dxa"/>
            <w:vAlign w:val="bottom"/>
            <w:shd w:val="clear" w:color="auto" w:fill="0E2A35"/>
          </w:tcPr>
          <w:p>
            <w:pPr>
              <w:spacing w:after="0"/>
              <w:rPr>
                <w:sz w:val="11"/>
                <w:szCs w:val="11"/>
                <w:color w:val="auto"/>
              </w:rPr>
            </w:pPr>
          </w:p>
        </w:tc>
        <w:tc>
          <w:tcPr>
            <w:tcW w:w="76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340" w:type="dxa"/>
            <w:vAlign w:val="bottom"/>
            <w:shd w:val="clear" w:color="auto" w:fill="0E2A35"/>
          </w:tcPr>
          <w:p>
            <w:pPr>
              <w:spacing w:after="0"/>
              <w:rPr>
                <w:sz w:val="11"/>
                <w:szCs w:val="11"/>
                <w:color w:val="auto"/>
              </w:rPr>
            </w:pPr>
          </w:p>
        </w:tc>
        <w:tc>
          <w:tcPr>
            <w:tcW w:w="580" w:type="dxa"/>
            <w:vAlign w:val="bottom"/>
            <w:shd w:val="clear" w:color="auto" w:fill="0E2A35"/>
          </w:tcPr>
          <w:p>
            <w:pPr>
              <w:spacing w:after="0"/>
              <w:rPr>
                <w:sz w:val="11"/>
                <w:szCs w:val="11"/>
                <w:color w:val="auto"/>
              </w:rPr>
            </w:pPr>
          </w:p>
        </w:tc>
        <w:tc>
          <w:tcPr>
            <w:tcW w:w="320" w:type="dxa"/>
            <w:vAlign w:val="bottom"/>
            <w:shd w:val="clear" w:color="auto" w:fill="0E2A35"/>
          </w:tcPr>
          <w:p>
            <w:pPr>
              <w:spacing w:after="0"/>
              <w:rPr>
                <w:sz w:val="11"/>
                <w:szCs w:val="11"/>
                <w:color w:val="auto"/>
              </w:rPr>
            </w:pPr>
          </w:p>
        </w:tc>
        <w:tc>
          <w:tcPr>
            <w:tcW w:w="11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Pension Value</w:t>
            </w:r>
          </w:p>
        </w:tc>
        <w:tc>
          <w:tcPr>
            <w:tcW w:w="1240" w:type="dxa"/>
            <w:vAlign w:val="bottom"/>
            <w:shd w:val="clear" w:color="auto" w:fill="0E2A35"/>
          </w:tcPr>
          <w:p>
            <w:pPr>
              <w:spacing w:after="0"/>
              <w:rPr>
                <w:sz w:val="11"/>
                <w:szCs w:val="11"/>
                <w:color w:val="auto"/>
              </w:rPr>
            </w:pPr>
          </w:p>
        </w:tc>
        <w:tc>
          <w:tcPr>
            <w:tcW w:w="78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spacing w:after="0"/>
              <w:rPr>
                <w:sz w:val="11"/>
                <w:szCs w:val="11"/>
                <w:color w:val="auto"/>
              </w:rPr>
            </w:pPr>
          </w:p>
        </w:tc>
        <w:tc>
          <w:tcPr>
            <w:tcW w:w="54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660" w:type="dxa"/>
            <w:vAlign w:val="bottom"/>
            <w:shd w:val="clear" w:color="auto" w:fill="0E2A35"/>
          </w:tcPr>
          <w:p>
            <w:pPr>
              <w:spacing w:after="0"/>
              <w:rPr>
                <w:sz w:val="11"/>
                <w:szCs w:val="11"/>
                <w:color w:val="auto"/>
              </w:rPr>
            </w:pPr>
          </w:p>
        </w:tc>
        <w:tc>
          <w:tcPr>
            <w:tcW w:w="76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1240" w:type="dxa"/>
            <w:vAlign w:val="bottom"/>
            <w:gridSpan w:val="3"/>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Non-Equity</w:t>
            </w:r>
          </w:p>
        </w:tc>
        <w:tc>
          <w:tcPr>
            <w:tcW w:w="11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and Non-</w:t>
            </w:r>
          </w:p>
        </w:tc>
        <w:tc>
          <w:tcPr>
            <w:tcW w:w="1240" w:type="dxa"/>
            <w:vAlign w:val="bottom"/>
            <w:shd w:val="clear" w:color="auto" w:fill="0E2A35"/>
          </w:tcPr>
          <w:p>
            <w:pPr>
              <w:spacing w:after="0"/>
              <w:rPr>
                <w:sz w:val="11"/>
                <w:szCs w:val="11"/>
                <w:color w:val="auto"/>
              </w:rPr>
            </w:pPr>
          </w:p>
        </w:tc>
        <w:tc>
          <w:tcPr>
            <w:tcW w:w="78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0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54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660" w:type="dxa"/>
            <w:vAlign w:val="bottom"/>
            <w:shd w:val="clear" w:color="auto" w:fill="0E2A35"/>
          </w:tcPr>
          <w:p>
            <w:pPr>
              <w:spacing w:after="0"/>
              <w:rPr>
                <w:sz w:val="11"/>
                <w:szCs w:val="11"/>
                <w:color w:val="auto"/>
              </w:rPr>
            </w:pPr>
          </w:p>
        </w:tc>
        <w:tc>
          <w:tcPr>
            <w:tcW w:w="760" w:type="dxa"/>
            <w:vAlign w:val="bottom"/>
            <w:shd w:val="clear" w:color="auto" w:fill="0E2A35"/>
          </w:tcPr>
          <w:p>
            <w:pPr>
              <w:spacing w:after="0"/>
              <w:rPr>
                <w:sz w:val="11"/>
                <w:szCs w:val="11"/>
                <w:color w:val="auto"/>
              </w:rPr>
            </w:pPr>
          </w:p>
        </w:tc>
        <w:tc>
          <w:tcPr>
            <w:tcW w:w="800" w:type="dxa"/>
            <w:vAlign w:val="bottom"/>
            <w:shd w:val="clear" w:color="auto" w:fill="0E2A35"/>
          </w:tcPr>
          <w:p>
            <w:pPr>
              <w:spacing w:after="0"/>
              <w:rPr>
                <w:sz w:val="11"/>
                <w:szCs w:val="11"/>
                <w:color w:val="auto"/>
              </w:rPr>
            </w:pPr>
          </w:p>
        </w:tc>
        <w:tc>
          <w:tcPr>
            <w:tcW w:w="1240" w:type="dxa"/>
            <w:vAlign w:val="bottom"/>
            <w:gridSpan w:val="3"/>
            <w:vMerge w:val="continue"/>
            <w:shd w:val="clear" w:color="auto" w:fill="0E2A35"/>
          </w:tcPr>
          <w:p>
            <w:pPr>
              <w:spacing w:after="0"/>
              <w:rPr>
                <w:sz w:val="11"/>
                <w:szCs w:val="11"/>
                <w:color w:val="auto"/>
              </w:rPr>
            </w:pPr>
          </w:p>
        </w:tc>
        <w:tc>
          <w:tcPr>
            <w:tcW w:w="1140" w:type="dxa"/>
            <w:vAlign w:val="bottom"/>
            <w:shd w:val="clear" w:color="auto" w:fill="0E2A35"/>
          </w:tcPr>
          <w:p>
            <w:pPr>
              <w:jc w:val="center"/>
              <w:spacing w:after="0" w:line="130" w:lineRule="exact"/>
              <w:rPr>
                <w:sz w:val="20"/>
                <w:szCs w:val="20"/>
                <w:color w:val="auto"/>
              </w:rPr>
            </w:pPr>
            <w:r>
              <w:rPr>
                <w:rFonts w:ascii="Arial" w:cs="Arial" w:eastAsia="Arial" w:hAnsi="Arial"/>
                <w:sz w:val="13"/>
                <w:szCs w:val="13"/>
                <w:b w:val="1"/>
                <w:bCs w:val="1"/>
                <w:color w:val="FFFFFF"/>
                <w:w w:val="97"/>
              </w:rPr>
              <w:t>qualified</w:t>
            </w:r>
          </w:p>
        </w:tc>
        <w:tc>
          <w:tcPr>
            <w:tcW w:w="1240" w:type="dxa"/>
            <w:vAlign w:val="bottom"/>
            <w:shd w:val="clear" w:color="auto" w:fill="0E2A35"/>
          </w:tcPr>
          <w:p>
            <w:pPr>
              <w:spacing w:after="0"/>
              <w:rPr>
                <w:sz w:val="11"/>
                <w:szCs w:val="11"/>
                <w:color w:val="auto"/>
              </w:rPr>
            </w:pPr>
          </w:p>
        </w:tc>
        <w:tc>
          <w:tcPr>
            <w:tcW w:w="78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shd w:val="clear" w:color="auto" w:fill="0E2A35"/>
          </w:tcPr>
          <w:p>
            <w:pPr>
              <w:spacing w:after="0"/>
              <w:rPr>
                <w:sz w:val="11"/>
                <w:szCs w:val="11"/>
                <w:color w:val="auto"/>
              </w:rPr>
            </w:pPr>
          </w:p>
        </w:tc>
        <w:tc>
          <w:tcPr>
            <w:tcW w:w="540" w:type="dxa"/>
            <w:vAlign w:val="bottom"/>
            <w:shd w:val="clear" w:color="auto" w:fill="0E2A35"/>
          </w:tcPr>
          <w:p>
            <w:pPr>
              <w:spacing w:after="0"/>
              <w:rPr>
                <w:sz w:val="11"/>
                <w:szCs w:val="11"/>
                <w:color w:val="auto"/>
              </w:rPr>
            </w:pPr>
          </w:p>
        </w:tc>
        <w:tc>
          <w:tcPr>
            <w:tcW w:w="720" w:type="dxa"/>
            <w:vAlign w:val="bottom"/>
            <w:shd w:val="clear" w:color="auto" w:fill="0E2A35"/>
          </w:tcPr>
          <w:p>
            <w:pPr>
              <w:spacing w:after="0"/>
              <w:rPr>
                <w:sz w:val="11"/>
                <w:szCs w:val="11"/>
                <w:color w:val="auto"/>
              </w:rPr>
            </w:pPr>
          </w:p>
        </w:tc>
        <w:tc>
          <w:tcPr>
            <w:tcW w:w="660" w:type="dxa"/>
            <w:vAlign w:val="bottom"/>
            <w:shd w:val="clear" w:color="auto" w:fill="0E2A35"/>
          </w:tcPr>
          <w:p>
            <w:pPr>
              <w:spacing w:after="0"/>
              <w:rPr>
                <w:sz w:val="11"/>
                <w:szCs w:val="11"/>
                <w:color w:val="auto"/>
              </w:rPr>
            </w:pPr>
          </w:p>
        </w:tc>
        <w:tc>
          <w:tcPr>
            <w:tcW w:w="76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80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340" w:type="dxa"/>
            <w:vAlign w:val="bottom"/>
            <w:shd w:val="clear" w:color="auto" w:fill="0E2A35"/>
          </w:tcPr>
          <w:p>
            <w:pPr>
              <w:spacing w:after="0"/>
              <w:rPr>
                <w:sz w:val="11"/>
                <w:szCs w:val="11"/>
                <w:color w:val="auto"/>
              </w:rPr>
            </w:pPr>
          </w:p>
        </w:tc>
        <w:tc>
          <w:tcPr>
            <w:tcW w:w="5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Incentive</w:t>
            </w:r>
          </w:p>
        </w:tc>
        <w:tc>
          <w:tcPr>
            <w:tcW w:w="320" w:type="dxa"/>
            <w:vAlign w:val="bottom"/>
            <w:shd w:val="clear" w:color="auto" w:fill="0E2A35"/>
          </w:tcPr>
          <w:p>
            <w:pPr>
              <w:spacing w:after="0"/>
              <w:rPr>
                <w:sz w:val="11"/>
                <w:szCs w:val="11"/>
                <w:color w:val="auto"/>
              </w:rPr>
            </w:pPr>
          </w:p>
        </w:tc>
        <w:tc>
          <w:tcPr>
            <w:tcW w:w="11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Deferred</w:t>
            </w:r>
          </w:p>
        </w:tc>
        <w:tc>
          <w:tcPr>
            <w:tcW w:w="124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All​ Other</w:t>
            </w:r>
          </w:p>
        </w:tc>
        <w:tc>
          <w:tcPr>
            <w:tcW w:w="78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shd w:val="clear" w:color="auto" w:fill="0E2A35"/>
          </w:tcPr>
          <w:p>
            <w:pPr>
              <w:ind w:left="60"/>
              <w:spacing w:after="0" w:line="135" w:lineRule="exact"/>
              <w:rPr>
                <w:sz w:val="20"/>
                <w:szCs w:val="20"/>
                <w:color w:val="auto"/>
              </w:rPr>
            </w:pPr>
            <w:r>
              <w:rPr>
                <w:rFonts w:ascii="Arial" w:cs="Arial" w:eastAsia="Arial" w:hAnsi="Arial"/>
                <w:sz w:val="13"/>
                <w:szCs w:val="13"/>
                <w:b w:val="1"/>
                <w:bCs w:val="1"/>
                <w:color w:val="FFFFFF"/>
              </w:rPr>
              <w:t>and</w:t>
            </w:r>
          </w:p>
        </w:tc>
        <w:tc>
          <w:tcPr>
            <w:tcW w:w="54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720" w:type="dxa"/>
            <w:vAlign w:val="bottom"/>
            <w:vMerge w:val="restart"/>
            <w:shd w:val="clear" w:color="auto" w:fill="0E2A35"/>
          </w:tcPr>
          <w:p>
            <w:pPr>
              <w:jc w:val="right"/>
              <w:ind w:right="97"/>
              <w:spacing w:after="0"/>
              <w:rPr>
                <w:sz w:val="20"/>
                <w:szCs w:val="20"/>
                <w:color w:val="auto"/>
              </w:rPr>
            </w:pPr>
            <w:r>
              <w:rPr>
                <w:rFonts w:ascii="Arial" w:cs="Arial" w:eastAsia="Arial" w:hAnsi="Arial"/>
                <w:sz w:val="13"/>
                <w:szCs w:val="13"/>
                <w:b w:val="1"/>
                <w:bCs w:val="1"/>
                <w:color w:val="FFFFFF"/>
              </w:rPr>
              <w:t>Salary​</w:t>
            </w:r>
          </w:p>
        </w:tc>
        <w:tc>
          <w:tcPr>
            <w:tcW w:w="66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Bonus</w:t>
            </w:r>
          </w:p>
        </w:tc>
        <w:tc>
          <w:tcPr>
            <w:tcW w:w="760" w:type="dxa"/>
            <w:vAlign w:val="bottom"/>
            <w:vMerge w:val="continue"/>
            <w:shd w:val="clear" w:color="auto" w:fill="0E2A35"/>
          </w:tcPr>
          <w:p>
            <w:pPr>
              <w:spacing w:after="0"/>
              <w:rPr>
                <w:sz w:val="11"/>
                <w:szCs w:val="11"/>
                <w:color w:val="auto"/>
              </w:rPr>
            </w:pPr>
          </w:p>
        </w:tc>
        <w:tc>
          <w:tcPr>
            <w:tcW w:w="800" w:type="dxa"/>
            <w:vAlign w:val="bottom"/>
            <w:vMerge w:val="continue"/>
            <w:shd w:val="clear" w:color="auto" w:fill="0E2A35"/>
          </w:tcPr>
          <w:p>
            <w:pPr>
              <w:spacing w:after="0"/>
              <w:rPr>
                <w:sz w:val="11"/>
                <w:szCs w:val="11"/>
                <w:color w:val="auto"/>
              </w:rPr>
            </w:pPr>
          </w:p>
        </w:tc>
        <w:tc>
          <w:tcPr>
            <w:tcW w:w="340" w:type="dxa"/>
            <w:vAlign w:val="bottom"/>
            <w:shd w:val="clear" w:color="auto" w:fill="0E2A35"/>
          </w:tcPr>
          <w:p>
            <w:pPr>
              <w:spacing w:after="0"/>
              <w:rPr>
                <w:sz w:val="11"/>
                <w:szCs w:val="11"/>
                <w:color w:val="auto"/>
              </w:rPr>
            </w:pPr>
          </w:p>
        </w:tc>
        <w:tc>
          <w:tcPr>
            <w:tcW w:w="5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4"/>
              </w:rPr>
              <w:t>Plan</w:t>
            </w:r>
          </w:p>
        </w:tc>
        <w:tc>
          <w:tcPr>
            <w:tcW w:w="320" w:type="dxa"/>
            <w:vAlign w:val="bottom"/>
            <w:shd w:val="clear" w:color="auto" w:fill="0E2A35"/>
          </w:tcPr>
          <w:p>
            <w:pPr>
              <w:spacing w:after="0"/>
              <w:rPr>
                <w:sz w:val="11"/>
                <w:szCs w:val="11"/>
                <w:color w:val="auto"/>
              </w:rPr>
            </w:pPr>
          </w:p>
        </w:tc>
        <w:tc>
          <w:tcPr>
            <w:tcW w:w="11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240" w:type="dxa"/>
            <w:vAlign w:val="bottom"/>
            <w:vMerge w:val="continue"/>
            <w:shd w:val="clear" w:color="auto" w:fill="0E2A35"/>
          </w:tcPr>
          <w:p>
            <w:pPr>
              <w:spacing w:after="0"/>
              <w:rPr>
                <w:sz w:val="11"/>
                <w:szCs w:val="11"/>
                <w:color w:val="auto"/>
              </w:rPr>
            </w:pPr>
          </w:p>
        </w:tc>
        <w:tc>
          <w:tcPr>
            <w:tcW w:w="780" w:type="dxa"/>
            <w:vAlign w:val="bottom"/>
            <w:vMerge w:val="restart"/>
            <w:shd w:val="clear" w:color="auto" w:fill="0E2A35"/>
          </w:tcPr>
          <w:p>
            <w:pPr>
              <w:jc w:val="right"/>
              <w:ind w:right="137"/>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0"/>
        </w:trPr>
        <w:tc>
          <w:tcPr>
            <w:tcW w:w="1400" w:type="dxa"/>
            <w:vAlign w:val="bottom"/>
            <w:shd w:val="clear" w:color="auto" w:fill="0E2A35"/>
          </w:tcPr>
          <w:p>
            <w:pPr>
              <w:ind w:left="60"/>
              <w:spacing w:after="0" w:line="140" w:lineRule="exact"/>
              <w:rPr>
                <w:sz w:val="20"/>
                <w:szCs w:val="20"/>
                <w:color w:val="auto"/>
              </w:rPr>
            </w:pPr>
            <w:r>
              <w:rPr>
                <w:rFonts w:ascii="Arial" w:cs="Arial" w:eastAsia="Arial" w:hAnsi="Arial"/>
                <w:sz w:val="13"/>
                <w:szCs w:val="13"/>
                <w:b w:val="1"/>
                <w:bCs w:val="1"/>
                <w:color w:val="FFFFFF"/>
              </w:rPr>
              <w:t>Principal</w:t>
            </w:r>
          </w:p>
        </w:tc>
        <w:tc>
          <w:tcPr>
            <w:tcW w:w="540" w:type="dxa"/>
            <w:vAlign w:val="bottom"/>
            <w:vMerge w:val="continue"/>
            <w:shd w:val="clear" w:color="auto" w:fill="0E2A35"/>
          </w:tcPr>
          <w:p>
            <w:pPr>
              <w:spacing w:after="0"/>
              <w:rPr>
                <w:sz w:val="12"/>
                <w:szCs w:val="12"/>
                <w:color w:val="auto"/>
              </w:rPr>
            </w:pPr>
          </w:p>
        </w:tc>
        <w:tc>
          <w:tcPr>
            <w:tcW w:w="720" w:type="dxa"/>
            <w:vAlign w:val="bottom"/>
            <w:vMerge w:val="continue"/>
            <w:shd w:val="clear" w:color="auto" w:fill="0E2A35"/>
          </w:tcPr>
          <w:p>
            <w:pPr>
              <w:spacing w:after="0"/>
              <w:rPr>
                <w:sz w:val="12"/>
                <w:szCs w:val="12"/>
                <w:color w:val="auto"/>
              </w:rPr>
            </w:pPr>
          </w:p>
        </w:tc>
        <w:tc>
          <w:tcPr>
            <w:tcW w:w="660" w:type="dxa"/>
            <w:vAlign w:val="bottom"/>
            <w:vMerge w:val="continue"/>
            <w:shd w:val="clear" w:color="auto" w:fill="0E2A35"/>
          </w:tcPr>
          <w:p>
            <w:pPr>
              <w:spacing w:after="0"/>
              <w:rPr>
                <w:sz w:val="12"/>
                <w:szCs w:val="12"/>
                <w:color w:val="auto"/>
              </w:rPr>
            </w:pPr>
          </w:p>
        </w:tc>
        <w:tc>
          <w:tcPr>
            <w:tcW w:w="760" w:type="dxa"/>
            <w:vAlign w:val="bottom"/>
            <w:shd w:val="clear" w:color="auto" w:fill="0E2A35"/>
          </w:tcPr>
          <w:p>
            <w:pPr>
              <w:jc w:val="center"/>
              <w:spacing w:after="0" w:line="140"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(1)</w:t>
            </w:r>
          </w:p>
        </w:tc>
        <w:tc>
          <w:tcPr>
            <w:tcW w:w="800" w:type="dxa"/>
            <w:vAlign w:val="bottom"/>
            <w:shd w:val="clear" w:color="auto" w:fill="0E2A35"/>
          </w:tcPr>
          <w:p>
            <w:pPr>
              <w:jc w:val="center"/>
              <w:spacing w:after="0" w:line="140"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(2)</w:t>
            </w:r>
          </w:p>
        </w:tc>
        <w:tc>
          <w:tcPr>
            <w:tcW w:w="1240" w:type="dxa"/>
            <w:vAlign w:val="bottom"/>
            <w:gridSpan w:val="3"/>
            <w:shd w:val="clear" w:color="auto" w:fill="0E2A35"/>
          </w:tcPr>
          <w:p>
            <w:pPr>
              <w:jc w:val="center"/>
              <w:spacing w:after="0" w:line="140"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(3)</w:t>
            </w:r>
          </w:p>
        </w:tc>
        <w:tc>
          <w:tcPr>
            <w:tcW w:w="1140" w:type="dxa"/>
            <w:vAlign w:val="bottom"/>
            <w:shd w:val="clear" w:color="auto" w:fill="0E2A35"/>
          </w:tcPr>
          <w:p>
            <w:pPr>
              <w:jc w:val="center"/>
              <w:spacing w:after="0" w:line="140" w:lineRule="exact"/>
              <w:rPr>
                <w:sz w:val="20"/>
                <w:szCs w:val="20"/>
                <w:color w:val="auto"/>
              </w:rPr>
            </w:pPr>
            <w:r>
              <w:rPr>
                <w:rFonts w:ascii="Arial" w:cs="Arial" w:eastAsia="Arial" w:hAnsi="Arial"/>
                <w:sz w:val="13"/>
                <w:szCs w:val="13"/>
                <w:b w:val="1"/>
                <w:bCs w:val="1"/>
                <w:color w:val="FFFFFF"/>
                <w:w w:val="96"/>
              </w:rPr>
              <w:t>Earnings</w:t>
            </w:r>
          </w:p>
        </w:tc>
        <w:tc>
          <w:tcPr>
            <w:tcW w:w="1240" w:type="dxa"/>
            <w:vAlign w:val="bottom"/>
            <w:shd w:val="clear" w:color="auto" w:fill="0E2A35"/>
          </w:tcPr>
          <w:p>
            <w:pPr>
              <w:jc w:val="center"/>
              <w:spacing w:after="0" w:line="140"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(4)</w:t>
            </w:r>
          </w:p>
        </w:tc>
        <w:tc>
          <w:tcPr>
            <w:tcW w:w="780" w:type="dxa"/>
            <w:vAlign w:val="bottom"/>
            <w:vMerge w:val="continue"/>
            <w:shd w:val="clear" w:color="auto" w:fill="0E2A35"/>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00" w:type="dxa"/>
            <w:vAlign w:val="bottom"/>
            <w:shd w:val="clear" w:color="auto" w:fill="0E2A35"/>
          </w:tcPr>
          <w:p>
            <w:pPr>
              <w:ind w:left="60"/>
              <w:spacing w:after="0"/>
              <w:rPr>
                <w:sz w:val="20"/>
                <w:szCs w:val="20"/>
                <w:color w:val="auto"/>
              </w:rPr>
            </w:pPr>
            <w:r>
              <w:rPr>
                <w:rFonts w:ascii="Arial" w:cs="Arial" w:eastAsia="Arial" w:hAnsi="Arial"/>
                <w:sz w:val="13"/>
                <w:szCs w:val="13"/>
                <w:b w:val="1"/>
                <w:bCs w:val="1"/>
                <w:color w:val="FFFFFF"/>
              </w:rPr>
              <w:t>Position</w:t>
            </w:r>
          </w:p>
        </w:tc>
        <w:tc>
          <w:tcPr>
            <w:tcW w:w="5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9"/>
              </w:rPr>
              <w:t>Year</w:t>
            </w:r>
          </w:p>
        </w:tc>
        <w:tc>
          <w:tcPr>
            <w:tcW w:w="720" w:type="dxa"/>
            <w:vAlign w:val="bottom"/>
            <w:shd w:val="clear" w:color="auto" w:fill="0E2A35"/>
          </w:tcPr>
          <w:p>
            <w:pPr>
              <w:jc w:val="right"/>
              <w:ind w:right="197"/>
              <w:spacing w:after="0"/>
              <w:rPr>
                <w:sz w:val="20"/>
                <w:szCs w:val="20"/>
                <w:color w:val="auto"/>
              </w:rPr>
            </w:pPr>
            <w:r>
              <w:rPr>
                <w:rFonts w:ascii="Arial" w:cs="Arial" w:eastAsia="Arial" w:hAnsi="Arial"/>
                <w:sz w:val="13"/>
                <w:szCs w:val="13"/>
                <w:b w:val="1"/>
                <w:bCs w:val="1"/>
                <w:color w:val="FFFFFF"/>
              </w:rPr>
              <w:t>($)</w:t>
            </w:r>
          </w:p>
        </w:tc>
        <w:tc>
          <w:tcPr>
            <w:tcW w:w="6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340" w:type="dxa"/>
            <w:vAlign w:val="bottom"/>
            <w:shd w:val="clear" w:color="auto" w:fill="0E2A35"/>
          </w:tcPr>
          <w:p>
            <w:pPr>
              <w:spacing w:after="0"/>
              <w:rPr>
                <w:sz w:val="15"/>
                <w:szCs w:val="15"/>
                <w:color w:val="auto"/>
              </w:rPr>
            </w:pPr>
          </w:p>
        </w:tc>
        <w:tc>
          <w:tcPr>
            <w:tcW w:w="5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320" w:type="dxa"/>
            <w:vAlign w:val="bottom"/>
            <w:shd w:val="clear" w:color="auto" w:fill="0E2A35"/>
          </w:tcPr>
          <w:p>
            <w:pPr>
              <w:spacing w:after="0"/>
              <w:rPr>
                <w:sz w:val="15"/>
                <w:szCs w:val="15"/>
                <w:color w:val="auto"/>
              </w:rPr>
            </w:pPr>
          </w:p>
        </w:tc>
        <w:tc>
          <w:tcPr>
            <w:tcW w:w="1140" w:type="dxa"/>
            <w:vAlign w:val="bottom"/>
            <w:shd w:val="clear" w:color="auto" w:fill="0E2A35"/>
          </w:tcPr>
          <w:p>
            <w:pPr>
              <w:ind w:left="500"/>
              <w:spacing w:after="0"/>
              <w:rPr>
                <w:sz w:val="20"/>
                <w:szCs w:val="20"/>
                <w:color w:val="auto"/>
              </w:rPr>
            </w:pPr>
            <w:r>
              <w:rPr>
                <w:rFonts w:ascii="Arial" w:cs="Arial" w:eastAsia="Arial" w:hAnsi="Arial"/>
                <w:sz w:val="13"/>
                <w:szCs w:val="13"/>
                <w:b w:val="1"/>
                <w:bCs w:val="1"/>
                <w:color w:val="FFFFFF"/>
              </w:rPr>
              <w:t>($)</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0E2A35"/>
          </w:tcPr>
          <w:p>
            <w:pPr>
              <w:jc w:val="right"/>
              <w:ind w:right="19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89"/>
        </w:trPr>
        <w:tc>
          <w:tcPr>
            <w:tcW w:w="1400" w:type="dxa"/>
            <w:vAlign w:val="bottom"/>
            <w:shd w:val="clear" w:color="auto" w:fill="0E2A35"/>
          </w:tcPr>
          <w:p>
            <w:pPr>
              <w:spacing w:after="0"/>
              <w:rPr>
                <w:sz w:val="7"/>
                <w:szCs w:val="7"/>
                <w:color w:val="auto"/>
              </w:rPr>
            </w:pPr>
          </w:p>
        </w:tc>
        <w:tc>
          <w:tcPr>
            <w:tcW w:w="540" w:type="dxa"/>
            <w:vAlign w:val="bottom"/>
            <w:shd w:val="clear" w:color="auto" w:fill="0E2A35"/>
          </w:tcPr>
          <w:p>
            <w:pPr>
              <w:spacing w:after="0"/>
              <w:rPr>
                <w:sz w:val="7"/>
                <w:szCs w:val="7"/>
                <w:color w:val="auto"/>
              </w:rPr>
            </w:pPr>
          </w:p>
        </w:tc>
        <w:tc>
          <w:tcPr>
            <w:tcW w:w="720" w:type="dxa"/>
            <w:vAlign w:val="bottom"/>
            <w:shd w:val="clear" w:color="auto" w:fill="0E2A35"/>
          </w:tcPr>
          <w:p>
            <w:pPr>
              <w:spacing w:after="0"/>
              <w:rPr>
                <w:sz w:val="7"/>
                <w:szCs w:val="7"/>
                <w:color w:val="auto"/>
              </w:rPr>
            </w:pPr>
          </w:p>
        </w:tc>
        <w:tc>
          <w:tcPr>
            <w:tcW w:w="660" w:type="dxa"/>
            <w:vAlign w:val="bottom"/>
            <w:shd w:val="clear" w:color="auto" w:fill="0E2A35"/>
          </w:tcPr>
          <w:p>
            <w:pPr>
              <w:spacing w:after="0"/>
              <w:rPr>
                <w:sz w:val="7"/>
                <w:szCs w:val="7"/>
                <w:color w:val="auto"/>
              </w:rPr>
            </w:pPr>
          </w:p>
        </w:tc>
        <w:tc>
          <w:tcPr>
            <w:tcW w:w="760" w:type="dxa"/>
            <w:vAlign w:val="bottom"/>
            <w:shd w:val="clear" w:color="auto" w:fill="0E2A35"/>
          </w:tcPr>
          <w:p>
            <w:pPr>
              <w:spacing w:after="0"/>
              <w:rPr>
                <w:sz w:val="7"/>
                <w:szCs w:val="7"/>
                <w:color w:val="auto"/>
              </w:rPr>
            </w:pPr>
          </w:p>
        </w:tc>
        <w:tc>
          <w:tcPr>
            <w:tcW w:w="800" w:type="dxa"/>
            <w:vAlign w:val="bottom"/>
            <w:shd w:val="clear" w:color="auto" w:fill="0E2A35"/>
          </w:tcPr>
          <w:p>
            <w:pPr>
              <w:spacing w:after="0"/>
              <w:rPr>
                <w:sz w:val="7"/>
                <w:szCs w:val="7"/>
                <w:color w:val="auto"/>
              </w:rPr>
            </w:pPr>
          </w:p>
        </w:tc>
        <w:tc>
          <w:tcPr>
            <w:tcW w:w="340" w:type="dxa"/>
            <w:vAlign w:val="bottom"/>
            <w:shd w:val="clear" w:color="auto" w:fill="0E2A35"/>
          </w:tcPr>
          <w:p>
            <w:pPr>
              <w:spacing w:after="0"/>
              <w:rPr>
                <w:sz w:val="7"/>
                <w:szCs w:val="7"/>
                <w:color w:val="auto"/>
              </w:rPr>
            </w:pPr>
          </w:p>
        </w:tc>
        <w:tc>
          <w:tcPr>
            <w:tcW w:w="580" w:type="dxa"/>
            <w:vAlign w:val="bottom"/>
            <w:shd w:val="clear" w:color="auto" w:fill="0E2A35"/>
          </w:tcPr>
          <w:p>
            <w:pPr>
              <w:spacing w:after="0"/>
              <w:rPr>
                <w:sz w:val="7"/>
                <w:szCs w:val="7"/>
                <w:color w:val="auto"/>
              </w:rPr>
            </w:pPr>
          </w:p>
        </w:tc>
        <w:tc>
          <w:tcPr>
            <w:tcW w:w="320" w:type="dxa"/>
            <w:vAlign w:val="bottom"/>
            <w:shd w:val="clear" w:color="auto" w:fill="0E2A35"/>
          </w:tcPr>
          <w:p>
            <w:pPr>
              <w:spacing w:after="0"/>
              <w:rPr>
                <w:sz w:val="7"/>
                <w:szCs w:val="7"/>
                <w:color w:val="auto"/>
              </w:rPr>
            </w:pPr>
          </w:p>
        </w:tc>
        <w:tc>
          <w:tcPr>
            <w:tcW w:w="1140" w:type="dxa"/>
            <w:vAlign w:val="bottom"/>
            <w:shd w:val="clear" w:color="auto" w:fill="0E2A35"/>
          </w:tcPr>
          <w:p>
            <w:pPr>
              <w:spacing w:after="0"/>
              <w:rPr>
                <w:sz w:val="7"/>
                <w:szCs w:val="7"/>
                <w:color w:val="auto"/>
              </w:rPr>
            </w:pPr>
          </w:p>
        </w:tc>
        <w:tc>
          <w:tcPr>
            <w:tcW w:w="1240" w:type="dxa"/>
            <w:vAlign w:val="bottom"/>
            <w:shd w:val="clear" w:color="auto" w:fill="0E2A35"/>
          </w:tcPr>
          <w:p>
            <w:pPr>
              <w:spacing w:after="0"/>
              <w:rPr>
                <w:sz w:val="7"/>
                <w:szCs w:val="7"/>
                <w:color w:val="auto"/>
              </w:rPr>
            </w:pPr>
          </w:p>
        </w:tc>
        <w:tc>
          <w:tcPr>
            <w:tcW w:w="78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400" w:type="dxa"/>
            <w:vAlign w:val="bottom"/>
          </w:tcPr>
          <w:p>
            <w:pPr>
              <w:ind w:left="60"/>
              <w:spacing w:after="0"/>
              <w:rPr>
                <w:sz w:val="20"/>
                <w:szCs w:val="20"/>
                <w:color w:val="auto"/>
              </w:rPr>
            </w:pPr>
            <w:r>
              <w:rPr>
                <w:rFonts w:ascii="Arial" w:cs="Arial" w:eastAsia="Arial" w:hAnsi="Arial"/>
                <w:sz w:val="13"/>
                <w:szCs w:val="13"/>
                <w:color w:val="0E2A35"/>
              </w:rPr>
              <w:t>Michael J. Happe</w:t>
            </w:r>
          </w:p>
        </w:tc>
        <w:tc>
          <w:tcPr>
            <w:tcW w:w="540" w:type="dxa"/>
            <w:vAlign w:val="bottom"/>
          </w:tcPr>
          <w:p>
            <w:pPr>
              <w:jc w:val="center"/>
              <w:spacing w:after="0"/>
              <w:rPr>
                <w:sz w:val="20"/>
                <w:szCs w:val="20"/>
                <w:color w:val="auto"/>
              </w:rPr>
            </w:pPr>
            <w:r>
              <w:rPr>
                <w:rFonts w:ascii="Arial" w:cs="Arial" w:eastAsia="Arial" w:hAnsi="Arial"/>
                <w:sz w:val="13"/>
                <w:szCs w:val="13"/>
                <w:color w:val="0E2A35"/>
                <w:w w:val="96"/>
              </w:rPr>
              <w:t>2023</w:t>
            </w:r>
          </w:p>
        </w:tc>
        <w:tc>
          <w:tcPr>
            <w:tcW w:w="720" w:type="dxa"/>
            <w:vAlign w:val="bottom"/>
          </w:tcPr>
          <w:p>
            <w:pPr>
              <w:jc w:val="right"/>
              <w:ind w:right="17"/>
              <w:spacing w:after="0"/>
              <w:rPr>
                <w:sz w:val="20"/>
                <w:szCs w:val="20"/>
                <w:color w:val="auto"/>
              </w:rPr>
            </w:pPr>
            <w:r>
              <w:rPr>
                <w:rFonts w:ascii="Arial" w:cs="Arial" w:eastAsia="Arial" w:hAnsi="Arial"/>
                <w:sz w:val="13"/>
                <w:szCs w:val="13"/>
                <w:color w:val="0E2A35"/>
              </w:rPr>
              <w:t>1,050,000</w:t>
            </w:r>
          </w:p>
        </w:tc>
        <w:tc>
          <w:tcPr>
            <w:tcW w:w="660" w:type="dxa"/>
            <w:vAlign w:val="bottom"/>
          </w:tcPr>
          <w:p>
            <w:pPr>
              <w:ind w:left="420"/>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0E2A35"/>
              </w:rPr>
              <w:t>4,249,995</w:t>
            </w:r>
          </w:p>
        </w:tc>
        <w:tc>
          <w:tcPr>
            <w:tcW w:w="800" w:type="dxa"/>
            <w:vAlign w:val="bottom"/>
          </w:tcPr>
          <w:p>
            <w:pPr>
              <w:jc w:val="right"/>
              <w:ind w:right="138"/>
              <w:spacing w:after="0"/>
              <w:rPr>
                <w:sz w:val="20"/>
                <w:szCs w:val="20"/>
                <w:color w:val="auto"/>
              </w:rPr>
            </w:pPr>
            <w:r>
              <w:rPr>
                <w:rFonts w:ascii="Arial" w:cs="Arial" w:eastAsia="Arial" w:hAnsi="Arial"/>
                <w:sz w:val="13"/>
                <w:szCs w:val="13"/>
                <w:color w:val="0E2A35"/>
              </w:rPr>
              <w:t>749,992</w:t>
            </w:r>
          </w:p>
        </w:tc>
        <w:tc>
          <w:tcPr>
            <w:tcW w:w="340" w:type="dxa"/>
            <w:vAlign w:val="bottom"/>
          </w:tcPr>
          <w:p>
            <w:pPr>
              <w:ind w:left="300"/>
              <w:spacing w:after="0"/>
              <w:rPr>
                <w:sz w:val="20"/>
                <w:szCs w:val="20"/>
                <w:color w:val="auto"/>
              </w:rPr>
            </w:pPr>
            <w:r>
              <w:rPr>
                <w:rFonts w:ascii="Arial" w:cs="Arial" w:eastAsia="Arial" w:hAnsi="Arial"/>
                <w:sz w:val="13"/>
                <w:szCs w:val="13"/>
                <w:color w:val="0E2A35"/>
              </w:rPr>
              <w:t>​</w:t>
            </w:r>
          </w:p>
        </w:tc>
        <w:tc>
          <w:tcPr>
            <w:tcW w:w="580" w:type="dxa"/>
            <w:vAlign w:val="bottom"/>
          </w:tcPr>
          <w:p>
            <w:pPr>
              <w:jc w:val="right"/>
              <w:spacing w:after="0"/>
              <w:rPr>
                <w:sz w:val="20"/>
                <w:szCs w:val="20"/>
                <w:color w:val="auto"/>
              </w:rPr>
            </w:pPr>
            <w:r>
              <w:rPr>
                <w:rFonts w:ascii="Arial" w:cs="Arial" w:eastAsia="Arial" w:hAnsi="Arial"/>
                <w:sz w:val="13"/>
                <w:szCs w:val="13"/>
                <w:color w:val="0E2A35"/>
              </w:rPr>
              <w:t>550,500</w:t>
            </w:r>
          </w:p>
        </w:tc>
        <w:tc>
          <w:tcPr>
            <w:tcW w:w="320" w:type="dxa"/>
            <w:vAlign w:val="bottom"/>
          </w:tcPr>
          <w:p>
            <w:pPr>
              <w:spacing w:after="0"/>
              <w:rPr>
                <w:sz w:val="19"/>
                <w:szCs w:val="19"/>
                <w:color w:val="auto"/>
              </w:rPr>
            </w:pPr>
          </w:p>
        </w:tc>
        <w:tc>
          <w:tcPr>
            <w:tcW w:w="114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98"/>
              <w:spacing w:after="0"/>
              <w:rPr>
                <w:sz w:val="20"/>
                <w:szCs w:val="20"/>
                <w:color w:val="auto"/>
              </w:rPr>
            </w:pPr>
            <w:r>
              <w:rPr>
                <w:rFonts w:ascii="Arial" w:cs="Arial" w:eastAsia="Arial" w:hAnsi="Arial"/>
                <w:sz w:val="13"/>
                <w:szCs w:val="13"/>
                <w:color w:val="0E2A35"/>
              </w:rPr>
              <w:t>77,241​</w:t>
            </w:r>
          </w:p>
        </w:tc>
        <w:tc>
          <w:tcPr>
            <w:tcW w:w="780" w:type="dxa"/>
            <w:vAlign w:val="bottom"/>
          </w:tcPr>
          <w:p>
            <w:pPr>
              <w:jc w:val="right"/>
              <w:spacing w:after="0"/>
              <w:rPr>
                <w:sz w:val="20"/>
                <w:szCs w:val="20"/>
                <w:color w:val="auto"/>
              </w:rPr>
            </w:pPr>
            <w:r>
              <w:rPr>
                <w:rFonts w:ascii="Arial" w:cs="Arial" w:eastAsia="Arial" w:hAnsi="Arial"/>
                <w:sz w:val="13"/>
                <w:szCs w:val="13"/>
                <w:color w:val="0E2A35"/>
              </w:rPr>
              <w:t>6,677,728</w:t>
            </w:r>
          </w:p>
        </w:tc>
        <w:tc>
          <w:tcPr>
            <w:tcW w:w="0" w:type="dxa"/>
            <w:vAlign w:val="bottom"/>
          </w:tcPr>
          <w:p>
            <w:pPr>
              <w:spacing w:after="0"/>
              <w:rPr>
                <w:sz w:val="1"/>
                <w:szCs w:val="1"/>
                <w:color w:val="auto"/>
              </w:rPr>
            </w:pPr>
          </w:p>
        </w:tc>
      </w:tr>
      <w:tr>
        <w:trPr>
          <w:trHeight w:val="122"/>
        </w:trPr>
        <w:tc>
          <w:tcPr>
            <w:tcW w:w="1400" w:type="dxa"/>
            <w:vAlign w:val="bottom"/>
          </w:tcPr>
          <w:p>
            <w:pPr>
              <w:ind w:left="60"/>
              <w:spacing w:after="0" w:line="102" w:lineRule="exact"/>
              <w:rPr>
                <w:sz w:val="20"/>
                <w:szCs w:val="20"/>
                <w:color w:val="auto"/>
              </w:rPr>
            </w:pPr>
            <w:r>
              <w:rPr>
                <w:rFonts w:ascii="Arial" w:cs="Arial" w:eastAsia="Arial" w:hAnsi="Arial"/>
                <w:sz w:val="10"/>
                <w:szCs w:val="10"/>
                <w:color w:val="0E2A35"/>
              </w:rPr>
              <w:t>President, CEO</w:t>
            </w:r>
          </w:p>
        </w:tc>
        <w:tc>
          <w:tcPr>
            <w:tcW w:w="540" w:type="dxa"/>
            <w:vAlign w:val="bottom"/>
            <w:tcBorders>
              <w:bottom w:val="single" w:sz="8" w:color="0E2A35"/>
            </w:tcBorders>
          </w:tcPr>
          <w:p>
            <w:pPr>
              <w:spacing w:after="0"/>
              <w:rPr>
                <w:sz w:val="10"/>
                <w:szCs w:val="10"/>
                <w:color w:val="auto"/>
              </w:rPr>
            </w:pPr>
          </w:p>
        </w:tc>
        <w:tc>
          <w:tcPr>
            <w:tcW w:w="720" w:type="dxa"/>
            <w:vAlign w:val="bottom"/>
            <w:tcBorders>
              <w:bottom w:val="single" w:sz="8" w:color="0E2A35"/>
            </w:tcBorders>
          </w:tcPr>
          <w:p>
            <w:pPr>
              <w:spacing w:after="0"/>
              <w:rPr>
                <w:sz w:val="10"/>
                <w:szCs w:val="10"/>
                <w:color w:val="auto"/>
              </w:rPr>
            </w:pPr>
          </w:p>
        </w:tc>
        <w:tc>
          <w:tcPr>
            <w:tcW w:w="66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800" w:type="dxa"/>
            <w:vAlign w:val="bottom"/>
            <w:tcBorders>
              <w:bottom w:val="single" w:sz="8" w:color="0E2A35"/>
            </w:tcBorders>
          </w:tcPr>
          <w:p>
            <w:pPr>
              <w:spacing w:after="0"/>
              <w:rPr>
                <w:sz w:val="10"/>
                <w:szCs w:val="10"/>
                <w:color w:val="auto"/>
              </w:rPr>
            </w:pPr>
          </w:p>
        </w:tc>
        <w:tc>
          <w:tcPr>
            <w:tcW w:w="340" w:type="dxa"/>
            <w:vAlign w:val="bottom"/>
            <w:tcBorders>
              <w:bottom w:val="single" w:sz="8" w:color="0E2A35"/>
            </w:tcBorders>
          </w:tcPr>
          <w:p>
            <w:pPr>
              <w:spacing w:after="0"/>
              <w:rPr>
                <w:sz w:val="10"/>
                <w:szCs w:val="10"/>
                <w:color w:val="auto"/>
              </w:rPr>
            </w:pPr>
          </w:p>
        </w:tc>
        <w:tc>
          <w:tcPr>
            <w:tcW w:w="580" w:type="dxa"/>
            <w:vAlign w:val="bottom"/>
            <w:tcBorders>
              <w:bottom w:val="single" w:sz="8" w:color="0E2A35"/>
            </w:tcBorders>
          </w:tcPr>
          <w:p>
            <w:pPr>
              <w:spacing w:after="0"/>
              <w:rPr>
                <w:sz w:val="10"/>
                <w:szCs w:val="10"/>
                <w:color w:val="auto"/>
              </w:rPr>
            </w:pPr>
          </w:p>
        </w:tc>
        <w:tc>
          <w:tcPr>
            <w:tcW w:w="320" w:type="dxa"/>
            <w:vAlign w:val="bottom"/>
            <w:tcBorders>
              <w:bottom w:val="single" w:sz="8" w:color="0E2A35"/>
            </w:tcBorders>
          </w:tcPr>
          <w:p>
            <w:pPr>
              <w:spacing w:after="0"/>
              <w:rPr>
                <w:sz w:val="10"/>
                <w:szCs w:val="10"/>
                <w:color w:val="auto"/>
              </w:rPr>
            </w:pPr>
          </w:p>
        </w:tc>
        <w:tc>
          <w:tcPr>
            <w:tcW w:w="1140" w:type="dxa"/>
            <w:vAlign w:val="bottom"/>
            <w:tcBorders>
              <w:bottom w:val="single" w:sz="8" w:color="0E2A35"/>
            </w:tcBorders>
          </w:tcPr>
          <w:p>
            <w:pPr>
              <w:spacing w:after="0"/>
              <w:rPr>
                <w:sz w:val="10"/>
                <w:szCs w:val="10"/>
                <w:color w:val="auto"/>
              </w:rPr>
            </w:pPr>
          </w:p>
        </w:tc>
        <w:tc>
          <w:tcPr>
            <w:tcW w:w="1240" w:type="dxa"/>
            <w:vAlign w:val="bottom"/>
            <w:tcBorders>
              <w:bottom w:val="single" w:sz="8" w:color="0E2A35"/>
            </w:tcBorders>
          </w:tcPr>
          <w:p>
            <w:pPr>
              <w:spacing w:after="0"/>
              <w:rPr>
                <w:sz w:val="10"/>
                <w:szCs w:val="10"/>
                <w:color w:val="auto"/>
              </w:rPr>
            </w:pPr>
          </w:p>
        </w:tc>
        <w:tc>
          <w:tcPr>
            <w:tcW w:w="780" w:type="dxa"/>
            <w:vAlign w:val="bottom"/>
            <w:tcBorders>
              <w:bottom w:val="single" w:sz="8" w:color="0E2A35"/>
            </w:tcBorders>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E2A35"/>
                <w:w w:val="96"/>
              </w:rPr>
              <w:t>2022</w:t>
            </w:r>
          </w:p>
        </w:tc>
        <w:tc>
          <w:tcPr>
            <w:tcW w:w="720" w:type="dxa"/>
            <w:vAlign w:val="bottom"/>
          </w:tcPr>
          <w:p>
            <w:pPr>
              <w:jc w:val="right"/>
              <w:ind w:right="17"/>
              <w:spacing w:after="0"/>
              <w:rPr>
                <w:sz w:val="20"/>
                <w:szCs w:val="20"/>
                <w:color w:val="auto"/>
              </w:rPr>
            </w:pPr>
            <w:r>
              <w:rPr>
                <w:rFonts w:ascii="Arial" w:cs="Arial" w:eastAsia="Arial" w:hAnsi="Arial"/>
                <w:sz w:val="13"/>
                <w:szCs w:val="13"/>
                <w:color w:val="0E2A35"/>
              </w:rPr>
              <w:t>1,000,000</w:t>
            </w:r>
          </w:p>
        </w:tc>
        <w:tc>
          <w:tcPr>
            <w:tcW w:w="660" w:type="dxa"/>
            <w:vAlign w:val="bottom"/>
          </w:tcPr>
          <w:p>
            <w:pPr>
              <w:ind w:left="420"/>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0E2A35"/>
              </w:rPr>
              <w:t>3,569,965</w:t>
            </w:r>
          </w:p>
        </w:tc>
        <w:tc>
          <w:tcPr>
            <w:tcW w:w="800" w:type="dxa"/>
            <w:vAlign w:val="bottom"/>
          </w:tcPr>
          <w:p>
            <w:pPr>
              <w:jc w:val="right"/>
              <w:ind w:right="138"/>
              <w:spacing w:after="0"/>
              <w:rPr>
                <w:sz w:val="20"/>
                <w:szCs w:val="20"/>
                <w:color w:val="auto"/>
              </w:rPr>
            </w:pPr>
            <w:r>
              <w:rPr>
                <w:rFonts w:ascii="Arial" w:cs="Arial" w:eastAsia="Arial" w:hAnsi="Arial"/>
                <w:sz w:val="13"/>
                <w:szCs w:val="13"/>
                <w:color w:val="0E2A35"/>
              </w:rPr>
              <w:t>629,991</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0E2A35"/>
                <w:w w:val="96"/>
              </w:rPr>
              <w:t>1,439,700</w:t>
            </w:r>
          </w:p>
        </w:tc>
        <w:tc>
          <w:tcPr>
            <w:tcW w:w="320" w:type="dxa"/>
            <w:vAlign w:val="bottom"/>
          </w:tcPr>
          <w:p>
            <w:pPr>
              <w:spacing w:after="0"/>
              <w:rPr>
                <w:sz w:val="21"/>
                <w:szCs w:val="21"/>
                <w:color w:val="auto"/>
              </w:rPr>
            </w:pPr>
          </w:p>
        </w:tc>
        <w:tc>
          <w:tcPr>
            <w:tcW w:w="114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98"/>
              <w:spacing w:after="0"/>
              <w:rPr>
                <w:sz w:val="20"/>
                <w:szCs w:val="20"/>
                <w:color w:val="auto"/>
              </w:rPr>
            </w:pPr>
            <w:r>
              <w:rPr>
                <w:rFonts w:ascii="Arial" w:cs="Arial" w:eastAsia="Arial" w:hAnsi="Arial"/>
                <w:sz w:val="13"/>
                <w:szCs w:val="13"/>
                <w:color w:val="0E2A35"/>
              </w:rPr>
              <w:t>36,913</w:t>
            </w:r>
          </w:p>
        </w:tc>
        <w:tc>
          <w:tcPr>
            <w:tcW w:w="780" w:type="dxa"/>
            <w:vAlign w:val="bottom"/>
          </w:tcPr>
          <w:p>
            <w:pPr>
              <w:jc w:val="right"/>
              <w:spacing w:after="0"/>
              <w:rPr>
                <w:sz w:val="20"/>
                <w:szCs w:val="20"/>
                <w:color w:val="auto"/>
              </w:rPr>
            </w:pPr>
            <w:r>
              <w:rPr>
                <w:rFonts w:ascii="Arial" w:cs="Arial" w:eastAsia="Arial" w:hAnsi="Arial"/>
                <w:sz w:val="13"/>
                <w:szCs w:val="13"/>
                <w:color w:val="0E2A35"/>
              </w:rPr>
              <w:t>6,676,569</w:t>
            </w:r>
          </w:p>
        </w:tc>
        <w:tc>
          <w:tcPr>
            <w:tcW w:w="0" w:type="dxa"/>
            <w:vAlign w:val="bottom"/>
          </w:tcPr>
          <w:p>
            <w:pPr>
              <w:spacing w:after="0"/>
              <w:rPr>
                <w:sz w:val="1"/>
                <w:szCs w:val="1"/>
                <w:color w:val="auto"/>
              </w:rPr>
            </w:pPr>
          </w:p>
        </w:tc>
      </w:tr>
      <w:tr>
        <w:trPr>
          <w:trHeight w:val="97"/>
        </w:trPr>
        <w:tc>
          <w:tcPr>
            <w:tcW w:w="1400" w:type="dxa"/>
            <w:vAlign w:val="bottom"/>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E2A35"/>
                <w:w w:val="96"/>
              </w:rPr>
              <w:t>2021</w:t>
            </w:r>
          </w:p>
        </w:tc>
        <w:tc>
          <w:tcPr>
            <w:tcW w:w="720" w:type="dxa"/>
            <w:vAlign w:val="bottom"/>
          </w:tcPr>
          <w:p>
            <w:pPr>
              <w:jc w:val="right"/>
              <w:ind w:right="17"/>
              <w:spacing w:after="0"/>
              <w:rPr>
                <w:sz w:val="20"/>
                <w:szCs w:val="20"/>
                <w:color w:val="auto"/>
              </w:rPr>
            </w:pPr>
            <w:r>
              <w:rPr>
                <w:rFonts w:ascii="Arial" w:cs="Arial" w:eastAsia="Arial" w:hAnsi="Arial"/>
                <w:sz w:val="13"/>
                <w:szCs w:val="13"/>
                <w:color w:val="0E2A35"/>
              </w:rPr>
              <w:t>900,000</w:t>
            </w:r>
          </w:p>
        </w:tc>
        <w:tc>
          <w:tcPr>
            <w:tcW w:w="660" w:type="dxa"/>
            <w:vAlign w:val="bottom"/>
          </w:tcPr>
          <w:p>
            <w:pPr>
              <w:ind w:left="420"/>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0E2A35"/>
              </w:rPr>
              <w:t>3,574,980</w:t>
            </w:r>
          </w:p>
        </w:tc>
        <w:tc>
          <w:tcPr>
            <w:tcW w:w="800" w:type="dxa"/>
            <w:vAlign w:val="bottom"/>
          </w:tcPr>
          <w:p>
            <w:pPr>
              <w:jc w:val="right"/>
              <w:ind w:right="138"/>
              <w:spacing w:after="0"/>
              <w:rPr>
                <w:sz w:val="20"/>
                <w:szCs w:val="20"/>
                <w:color w:val="auto"/>
              </w:rPr>
            </w:pPr>
            <w:r>
              <w:rPr>
                <w:rFonts w:ascii="Arial" w:cs="Arial" w:eastAsia="Arial" w:hAnsi="Arial"/>
                <w:sz w:val="13"/>
                <w:szCs w:val="13"/>
                <w:color w:val="0E2A35"/>
              </w:rPr>
              <w:t>525,004</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0E2A35"/>
                <w:w w:val="96"/>
              </w:rPr>
              <w:t>1,600,000</w:t>
            </w:r>
          </w:p>
        </w:tc>
        <w:tc>
          <w:tcPr>
            <w:tcW w:w="320" w:type="dxa"/>
            <w:vAlign w:val="bottom"/>
          </w:tcPr>
          <w:p>
            <w:pPr>
              <w:spacing w:after="0"/>
              <w:rPr>
                <w:sz w:val="21"/>
                <w:szCs w:val="21"/>
                <w:color w:val="auto"/>
              </w:rPr>
            </w:pPr>
          </w:p>
        </w:tc>
        <w:tc>
          <w:tcPr>
            <w:tcW w:w="114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98"/>
              <w:spacing w:after="0"/>
              <w:rPr>
                <w:sz w:val="20"/>
                <w:szCs w:val="20"/>
                <w:color w:val="auto"/>
              </w:rPr>
            </w:pPr>
            <w:r>
              <w:rPr>
                <w:rFonts w:ascii="Arial" w:cs="Arial" w:eastAsia="Arial" w:hAnsi="Arial"/>
                <w:sz w:val="13"/>
                <w:szCs w:val="13"/>
                <w:color w:val="0E2A35"/>
              </w:rPr>
              <w:t>49,202</w:t>
            </w:r>
          </w:p>
        </w:tc>
        <w:tc>
          <w:tcPr>
            <w:tcW w:w="780" w:type="dxa"/>
            <w:vAlign w:val="bottom"/>
          </w:tcPr>
          <w:p>
            <w:pPr>
              <w:jc w:val="right"/>
              <w:spacing w:after="0"/>
              <w:rPr>
                <w:sz w:val="20"/>
                <w:szCs w:val="20"/>
                <w:color w:val="auto"/>
              </w:rPr>
            </w:pPr>
            <w:r>
              <w:rPr>
                <w:rFonts w:ascii="Arial" w:cs="Arial" w:eastAsia="Arial" w:hAnsi="Arial"/>
                <w:sz w:val="13"/>
                <w:szCs w:val="13"/>
                <w:color w:val="0E2A35"/>
              </w:rPr>
              <w:t>6,649,186</w:t>
            </w:r>
          </w:p>
        </w:tc>
        <w:tc>
          <w:tcPr>
            <w:tcW w:w="0" w:type="dxa"/>
            <w:vAlign w:val="bottom"/>
          </w:tcPr>
          <w:p>
            <w:pPr>
              <w:spacing w:after="0"/>
              <w:rPr>
                <w:sz w:val="1"/>
                <w:szCs w:val="1"/>
                <w:color w:val="auto"/>
              </w:rPr>
            </w:pPr>
          </w:p>
        </w:tc>
      </w:tr>
      <w:tr>
        <w:trPr>
          <w:trHeight w:val="97"/>
        </w:trPr>
        <w:tc>
          <w:tcPr>
            <w:tcW w:w="14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400" w:type="dxa"/>
            <w:vAlign w:val="bottom"/>
          </w:tcPr>
          <w:p>
            <w:pPr>
              <w:ind w:left="60"/>
              <w:spacing w:after="0"/>
              <w:rPr>
                <w:sz w:val="20"/>
                <w:szCs w:val="20"/>
                <w:color w:val="auto"/>
              </w:rPr>
            </w:pPr>
            <w:r>
              <w:rPr>
                <w:rFonts w:ascii="Arial" w:cs="Arial" w:eastAsia="Arial" w:hAnsi="Arial"/>
                <w:sz w:val="13"/>
                <w:szCs w:val="13"/>
                <w:color w:val="0E2A35"/>
              </w:rPr>
              <w:t>Bryan L. Hughes</w:t>
            </w:r>
          </w:p>
        </w:tc>
        <w:tc>
          <w:tcPr>
            <w:tcW w:w="540" w:type="dxa"/>
            <w:vAlign w:val="bottom"/>
          </w:tcPr>
          <w:p>
            <w:pPr>
              <w:jc w:val="center"/>
              <w:spacing w:after="0"/>
              <w:rPr>
                <w:sz w:val="20"/>
                <w:szCs w:val="20"/>
                <w:color w:val="auto"/>
              </w:rPr>
            </w:pPr>
            <w:r>
              <w:rPr>
                <w:rFonts w:ascii="Arial" w:cs="Arial" w:eastAsia="Arial" w:hAnsi="Arial"/>
                <w:sz w:val="13"/>
                <w:szCs w:val="13"/>
                <w:color w:val="0E2A35"/>
                <w:w w:val="96"/>
              </w:rPr>
              <w:t>2023</w:t>
            </w:r>
          </w:p>
        </w:tc>
        <w:tc>
          <w:tcPr>
            <w:tcW w:w="720" w:type="dxa"/>
            <w:vAlign w:val="bottom"/>
          </w:tcPr>
          <w:p>
            <w:pPr>
              <w:jc w:val="right"/>
              <w:ind w:right="17"/>
              <w:spacing w:after="0"/>
              <w:rPr>
                <w:sz w:val="20"/>
                <w:szCs w:val="20"/>
                <w:color w:val="auto"/>
              </w:rPr>
            </w:pPr>
            <w:r>
              <w:rPr>
                <w:rFonts w:ascii="Arial" w:cs="Arial" w:eastAsia="Arial" w:hAnsi="Arial"/>
                <w:sz w:val="13"/>
                <w:szCs w:val="13"/>
                <w:color w:val="0E2A35"/>
              </w:rPr>
              <w:t>575,000</w:t>
            </w:r>
          </w:p>
        </w:tc>
        <w:tc>
          <w:tcPr>
            <w:tcW w:w="660" w:type="dxa"/>
            <w:vAlign w:val="bottom"/>
          </w:tcPr>
          <w:p>
            <w:pPr>
              <w:ind w:left="420"/>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78"/>
              <w:spacing w:after="0"/>
              <w:rPr>
                <w:sz w:val="20"/>
                <w:szCs w:val="20"/>
                <w:color w:val="auto"/>
              </w:rPr>
            </w:pPr>
            <w:r>
              <w:rPr>
                <w:rFonts w:ascii="Arial" w:cs="Arial" w:eastAsia="Arial" w:hAnsi="Arial"/>
                <w:sz w:val="13"/>
                <w:szCs w:val="13"/>
                <w:color w:val="0E2A35"/>
              </w:rPr>
              <w:t>855,316</w:t>
            </w:r>
          </w:p>
        </w:tc>
        <w:tc>
          <w:tcPr>
            <w:tcW w:w="800" w:type="dxa"/>
            <w:vAlign w:val="bottom"/>
          </w:tcPr>
          <w:p>
            <w:pPr>
              <w:jc w:val="right"/>
              <w:ind w:right="138"/>
              <w:spacing w:after="0"/>
              <w:rPr>
                <w:sz w:val="20"/>
                <w:szCs w:val="20"/>
                <w:color w:val="auto"/>
              </w:rPr>
            </w:pPr>
            <w:r>
              <w:rPr>
                <w:rFonts w:ascii="Arial" w:cs="Arial" w:eastAsia="Arial" w:hAnsi="Arial"/>
                <w:sz w:val="13"/>
                <w:szCs w:val="13"/>
                <w:color w:val="0E2A35"/>
              </w:rPr>
              <w:t>150,942</w:t>
            </w:r>
          </w:p>
        </w:tc>
        <w:tc>
          <w:tcPr>
            <w:tcW w:w="340" w:type="dxa"/>
            <w:vAlign w:val="bottom"/>
          </w:tcPr>
          <w:p>
            <w:pPr>
              <w:ind w:left="300"/>
              <w:spacing w:after="0"/>
              <w:rPr>
                <w:sz w:val="20"/>
                <w:szCs w:val="20"/>
                <w:color w:val="auto"/>
              </w:rPr>
            </w:pPr>
            <w:r>
              <w:rPr>
                <w:rFonts w:ascii="Arial" w:cs="Arial" w:eastAsia="Arial" w:hAnsi="Arial"/>
                <w:sz w:val="13"/>
                <w:szCs w:val="13"/>
                <w:color w:val="0E2A35"/>
              </w:rPr>
              <w:t>​</w:t>
            </w:r>
          </w:p>
        </w:tc>
        <w:tc>
          <w:tcPr>
            <w:tcW w:w="580" w:type="dxa"/>
            <w:vAlign w:val="bottom"/>
          </w:tcPr>
          <w:p>
            <w:pPr>
              <w:jc w:val="right"/>
              <w:spacing w:after="0"/>
              <w:rPr>
                <w:sz w:val="20"/>
                <w:szCs w:val="20"/>
                <w:color w:val="auto"/>
              </w:rPr>
            </w:pPr>
            <w:r>
              <w:rPr>
                <w:rFonts w:ascii="Arial" w:cs="Arial" w:eastAsia="Arial" w:hAnsi="Arial"/>
                <w:sz w:val="13"/>
                <w:szCs w:val="13"/>
                <w:color w:val="0E2A35"/>
              </w:rPr>
              <w:t>243,872</w:t>
            </w:r>
          </w:p>
        </w:tc>
        <w:tc>
          <w:tcPr>
            <w:tcW w:w="320" w:type="dxa"/>
            <w:vAlign w:val="bottom"/>
          </w:tcPr>
          <w:p>
            <w:pPr>
              <w:spacing w:after="0"/>
              <w:rPr>
                <w:sz w:val="19"/>
                <w:szCs w:val="19"/>
                <w:color w:val="auto"/>
              </w:rPr>
            </w:pPr>
          </w:p>
        </w:tc>
        <w:tc>
          <w:tcPr>
            <w:tcW w:w="114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98"/>
              <w:spacing w:after="0"/>
              <w:rPr>
                <w:sz w:val="20"/>
                <w:szCs w:val="20"/>
                <w:color w:val="auto"/>
              </w:rPr>
            </w:pPr>
            <w:r>
              <w:rPr>
                <w:rFonts w:ascii="Arial" w:cs="Arial" w:eastAsia="Arial" w:hAnsi="Arial"/>
                <w:sz w:val="13"/>
                <w:szCs w:val="13"/>
                <w:color w:val="0E2A35"/>
              </w:rPr>
              <w:t>56,271​</w:t>
            </w:r>
          </w:p>
        </w:tc>
        <w:tc>
          <w:tcPr>
            <w:tcW w:w="780" w:type="dxa"/>
            <w:vAlign w:val="bottom"/>
          </w:tcPr>
          <w:p>
            <w:pPr>
              <w:jc w:val="right"/>
              <w:spacing w:after="0"/>
              <w:rPr>
                <w:sz w:val="20"/>
                <w:szCs w:val="20"/>
                <w:color w:val="auto"/>
              </w:rPr>
            </w:pPr>
            <w:r>
              <w:rPr>
                <w:rFonts w:ascii="Arial" w:cs="Arial" w:eastAsia="Arial" w:hAnsi="Arial"/>
                <w:sz w:val="13"/>
                <w:szCs w:val="13"/>
                <w:color w:val="0E2A35"/>
              </w:rPr>
              <w:t>1,881,401</w:t>
            </w:r>
          </w:p>
        </w:tc>
        <w:tc>
          <w:tcPr>
            <w:tcW w:w="0" w:type="dxa"/>
            <w:vAlign w:val="bottom"/>
          </w:tcPr>
          <w:p>
            <w:pPr>
              <w:spacing w:after="0"/>
              <w:rPr>
                <w:sz w:val="1"/>
                <w:szCs w:val="1"/>
                <w:color w:val="auto"/>
              </w:rPr>
            </w:pPr>
          </w:p>
        </w:tc>
      </w:tr>
      <w:tr>
        <w:trPr>
          <w:trHeight w:val="122"/>
        </w:trPr>
        <w:tc>
          <w:tcPr>
            <w:tcW w:w="1400" w:type="dxa"/>
            <w:vAlign w:val="bottom"/>
          </w:tcPr>
          <w:p>
            <w:pPr>
              <w:ind w:left="60"/>
              <w:spacing w:after="0" w:line="102" w:lineRule="exact"/>
              <w:rPr>
                <w:sz w:val="20"/>
                <w:szCs w:val="20"/>
                <w:color w:val="auto"/>
              </w:rPr>
            </w:pPr>
            <w:r>
              <w:rPr>
                <w:rFonts w:ascii="Arial" w:cs="Arial" w:eastAsia="Arial" w:hAnsi="Arial"/>
                <w:sz w:val="10"/>
                <w:szCs w:val="10"/>
                <w:color w:val="0E2A35"/>
              </w:rPr>
              <w:t>CFO; Senior Vice</w:t>
            </w:r>
          </w:p>
        </w:tc>
        <w:tc>
          <w:tcPr>
            <w:tcW w:w="540" w:type="dxa"/>
            <w:vAlign w:val="bottom"/>
            <w:tcBorders>
              <w:bottom w:val="single" w:sz="8" w:color="0E2A35"/>
            </w:tcBorders>
          </w:tcPr>
          <w:p>
            <w:pPr>
              <w:spacing w:after="0"/>
              <w:rPr>
                <w:sz w:val="10"/>
                <w:szCs w:val="10"/>
                <w:color w:val="auto"/>
              </w:rPr>
            </w:pPr>
          </w:p>
        </w:tc>
        <w:tc>
          <w:tcPr>
            <w:tcW w:w="720" w:type="dxa"/>
            <w:vAlign w:val="bottom"/>
            <w:tcBorders>
              <w:bottom w:val="single" w:sz="8" w:color="0E2A35"/>
            </w:tcBorders>
          </w:tcPr>
          <w:p>
            <w:pPr>
              <w:spacing w:after="0"/>
              <w:rPr>
                <w:sz w:val="10"/>
                <w:szCs w:val="10"/>
                <w:color w:val="auto"/>
              </w:rPr>
            </w:pPr>
          </w:p>
        </w:tc>
        <w:tc>
          <w:tcPr>
            <w:tcW w:w="66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800" w:type="dxa"/>
            <w:vAlign w:val="bottom"/>
            <w:tcBorders>
              <w:bottom w:val="single" w:sz="8" w:color="0E2A35"/>
            </w:tcBorders>
          </w:tcPr>
          <w:p>
            <w:pPr>
              <w:spacing w:after="0"/>
              <w:rPr>
                <w:sz w:val="10"/>
                <w:szCs w:val="10"/>
                <w:color w:val="auto"/>
              </w:rPr>
            </w:pPr>
          </w:p>
        </w:tc>
        <w:tc>
          <w:tcPr>
            <w:tcW w:w="340" w:type="dxa"/>
            <w:vAlign w:val="bottom"/>
            <w:tcBorders>
              <w:bottom w:val="single" w:sz="8" w:color="0E2A35"/>
            </w:tcBorders>
          </w:tcPr>
          <w:p>
            <w:pPr>
              <w:spacing w:after="0"/>
              <w:rPr>
                <w:sz w:val="10"/>
                <w:szCs w:val="10"/>
                <w:color w:val="auto"/>
              </w:rPr>
            </w:pPr>
          </w:p>
        </w:tc>
        <w:tc>
          <w:tcPr>
            <w:tcW w:w="580" w:type="dxa"/>
            <w:vAlign w:val="bottom"/>
            <w:tcBorders>
              <w:bottom w:val="single" w:sz="8" w:color="0E2A35"/>
            </w:tcBorders>
          </w:tcPr>
          <w:p>
            <w:pPr>
              <w:spacing w:after="0"/>
              <w:rPr>
                <w:sz w:val="10"/>
                <w:szCs w:val="10"/>
                <w:color w:val="auto"/>
              </w:rPr>
            </w:pPr>
          </w:p>
        </w:tc>
        <w:tc>
          <w:tcPr>
            <w:tcW w:w="320" w:type="dxa"/>
            <w:vAlign w:val="bottom"/>
            <w:tcBorders>
              <w:bottom w:val="single" w:sz="8" w:color="0E2A35"/>
            </w:tcBorders>
          </w:tcPr>
          <w:p>
            <w:pPr>
              <w:spacing w:after="0"/>
              <w:rPr>
                <w:sz w:val="10"/>
                <w:szCs w:val="10"/>
                <w:color w:val="auto"/>
              </w:rPr>
            </w:pPr>
          </w:p>
        </w:tc>
        <w:tc>
          <w:tcPr>
            <w:tcW w:w="1140" w:type="dxa"/>
            <w:vAlign w:val="bottom"/>
            <w:tcBorders>
              <w:bottom w:val="single" w:sz="8" w:color="0E2A35"/>
            </w:tcBorders>
          </w:tcPr>
          <w:p>
            <w:pPr>
              <w:spacing w:after="0"/>
              <w:rPr>
                <w:sz w:val="10"/>
                <w:szCs w:val="10"/>
                <w:color w:val="auto"/>
              </w:rPr>
            </w:pPr>
          </w:p>
        </w:tc>
        <w:tc>
          <w:tcPr>
            <w:tcW w:w="1240" w:type="dxa"/>
            <w:vAlign w:val="bottom"/>
            <w:tcBorders>
              <w:bottom w:val="single" w:sz="8" w:color="0E2A35"/>
            </w:tcBorders>
          </w:tcPr>
          <w:p>
            <w:pPr>
              <w:spacing w:after="0"/>
              <w:rPr>
                <w:sz w:val="10"/>
                <w:szCs w:val="10"/>
                <w:color w:val="auto"/>
              </w:rPr>
            </w:pPr>
          </w:p>
        </w:tc>
        <w:tc>
          <w:tcPr>
            <w:tcW w:w="780" w:type="dxa"/>
            <w:vAlign w:val="bottom"/>
            <w:tcBorders>
              <w:bottom w:val="single" w:sz="8" w:color="0E2A35"/>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400" w:type="dxa"/>
            <w:vAlign w:val="bottom"/>
          </w:tcPr>
          <w:p>
            <w:pPr>
              <w:ind w:left="60"/>
              <w:spacing w:after="0" w:line="128" w:lineRule="exact"/>
              <w:rPr>
                <w:sz w:val="20"/>
                <w:szCs w:val="20"/>
                <w:color w:val="auto"/>
              </w:rPr>
            </w:pPr>
            <w:r>
              <w:rPr>
                <w:rFonts w:ascii="Arial" w:cs="Arial" w:eastAsia="Arial" w:hAnsi="Arial"/>
                <w:sz w:val="13"/>
                <w:szCs w:val="13"/>
                <w:color w:val="0E2A35"/>
              </w:rPr>
              <w:t>President, Finance,</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0E2A35"/>
                <w:w w:val="96"/>
              </w:rPr>
              <w:t>2022</w:t>
            </w: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color w:val="0E2A35"/>
              </w:rPr>
              <w:t>550,000</w:t>
            </w:r>
          </w:p>
        </w:tc>
        <w:tc>
          <w:tcPr>
            <w:tcW w:w="660" w:type="dxa"/>
            <w:vAlign w:val="bottom"/>
            <w:vMerge w:val="restart"/>
          </w:tcPr>
          <w:p>
            <w:pPr>
              <w:ind w:left="420"/>
              <w:spacing w:after="0"/>
              <w:rPr>
                <w:sz w:val="20"/>
                <w:szCs w:val="20"/>
                <w:color w:val="auto"/>
              </w:rPr>
            </w:pPr>
            <w:r>
              <w:rPr>
                <w:rFonts w:ascii="Arial" w:cs="Arial" w:eastAsia="Arial" w:hAnsi="Arial"/>
                <w:sz w:val="13"/>
                <w:szCs w:val="13"/>
                <w:color w:val="0E2A35"/>
              </w:rPr>
              <w:t>—</w:t>
            </w:r>
          </w:p>
        </w:tc>
        <w:tc>
          <w:tcPr>
            <w:tcW w:w="760" w:type="dxa"/>
            <w:vAlign w:val="bottom"/>
            <w:vMerge w:val="restart"/>
          </w:tcPr>
          <w:p>
            <w:pPr>
              <w:jc w:val="right"/>
              <w:ind w:right="78"/>
              <w:spacing w:after="0"/>
              <w:rPr>
                <w:sz w:val="20"/>
                <w:szCs w:val="20"/>
                <w:color w:val="auto"/>
              </w:rPr>
            </w:pPr>
            <w:r>
              <w:rPr>
                <w:rFonts w:ascii="Arial" w:cs="Arial" w:eastAsia="Arial" w:hAnsi="Arial"/>
                <w:sz w:val="13"/>
                <w:szCs w:val="13"/>
                <w:color w:val="0E2A35"/>
              </w:rPr>
              <w:t>756,278</w:t>
            </w:r>
          </w:p>
        </w:tc>
        <w:tc>
          <w:tcPr>
            <w:tcW w:w="800" w:type="dxa"/>
            <w:vAlign w:val="bottom"/>
            <w:vMerge w:val="restart"/>
          </w:tcPr>
          <w:p>
            <w:pPr>
              <w:jc w:val="right"/>
              <w:ind w:right="138"/>
              <w:spacing w:after="0"/>
              <w:rPr>
                <w:sz w:val="20"/>
                <w:szCs w:val="20"/>
                <w:color w:val="auto"/>
              </w:rPr>
            </w:pPr>
            <w:r>
              <w:rPr>
                <w:rFonts w:ascii="Arial" w:cs="Arial" w:eastAsia="Arial" w:hAnsi="Arial"/>
                <w:sz w:val="13"/>
                <w:szCs w:val="13"/>
                <w:color w:val="0E2A35"/>
              </w:rPr>
              <w:t>123,749</w:t>
            </w:r>
          </w:p>
        </w:tc>
        <w:tc>
          <w:tcPr>
            <w:tcW w:w="3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0E2A35"/>
              </w:rPr>
              <w:t>560,883</w:t>
            </w:r>
          </w:p>
        </w:tc>
        <w:tc>
          <w:tcPr>
            <w:tcW w:w="320" w:type="dxa"/>
            <w:vAlign w:val="bottom"/>
          </w:tcPr>
          <w:p>
            <w:pPr>
              <w:spacing w:after="0"/>
              <w:rPr>
                <w:sz w:val="11"/>
                <w:szCs w:val="11"/>
                <w:color w:val="auto"/>
              </w:rPr>
            </w:pPr>
          </w:p>
        </w:tc>
        <w:tc>
          <w:tcPr>
            <w:tcW w:w="1140" w:type="dxa"/>
            <w:vAlign w:val="bottom"/>
            <w:vMerge w:val="restart"/>
          </w:tcPr>
          <w:p>
            <w:pPr>
              <w:ind w:left="500"/>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398"/>
              <w:spacing w:after="0"/>
              <w:rPr>
                <w:sz w:val="20"/>
                <w:szCs w:val="20"/>
                <w:color w:val="auto"/>
              </w:rPr>
            </w:pPr>
            <w:r>
              <w:rPr>
                <w:rFonts w:ascii="Arial" w:cs="Arial" w:eastAsia="Arial" w:hAnsi="Arial"/>
                <w:sz w:val="13"/>
                <w:szCs w:val="13"/>
                <w:color w:val="0E2A35"/>
              </w:rPr>
              <w:t>40,609</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0E2A35"/>
              </w:rPr>
              <w:t>2,031,519</w:t>
            </w:r>
          </w:p>
        </w:tc>
        <w:tc>
          <w:tcPr>
            <w:tcW w:w="0" w:type="dxa"/>
            <w:vAlign w:val="bottom"/>
          </w:tcPr>
          <w:p>
            <w:pPr>
              <w:spacing w:after="0"/>
              <w:rPr>
                <w:sz w:val="1"/>
                <w:szCs w:val="1"/>
                <w:color w:val="auto"/>
              </w:rPr>
            </w:pPr>
          </w:p>
        </w:tc>
      </w:tr>
      <w:tr>
        <w:trPr>
          <w:trHeight w:val="135"/>
        </w:trPr>
        <w:tc>
          <w:tcPr>
            <w:tcW w:w="1400" w:type="dxa"/>
            <w:vAlign w:val="bottom"/>
          </w:tcPr>
          <w:p>
            <w:pPr>
              <w:ind w:left="60"/>
              <w:spacing w:after="0" w:line="135" w:lineRule="exact"/>
              <w:rPr>
                <w:sz w:val="20"/>
                <w:szCs w:val="20"/>
                <w:color w:val="auto"/>
              </w:rPr>
            </w:pPr>
            <w:r>
              <w:rPr>
                <w:rFonts w:ascii="Arial" w:cs="Arial" w:eastAsia="Arial" w:hAnsi="Arial"/>
                <w:sz w:val="13"/>
                <w:szCs w:val="13"/>
                <w:color w:val="0E2A35"/>
              </w:rPr>
              <w:t>IT and Strategic</w:t>
            </w:r>
          </w:p>
        </w:tc>
        <w:tc>
          <w:tcPr>
            <w:tcW w:w="5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00" w:type="dxa"/>
            <w:vAlign w:val="bottom"/>
            <w:vMerge w:val="restart"/>
          </w:tcPr>
          <w:p>
            <w:pPr>
              <w:ind w:left="60"/>
              <w:spacing w:after="0"/>
              <w:rPr>
                <w:sz w:val="20"/>
                <w:szCs w:val="20"/>
                <w:color w:val="auto"/>
              </w:rPr>
            </w:pPr>
            <w:r>
              <w:rPr>
                <w:rFonts w:ascii="Arial" w:cs="Arial" w:eastAsia="Arial" w:hAnsi="Arial"/>
                <w:sz w:val="13"/>
                <w:szCs w:val="13"/>
                <w:color w:val="0E2A35"/>
              </w:rPr>
              <w:t>Planning</w:t>
            </w:r>
          </w:p>
        </w:tc>
        <w:tc>
          <w:tcPr>
            <w:tcW w:w="540" w:type="dxa"/>
            <w:vAlign w:val="bottom"/>
            <w:tcBorders>
              <w:bottom w:val="single" w:sz="8" w:color="0E2A35"/>
            </w:tcBorders>
          </w:tcPr>
          <w:p>
            <w:pPr>
              <w:spacing w:after="0"/>
              <w:rPr>
                <w:sz w:val="7"/>
                <w:szCs w:val="7"/>
                <w:color w:val="auto"/>
              </w:rPr>
            </w:pPr>
          </w:p>
        </w:tc>
        <w:tc>
          <w:tcPr>
            <w:tcW w:w="720" w:type="dxa"/>
            <w:vAlign w:val="bottom"/>
            <w:tcBorders>
              <w:bottom w:val="single" w:sz="8" w:color="0E2A35"/>
            </w:tcBorders>
          </w:tcPr>
          <w:p>
            <w:pPr>
              <w:spacing w:after="0"/>
              <w:rPr>
                <w:sz w:val="7"/>
                <w:szCs w:val="7"/>
                <w:color w:val="auto"/>
              </w:rPr>
            </w:pPr>
          </w:p>
        </w:tc>
        <w:tc>
          <w:tcPr>
            <w:tcW w:w="660" w:type="dxa"/>
            <w:vAlign w:val="bottom"/>
            <w:tcBorders>
              <w:bottom w:val="single" w:sz="8" w:color="0E2A35"/>
            </w:tcBorders>
          </w:tcPr>
          <w:p>
            <w:pPr>
              <w:spacing w:after="0"/>
              <w:rPr>
                <w:sz w:val="7"/>
                <w:szCs w:val="7"/>
                <w:color w:val="auto"/>
              </w:rPr>
            </w:pPr>
          </w:p>
        </w:tc>
        <w:tc>
          <w:tcPr>
            <w:tcW w:w="76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4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320" w:type="dxa"/>
            <w:vAlign w:val="bottom"/>
            <w:tcBorders>
              <w:bottom w:val="single" w:sz="8" w:color="0E2A35"/>
            </w:tcBorders>
          </w:tcPr>
          <w:p>
            <w:pPr>
              <w:spacing w:after="0"/>
              <w:rPr>
                <w:sz w:val="7"/>
                <w:szCs w:val="7"/>
                <w:color w:val="auto"/>
              </w:rPr>
            </w:pPr>
          </w:p>
        </w:tc>
        <w:tc>
          <w:tcPr>
            <w:tcW w:w="114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tcPr>
          <w:p>
            <w:pPr>
              <w:spacing w:after="0"/>
              <w:rPr>
                <w:sz w:val="7"/>
                <w:szCs w:val="7"/>
                <w:color w:val="auto"/>
              </w:rPr>
            </w:pPr>
          </w:p>
        </w:tc>
        <w:tc>
          <w:tcPr>
            <w:tcW w:w="7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40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color w:val="0E2A35"/>
                <w:w w:val="96"/>
              </w:rPr>
              <w:t>2021</w:t>
            </w: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color w:val="0E2A35"/>
              </w:rPr>
              <w:t>525,000</w:t>
            </w:r>
          </w:p>
        </w:tc>
        <w:tc>
          <w:tcPr>
            <w:tcW w:w="660" w:type="dxa"/>
            <w:vAlign w:val="bottom"/>
            <w:vMerge w:val="restart"/>
          </w:tcPr>
          <w:p>
            <w:pPr>
              <w:ind w:left="420"/>
              <w:spacing w:after="0"/>
              <w:rPr>
                <w:sz w:val="20"/>
                <w:szCs w:val="20"/>
                <w:color w:val="auto"/>
              </w:rPr>
            </w:pPr>
            <w:r>
              <w:rPr>
                <w:rFonts w:ascii="Arial" w:cs="Arial" w:eastAsia="Arial" w:hAnsi="Arial"/>
                <w:sz w:val="13"/>
                <w:szCs w:val="13"/>
                <w:color w:val="0E2A35"/>
              </w:rPr>
              <w:t>—​</w:t>
            </w:r>
          </w:p>
        </w:tc>
        <w:tc>
          <w:tcPr>
            <w:tcW w:w="760" w:type="dxa"/>
            <w:vAlign w:val="bottom"/>
            <w:vMerge w:val="restart"/>
          </w:tcPr>
          <w:p>
            <w:pPr>
              <w:jc w:val="right"/>
              <w:ind w:right="78"/>
              <w:spacing w:after="0"/>
              <w:rPr>
                <w:sz w:val="20"/>
                <w:szCs w:val="20"/>
                <w:color w:val="auto"/>
              </w:rPr>
            </w:pPr>
            <w:r>
              <w:rPr>
                <w:rFonts w:ascii="Arial" w:cs="Arial" w:eastAsia="Arial" w:hAnsi="Arial"/>
                <w:sz w:val="13"/>
                <w:szCs w:val="13"/>
                <w:color w:val="0E2A35"/>
              </w:rPr>
              <w:t>767,819</w:t>
            </w:r>
          </w:p>
        </w:tc>
        <w:tc>
          <w:tcPr>
            <w:tcW w:w="800" w:type="dxa"/>
            <w:vAlign w:val="bottom"/>
            <w:vMerge w:val="restart"/>
          </w:tcPr>
          <w:p>
            <w:pPr>
              <w:jc w:val="right"/>
              <w:ind w:right="138"/>
              <w:spacing w:after="0"/>
              <w:rPr>
                <w:sz w:val="20"/>
                <w:szCs w:val="20"/>
                <w:color w:val="auto"/>
              </w:rPr>
            </w:pPr>
            <w:r>
              <w:rPr>
                <w:rFonts w:ascii="Arial" w:cs="Arial" w:eastAsia="Arial" w:hAnsi="Arial"/>
                <w:sz w:val="13"/>
                <w:szCs w:val="13"/>
                <w:color w:val="0E2A35"/>
              </w:rPr>
              <w:t>98,433</w:t>
            </w:r>
          </w:p>
        </w:tc>
        <w:tc>
          <w:tcPr>
            <w:tcW w:w="34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0E2A35"/>
              </w:rPr>
              <w:t>668,535</w:t>
            </w:r>
          </w:p>
        </w:tc>
        <w:tc>
          <w:tcPr>
            <w:tcW w:w="320" w:type="dxa"/>
            <w:vAlign w:val="bottom"/>
          </w:tcPr>
          <w:p>
            <w:pPr>
              <w:spacing w:after="0"/>
              <w:rPr>
                <w:sz w:val="5"/>
                <w:szCs w:val="5"/>
                <w:color w:val="auto"/>
              </w:rPr>
            </w:pPr>
          </w:p>
        </w:tc>
        <w:tc>
          <w:tcPr>
            <w:tcW w:w="1140" w:type="dxa"/>
            <w:vAlign w:val="bottom"/>
            <w:vMerge w:val="restart"/>
          </w:tcPr>
          <w:p>
            <w:pPr>
              <w:ind w:left="500"/>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398"/>
              <w:spacing w:after="0"/>
              <w:rPr>
                <w:sz w:val="20"/>
                <w:szCs w:val="20"/>
                <w:color w:val="auto"/>
              </w:rPr>
            </w:pPr>
            <w:r>
              <w:rPr>
                <w:rFonts w:ascii="Arial" w:cs="Arial" w:eastAsia="Arial" w:hAnsi="Arial"/>
                <w:sz w:val="13"/>
                <w:szCs w:val="13"/>
                <w:color w:val="0E2A35"/>
              </w:rPr>
              <w:t>45,914</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0E2A35"/>
              </w:rPr>
              <w:t>2,105,701</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4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400" w:type="dxa"/>
            <w:vAlign w:val="bottom"/>
          </w:tcPr>
          <w:p>
            <w:pPr>
              <w:ind w:left="60"/>
              <w:spacing w:after="0"/>
              <w:rPr>
                <w:sz w:val="20"/>
                <w:szCs w:val="20"/>
                <w:color w:val="auto"/>
              </w:rPr>
            </w:pPr>
            <w:r>
              <w:rPr>
                <w:rFonts w:ascii="Arial" w:cs="Arial" w:eastAsia="Arial" w:hAnsi="Arial"/>
                <w:sz w:val="13"/>
                <w:szCs w:val="13"/>
                <w:color w:val="0E2A35"/>
              </w:rPr>
              <w:t>Stacy L. Bogart,</w:t>
            </w:r>
          </w:p>
        </w:tc>
        <w:tc>
          <w:tcPr>
            <w:tcW w:w="540" w:type="dxa"/>
            <w:vAlign w:val="bottom"/>
          </w:tcPr>
          <w:p>
            <w:pPr>
              <w:jc w:val="center"/>
              <w:spacing w:after="0"/>
              <w:rPr>
                <w:sz w:val="20"/>
                <w:szCs w:val="20"/>
                <w:color w:val="auto"/>
              </w:rPr>
            </w:pPr>
            <w:r>
              <w:rPr>
                <w:rFonts w:ascii="Arial" w:cs="Arial" w:eastAsia="Arial" w:hAnsi="Arial"/>
                <w:sz w:val="13"/>
                <w:szCs w:val="13"/>
                <w:color w:val="0E2A35"/>
                <w:w w:val="96"/>
              </w:rPr>
              <w:t>2023</w:t>
            </w:r>
          </w:p>
        </w:tc>
        <w:tc>
          <w:tcPr>
            <w:tcW w:w="720" w:type="dxa"/>
            <w:vAlign w:val="bottom"/>
          </w:tcPr>
          <w:p>
            <w:pPr>
              <w:jc w:val="right"/>
              <w:ind w:right="17"/>
              <w:spacing w:after="0"/>
              <w:rPr>
                <w:sz w:val="20"/>
                <w:szCs w:val="20"/>
                <w:color w:val="auto"/>
              </w:rPr>
            </w:pPr>
            <w:r>
              <w:rPr>
                <w:rFonts w:ascii="Arial" w:cs="Arial" w:eastAsia="Arial" w:hAnsi="Arial"/>
                <w:sz w:val="13"/>
                <w:szCs w:val="13"/>
                <w:color w:val="0E2A35"/>
              </w:rPr>
              <w:t>512,000</w:t>
            </w:r>
          </w:p>
        </w:tc>
        <w:tc>
          <w:tcPr>
            <w:tcW w:w="660" w:type="dxa"/>
            <w:vAlign w:val="bottom"/>
          </w:tcPr>
          <w:p>
            <w:pPr>
              <w:ind w:left="420"/>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78"/>
              <w:spacing w:after="0"/>
              <w:rPr>
                <w:sz w:val="20"/>
                <w:szCs w:val="20"/>
                <w:color w:val="auto"/>
              </w:rPr>
            </w:pPr>
            <w:r>
              <w:rPr>
                <w:rFonts w:ascii="Arial" w:cs="Arial" w:eastAsia="Arial" w:hAnsi="Arial"/>
                <w:sz w:val="13"/>
                <w:szCs w:val="13"/>
                <w:color w:val="0E2A35"/>
              </w:rPr>
              <w:t>652,775</w:t>
            </w:r>
          </w:p>
        </w:tc>
        <w:tc>
          <w:tcPr>
            <w:tcW w:w="800" w:type="dxa"/>
            <w:vAlign w:val="bottom"/>
          </w:tcPr>
          <w:p>
            <w:pPr>
              <w:jc w:val="right"/>
              <w:ind w:right="158"/>
              <w:spacing w:after="0"/>
              <w:rPr>
                <w:sz w:val="20"/>
                <w:szCs w:val="20"/>
                <w:color w:val="auto"/>
              </w:rPr>
            </w:pPr>
            <w:r>
              <w:rPr>
                <w:rFonts w:ascii="Arial" w:cs="Arial" w:eastAsia="Arial" w:hAnsi="Arial"/>
                <w:sz w:val="13"/>
                <w:szCs w:val="13"/>
                <w:color w:val="0E2A35"/>
              </w:rPr>
              <w:t>115,199</w:t>
            </w:r>
          </w:p>
        </w:tc>
        <w:tc>
          <w:tcPr>
            <w:tcW w:w="340" w:type="dxa"/>
            <w:vAlign w:val="bottom"/>
          </w:tcPr>
          <w:p>
            <w:pPr>
              <w:ind w:left="300"/>
              <w:spacing w:after="0"/>
              <w:rPr>
                <w:sz w:val="20"/>
                <w:szCs w:val="20"/>
                <w:color w:val="auto"/>
              </w:rPr>
            </w:pPr>
            <w:r>
              <w:rPr>
                <w:rFonts w:ascii="Arial" w:cs="Arial" w:eastAsia="Arial" w:hAnsi="Arial"/>
                <w:sz w:val="13"/>
                <w:szCs w:val="13"/>
                <w:color w:val="0E2A35"/>
              </w:rPr>
              <w:t>​</w:t>
            </w:r>
          </w:p>
        </w:tc>
        <w:tc>
          <w:tcPr>
            <w:tcW w:w="580" w:type="dxa"/>
            <w:vAlign w:val="bottom"/>
          </w:tcPr>
          <w:p>
            <w:pPr>
              <w:jc w:val="right"/>
              <w:spacing w:after="0"/>
              <w:rPr>
                <w:sz w:val="20"/>
                <w:szCs w:val="20"/>
                <w:color w:val="auto"/>
              </w:rPr>
            </w:pPr>
            <w:r>
              <w:rPr>
                <w:rFonts w:ascii="Arial" w:cs="Arial" w:eastAsia="Arial" w:hAnsi="Arial"/>
                <w:sz w:val="13"/>
                <w:szCs w:val="13"/>
                <w:color w:val="0E2A35"/>
              </w:rPr>
              <w:t>193,024</w:t>
            </w:r>
          </w:p>
        </w:tc>
        <w:tc>
          <w:tcPr>
            <w:tcW w:w="320" w:type="dxa"/>
            <w:vAlign w:val="bottom"/>
          </w:tcPr>
          <w:p>
            <w:pPr>
              <w:spacing w:after="0"/>
              <w:rPr>
                <w:sz w:val="19"/>
                <w:szCs w:val="19"/>
                <w:color w:val="auto"/>
              </w:rPr>
            </w:pPr>
          </w:p>
        </w:tc>
        <w:tc>
          <w:tcPr>
            <w:tcW w:w="114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98"/>
              <w:spacing w:after="0"/>
              <w:rPr>
                <w:sz w:val="20"/>
                <w:szCs w:val="20"/>
                <w:color w:val="auto"/>
              </w:rPr>
            </w:pPr>
            <w:r>
              <w:rPr>
                <w:rFonts w:ascii="Arial" w:cs="Arial" w:eastAsia="Arial" w:hAnsi="Arial"/>
                <w:sz w:val="13"/>
                <w:szCs w:val="13"/>
                <w:color w:val="0E2A35"/>
              </w:rPr>
              <w:t>53,855​</w:t>
            </w:r>
          </w:p>
        </w:tc>
        <w:tc>
          <w:tcPr>
            <w:tcW w:w="780" w:type="dxa"/>
            <w:vAlign w:val="bottom"/>
          </w:tcPr>
          <w:p>
            <w:pPr>
              <w:jc w:val="right"/>
              <w:spacing w:after="0"/>
              <w:rPr>
                <w:sz w:val="20"/>
                <w:szCs w:val="20"/>
                <w:color w:val="auto"/>
              </w:rPr>
            </w:pPr>
            <w:r>
              <w:rPr>
                <w:rFonts w:ascii="Arial" w:cs="Arial" w:eastAsia="Arial" w:hAnsi="Arial"/>
                <w:sz w:val="13"/>
                <w:szCs w:val="13"/>
                <w:color w:val="0E2A35"/>
              </w:rPr>
              <w:t>1,526,853</w:t>
            </w:r>
          </w:p>
        </w:tc>
        <w:tc>
          <w:tcPr>
            <w:tcW w:w="0" w:type="dxa"/>
            <w:vAlign w:val="bottom"/>
          </w:tcPr>
          <w:p>
            <w:pPr>
              <w:spacing w:after="0"/>
              <w:rPr>
                <w:sz w:val="1"/>
                <w:szCs w:val="1"/>
                <w:color w:val="auto"/>
              </w:rPr>
            </w:pPr>
          </w:p>
        </w:tc>
      </w:tr>
      <w:tr>
        <w:trPr>
          <w:trHeight w:val="122"/>
        </w:trPr>
        <w:tc>
          <w:tcPr>
            <w:tcW w:w="1400" w:type="dxa"/>
            <w:vAlign w:val="bottom"/>
          </w:tcPr>
          <w:p>
            <w:pPr>
              <w:ind w:left="60"/>
              <w:spacing w:after="0" w:line="102" w:lineRule="exact"/>
              <w:rPr>
                <w:sz w:val="20"/>
                <w:szCs w:val="20"/>
                <w:color w:val="auto"/>
              </w:rPr>
            </w:pPr>
            <w:r>
              <w:rPr>
                <w:rFonts w:ascii="Arial" w:cs="Arial" w:eastAsia="Arial" w:hAnsi="Arial"/>
                <w:sz w:val="10"/>
                <w:szCs w:val="10"/>
                <w:color w:val="0E2A35"/>
              </w:rPr>
              <w:t>Senior Vice President,</w:t>
            </w:r>
          </w:p>
        </w:tc>
        <w:tc>
          <w:tcPr>
            <w:tcW w:w="540" w:type="dxa"/>
            <w:vAlign w:val="bottom"/>
            <w:tcBorders>
              <w:bottom w:val="single" w:sz="8" w:color="0E2A35"/>
            </w:tcBorders>
          </w:tcPr>
          <w:p>
            <w:pPr>
              <w:spacing w:after="0"/>
              <w:rPr>
                <w:sz w:val="10"/>
                <w:szCs w:val="10"/>
                <w:color w:val="auto"/>
              </w:rPr>
            </w:pPr>
          </w:p>
        </w:tc>
        <w:tc>
          <w:tcPr>
            <w:tcW w:w="720" w:type="dxa"/>
            <w:vAlign w:val="bottom"/>
            <w:tcBorders>
              <w:bottom w:val="single" w:sz="8" w:color="0E2A35"/>
            </w:tcBorders>
          </w:tcPr>
          <w:p>
            <w:pPr>
              <w:spacing w:after="0"/>
              <w:rPr>
                <w:sz w:val="10"/>
                <w:szCs w:val="10"/>
                <w:color w:val="auto"/>
              </w:rPr>
            </w:pPr>
          </w:p>
        </w:tc>
        <w:tc>
          <w:tcPr>
            <w:tcW w:w="66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800" w:type="dxa"/>
            <w:vAlign w:val="bottom"/>
            <w:tcBorders>
              <w:bottom w:val="single" w:sz="8" w:color="0E2A35"/>
            </w:tcBorders>
          </w:tcPr>
          <w:p>
            <w:pPr>
              <w:spacing w:after="0"/>
              <w:rPr>
                <w:sz w:val="10"/>
                <w:szCs w:val="10"/>
                <w:color w:val="auto"/>
              </w:rPr>
            </w:pPr>
          </w:p>
        </w:tc>
        <w:tc>
          <w:tcPr>
            <w:tcW w:w="340" w:type="dxa"/>
            <w:vAlign w:val="bottom"/>
            <w:tcBorders>
              <w:bottom w:val="single" w:sz="8" w:color="0E2A35"/>
            </w:tcBorders>
          </w:tcPr>
          <w:p>
            <w:pPr>
              <w:spacing w:after="0"/>
              <w:rPr>
                <w:sz w:val="10"/>
                <w:szCs w:val="10"/>
                <w:color w:val="auto"/>
              </w:rPr>
            </w:pPr>
          </w:p>
        </w:tc>
        <w:tc>
          <w:tcPr>
            <w:tcW w:w="580" w:type="dxa"/>
            <w:vAlign w:val="bottom"/>
            <w:tcBorders>
              <w:bottom w:val="single" w:sz="8" w:color="0E2A35"/>
            </w:tcBorders>
          </w:tcPr>
          <w:p>
            <w:pPr>
              <w:spacing w:after="0"/>
              <w:rPr>
                <w:sz w:val="10"/>
                <w:szCs w:val="10"/>
                <w:color w:val="auto"/>
              </w:rPr>
            </w:pPr>
          </w:p>
        </w:tc>
        <w:tc>
          <w:tcPr>
            <w:tcW w:w="320" w:type="dxa"/>
            <w:vAlign w:val="bottom"/>
            <w:tcBorders>
              <w:bottom w:val="single" w:sz="8" w:color="0E2A35"/>
            </w:tcBorders>
          </w:tcPr>
          <w:p>
            <w:pPr>
              <w:spacing w:after="0"/>
              <w:rPr>
                <w:sz w:val="10"/>
                <w:szCs w:val="10"/>
                <w:color w:val="auto"/>
              </w:rPr>
            </w:pPr>
          </w:p>
        </w:tc>
        <w:tc>
          <w:tcPr>
            <w:tcW w:w="1140" w:type="dxa"/>
            <w:vAlign w:val="bottom"/>
            <w:tcBorders>
              <w:bottom w:val="single" w:sz="8" w:color="0E2A35"/>
            </w:tcBorders>
          </w:tcPr>
          <w:p>
            <w:pPr>
              <w:spacing w:after="0"/>
              <w:rPr>
                <w:sz w:val="10"/>
                <w:szCs w:val="10"/>
                <w:color w:val="auto"/>
              </w:rPr>
            </w:pPr>
          </w:p>
        </w:tc>
        <w:tc>
          <w:tcPr>
            <w:tcW w:w="1240" w:type="dxa"/>
            <w:vAlign w:val="bottom"/>
            <w:tcBorders>
              <w:bottom w:val="single" w:sz="8" w:color="0E2A35"/>
            </w:tcBorders>
          </w:tcPr>
          <w:p>
            <w:pPr>
              <w:spacing w:after="0"/>
              <w:rPr>
                <w:sz w:val="10"/>
                <w:szCs w:val="10"/>
                <w:color w:val="auto"/>
              </w:rPr>
            </w:pPr>
          </w:p>
        </w:tc>
        <w:tc>
          <w:tcPr>
            <w:tcW w:w="780" w:type="dxa"/>
            <w:vAlign w:val="bottom"/>
            <w:tcBorders>
              <w:bottom w:val="single" w:sz="8" w:color="0E2A35"/>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400" w:type="dxa"/>
            <w:vAlign w:val="bottom"/>
          </w:tcPr>
          <w:p>
            <w:pPr>
              <w:ind w:left="60"/>
              <w:spacing w:after="0" w:line="128" w:lineRule="exact"/>
              <w:rPr>
                <w:sz w:val="20"/>
                <w:szCs w:val="20"/>
                <w:color w:val="auto"/>
              </w:rPr>
            </w:pPr>
            <w:r>
              <w:rPr>
                <w:rFonts w:ascii="Arial" w:cs="Arial" w:eastAsia="Arial" w:hAnsi="Arial"/>
                <w:sz w:val="13"/>
                <w:szCs w:val="13"/>
                <w:color w:val="0E2A35"/>
              </w:rPr>
              <w:t>General Counsel,</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0E2A35"/>
                <w:w w:val="96"/>
              </w:rPr>
              <w:t>2022</w:t>
            </w: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color w:val="0E2A35"/>
              </w:rPr>
              <w:t>490,000</w:t>
            </w:r>
          </w:p>
        </w:tc>
        <w:tc>
          <w:tcPr>
            <w:tcW w:w="660" w:type="dxa"/>
            <w:vAlign w:val="bottom"/>
            <w:vMerge w:val="restart"/>
          </w:tcPr>
          <w:p>
            <w:pPr>
              <w:ind w:left="420"/>
              <w:spacing w:after="0"/>
              <w:rPr>
                <w:sz w:val="20"/>
                <w:szCs w:val="20"/>
                <w:color w:val="auto"/>
              </w:rPr>
            </w:pPr>
            <w:r>
              <w:rPr>
                <w:rFonts w:ascii="Arial" w:cs="Arial" w:eastAsia="Arial" w:hAnsi="Arial"/>
                <w:sz w:val="13"/>
                <w:szCs w:val="13"/>
                <w:color w:val="0E2A35"/>
              </w:rPr>
              <w:t>—​</w:t>
            </w:r>
          </w:p>
        </w:tc>
        <w:tc>
          <w:tcPr>
            <w:tcW w:w="760" w:type="dxa"/>
            <w:vAlign w:val="bottom"/>
            <w:vMerge w:val="restart"/>
          </w:tcPr>
          <w:p>
            <w:pPr>
              <w:jc w:val="right"/>
              <w:ind w:right="78"/>
              <w:spacing w:after="0"/>
              <w:rPr>
                <w:sz w:val="20"/>
                <w:szCs w:val="20"/>
                <w:color w:val="auto"/>
              </w:rPr>
            </w:pPr>
            <w:r>
              <w:rPr>
                <w:rFonts w:ascii="Arial" w:cs="Arial" w:eastAsia="Arial" w:hAnsi="Arial"/>
                <w:sz w:val="13"/>
                <w:szCs w:val="13"/>
                <w:color w:val="0E2A35"/>
              </w:rPr>
              <w:t>611,296</w:t>
            </w:r>
          </w:p>
        </w:tc>
        <w:tc>
          <w:tcPr>
            <w:tcW w:w="800" w:type="dxa"/>
            <w:vAlign w:val="bottom"/>
            <w:vMerge w:val="restart"/>
          </w:tcPr>
          <w:p>
            <w:pPr>
              <w:jc w:val="right"/>
              <w:ind w:right="138"/>
              <w:spacing w:after="0"/>
              <w:rPr>
                <w:sz w:val="20"/>
                <w:szCs w:val="20"/>
                <w:color w:val="auto"/>
              </w:rPr>
            </w:pPr>
            <w:r>
              <w:rPr>
                <w:rFonts w:ascii="Arial" w:cs="Arial" w:eastAsia="Arial" w:hAnsi="Arial"/>
                <w:sz w:val="13"/>
                <w:szCs w:val="13"/>
                <w:color w:val="0E2A35"/>
              </w:rPr>
              <w:t>99,212</w:t>
            </w:r>
          </w:p>
        </w:tc>
        <w:tc>
          <w:tcPr>
            <w:tcW w:w="3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0E2A35"/>
              </w:rPr>
              <w:t>470,302</w:t>
            </w:r>
          </w:p>
        </w:tc>
        <w:tc>
          <w:tcPr>
            <w:tcW w:w="320" w:type="dxa"/>
            <w:vAlign w:val="bottom"/>
          </w:tcPr>
          <w:p>
            <w:pPr>
              <w:spacing w:after="0"/>
              <w:rPr>
                <w:sz w:val="11"/>
                <w:szCs w:val="11"/>
                <w:color w:val="auto"/>
              </w:rPr>
            </w:pPr>
          </w:p>
        </w:tc>
        <w:tc>
          <w:tcPr>
            <w:tcW w:w="1140" w:type="dxa"/>
            <w:vAlign w:val="bottom"/>
            <w:vMerge w:val="restart"/>
          </w:tcPr>
          <w:p>
            <w:pPr>
              <w:ind w:left="500"/>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398"/>
              <w:spacing w:after="0"/>
              <w:rPr>
                <w:sz w:val="20"/>
                <w:szCs w:val="20"/>
                <w:color w:val="auto"/>
              </w:rPr>
            </w:pPr>
            <w:r>
              <w:rPr>
                <w:rFonts w:ascii="Arial" w:cs="Arial" w:eastAsia="Arial" w:hAnsi="Arial"/>
                <w:sz w:val="13"/>
                <w:szCs w:val="13"/>
                <w:color w:val="0E2A35"/>
              </w:rPr>
              <w:t>40,990</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0E2A35"/>
              </w:rPr>
              <w:t>1,711,800</w:t>
            </w:r>
          </w:p>
        </w:tc>
        <w:tc>
          <w:tcPr>
            <w:tcW w:w="0" w:type="dxa"/>
            <w:vAlign w:val="bottom"/>
          </w:tcPr>
          <w:p>
            <w:pPr>
              <w:spacing w:after="0"/>
              <w:rPr>
                <w:sz w:val="1"/>
                <w:szCs w:val="1"/>
                <w:color w:val="auto"/>
              </w:rPr>
            </w:pPr>
          </w:p>
        </w:tc>
      </w:tr>
      <w:tr>
        <w:trPr>
          <w:trHeight w:val="135"/>
        </w:trPr>
        <w:tc>
          <w:tcPr>
            <w:tcW w:w="1400" w:type="dxa"/>
            <w:vAlign w:val="bottom"/>
          </w:tcPr>
          <w:p>
            <w:pPr>
              <w:ind w:left="60"/>
              <w:spacing w:after="0" w:line="135" w:lineRule="exact"/>
              <w:rPr>
                <w:sz w:val="20"/>
                <w:szCs w:val="20"/>
                <w:color w:val="auto"/>
              </w:rPr>
            </w:pPr>
            <w:r>
              <w:rPr>
                <w:rFonts w:ascii="Arial" w:cs="Arial" w:eastAsia="Arial" w:hAnsi="Arial"/>
                <w:sz w:val="13"/>
                <w:szCs w:val="13"/>
                <w:color w:val="0E2A35"/>
              </w:rPr>
              <w:t>Secretary and</w:t>
            </w:r>
          </w:p>
        </w:tc>
        <w:tc>
          <w:tcPr>
            <w:tcW w:w="5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400" w:type="dxa"/>
            <w:vAlign w:val="bottom"/>
            <w:vMerge w:val="restart"/>
          </w:tcPr>
          <w:p>
            <w:pPr>
              <w:ind w:left="60"/>
              <w:spacing w:after="0" w:line="135" w:lineRule="exact"/>
              <w:rPr>
                <w:sz w:val="20"/>
                <w:szCs w:val="20"/>
                <w:color w:val="auto"/>
              </w:rPr>
            </w:pPr>
            <w:r>
              <w:rPr>
                <w:rFonts w:ascii="Arial" w:cs="Arial" w:eastAsia="Arial" w:hAnsi="Arial"/>
                <w:sz w:val="13"/>
                <w:szCs w:val="13"/>
                <w:color w:val="0E2A35"/>
              </w:rPr>
              <w:t>Corporate</w:t>
            </w:r>
          </w:p>
        </w:tc>
        <w:tc>
          <w:tcPr>
            <w:tcW w:w="540" w:type="dxa"/>
            <w:vAlign w:val="bottom"/>
            <w:tcBorders>
              <w:bottom w:val="single" w:sz="8" w:color="0E2A35"/>
            </w:tcBorders>
          </w:tcPr>
          <w:p>
            <w:pPr>
              <w:spacing w:after="0"/>
              <w:rPr>
                <w:sz w:val="7"/>
                <w:szCs w:val="7"/>
                <w:color w:val="auto"/>
              </w:rPr>
            </w:pPr>
          </w:p>
        </w:tc>
        <w:tc>
          <w:tcPr>
            <w:tcW w:w="720" w:type="dxa"/>
            <w:vAlign w:val="bottom"/>
            <w:tcBorders>
              <w:bottom w:val="single" w:sz="8" w:color="0E2A35"/>
            </w:tcBorders>
          </w:tcPr>
          <w:p>
            <w:pPr>
              <w:spacing w:after="0"/>
              <w:rPr>
                <w:sz w:val="7"/>
                <w:szCs w:val="7"/>
                <w:color w:val="auto"/>
              </w:rPr>
            </w:pPr>
          </w:p>
        </w:tc>
        <w:tc>
          <w:tcPr>
            <w:tcW w:w="660" w:type="dxa"/>
            <w:vAlign w:val="bottom"/>
            <w:tcBorders>
              <w:bottom w:val="single" w:sz="8" w:color="0E2A35"/>
            </w:tcBorders>
          </w:tcPr>
          <w:p>
            <w:pPr>
              <w:spacing w:after="0"/>
              <w:rPr>
                <w:sz w:val="7"/>
                <w:szCs w:val="7"/>
                <w:color w:val="auto"/>
              </w:rPr>
            </w:pPr>
          </w:p>
        </w:tc>
        <w:tc>
          <w:tcPr>
            <w:tcW w:w="760" w:type="dxa"/>
            <w:vAlign w:val="bottom"/>
            <w:tcBorders>
              <w:bottom w:val="single" w:sz="8" w:color="0E2A35"/>
            </w:tcBorders>
          </w:tcPr>
          <w:p>
            <w:pPr>
              <w:spacing w:after="0"/>
              <w:rPr>
                <w:sz w:val="7"/>
                <w:szCs w:val="7"/>
                <w:color w:val="auto"/>
              </w:rPr>
            </w:pPr>
          </w:p>
        </w:tc>
        <w:tc>
          <w:tcPr>
            <w:tcW w:w="800" w:type="dxa"/>
            <w:vAlign w:val="bottom"/>
            <w:tcBorders>
              <w:bottom w:val="single" w:sz="8" w:color="0E2A35"/>
            </w:tcBorders>
          </w:tcPr>
          <w:p>
            <w:pPr>
              <w:spacing w:after="0"/>
              <w:rPr>
                <w:sz w:val="7"/>
                <w:szCs w:val="7"/>
                <w:color w:val="auto"/>
              </w:rPr>
            </w:pPr>
          </w:p>
        </w:tc>
        <w:tc>
          <w:tcPr>
            <w:tcW w:w="340" w:type="dxa"/>
            <w:vAlign w:val="bottom"/>
            <w:tcBorders>
              <w:bottom w:val="single" w:sz="8" w:color="0E2A35"/>
            </w:tcBorders>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320" w:type="dxa"/>
            <w:vAlign w:val="bottom"/>
            <w:tcBorders>
              <w:bottom w:val="single" w:sz="8" w:color="0E2A35"/>
            </w:tcBorders>
          </w:tcPr>
          <w:p>
            <w:pPr>
              <w:spacing w:after="0"/>
              <w:rPr>
                <w:sz w:val="7"/>
                <w:szCs w:val="7"/>
                <w:color w:val="auto"/>
              </w:rPr>
            </w:pPr>
          </w:p>
        </w:tc>
        <w:tc>
          <w:tcPr>
            <w:tcW w:w="114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tcPr>
          <w:p>
            <w:pPr>
              <w:spacing w:after="0"/>
              <w:rPr>
                <w:sz w:val="7"/>
                <w:szCs w:val="7"/>
                <w:color w:val="auto"/>
              </w:rPr>
            </w:pPr>
          </w:p>
        </w:tc>
        <w:tc>
          <w:tcPr>
            <w:tcW w:w="78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4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400" w:type="dxa"/>
            <w:vAlign w:val="bottom"/>
          </w:tcPr>
          <w:p>
            <w:pPr>
              <w:ind w:left="60"/>
              <w:spacing w:after="0"/>
              <w:rPr>
                <w:sz w:val="20"/>
                <w:szCs w:val="20"/>
                <w:color w:val="auto"/>
              </w:rPr>
            </w:pPr>
            <w:r>
              <w:rPr>
                <w:rFonts w:ascii="Arial" w:cs="Arial" w:eastAsia="Arial" w:hAnsi="Arial"/>
                <w:sz w:val="13"/>
                <w:szCs w:val="13"/>
                <w:color w:val="0E2A35"/>
              </w:rPr>
              <w:t>Responsibility</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0E2A35"/>
                <w:w w:val="96"/>
              </w:rPr>
              <w:t>2021</w:t>
            </w: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color w:val="0E2A35"/>
              </w:rPr>
              <w:t>460,000</w:t>
            </w:r>
          </w:p>
        </w:tc>
        <w:tc>
          <w:tcPr>
            <w:tcW w:w="660" w:type="dxa"/>
            <w:vAlign w:val="bottom"/>
            <w:vMerge w:val="restart"/>
          </w:tcPr>
          <w:p>
            <w:pPr>
              <w:ind w:left="420"/>
              <w:spacing w:after="0"/>
              <w:rPr>
                <w:sz w:val="20"/>
                <w:szCs w:val="20"/>
                <w:color w:val="auto"/>
              </w:rPr>
            </w:pPr>
            <w:r>
              <w:rPr>
                <w:rFonts w:ascii="Arial" w:cs="Arial" w:eastAsia="Arial" w:hAnsi="Arial"/>
                <w:sz w:val="13"/>
                <w:szCs w:val="13"/>
                <w:color w:val="0E2A35"/>
              </w:rPr>
              <w:t>—</w:t>
            </w:r>
          </w:p>
        </w:tc>
        <w:tc>
          <w:tcPr>
            <w:tcW w:w="760" w:type="dxa"/>
            <w:vAlign w:val="bottom"/>
            <w:vMerge w:val="restart"/>
          </w:tcPr>
          <w:p>
            <w:pPr>
              <w:jc w:val="right"/>
              <w:ind w:right="78"/>
              <w:spacing w:after="0"/>
              <w:rPr>
                <w:sz w:val="20"/>
                <w:szCs w:val="20"/>
                <w:color w:val="auto"/>
              </w:rPr>
            </w:pPr>
            <w:r>
              <w:rPr>
                <w:rFonts w:ascii="Arial" w:cs="Arial" w:eastAsia="Arial" w:hAnsi="Arial"/>
                <w:sz w:val="13"/>
                <w:szCs w:val="13"/>
                <w:color w:val="0E2A35"/>
              </w:rPr>
              <w:t>590,072</w:t>
            </w:r>
          </w:p>
        </w:tc>
        <w:tc>
          <w:tcPr>
            <w:tcW w:w="800" w:type="dxa"/>
            <w:vAlign w:val="bottom"/>
            <w:vMerge w:val="restart"/>
          </w:tcPr>
          <w:p>
            <w:pPr>
              <w:jc w:val="right"/>
              <w:ind w:right="138"/>
              <w:spacing w:after="0"/>
              <w:rPr>
                <w:sz w:val="20"/>
                <w:szCs w:val="20"/>
                <w:color w:val="auto"/>
              </w:rPr>
            </w:pPr>
            <w:r>
              <w:rPr>
                <w:rFonts w:ascii="Arial" w:cs="Arial" w:eastAsia="Arial" w:hAnsi="Arial"/>
                <w:sz w:val="13"/>
                <w:szCs w:val="13"/>
                <w:color w:val="0E2A35"/>
              </w:rPr>
              <w:t>75,907</w:t>
            </w:r>
          </w:p>
        </w:tc>
        <w:tc>
          <w:tcPr>
            <w:tcW w:w="3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0E2A35"/>
              </w:rPr>
              <w:t>483,782</w:t>
            </w:r>
          </w:p>
        </w:tc>
        <w:tc>
          <w:tcPr>
            <w:tcW w:w="320" w:type="dxa"/>
            <w:vAlign w:val="bottom"/>
          </w:tcPr>
          <w:p>
            <w:pPr>
              <w:spacing w:after="0"/>
              <w:rPr>
                <w:sz w:val="13"/>
                <w:szCs w:val="13"/>
                <w:color w:val="auto"/>
              </w:rPr>
            </w:pPr>
          </w:p>
        </w:tc>
        <w:tc>
          <w:tcPr>
            <w:tcW w:w="1140" w:type="dxa"/>
            <w:vAlign w:val="bottom"/>
            <w:vMerge w:val="restart"/>
          </w:tcPr>
          <w:p>
            <w:pPr>
              <w:ind w:left="500"/>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398"/>
              <w:spacing w:after="0"/>
              <w:rPr>
                <w:sz w:val="20"/>
                <w:szCs w:val="20"/>
                <w:color w:val="auto"/>
              </w:rPr>
            </w:pPr>
            <w:r>
              <w:rPr>
                <w:rFonts w:ascii="Arial" w:cs="Arial" w:eastAsia="Arial" w:hAnsi="Arial"/>
                <w:sz w:val="13"/>
                <w:szCs w:val="13"/>
                <w:color w:val="0E2A35"/>
              </w:rPr>
              <w:t>40,601</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0E2A35"/>
              </w:rPr>
              <w:t>1,650,362</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14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400" w:type="dxa"/>
            <w:vAlign w:val="bottom"/>
          </w:tcPr>
          <w:p>
            <w:pPr>
              <w:ind w:left="60"/>
              <w:spacing w:after="0"/>
              <w:rPr>
                <w:sz w:val="20"/>
                <w:szCs w:val="20"/>
                <w:color w:val="auto"/>
              </w:rPr>
            </w:pPr>
            <w:r>
              <w:rPr>
                <w:rFonts w:ascii="Arial" w:cs="Arial" w:eastAsia="Arial" w:hAnsi="Arial"/>
                <w:sz w:val="13"/>
                <w:szCs w:val="13"/>
                <w:color w:val="0E2A35"/>
              </w:rPr>
              <w:t>Huw S. Bower</w:t>
            </w:r>
          </w:p>
        </w:tc>
        <w:tc>
          <w:tcPr>
            <w:tcW w:w="540" w:type="dxa"/>
            <w:vAlign w:val="bottom"/>
          </w:tcPr>
          <w:p>
            <w:pPr>
              <w:jc w:val="center"/>
              <w:spacing w:after="0"/>
              <w:rPr>
                <w:sz w:val="20"/>
                <w:szCs w:val="20"/>
                <w:color w:val="auto"/>
              </w:rPr>
            </w:pPr>
            <w:r>
              <w:rPr>
                <w:rFonts w:ascii="Arial" w:cs="Arial" w:eastAsia="Arial" w:hAnsi="Arial"/>
                <w:sz w:val="13"/>
                <w:szCs w:val="13"/>
                <w:color w:val="0E2A35"/>
                <w:w w:val="96"/>
              </w:rPr>
              <w:t>2023</w:t>
            </w:r>
          </w:p>
        </w:tc>
        <w:tc>
          <w:tcPr>
            <w:tcW w:w="720" w:type="dxa"/>
            <w:vAlign w:val="bottom"/>
          </w:tcPr>
          <w:p>
            <w:pPr>
              <w:jc w:val="right"/>
              <w:ind w:right="17"/>
              <w:spacing w:after="0"/>
              <w:rPr>
                <w:sz w:val="20"/>
                <w:szCs w:val="20"/>
                <w:color w:val="auto"/>
              </w:rPr>
            </w:pPr>
            <w:r>
              <w:rPr>
                <w:rFonts w:ascii="Arial" w:cs="Arial" w:eastAsia="Arial" w:hAnsi="Arial"/>
                <w:sz w:val="13"/>
                <w:szCs w:val="13"/>
                <w:color w:val="0E2A35"/>
              </w:rPr>
              <w:t>592,000</w:t>
            </w:r>
          </w:p>
        </w:tc>
        <w:tc>
          <w:tcPr>
            <w:tcW w:w="660" w:type="dxa"/>
            <w:vAlign w:val="bottom"/>
          </w:tcPr>
          <w:p>
            <w:pPr>
              <w:ind w:left="420"/>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78"/>
              <w:spacing w:after="0"/>
              <w:rPr>
                <w:sz w:val="20"/>
                <w:szCs w:val="20"/>
                <w:color w:val="auto"/>
              </w:rPr>
            </w:pPr>
            <w:r>
              <w:rPr>
                <w:rFonts w:ascii="Arial" w:cs="Arial" w:eastAsia="Arial" w:hAnsi="Arial"/>
                <w:sz w:val="13"/>
                <w:szCs w:val="13"/>
                <w:color w:val="0E2A35"/>
              </w:rPr>
              <w:t>905,741</w:t>
            </w:r>
          </w:p>
        </w:tc>
        <w:tc>
          <w:tcPr>
            <w:tcW w:w="800" w:type="dxa"/>
            <w:vAlign w:val="bottom"/>
          </w:tcPr>
          <w:p>
            <w:pPr>
              <w:jc w:val="right"/>
              <w:ind w:right="138"/>
              <w:spacing w:after="0"/>
              <w:rPr>
                <w:sz w:val="20"/>
                <w:szCs w:val="20"/>
                <w:color w:val="auto"/>
              </w:rPr>
            </w:pPr>
            <w:r>
              <w:rPr>
                <w:rFonts w:ascii="Arial" w:cs="Arial" w:eastAsia="Arial" w:hAnsi="Arial"/>
                <w:sz w:val="13"/>
                <w:szCs w:val="13"/>
                <w:color w:val="0E2A35"/>
              </w:rPr>
              <w:t>159,847</w:t>
            </w:r>
          </w:p>
        </w:tc>
        <w:tc>
          <w:tcPr>
            <w:tcW w:w="340" w:type="dxa"/>
            <w:vAlign w:val="bottom"/>
          </w:tcPr>
          <w:p>
            <w:pPr>
              <w:ind w:left="300"/>
              <w:spacing w:after="0"/>
              <w:rPr>
                <w:sz w:val="20"/>
                <w:szCs w:val="20"/>
                <w:color w:val="auto"/>
              </w:rPr>
            </w:pPr>
            <w:r>
              <w:rPr>
                <w:rFonts w:ascii="Arial" w:cs="Arial" w:eastAsia="Arial" w:hAnsi="Arial"/>
                <w:sz w:val="13"/>
                <w:szCs w:val="13"/>
                <w:color w:val="0E2A35"/>
              </w:rPr>
              <w:t>​</w:t>
            </w:r>
          </w:p>
        </w:tc>
        <w:tc>
          <w:tcPr>
            <w:tcW w:w="580" w:type="dxa"/>
            <w:vAlign w:val="bottom"/>
          </w:tcPr>
          <w:p>
            <w:pPr>
              <w:jc w:val="right"/>
              <w:spacing w:after="0"/>
              <w:rPr>
                <w:sz w:val="20"/>
                <w:szCs w:val="20"/>
                <w:color w:val="auto"/>
              </w:rPr>
            </w:pPr>
            <w:r>
              <w:rPr>
                <w:rFonts w:ascii="Arial" w:cs="Arial" w:eastAsia="Arial" w:hAnsi="Arial"/>
                <w:sz w:val="13"/>
                <w:szCs w:val="13"/>
                <w:color w:val="0E2A35"/>
              </w:rPr>
              <w:t>146,520</w:t>
            </w:r>
          </w:p>
        </w:tc>
        <w:tc>
          <w:tcPr>
            <w:tcW w:w="320" w:type="dxa"/>
            <w:vAlign w:val="bottom"/>
          </w:tcPr>
          <w:p>
            <w:pPr>
              <w:spacing w:after="0"/>
              <w:rPr>
                <w:sz w:val="19"/>
                <w:szCs w:val="19"/>
                <w:color w:val="auto"/>
              </w:rPr>
            </w:pPr>
          </w:p>
        </w:tc>
        <w:tc>
          <w:tcPr>
            <w:tcW w:w="114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98"/>
              <w:spacing w:after="0"/>
              <w:rPr>
                <w:sz w:val="20"/>
                <w:szCs w:val="20"/>
                <w:color w:val="auto"/>
              </w:rPr>
            </w:pPr>
            <w:r>
              <w:rPr>
                <w:rFonts w:ascii="Arial" w:cs="Arial" w:eastAsia="Arial" w:hAnsi="Arial"/>
                <w:sz w:val="13"/>
                <w:szCs w:val="13"/>
                <w:color w:val="0E2A35"/>
              </w:rPr>
              <w:t>53,973​</w:t>
            </w:r>
          </w:p>
        </w:tc>
        <w:tc>
          <w:tcPr>
            <w:tcW w:w="780" w:type="dxa"/>
            <w:vAlign w:val="bottom"/>
          </w:tcPr>
          <w:p>
            <w:pPr>
              <w:jc w:val="right"/>
              <w:spacing w:after="0"/>
              <w:rPr>
                <w:sz w:val="20"/>
                <w:szCs w:val="20"/>
                <w:color w:val="auto"/>
              </w:rPr>
            </w:pPr>
            <w:r>
              <w:rPr>
                <w:rFonts w:ascii="Arial" w:cs="Arial" w:eastAsia="Arial" w:hAnsi="Arial"/>
                <w:sz w:val="13"/>
                <w:szCs w:val="13"/>
                <w:color w:val="0E2A35"/>
              </w:rPr>
              <w:t>1,858,081</w:t>
            </w:r>
          </w:p>
        </w:tc>
        <w:tc>
          <w:tcPr>
            <w:tcW w:w="0" w:type="dxa"/>
            <w:vAlign w:val="bottom"/>
          </w:tcPr>
          <w:p>
            <w:pPr>
              <w:spacing w:after="0"/>
              <w:rPr>
                <w:sz w:val="1"/>
                <w:szCs w:val="1"/>
                <w:color w:val="auto"/>
              </w:rPr>
            </w:pPr>
          </w:p>
        </w:tc>
      </w:tr>
      <w:tr>
        <w:trPr>
          <w:trHeight w:val="122"/>
        </w:trPr>
        <w:tc>
          <w:tcPr>
            <w:tcW w:w="1400" w:type="dxa"/>
            <w:vAlign w:val="bottom"/>
          </w:tcPr>
          <w:p>
            <w:pPr>
              <w:ind w:left="60"/>
              <w:spacing w:after="0" w:line="102" w:lineRule="exact"/>
              <w:rPr>
                <w:sz w:val="20"/>
                <w:szCs w:val="20"/>
                <w:color w:val="auto"/>
              </w:rPr>
            </w:pPr>
            <w:r>
              <w:rPr>
                <w:rFonts w:ascii="Arial" w:cs="Arial" w:eastAsia="Arial" w:hAnsi="Arial"/>
                <w:sz w:val="10"/>
                <w:szCs w:val="10"/>
                <w:color w:val="0E2A35"/>
              </w:rPr>
              <w:t>President,</w:t>
            </w:r>
          </w:p>
        </w:tc>
        <w:tc>
          <w:tcPr>
            <w:tcW w:w="540" w:type="dxa"/>
            <w:vAlign w:val="bottom"/>
            <w:tcBorders>
              <w:bottom w:val="single" w:sz="8" w:color="0E2A35"/>
            </w:tcBorders>
          </w:tcPr>
          <w:p>
            <w:pPr>
              <w:spacing w:after="0"/>
              <w:rPr>
                <w:sz w:val="10"/>
                <w:szCs w:val="10"/>
                <w:color w:val="auto"/>
              </w:rPr>
            </w:pPr>
          </w:p>
        </w:tc>
        <w:tc>
          <w:tcPr>
            <w:tcW w:w="720" w:type="dxa"/>
            <w:vAlign w:val="bottom"/>
            <w:tcBorders>
              <w:bottom w:val="single" w:sz="8" w:color="0E2A35"/>
            </w:tcBorders>
          </w:tcPr>
          <w:p>
            <w:pPr>
              <w:spacing w:after="0"/>
              <w:rPr>
                <w:sz w:val="10"/>
                <w:szCs w:val="10"/>
                <w:color w:val="auto"/>
              </w:rPr>
            </w:pPr>
          </w:p>
        </w:tc>
        <w:tc>
          <w:tcPr>
            <w:tcW w:w="66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800" w:type="dxa"/>
            <w:vAlign w:val="bottom"/>
            <w:tcBorders>
              <w:bottom w:val="single" w:sz="8" w:color="0E2A35"/>
            </w:tcBorders>
          </w:tcPr>
          <w:p>
            <w:pPr>
              <w:spacing w:after="0"/>
              <w:rPr>
                <w:sz w:val="10"/>
                <w:szCs w:val="10"/>
                <w:color w:val="auto"/>
              </w:rPr>
            </w:pPr>
          </w:p>
        </w:tc>
        <w:tc>
          <w:tcPr>
            <w:tcW w:w="340" w:type="dxa"/>
            <w:vAlign w:val="bottom"/>
            <w:tcBorders>
              <w:bottom w:val="single" w:sz="8" w:color="0E2A35"/>
            </w:tcBorders>
          </w:tcPr>
          <w:p>
            <w:pPr>
              <w:spacing w:after="0"/>
              <w:rPr>
                <w:sz w:val="10"/>
                <w:szCs w:val="10"/>
                <w:color w:val="auto"/>
              </w:rPr>
            </w:pPr>
          </w:p>
        </w:tc>
        <w:tc>
          <w:tcPr>
            <w:tcW w:w="580" w:type="dxa"/>
            <w:vAlign w:val="bottom"/>
            <w:tcBorders>
              <w:bottom w:val="single" w:sz="8" w:color="0E2A35"/>
            </w:tcBorders>
          </w:tcPr>
          <w:p>
            <w:pPr>
              <w:spacing w:after="0"/>
              <w:rPr>
                <w:sz w:val="10"/>
                <w:szCs w:val="10"/>
                <w:color w:val="auto"/>
              </w:rPr>
            </w:pPr>
          </w:p>
        </w:tc>
        <w:tc>
          <w:tcPr>
            <w:tcW w:w="320" w:type="dxa"/>
            <w:vAlign w:val="bottom"/>
            <w:tcBorders>
              <w:bottom w:val="single" w:sz="8" w:color="0E2A35"/>
            </w:tcBorders>
          </w:tcPr>
          <w:p>
            <w:pPr>
              <w:spacing w:after="0"/>
              <w:rPr>
                <w:sz w:val="10"/>
                <w:szCs w:val="10"/>
                <w:color w:val="auto"/>
              </w:rPr>
            </w:pPr>
          </w:p>
        </w:tc>
        <w:tc>
          <w:tcPr>
            <w:tcW w:w="1140" w:type="dxa"/>
            <w:vAlign w:val="bottom"/>
            <w:tcBorders>
              <w:bottom w:val="single" w:sz="8" w:color="0E2A35"/>
            </w:tcBorders>
          </w:tcPr>
          <w:p>
            <w:pPr>
              <w:spacing w:after="0"/>
              <w:rPr>
                <w:sz w:val="10"/>
                <w:szCs w:val="10"/>
                <w:color w:val="auto"/>
              </w:rPr>
            </w:pPr>
          </w:p>
        </w:tc>
        <w:tc>
          <w:tcPr>
            <w:tcW w:w="1240" w:type="dxa"/>
            <w:vAlign w:val="bottom"/>
            <w:tcBorders>
              <w:bottom w:val="single" w:sz="8" w:color="0E2A35"/>
            </w:tcBorders>
          </w:tcPr>
          <w:p>
            <w:pPr>
              <w:spacing w:after="0"/>
              <w:rPr>
                <w:sz w:val="10"/>
                <w:szCs w:val="10"/>
                <w:color w:val="auto"/>
              </w:rPr>
            </w:pPr>
          </w:p>
        </w:tc>
        <w:tc>
          <w:tcPr>
            <w:tcW w:w="780" w:type="dxa"/>
            <w:vAlign w:val="bottom"/>
            <w:tcBorders>
              <w:bottom w:val="single" w:sz="8" w:color="0E2A35"/>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00" w:type="dxa"/>
            <w:vAlign w:val="bottom"/>
          </w:tcPr>
          <w:p>
            <w:pPr>
              <w:ind w:left="60"/>
              <w:spacing w:after="0"/>
              <w:rPr>
                <w:sz w:val="20"/>
                <w:szCs w:val="20"/>
                <w:color w:val="auto"/>
              </w:rPr>
            </w:pPr>
            <w:r>
              <w:rPr>
                <w:rFonts w:ascii="Arial" w:cs="Arial" w:eastAsia="Arial" w:hAnsi="Arial"/>
                <w:sz w:val="13"/>
                <w:szCs w:val="13"/>
                <w:color w:val="0E2A35"/>
              </w:rPr>
              <w:t>Winnebago Outdoors</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0E2A35"/>
                <w:w w:val="96"/>
              </w:rPr>
              <w:t>2022</w:t>
            </w: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color w:val="0E2A35"/>
              </w:rPr>
              <w:t>566,400</w:t>
            </w:r>
          </w:p>
        </w:tc>
        <w:tc>
          <w:tcPr>
            <w:tcW w:w="660" w:type="dxa"/>
            <w:vAlign w:val="bottom"/>
            <w:vMerge w:val="restart"/>
          </w:tcPr>
          <w:p>
            <w:pPr>
              <w:ind w:left="420"/>
              <w:spacing w:after="0"/>
              <w:rPr>
                <w:sz w:val="20"/>
                <w:szCs w:val="20"/>
                <w:color w:val="auto"/>
              </w:rPr>
            </w:pPr>
            <w:r>
              <w:rPr>
                <w:rFonts w:ascii="Arial" w:cs="Arial" w:eastAsia="Arial" w:hAnsi="Arial"/>
                <w:sz w:val="13"/>
                <w:szCs w:val="13"/>
                <w:color w:val="0E2A35"/>
              </w:rPr>
              <w:t>—</w:t>
            </w:r>
          </w:p>
        </w:tc>
        <w:tc>
          <w:tcPr>
            <w:tcW w:w="760" w:type="dxa"/>
            <w:vAlign w:val="bottom"/>
            <w:vMerge w:val="restart"/>
          </w:tcPr>
          <w:p>
            <w:pPr>
              <w:jc w:val="right"/>
              <w:ind w:right="78"/>
              <w:spacing w:after="0"/>
              <w:rPr>
                <w:sz w:val="20"/>
                <w:szCs w:val="20"/>
                <w:color w:val="auto"/>
              </w:rPr>
            </w:pPr>
            <w:r>
              <w:rPr>
                <w:rFonts w:ascii="Arial" w:cs="Arial" w:eastAsia="Arial" w:hAnsi="Arial"/>
                <w:sz w:val="13"/>
                <w:szCs w:val="13"/>
                <w:color w:val="0E2A35"/>
              </w:rPr>
              <w:t>866,639</w:t>
            </w:r>
          </w:p>
        </w:tc>
        <w:tc>
          <w:tcPr>
            <w:tcW w:w="800" w:type="dxa"/>
            <w:vAlign w:val="bottom"/>
            <w:vMerge w:val="restart"/>
          </w:tcPr>
          <w:p>
            <w:pPr>
              <w:jc w:val="right"/>
              <w:ind w:right="138"/>
              <w:spacing w:after="0"/>
              <w:rPr>
                <w:sz w:val="20"/>
                <w:szCs w:val="20"/>
                <w:color w:val="auto"/>
              </w:rPr>
            </w:pPr>
            <w:r>
              <w:rPr>
                <w:rFonts w:ascii="Arial" w:cs="Arial" w:eastAsia="Arial" w:hAnsi="Arial"/>
                <w:sz w:val="13"/>
                <w:szCs w:val="13"/>
                <w:color w:val="0E2A35"/>
              </w:rPr>
              <w:t>152,918</w:t>
            </w:r>
          </w:p>
        </w:tc>
        <w:tc>
          <w:tcPr>
            <w:tcW w:w="3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0E2A35"/>
              </w:rPr>
              <w:t>460,016</w:t>
            </w:r>
          </w:p>
        </w:tc>
        <w:tc>
          <w:tcPr>
            <w:tcW w:w="320" w:type="dxa"/>
            <w:vAlign w:val="bottom"/>
          </w:tcPr>
          <w:p>
            <w:pPr>
              <w:spacing w:after="0"/>
              <w:rPr>
                <w:sz w:val="13"/>
                <w:szCs w:val="13"/>
                <w:color w:val="auto"/>
              </w:rPr>
            </w:pPr>
          </w:p>
        </w:tc>
        <w:tc>
          <w:tcPr>
            <w:tcW w:w="1140" w:type="dxa"/>
            <w:vAlign w:val="bottom"/>
            <w:vMerge w:val="restart"/>
          </w:tcPr>
          <w:p>
            <w:pPr>
              <w:ind w:left="500"/>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398"/>
              <w:spacing w:after="0"/>
              <w:rPr>
                <w:sz w:val="20"/>
                <w:szCs w:val="20"/>
                <w:color w:val="auto"/>
              </w:rPr>
            </w:pPr>
            <w:r>
              <w:rPr>
                <w:rFonts w:ascii="Arial" w:cs="Arial" w:eastAsia="Arial" w:hAnsi="Arial"/>
                <w:sz w:val="13"/>
                <w:szCs w:val="13"/>
                <w:color w:val="0E2A35"/>
              </w:rPr>
              <w:t>39,091</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0E2A35"/>
              </w:rPr>
              <w:t>2,085,064</w:t>
            </w: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400" w:type="dxa"/>
            <w:vAlign w:val="bottom"/>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580" w:type="dxa"/>
            <w:vAlign w:val="bottom"/>
            <w:tcBorders>
              <w:bottom w:val="single" w:sz="8" w:color="0E2A35"/>
            </w:tcBorders>
          </w:tcPr>
          <w:p>
            <w:pPr>
              <w:spacing w:after="0"/>
              <w:rPr>
                <w:sz w:val="8"/>
                <w:szCs w:val="8"/>
                <w:color w:val="auto"/>
              </w:rPr>
            </w:pPr>
          </w:p>
        </w:tc>
        <w:tc>
          <w:tcPr>
            <w:tcW w:w="32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E2A35"/>
                <w:w w:val="96"/>
              </w:rPr>
              <w:t>2021</w:t>
            </w:r>
          </w:p>
        </w:tc>
        <w:tc>
          <w:tcPr>
            <w:tcW w:w="720" w:type="dxa"/>
            <w:vAlign w:val="bottom"/>
          </w:tcPr>
          <w:p>
            <w:pPr>
              <w:jc w:val="right"/>
              <w:ind w:right="17"/>
              <w:spacing w:after="0"/>
              <w:rPr>
                <w:sz w:val="20"/>
                <w:szCs w:val="20"/>
                <w:color w:val="auto"/>
              </w:rPr>
            </w:pPr>
            <w:r>
              <w:rPr>
                <w:rFonts w:ascii="Arial" w:cs="Arial" w:eastAsia="Arial" w:hAnsi="Arial"/>
                <w:sz w:val="13"/>
                <w:szCs w:val="13"/>
                <w:color w:val="0E2A35"/>
              </w:rPr>
              <w:t>486,539</w:t>
            </w:r>
          </w:p>
        </w:tc>
        <w:tc>
          <w:tcPr>
            <w:tcW w:w="660" w:type="dxa"/>
            <w:vAlign w:val="bottom"/>
          </w:tcPr>
          <w:p>
            <w:pPr>
              <w:jc w:val="center"/>
              <w:spacing w:after="0"/>
              <w:rPr>
                <w:sz w:val="20"/>
                <w:szCs w:val="20"/>
                <w:color w:val="auto"/>
              </w:rPr>
            </w:pPr>
            <w:r>
              <w:rPr>
                <w:rFonts w:ascii="Arial" w:cs="Arial" w:eastAsia="Arial" w:hAnsi="Arial"/>
                <w:sz w:val="13"/>
                <w:szCs w:val="13"/>
                <w:color w:val="0E2A35"/>
                <w:w w:val="93"/>
              </w:rPr>
              <w:t>275,000</w:t>
            </w:r>
          </w:p>
        </w:tc>
        <w:tc>
          <w:tcPr>
            <w:tcW w:w="760" w:type="dxa"/>
            <w:vAlign w:val="bottom"/>
          </w:tcPr>
          <w:p>
            <w:pPr>
              <w:jc w:val="right"/>
              <w:ind w:right="78"/>
              <w:spacing w:after="0"/>
              <w:rPr>
                <w:sz w:val="20"/>
                <w:szCs w:val="20"/>
                <w:color w:val="auto"/>
              </w:rPr>
            </w:pPr>
            <w:r>
              <w:rPr>
                <w:rFonts w:ascii="Arial" w:cs="Arial" w:eastAsia="Arial" w:hAnsi="Arial"/>
                <w:sz w:val="13"/>
                <w:szCs w:val="13"/>
                <w:color w:val="0E2A35"/>
              </w:rPr>
              <w:t>1,991,511</w:t>
            </w:r>
          </w:p>
        </w:tc>
        <w:tc>
          <w:tcPr>
            <w:tcW w:w="800" w:type="dxa"/>
            <w:vAlign w:val="bottom"/>
          </w:tcPr>
          <w:p>
            <w:pPr>
              <w:jc w:val="right"/>
              <w:ind w:right="138"/>
              <w:spacing w:after="0"/>
              <w:rPr>
                <w:sz w:val="20"/>
                <w:szCs w:val="20"/>
                <w:color w:val="auto"/>
              </w:rPr>
            </w:pPr>
            <w:r>
              <w:rPr>
                <w:rFonts w:ascii="Arial" w:cs="Arial" w:eastAsia="Arial" w:hAnsi="Arial"/>
                <w:sz w:val="13"/>
                <w:szCs w:val="13"/>
                <w:color w:val="0E2A35"/>
              </w:rPr>
              <w:t>148,499</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0E2A35"/>
              </w:rPr>
              <w:t>645,254</w:t>
            </w:r>
          </w:p>
        </w:tc>
        <w:tc>
          <w:tcPr>
            <w:tcW w:w="320" w:type="dxa"/>
            <w:vAlign w:val="bottom"/>
          </w:tcPr>
          <w:p>
            <w:pPr>
              <w:spacing w:after="0"/>
              <w:rPr>
                <w:sz w:val="21"/>
                <w:szCs w:val="21"/>
                <w:color w:val="auto"/>
              </w:rPr>
            </w:pPr>
          </w:p>
        </w:tc>
        <w:tc>
          <w:tcPr>
            <w:tcW w:w="114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98"/>
              <w:spacing w:after="0"/>
              <w:rPr>
                <w:sz w:val="20"/>
                <w:szCs w:val="20"/>
                <w:color w:val="auto"/>
              </w:rPr>
            </w:pPr>
            <w:r>
              <w:rPr>
                <w:rFonts w:ascii="Arial" w:cs="Arial" w:eastAsia="Arial" w:hAnsi="Arial"/>
                <w:sz w:val="13"/>
                <w:szCs w:val="13"/>
                <w:color w:val="0E2A35"/>
              </w:rPr>
              <w:t>36,947</w:t>
            </w:r>
          </w:p>
        </w:tc>
        <w:tc>
          <w:tcPr>
            <w:tcW w:w="780" w:type="dxa"/>
            <w:vAlign w:val="bottom"/>
          </w:tcPr>
          <w:p>
            <w:pPr>
              <w:jc w:val="right"/>
              <w:spacing w:after="0"/>
              <w:rPr>
                <w:sz w:val="20"/>
                <w:szCs w:val="20"/>
                <w:color w:val="auto"/>
              </w:rPr>
            </w:pPr>
            <w:r>
              <w:rPr>
                <w:rFonts w:ascii="Arial" w:cs="Arial" w:eastAsia="Arial" w:hAnsi="Arial"/>
                <w:sz w:val="13"/>
                <w:szCs w:val="13"/>
                <w:color w:val="0E2A35"/>
              </w:rPr>
              <w:t>3,583,750</w:t>
            </w:r>
          </w:p>
        </w:tc>
        <w:tc>
          <w:tcPr>
            <w:tcW w:w="0" w:type="dxa"/>
            <w:vAlign w:val="bottom"/>
          </w:tcPr>
          <w:p>
            <w:pPr>
              <w:spacing w:after="0"/>
              <w:rPr>
                <w:sz w:val="1"/>
                <w:szCs w:val="1"/>
                <w:color w:val="auto"/>
              </w:rPr>
            </w:pPr>
          </w:p>
        </w:tc>
      </w:tr>
      <w:tr>
        <w:trPr>
          <w:trHeight w:val="97"/>
        </w:trPr>
        <w:tc>
          <w:tcPr>
            <w:tcW w:w="1400" w:type="dxa"/>
            <w:vAlign w:val="bottom"/>
            <w:tcBorders>
              <w:bottom w:val="single" w:sz="8" w:color="0E2A35"/>
            </w:tcBorders>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gridSpan w:val="3"/>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400" w:type="dxa"/>
            <w:vAlign w:val="bottom"/>
          </w:tcPr>
          <w:p>
            <w:pPr>
              <w:ind w:left="60"/>
              <w:spacing w:after="0"/>
              <w:rPr>
                <w:sz w:val="20"/>
                <w:szCs w:val="20"/>
                <w:color w:val="auto"/>
              </w:rPr>
            </w:pPr>
            <w:r>
              <w:rPr>
                <w:rFonts w:ascii="Arial" w:cs="Arial" w:eastAsia="Arial" w:hAnsi="Arial"/>
                <w:sz w:val="13"/>
                <w:szCs w:val="13"/>
                <w:color w:val="0E2A35"/>
              </w:rPr>
              <w:t>Donald J. Clark</w:t>
            </w:r>
            <w:r>
              <w:rPr>
                <w:rFonts w:ascii="Arial" w:cs="Arial" w:eastAsia="Arial" w:hAnsi="Arial"/>
                <w:sz w:val="20"/>
                <w:szCs w:val="20"/>
                <w:color w:val="0E2A35"/>
                <w:vertAlign w:val="superscript"/>
              </w:rPr>
              <w:t>(5)</w:t>
            </w:r>
          </w:p>
        </w:tc>
        <w:tc>
          <w:tcPr>
            <w:tcW w:w="540" w:type="dxa"/>
            <w:vAlign w:val="bottom"/>
          </w:tcPr>
          <w:p>
            <w:pPr>
              <w:jc w:val="center"/>
              <w:spacing w:after="0"/>
              <w:rPr>
                <w:sz w:val="20"/>
                <w:szCs w:val="20"/>
                <w:color w:val="auto"/>
              </w:rPr>
            </w:pPr>
            <w:r>
              <w:rPr>
                <w:rFonts w:ascii="Arial" w:cs="Arial" w:eastAsia="Arial" w:hAnsi="Arial"/>
                <w:sz w:val="13"/>
                <w:szCs w:val="13"/>
                <w:color w:val="0E2A35"/>
                <w:w w:val="96"/>
              </w:rPr>
              <w:t>2023</w:t>
            </w:r>
          </w:p>
        </w:tc>
        <w:tc>
          <w:tcPr>
            <w:tcW w:w="720" w:type="dxa"/>
            <w:vAlign w:val="bottom"/>
          </w:tcPr>
          <w:p>
            <w:pPr>
              <w:jc w:val="right"/>
              <w:ind w:right="17"/>
              <w:spacing w:after="0"/>
              <w:rPr>
                <w:sz w:val="20"/>
                <w:szCs w:val="20"/>
                <w:color w:val="auto"/>
              </w:rPr>
            </w:pPr>
            <w:r>
              <w:rPr>
                <w:rFonts w:ascii="Arial" w:cs="Arial" w:eastAsia="Arial" w:hAnsi="Arial"/>
                <w:sz w:val="13"/>
                <w:szCs w:val="13"/>
                <w:color w:val="0E2A35"/>
              </w:rPr>
              <w:t>400,000</w:t>
            </w:r>
          </w:p>
        </w:tc>
        <w:tc>
          <w:tcPr>
            <w:tcW w:w="660" w:type="dxa"/>
            <w:vAlign w:val="bottom"/>
          </w:tcPr>
          <w:p>
            <w:pPr>
              <w:ind w:left="420"/>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0E2A35"/>
              </w:rPr>
              <w:t>—</w:t>
            </w:r>
          </w:p>
        </w:tc>
        <w:tc>
          <w:tcPr>
            <w:tcW w:w="800" w:type="dxa"/>
            <w:vAlign w:val="bottom"/>
          </w:tcPr>
          <w:p>
            <w:pPr>
              <w:jc w:val="right"/>
              <w:ind w:right="138"/>
              <w:spacing w:after="0"/>
              <w:rPr>
                <w:sz w:val="20"/>
                <w:szCs w:val="20"/>
                <w:color w:val="auto"/>
              </w:rPr>
            </w:pPr>
            <w:r>
              <w:rPr>
                <w:rFonts w:ascii="Arial" w:cs="Arial" w:eastAsia="Arial" w:hAnsi="Arial"/>
                <w:sz w:val="13"/>
                <w:szCs w:val="13"/>
                <w:color w:val="0E2A35"/>
              </w:rPr>
              <w:t>—</w:t>
            </w:r>
          </w:p>
        </w:tc>
        <w:tc>
          <w:tcPr>
            <w:tcW w:w="1240" w:type="dxa"/>
            <w:vAlign w:val="bottom"/>
            <w:gridSpan w:val="3"/>
          </w:tcPr>
          <w:p>
            <w:pPr>
              <w:jc w:val="right"/>
              <w:ind w:right="128"/>
              <w:spacing w:after="0"/>
              <w:rPr>
                <w:sz w:val="20"/>
                <w:szCs w:val="20"/>
                <w:color w:val="auto"/>
              </w:rPr>
            </w:pPr>
            <w:r>
              <w:rPr>
                <w:rFonts w:ascii="Arial" w:cs="Arial" w:eastAsia="Arial" w:hAnsi="Arial"/>
                <w:sz w:val="13"/>
                <w:szCs w:val="13"/>
                <w:color w:val="0E2A35"/>
              </w:rPr>
              <w:t>​ 6,099,325</w:t>
            </w:r>
            <w:r>
              <w:rPr>
                <w:rFonts w:ascii="Arial" w:cs="Arial" w:eastAsia="Arial" w:hAnsi="Arial"/>
                <w:sz w:val="20"/>
                <w:szCs w:val="20"/>
                <w:color w:val="0E2A35"/>
                <w:vertAlign w:val="superscript"/>
              </w:rPr>
              <w:t>(6)</w:t>
            </w:r>
          </w:p>
        </w:tc>
        <w:tc>
          <w:tcPr>
            <w:tcW w:w="114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98"/>
              <w:spacing w:after="0"/>
              <w:rPr>
                <w:sz w:val="20"/>
                <w:szCs w:val="20"/>
                <w:color w:val="auto"/>
              </w:rPr>
            </w:pPr>
            <w:r>
              <w:rPr>
                <w:rFonts w:ascii="Arial" w:cs="Arial" w:eastAsia="Arial" w:hAnsi="Arial"/>
                <w:sz w:val="13"/>
                <w:szCs w:val="13"/>
                <w:color w:val="0E2A35"/>
              </w:rPr>
              <w:t>21,624​</w:t>
            </w:r>
          </w:p>
        </w:tc>
        <w:tc>
          <w:tcPr>
            <w:tcW w:w="780" w:type="dxa"/>
            <w:vAlign w:val="bottom"/>
          </w:tcPr>
          <w:p>
            <w:pPr>
              <w:jc w:val="right"/>
              <w:spacing w:after="0"/>
              <w:rPr>
                <w:sz w:val="20"/>
                <w:szCs w:val="20"/>
                <w:color w:val="auto"/>
              </w:rPr>
            </w:pPr>
            <w:r>
              <w:rPr>
                <w:rFonts w:ascii="Arial" w:cs="Arial" w:eastAsia="Arial" w:hAnsi="Arial"/>
                <w:sz w:val="13"/>
                <w:szCs w:val="13"/>
                <w:color w:val="0E2A35"/>
              </w:rPr>
              <w:t>6,520,949</w:t>
            </w:r>
          </w:p>
        </w:tc>
        <w:tc>
          <w:tcPr>
            <w:tcW w:w="0" w:type="dxa"/>
            <w:vAlign w:val="bottom"/>
          </w:tcPr>
          <w:p>
            <w:pPr>
              <w:spacing w:after="0"/>
              <w:rPr>
                <w:sz w:val="1"/>
                <w:szCs w:val="1"/>
                <w:color w:val="auto"/>
              </w:rPr>
            </w:pPr>
          </w:p>
        </w:tc>
      </w:tr>
      <w:tr>
        <w:trPr>
          <w:trHeight w:val="122"/>
        </w:trPr>
        <w:tc>
          <w:tcPr>
            <w:tcW w:w="1400" w:type="dxa"/>
            <w:vAlign w:val="bottom"/>
          </w:tcPr>
          <w:p>
            <w:pPr>
              <w:ind w:left="60"/>
              <w:spacing w:after="0" w:line="102" w:lineRule="exact"/>
              <w:rPr>
                <w:sz w:val="20"/>
                <w:szCs w:val="20"/>
                <w:color w:val="auto"/>
              </w:rPr>
            </w:pPr>
            <w:r>
              <w:rPr>
                <w:rFonts w:ascii="Arial" w:cs="Arial" w:eastAsia="Arial" w:hAnsi="Arial"/>
                <w:sz w:val="10"/>
                <w:szCs w:val="10"/>
                <w:color w:val="0E2A35"/>
              </w:rPr>
              <w:t>President,</w:t>
            </w:r>
          </w:p>
        </w:tc>
        <w:tc>
          <w:tcPr>
            <w:tcW w:w="540" w:type="dxa"/>
            <w:vAlign w:val="bottom"/>
            <w:tcBorders>
              <w:bottom w:val="single" w:sz="8" w:color="0E2A35"/>
            </w:tcBorders>
          </w:tcPr>
          <w:p>
            <w:pPr>
              <w:spacing w:after="0"/>
              <w:rPr>
                <w:sz w:val="10"/>
                <w:szCs w:val="10"/>
                <w:color w:val="auto"/>
              </w:rPr>
            </w:pPr>
          </w:p>
        </w:tc>
        <w:tc>
          <w:tcPr>
            <w:tcW w:w="720" w:type="dxa"/>
            <w:vAlign w:val="bottom"/>
            <w:tcBorders>
              <w:bottom w:val="single" w:sz="8" w:color="0E2A35"/>
            </w:tcBorders>
          </w:tcPr>
          <w:p>
            <w:pPr>
              <w:spacing w:after="0"/>
              <w:rPr>
                <w:sz w:val="10"/>
                <w:szCs w:val="10"/>
                <w:color w:val="auto"/>
              </w:rPr>
            </w:pPr>
          </w:p>
        </w:tc>
        <w:tc>
          <w:tcPr>
            <w:tcW w:w="660" w:type="dxa"/>
            <w:vAlign w:val="bottom"/>
            <w:tcBorders>
              <w:bottom w:val="single" w:sz="8" w:color="0E2A35"/>
            </w:tcBorders>
          </w:tcPr>
          <w:p>
            <w:pPr>
              <w:spacing w:after="0"/>
              <w:rPr>
                <w:sz w:val="10"/>
                <w:szCs w:val="10"/>
                <w:color w:val="auto"/>
              </w:rPr>
            </w:pPr>
          </w:p>
        </w:tc>
        <w:tc>
          <w:tcPr>
            <w:tcW w:w="760" w:type="dxa"/>
            <w:vAlign w:val="bottom"/>
            <w:tcBorders>
              <w:bottom w:val="single" w:sz="8" w:color="0E2A35"/>
            </w:tcBorders>
          </w:tcPr>
          <w:p>
            <w:pPr>
              <w:spacing w:after="0"/>
              <w:rPr>
                <w:sz w:val="10"/>
                <w:szCs w:val="10"/>
                <w:color w:val="auto"/>
              </w:rPr>
            </w:pPr>
          </w:p>
        </w:tc>
        <w:tc>
          <w:tcPr>
            <w:tcW w:w="800" w:type="dxa"/>
            <w:vAlign w:val="bottom"/>
            <w:tcBorders>
              <w:bottom w:val="single" w:sz="8" w:color="0E2A35"/>
            </w:tcBorders>
          </w:tcPr>
          <w:p>
            <w:pPr>
              <w:spacing w:after="0"/>
              <w:rPr>
                <w:sz w:val="10"/>
                <w:szCs w:val="10"/>
                <w:color w:val="auto"/>
              </w:rPr>
            </w:pPr>
          </w:p>
        </w:tc>
        <w:tc>
          <w:tcPr>
            <w:tcW w:w="340" w:type="dxa"/>
            <w:vAlign w:val="bottom"/>
            <w:tcBorders>
              <w:bottom w:val="single" w:sz="8" w:color="0E2A35"/>
            </w:tcBorders>
          </w:tcPr>
          <w:p>
            <w:pPr>
              <w:spacing w:after="0"/>
              <w:rPr>
                <w:sz w:val="10"/>
                <w:szCs w:val="10"/>
                <w:color w:val="auto"/>
              </w:rPr>
            </w:pPr>
          </w:p>
        </w:tc>
        <w:tc>
          <w:tcPr>
            <w:tcW w:w="580" w:type="dxa"/>
            <w:vAlign w:val="bottom"/>
            <w:tcBorders>
              <w:bottom w:val="single" w:sz="8" w:color="0E2A35"/>
            </w:tcBorders>
          </w:tcPr>
          <w:p>
            <w:pPr>
              <w:spacing w:after="0"/>
              <w:rPr>
                <w:sz w:val="10"/>
                <w:szCs w:val="10"/>
                <w:color w:val="auto"/>
              </w:rPr>
            </w:pPr>
          </w:p>
        </w:tc>
        <w:tc>
          <w:tcPr>
            <w:tcW w:w="320" w:type="dxa"/>
            <w:vAlign w:val="bottom"/>
            <w:tcBorders>
              <w:bottom w:val="single" w:sz="8" w:color="0E2A35"/>
            </w:tcBorders>
          </w:tcPr>
          <w:p>
            <w:pPr>
              <w:spacing w:after="0"/>
              <w:rPr>
                <w:sz w:val="10"/>
                <w:szCs w:val="10"/>
                <w:color w:val="auto"/>
              </w:rPr>
            </w:pPr>
          </w:p>
        </w:tc>
        <w:tc>
          <w:tcPr>
            <w:tcW w:w="1140" w:type="dxa"/>
            <w:vAlign w:val="bottom"/>
            <w:tcBorders>
              <w:bottom w:val="single" w:sz="8" w:color="0E2A35"/>
            </w:tcBorders>
          </w:tcPr>
          <w:p>
            <w:pPr>
              <w:spacing w:after="0"/>
              <w:rPr>
                <w:sz w:val="10"/>
                <w:szCs w:val="10"/>
                <w:color w:val="auto"/>
              </w:rPr>
            </w:pPr>
          </w:p>
        </w:tc>
        <w:tc>
          <w:tcPr>
            <w:tcW w:w="1240" w:type="dxa"/>
            <w:vAlign w:val="bottom"/>
            <w:tcBorders>
              <w:bottom w:val="single" w:sz="8" w:color="0E2A35"/>
            </w:tcBorders>
          </w:tcPr>
          <w:p>
            <w:pPr>
              <w:spacing w:after="0"/>
              <w:rPr>
                <w:sz w:val="10"/>
                <w:szCs w:val="10"/>
                <w:color w:val="auto"/>
              </w:rPr>
            </w:pPr>
          </w:p>
        </w:tc>
        <w:tc>
          <w:tcPr>
            <w:tcW w:w="780" w:type="dxa"/>
            <w:vAlign w:val="bottom"/>
            <w:tcBorders>
              <w:bottom w:val="single" w:sz="8" w:color="0E2A35"/>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00" w:type="dxa"/>
            <w:vAlign w:val="bottom"/>
          </w:tcPr>
          <w:p>
            <w:pPr>
              <w:ind w:left="60"/>
              <w:spacing w:after="0"/>
              <w:rPr>
                <w:sz w:val="20"/>
                <w:szCs w:val="20"/>
                <w:color w:val="auto"/>
              </w:rPr>
            </w:pPr>
            <w:r>
              <w:rPr>
                <w:rFonts w:ascii="Arial" w:cs="Arial" w:eastAsia="Arial" w:hAnsi="Arial"/>
                <w:sz w:val="13"/>
                <w:szCs w:val="13"/>
                <w:color w:val="0E2A35"/>
              </w:rPr>
              <w:t>Grand Design</w:t>
            </w:r>
          </w:p>
        </w:tc>
        <w:tc>
          <w:tcPr>
            <w:tcW w:w="540" w:type="dxa"/>
            <w:vAlign w:val="bottom"/>
            <w:vMerge w:val="restart"/>
          </w:tcPr>
          <w:p>
            <w:pPr>
              <w:jc w:val="center"/>
              <w:spacing w:after="0"/>
              <w:rPr>
                <w:sz w:val="20"/>
                <w:szCs w:val="20"/>
                <w:color w:val="auto"/>
              </w:rPr>
            </w:pPr>
            <w:r>
              <w:rPr>
                <w:rFonts w:ascii="Arial" w:cs="Arial" w:eastAsia="Arial" w:hAnsi="Arial"/>
                <w:sz w:val="13"/>
                <w:szCs w:val="13"/>
                <w:color w:val="0E2A35"/>
                <w:w w:val="96"/>
              </w:rPr>
              <w:t>2022</w:t>
            </w:r>
          </w:p>
        </w:tc>
        <w:tc>
          <w:tcPr>
            <w:tcW w:w="720" w:type="dxa"/>
            <w:vAlign w:val="bottom"/>
            <w:vMerge w:val="restart"/>
          </w:tcPr>
          <w:p>
            <w:pPr>
              <w:jc w:val="right"/>
              <w:ind w:right="17"/>
              <w:spacing w:after="0"/>
              <w:rPr>
                <w:sz w:val="20"/>
                <w:szCs w:val="20"/>
                <w:color w:val="auto"/>
              </w:rPr>
            </w:pPr>
            <w:r>
              <w:rPr>
                <w:rFonts w:ascii="Arial" w:cs="Arial" w:eastAsia="Arial" w:hAnsi="Arial"/>
                <w:sz w:val="13"/>
                <w:szCs w:val="13"/>
                <w:color w:val="0E2A35"/>
              </w:rPr>
              <w:t>400,000</w:t>
            </w:r>
          </w:p>
        </w:tc>
        <w:tc>
          <w:tcPr>
            <w:tcW w:w="660" w:type="dxa"/>
            <w:vAlign w:val="bottom"/>
            <w:vMerge w:val="restart"/>
          </w:tcPr>
          <w:p>
            <w:pPr>
              <w:ind w:left="420"/>
              <w:spacing w:after="0"/>
              <w:rPr>
                <w:sz w:val="20"/>
                <w:szCs w:val="20"/>
                <w:color w:val="auto"/>
              </w:rPr>
            </w:pPr>
            <w:r>
              <w:rPr>
                <w:rFonts w:ascii="Arial" w:cs="Arial" w:eastAsia="Arial" w:hAnsi="Arial"/>
                <w:sz w:val="13"/>
                <w:szCs w:val="13"/>
                <w:color w:val="0E2A35"/>
              </w:rPr>
              <w:t>—</w:t>
            </w:r>
          </w:p>
        </w:tc>
        <w:tc>
          <w:tcPr>
            <w:tcW w:w="760" w:type="dxa"/>
            <w:vAlign w:val="bottom"/>
            <w:vMerge w:val="restart"/>
          </w:tcPr>
          <w:p>
            <w:pPr>
              <w:jc w:val="right"/>
              <w:ind w:right="38"/>
              <w:spacing w:after="0"/>
              <w:rPr>
                <w:sz w:val="20"/>
                <w:szCs w:val="20"/>
                <w:color w:val="auto"/>
              </w:rPr>
            </w:pPr>
            <w:r>
              <w:rPr>
                <w:rFonts w:ascii="Arial" w:cs="Arial" w:eastAsia="Arial" w:hAnsi="Arial"/>
                <w:sz w:val="13"/>
                <w:szCs w:val="13"/>
                <w:color w:val="0E2A35"/>
              </w:rPr>
              <w:t>—​</w:t>
            </w:r>
          </w:p>
        </w:tc>
        <w:tc>
          <w:tcPr>
            <w:tcW w:w="800" w:type="dxa"/>
            <w:vAlign w:val="bottom"/>
            <w:vMerge w:val="restart"/>
          </w:tcPr>
          <w:p>
            <w:pPr>
              <w:jc w:val="right"/>
              <w:ind w:right="138"/>
              <w:spacing w:after="0"/>
              <w:rPr>
                <w:sz w:val="20"/>
                <w:szCs w:val="20"/>
                <w:color w:val="auto"/>
              </w:rPr>
            </w:pPr>
            <w:r>
              <w:rPr>
                <w:rFonts w:ascii="Arial" w:cs="Arial" w:eastAsia="Arial" w:hAnsi="Arial"/>
                <w:sz w:val="13"/>
                <w:szCs w:val="13"/>
                <w:color w:val="0E2A35"/>
              </w:rPr>
              <w:t>—</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color w:val="0E2A35"/>
              </w:rPr>
              <w:t>13,057,292</w:t>
            </w:r>
          </w:p>
        </w:tc>
        <w:tc>
          <w:tcPr>
            <w:tcW w:w="320" w:type="dxa"/>
            <w:vAlign w:val="bottom"/>
            <w:vMerge w:val="restart"/>
          </w:tcPr>
          <w:p>
            <w:pPr>
              <w:jc w:val="right"/>
              <w:ind w:right="128"/>
              <w:spacing w:after="0"/>
              <w:rPr>
                <w:sz w:val="20"/>
                <w:szCs w:val="20"/>
                <w:color w:val="auto"/>
              </w:rPr>
            </w:pPr>
            <w:r>
              <w:rPr>
                <w:rFonts w:ascii="Arial" w:cs="Arial" w:eastAsia="Arial" w:hAnsi="Arial"/>
                <w:sz w:val="10"/>
                <w:szCs w:val="10"/>
                <w:color w:val="0E2A35"/>
                <w:w w:val="97"/>
              </w:rPr>
              <w:t>(7)</w:t>
            </w:r>
          </w:p>
        </w:tc>
        <w:tc>
          <w:tcPr>
            <w:tcW w:w="1140" w:type="dxa"/>
            <w:vAlign w:val="bottom"/>
            <w:vMerge w:val="restart"/>
          </w:tcPr>
          <w:p>
            <w:pPr>
              <w:ind w:left="500"/>
              <w:spacing w:after="0"/>
              <w:rPr>
                <w:sz w:val="20"/>
                <w:szCs w:val="20"/>
                <w:color w:val="auto"/>
              </w:rPr>
            </w:pPr>
            <w:r>
              <w:rPr>
                <w:rFonts w:ascii="Arial" w:cs="Arial" w:eastAsia="Arial" w:hAnsi="Arial"/>
                <w:sz w:val="13"/>
                <w:szCs w:val="13"/>
                <w:color w:val="0E2A35"/>
              </w:rPr>
              <w:t>—</w:t>
            </w:r>
          </w:p>
        </w:tc>
        <w:tc>
          <w:tcPr>
            <w:tcW w:w="1240" w:type="dxa"/>
            <w:vAlign w:val="bottom"/>
            <w:vMerge w:val="restart"/>
          </w:tcPr>
          <w:p>
            <w:pPr>
              <w:jc w:val="right"/>
              <w:ind w:right="398"/>
              <w:spacing w:after="0"/>
              <w:rPr>
                <w:sz w:val="20"/>
                <w:szCs w:val="20"/>
                <w:color w:val="auto"/>
              </w:rPr>
            </w:pPr>
            <w:r>
              <w:rPr>
                <w:rFonts w:ascii="Arial" w:cs="Arial" w:eastAsia="Arial" w:hAnsi="Arial"/>
                <w:sz w:val="13"/>
                <w:szCs w:val="13"/>
                <w:color w:val="0E2A35"/>
              </w:rPr>
              <w:t>12,200</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0E2A35"/>
              </w:rPr>
              <w:t>13,469,492</w:t>
            </w: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1400" w:type="dxa"/>
            <w:vAlign w:val="bottom"/>
          </w:tcPr>
          <w:p>
            <w:pPr>
              <w:spacing w:after="0"/>
              <w:rPr>
                <w:sz w:val="8"/>
                <w:szCs w:val="8"/>
                <w:color w:val="auto"/>
              </w:rPr>
            </w:pPr>
          </w:p>
        </w:tc>
        <w:tc>
          <w:tcPr>
            <w:tcW w:w="54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6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800" w:type="dxa"/>
            <w:vAlign w:val="bottom"/>
            <w:tcBorders>
              <w:bottom w:val="single" w:sz="8" w:color="0E2A35"/>
            </w:tcBorders>
          </w:tcPr>
          <w:p>
            <w:pPr>
              <w:spacing w:after="0"/>
              <w:rPr>
                <w:sz w:val="8"/>
                <w:szCs w:val="8"/>
                <w:color w:val="auto"/>
              </w:rPr>
            </w:pPr>
          </w:p>
        </w:tc>
        <w:tc>
          <w:tcPr>
            <w:tcW w:w="340" w:type="dxa"/>
            <w:vAlign w:val="bottom"/>
            <w:tcBorders>
              <w:bottom w:val="single" w:sz="8" w:color="0E2A35"/>
            </w:tcBorders>
          </w:tcPr>
          <w:p>
            <w:pPr>
              <w:spacing w:after="0"/>
              <w:rPr>
                <w:sz w:val="8"/>
                <w:szCs w:val="8"/>
                <w:color w:val="auto"/>
              </w:rPr>
            </w:pPr>
          </w:p>
        </w:tc>
        <w:tc>
          <w:tcPr>
            <w:tcW w:w="900" w:type="dxa"/>
            <w:vAlign w:val="bottom"/>
            <w:tcBorders>
              <w:bottom w:val="single" w:sz="8" w:color="0E2A35"/>
            </w:tcBorders>
            <w:gridSpan w:val="2"/>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E2A35"/>
                <w:w w:val="96"/>
              </w:rPr>
              <w:t>2021</w:t>
            </w:r>
          </w:p>
        </w:tc>
        <w:tc>
          <w:tcPr>
            <w:tcW w:w="720" w:type="dxa"/>
            <w:vAlign w:val="bottom"/>
          </w:tcPr>
          <w:p>
            <w:pPr>
              <w:jc w:val="right"/>
              <w:ind w:right="17"/>
              <w:spacing w:after="0"/>
              <w:rPr>
                <w:sz w:val="20"/>
                <w:szCs w:val="20"/>
                <w:color w:val="auto"/>
              </w:rPr>
            </w:pPr>
            <w:r>
              <w:rPr>
                <w:rFonts w:ascii="Arial" w:cs="Arial" w:eastAsia="Arial" w:hAnsi="Arial"/>
                <w:sz w:val="13"/>
                <w:szCs w:val="13"/>
                <w:color w:val="0E2A35"/>
              </w:rPr>
              <w:t>400,000</w:t>
            </w:r>
          </w:p>
        </w:tc>
        <w:tc>
          <w:tcPr>
            <w:tcW w:w="660" w:type="dxa"/>
            <w:vAlign w:val="bottom"/>
          </w:tcPr>
          <w:p>
            <w:pPr>
              <w:ind w:left="420"/>
              <w:spacing w:after="0"/>
              <w:rPr>
                <w:sz w:val="20"/>
                <w:szCs w:val="20"/>
                <w:color w:val="auto"/>
              </w:rPr>
            </w:pPr>
            <w:r>
              <w:rPr>
                <w:rFonts w:ascii="Arial" w:cs="Arial" w:eastAsia="Arial" w:hAnsi="Arial"/>
                <w:sz w:val="13"/>
                <w:szCs w:val="13"/>
                <w:color w:val="0E2A35"/>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0E2A35"/>
              </w:rPr>
              <w:t>—</w:t>
            </w:r>
          </w:p>
        </w:tc>
        <w:tc>
          <w:tcPr>
            <w:tcW w:w="800" w:type="dxa"/>
            <w:vAlign w:val="bottom"/>
          </w:tcPr>
          <w:p>
            <w:pPr>
              <w:jc w:val="right"/>
              <w:ind w:right="138"/>
              <w:spacing w:after="0"/>
              <w:rPr>
                <w:sz w:val="20"/>
                <w:szCs w:val="20"/>
                <w:color w:val="auto"/>
              </w:rPr>
            </w:pPr>
            <w:r>
              <w:rPr>
                <w:rFonts w:ascii="Arial" w:cs="Arial" w:eastAsia="Arial" w:hAnsi="Arial"/>
                <w:sz w:val="13"/>
                <w:szCs w:val="13"/>
                <w:color w:val="0E2A35"/>
              </w:rPr>
              <w:t>—</w:t>
            </w:r>
          </w:p>
        </w:tc>
        <w:tc>
          <w:tcPr>
            <w:tcW w:w="340" w:type="dxa"/>
            <w:vAlign w:val="bottom"/>
          </w:tcPr>
          <w:p>
            <w:pPr>
              <w:spacing w:after="0"/>
              <w:rPr>
                <w:sz w:val="18"/>
                <w:szCs w:val="18"/>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0"/>
                <w:szCs w:val="10"/>
                <w:color w:val="0E2A35"/>
              </w:rPr>
              <w:t>(8)</w:t>
            </w:r>
          </w:p>
        </w:tc>
        <w:tc>
          <w:tcPr>
            <w:tcW w:w="1140" w:type="dxa"/>
            <w:vAlign w:val="bottom"/>
          </w:tcPr>
          <w:p>
            <w:pPr>
              <w:ind w:left="500"/>
              <w:spacing w:after="0"/>
              <w:rPr>
                <w:sz w:val="20"/>
                <w:szCs w:val="20"/>
                <w:color w:val="auto"/>
              </w:rPr>
            </w:pPr>
            <w:r>
              <w:rPr>
                <w:rFonts w:ascii="Arial" w:cs="Arial" w:eastAsia="Arial" w:hAnsi="Arial"/>
                <w:sz w:val="13"/>
                <w:szCs w:val="13"/>
                <w:color w:val="0E2A35"/>
              </w:rPr>
              <w:t>—</w:t>
            </w:r>
          </w:p>
        </w:tc>
        <w:tc>
          <w:tcPr>
            <w:tcW w:w="1240" w:type="dxa"/>
            <w:vAlign w:val="bottom"/>
          </w:tcPr>
          <w:p>
            <w:pPr>
              <w:jc w:val="right"/>
              <w:ind w:right="398"/>
              <w:spacing w:after="0"/>
              <w:rPr>
                <w:sz w:val="20"/>
                <w:szCs w:val="20"/>
                <w:color w:val="auto"/>
              </w:rPr>
            </w:pPr>
            <w:r>
              <w:rPr>
                <w:rFonts w:ascii="Arial" w:cs="Arial" w:eastAsia="Arial" w:hAnsi="Arial"/>
                <w:sz w:val="13"/>
                <w:szCs w:val="13"/>
                <w:color w:val="0E2A35"/>
              </w:rPr>
              <w:t>—</w:t>
            </w:r>
          </w:p>
        </w:tc>
        <w:tc>
          <w:tcPr>
            <w:tcW w:w="780" w:type="dxa"/>
            <w:vAlign w:val="bottom"/>
          </w:tcPr>
          <w:p>
            <w:pPr>
              <w:jc w:val="right"/>
              <w:spacing w:after="0"/>
              <w:rPr>
                <w:sz w:val="20"/>
                <w:szCs w:val="20"/>
                <w:color w:val="auto"/>
              </w:rPr>
            </w:pPr>
            <w:r>
              <w:rPr>
                <w:rFonts w:ascii="Arial" w:cs="Arial" w:eastAsia="Arial" w:hAnsi="Arial"/>
                <w:sz w:val="13"/>
                <w:szCs w:val="13"/>
                <w:color w:val="0E2A35"/>
              </w:rPr>
              <w:t>10,519,386</w:t>
            </w:r>
          </w:p>
        </w:tc>
        <w:tc>
          <w:tcPr>
            <w:tcW w:w="0" w:type="dxa"/>
            <w:vAlign w:val="bottom"/>
          </w:tcPr>
          <w:p>
            <w:pPr>
              <w:spacing w:after="0"/>
              <w:rPr>
                <w:sz w:val="1"/>
                <w:szCs w:val="1"/>
                <w:color w:val="auto"/>
              </w:rPr>
            </w:pPr>
          </w:p>
        </w:tc>
      </w:tr>
      <w:tr>
        <w:trPr>
          <w:trHeight w:val="169"/>
        </w:trPr>
        <w:tc>
          <w:tcPr>
            <w:tcW w:w="1400" w:type="dxa"/>
            <w:vAlign w:val="bottom"/>
            <w:tcBorders>
              <w:bottom w:val="single" w:sz="8" w:color="0E2A35"/>
            </w:tcBorders>
          </w:tcPr>
          <w:p>
            <w:pPr>
              <w:spacing w:after="0"/>
              <w:rPr>
                <w:sz w:val="14"/>
                <w:szCs w:val="14"/>
                <w:color w:val="auto"/>
              </w:rPr>
            </w:pPr>
          </w:p>
        </w:tc>
        <w:tc>
          <w:tcPr>
            <w:tcW w:w="540" w:type="dxa"/>
            <w:vAlign w:val="bottom"/>
            <w:tcBorders>
              <w:bottom w:val="single" w:sz="8" w:color="0E2A35"/>
            </w:tcBorders>
          </w:tcPr>
          <w:p>
            <w:pPr>
              <w:spacing w:after="0"/>
              <w:rPr>
                <w:sz w:val="14"/>
                <w:szCs w:val="14"/>
                <w:color w:val="auto"/>
              </w:rPr>
            </w:pPr>
          </w:p>
        </w:tc>
        <w:tc>
          <w:tcPr>
            <w:tcW w:w="720" w:type="dxa"/>
            <w:vAlign w:val="bottom"/>
            <w:tcBorders>
              <w:bottom w:val="single" w:sz="8" w:color="0E2A35"/>
            </w:tcBorders>
          </w:tcPr>
          <w:p>
            <w:pPr>
              <w:spacing w:after="0"/>
              <w:rPr>
                <w:sz w:val="14"/>
                <w:szCs w:val="14"/>
                <w:color w:val="auto"/>
              </w:rPr>
            </w:pPr>
          </w:p>
        </w:tc>
        <w:tc>
          <w:tcPr>
            <w:tcW w:w="660" w:type="dxa"/>
            <w:vAlign w:val="bottom"/>
            <w:tcBorders>
              <w:bottom w:val="single" w:sz="8" w:color="0E2A35"/>
            </w:tcBorders>
          </w:tcPr>
          <w:p>
            <w:pPr>
              <w:spacing w:after="0"/>
              <w:rPr>
                <w:sz w:val="14"/>
                <w:szCs w:val="14"/>
                <w:color w:val="auto"/>
              </w:rPr>
            </w:pPr>
          </w:p>
        </w:tc>
        <w:tc>
          <w:tcPr>
            <w:tcW w:w="760" w:type="dxa"/>
            <w:vAlign w:val="bottom"/>
            <w:tcBorders>
              <w:bottom w:val="single" w:sz="8" w:color="0E2A35"/>
            </w:tcBorders>
          </w:tcPr>
          <w:p>
            <w:pPr>
              <w:spacing w:after="0"/>
              <w:rPr>
                <w:sz w:val="14"/>
                <w:szCs w:val="14"/>
                <w:color w:val="auto"/>
              </w:rPr>
            </w:pPr>
          </w:p>
        </w:tc>
        <w:tc>
          <w:tcPr>
            <w:tcW w:w="800" w:type="dxa"/>
            <w:vAlign w:val="bottom"/>
            <w:tcBorders>
              <w:bottom w:val="single" w:sz="8" w:color="0E2A35"/>
            </w:tcBorders>
          </w:tcPr>
          <w:p>
            <w:pPr>
              <w:spacing w:after="0"/>
              <w:rPr>
                <w:sz w:val="14"/>
                <w:szCs w:val="14"/>
                <w:color w:val="auto"/>
              </w:rPr>
            </w:pPr>
          </w:p>
        </w:tc>
        <w:tc>
          <w:tcPr>
            <w:tcW w:w="920" w:type="dxa"/>
            <w:vAlign w:val="bottom"/>
            <w:tcBorders>
              <w:bottom w:val="single" w:sz="8" w:color="0E2A35"/>
            </w:tcBorders>
            <w:gridSpan w:val="2"/>
          </w:tcPr>
          <w:p>
            <w:pPr>
              <w:jc w:val="right"/>
              <w:spacing w:after="0"/>
              <w:rPr>
                <w:sz w:val="20"/>
                <w:szCs w:val="20"/>
                <w:color w:val="auto"/>
              </w:rPr>
            </w:pPr>
            <w:r>
              <w:rPr>
                <w:rFonts w:ascii="Arial" w:cs="Arial" w:eastAsia="Arial" w:hAnsi="Arial"/>
                <w:sz w:val="13"/>
                <w:szCs w:val="13"/>
                <w:color w:val="0E2A35"/>
              </w:rPr>
              <w:t>10,119,386</w:t>
            </w:r>
          </w:p>
        </w:tc>
        <w:tc>
          <w:tcPr>
            <w:tcW w:w="320" w:type="dxa"/>
            <w:vAlign w:val="bottom"/>
            <w:tcBorders>
              <w:bottom w:val="single" w:sz="8" w:color="0E2A35"/>
            </w:tcBorders>
          </w:tcPr>
          <w:p>
            <w:pPr>
              <w:spacing w:after="0"/>
              <w:rPr>
                <w:sz w:val="14"/>
                <w:szCs w:val="14"/>
                <w:color w:val="auto"/>
              </w:rPr>
            </w:pPr>
          </w:p>
        </w:tc>
        <w:tc>
          <w:tcPr>
            <w:tcW w:w="1140" w:type="dxa"/>
            <w:vAlign w:val="bottom"/>
            <w:tcBorders>
              <w:bottom w:val="single" w:sz="8" w:color="0E2A35"/>
            </w:tcBorders>
          </w:tcPr>
          <w:p>
            <w:pPr>
              <w:spacing w:after="0"/>
              <w:rPr>
                <w:sz w:val="14"/>
                <w:szCs w:val="14"/>
                <w:color w:val="auto"/>
              </w:rPr>
            </w:pPr>
          </w:p>
        </w:tc>
        <w:tc>
          <w:tcPr>
            <w:tcW w:w="1240" w:type="dxa"/>
            <w:vAlign w:val="bottom"/>
            <w:tcBorders>
              <w:bottom w:val="single" w:sz="8" w:color="0E2A35"/>
            </w:tcBorders>
          </w:tcPr>
          <w:p>
            <w:pPr>
              <w:spacing w:after="0"/>
              <w:rPr>
                <w:sz w:val="14"/>
                <w:szCs w:val="14"/>
                <w:color w:val="auto"/>
              </w:rPr>
            </w:pPr>
          </w:p>
        </w:tc>
        <w:tc>
          <w:tcPr>
            <w:tcW w:w="780" w:type="dxa"/>
            <w:vAlign w:val="bottom"/>
            <w:tcBorders>
              <w:bottom w:val="single" w:sz="8" w:color="0E2A35"/>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60" w:hanging="360"/>
        <w:spacing w:after="0"/>
        <w:tabs>
          <w:tab w:leader="none" w:pos="360" w:val="left"/>
        </w:tabs>
        <w:numPr>
          <w:ilvl w:val="0"/>
          <w:numId w:val="41"/>
        </w:numPr>
        <w:rPr>
          <w:rFonts w:ascii="Arial" w:cs="Arial" w:eastAsia="Arial" w:hAnsi="Arial"/>
          <w:sz w:val="13"/>
          <w:szCs w:val="13"/>
          <w:color w:val="0E2A35"/>
        </w:rPr>
      </w:pPr>
      <w:r>
        <w:rPr>
          <w:rFonts w:ascii="Arial" w:cs="Arial" w:eastAsia="Arial" w:hAnsi="Arial"/>
          <w:sz w:val="13"/>
          <w:szCs w:val="13"/>
          <w:color w:val="0E2A35"/>
        </w:rPr>
        <w:t>The table below illustrates the three categories of stock awards as presented above:</w:t>
      </w:r>
    </w:p>
    <w:p>
      <w:pPr>
        <w:spacing w:after="0" w:line="148" w:lineRule="exact"/>
        <w:rPr>
          <w:sz w:val="20"/>
          <w:szCs w:val="20"/>
          <w:color w:val="auto"/>
        </w:rPr>
      </w:pPr>
    </w:p>
    <w:tbl>
      <w:tblPr>
        <w:tblLayout w:type="fixed"/>
        <w:tblInd w:w="360" w:type="dxa"/>
        <w:tblCellMar>
          <w:top w:w="0" w:type="dxa"/>
          <w:left w:w="0" w:type="dxa"/>
          <w:bottom w:w="0" w:type="dxa"/>
          <w:right w:w="0" w:type="dxa"/>
        </w:tblCellMar>
      </w:tblPr>
      <w:tr>
        <w:trPr>
          <w:trHeight w:val="221"/>
        </w:trPr>
        <w:tc>
          <w:tcPr>
            <w:tcW w:w="860" w:type="dxa"/>
            <w:vAlign w:val="bottom"/>
            <w:shd w:val="clear" w:color="auto" w:fill="0E2A35"/>
          </w:tcPr>
          <w:p>
            <w:pPr>
              <w:spacing w:after="0"/>
              <w:rPr>
                <w:sz w:val="19"/>
                <w:szCs w:val="19"/>
                <w:color w:val="auto"/>
              </w:rPr>
            </w:pPr>
          </w:p>
        </w:tc>
        <w:tc>
          <w:tcPr>
            <w:tcW w:w="1500" w:type="dxa"/>
            <w:vAlign w:val="bottom"/>
            <w:shd w:val="clear" w:color="auto" w:fill="0E2A35"/>
          </w:tcPr>
          <w:p>
            <w:pPr>
              <w:spacing w:after="0"/>
              <w:rPr>
                <w:sz w:val="19"/>
                <w:szCs w:val="19"/>
                <w:color w:val="auto"/>
              </w:rPr>
            </w:pPr>
          </w:p>
        </w:tc>
        <w:tc>
          <w:tcPr>
            <w:tcW w:w="120" w:type="dxa"/>
            <w:vAlign w:val="bottom"/>
            <w:shd w:val="clear" w:color="auto" w:fill="0E2A35"/>
          </w:tcPr>
          <w:p>
            <w:pPr>
              <w:spacing w:after="0"/>
              <w:rPr>
                <w:sz w:val="19"/>
                <w:szCs w:val="19"/>
                <w:color w:val="auto"/>
              </w:rPr>
            </w:pPr>
          </w:p>
        </w:tc>
        <w:tc>
          <w:tcPr>
            <w:tcW w:w="20" w:type="dxa"/>
            <w:vAlign w:val="bottom"/>
            <w:shd w:val="clear" w:color="auto" w:fill="0E2A35"/>
          </w:tcPr>
          <w:p>
            <w:pPr>
              <w:spacing w:after="0"/>
              <w:rPr>
                <w:sz w:val="19"/>
                <w:szCs w:val="19"/>
                <w:color w:val="auto"/>
              </w:rPr>
            </w:pPr>
          </w:p>
        </w:tc>
        <w:tc>
          <w:tcPr>
            <w:tcW w:w="580" w:type="dxa"/>
            <w:vAlign w:val="bottom"/>
            <w:shd w:val="clear" w:color="auto" w:fill="0E2A35"/>
          </w:tcPr>
          <w:p>
            <w:pPr>
              <w:spacing w:after="0"/>
              <w:rPr>
                <w:sz w:val="19"/>
                <w:szCs w:val="19"/>
                <w:color w:val="auto"/>
              </w:rPr>
            </w:pPr>
          </w:p>
        </w:tc>
        <w:tc>
          <w:tcPr>
            <w:tcW w:w="120" w:type="dxa"/>
            <w:vAlign w:val="bottom"/>
            <w:shd w:val="clear" w:color="auto" w:fill="0E2A35"/>
          </w:tcPr>
          <w:p>
            <w:pPr>
              <w:spacing w:after="0"/>
              <w:rPr>
                <w:sz w:val="19"/>
                <w:szCs w:val="19"/>
                <w:color w:val="auto"/>
              </w:rPr>
            </w:pPr>
          </w:p>
        </w:tc>
        <w:tc>
          <w:tcPr>
            <w:tcW w:w="240" w:type="dxa"/>
            <w:vAlign w:val="bottom"/>
            <w:shd w:val="clear" w:color="auto" w:fill="0E2A35"/>
          </w:tcPr>
          <w:p>
            <w:pPr>
              <w:spacing w:after="0"/>
              <w:rPr>
                <w:sz w:val="19"/>
                <w:szCs w:val="19"/>
                <w:color w:val="auto"/>
              </w:rPr>
            </w:pPr>
          </w:p>
        </w:tc>
        <w:tc>
          <w:tcPr>
            <w:tcW w:w="1160" w:type="dxa"/>
            <w:vAlign w:val="bottom"/>
            <w:shd w:val="clear" w:color="auto" w:fill="0E2A35"/>
          </w:tcPr>
          <w:p>
            <w:pPr>
              <w:ind w:left="480"/>
              <w:spacing w:after="0"/>
              <w:rPr>
                <w:sz w:val="20"/>
                <w:szCs w:val="20"/>
                <w:color w:val="auto"/>
              </w:rPr>
            </w:pPr>
            <w:r>
              <w:rPr>
                <w:rFonts w:ascii="Arial" w:cs="Arial" w:eastAsia="Arial" w:hAnsi="Arial"/>
                <w:sz w:val="13"/>
                <w:szCs w:val="13"/>
                <w:b w:val="1"/>
                <w:bCs w:val="1"/>
                <w:color w:val="FFFFFF"/>
              </w:rPr>
              <w:t>Non-</w:t>
            </w:r>
          </w:p>
        </w:tc>
        <w:tc>
          <w:tcPr>
            <w:tcW w:w="160" w:type="dxa"/>
            <w:vAlign w:val="bottom"/>
            <w:shd w:val="clear" w:color="auto" w:fill="0E2A35"/>
          </w:tcPr>
          <w:p>
            <w:pPr>
              <w:spacing w:after="0"/>
              <w:rPr>
                <w:sz w:val="19"/>
                <w:szCs w:val="19"/>
                <w:color w:val="auto"/>
              </w:rPr>
            </w:pPr>
          </w:p>
        </w:tc>
        <w:tc>
          <w:tcPr>
            <w:tcW w:w="260" w:type="dxa"/>
            <w:vAlign w:val="bottom"/>
            <w:shd w:val="clear" w:color="auto" w:fill="0E2A35"/>
          </w:tcPr>
          <w:p>
            <w:pPr>
              <w:spacing w:after="0"/>
              <w:rPr>
                <w:sz w:val="19"/>
                <w:szCs w:val="19"/>
                <w:color w:val="auto"/>
              </w:rPr>
            </w:pPr>
          </w:p>
        </w:tc>
        <w:tc>
          <w:tcPr>
            <w:tcW w:w="980" w:type="dxa"/>
            <w:vAlign w:val="bottom"/>
            <w:shd w:val="clear" w:color="auto" w:fill="0E2A35"/>
          </w:tcPr>
          <w:p>
            <w:pPr>
              <w:spacing w:after="0"/>
              <w:rPr>
                <w:sz w:val="19"/>
                <w:szCs w:val="19"/>
                <w:color w:val="auto"/>
              </w:rPr>
            </w:pPr>
          </w:p>
        </w:tc>
        <w:tc>
          <w:tcPr>
            <w:tcW w:w="140" w:type="dxa"/>
            <w:vAlign w:val="bottom"/>
            <w:shd w:val="clear" w:color="auto" w:fill="0E2A35"/>
          </w:tcPr>
          <w:p>
            <w:pPr>
              <w:spacing w:after="0"/>
              <w:rPr>
                <w:sz w:val="19"/>
                <w:szCs w:val="19"/>
                <w:color w:val="auto"/>
              </w:rPr>
            </w:pPr>
          </w:p>
        </w:tc>
        <w:tc>
          <w:tcPr>
            <w:tcW w:w="280" w:type="dxa"/>
            <w:vAlign w:val="bottom"/>
            <w:shd w:val="clear" w:color="auto" w:fill="0E2A35"/>
          </w:tcPr>
          <w:p>
            <w:pPr>
              <w:spacing w:after="0"/>
              <w:rPr>
                <w:sz w:val="19"/>
                <w:szCs w:val="19"/>
                <w:color w:val="auto"/>
              </w:rPr>
            </w:pPr>
          </w:p>
        </w:tc>
        <w:tc>
          <w:tcPr>
            <w:tcW w:w="1340" w:type="dxa"/>
            <w:vAlign w:val="bottom"/>
            <w:shd w:val="clear" w:color="auto" w:fill="0E2A35"/>
          </w:tcPr>
          <w:p>
            <w:pPr>
              <w:spacing w:after="0"/>
              <w:rPr>
                <w:sz w:val="19"/>
                <w:szCs w:val="19"/>
                <w:color w:val="auto"/>
              </w:rPr>
            </w:pPr>
          </w:p>
        </w:tc>
        <w:tc>
          <w:tcPr>
            <w:tcW w:w="180" w:type="dxa"/>
            <w:vAlign w:val="bottom"/>
            <w:shd w:val="clear" w:color="auto" w:fill="0E2A35"/>
          </w:tcPr>
          <w:p>
            <w:pPr>
              <w:spacing w:after="0"/>
              <w:rPr>
                <w:sz w:val="19"/>
                <w:szCs w:val="19"/>
                <w:color w:val="auto"/>
              </w:rPr>
            </w:pPr>
          </w:p>
        </w:tc>
        <w:tc>
          <w:tcPr>
            <w:tcW w:w="240" w:type="dxa"/>
            <w:vAlign w:val="bottom"/>
            <w:shd w:val="clear" w:color="auto" w:fill="0E2A35"/>
          </w:tcPr>
          <w:p>
            <w:pPr>
              <w:spacing w:after="0"/>
              <w:rPr>
                <w:sz w:val="19"/>
                <w:szCs w:val="19"/>
                <w:color w:val="auto"/>
              </w:rPr>
            </w:pPr>
          </w:p>
        </w:tc>
        <w:tc>
          <w:tcPr>
            <w:tcW w:w="74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860" w:type="dxa"/>
            <w:vAlign w:val="bottom"/>
            <w:shd w:val="clear" w:color="auto" w:fill="0E2A35"/>
          </w:tcPr>
          <w:p>
            <w:pPr>
              <w:spacing w:after="0"/>
              <w:rPr>
                <w:sz w:val="11"/>
                <w:szCs w:val="11"/>
                <w:color w:val="auto"/>
              </w:rPr>
            </w:pPr>
          </w:p>
        </w:tc>
        <w:tc>
          <w:tcPr>
            <w:tcW w:w="1500" w:type="dxa"/>
            <w:vAlign w:val="bottom"/>
            <w:shd w:val="clear" w:color="auto" w:fill="0E2A35"/>
          </w:tcPr>
          <w:p>
            <w:pPr>
              <w:spacing w:after="0"/>
              <w:rPr>
                <w:sz w:val="11"/>
                <w:szCs w:val="11"/>
                <w:color w:val="auto"/>
              </w:rPr>
            </w:pPr>
          </w:p>
        </w:tc>
        <w:tc>
          <w:tcPr>
            <w:tcW w:w="120" w:type="dxa"/>
            <w:vAlign w:val="bottom"/>
            <w:shd w:val="clear" w:color="auto" w:fill="0E2A35"/>
          </w:tcPr>
          <w:p>
            <w:pPr>
              <w:spacing w:after="0"/>
              <w:rPr>
                <w:sz w:val="11"/>
                <w:szCs w:val="11"/>
                <w:color w:val="auto"/>
              </w:rPr>
            </w:pPr>
          </w:p>
        </w:tc>
        <w:tc>
          <w:tcPr>
            <w:tcW w:w="20" w:type="dxa"/>
            <w:vAlign w:val="bottom"/>
            <w:shd w:val="clear" w:color="auto" w:fill="0E2A35"/>
          </w:tcPr>
          <w:p>
            <w:pPr>
              <w:spacing w:after="0"/>
              <w:rPr>
                <w:sz w:val="11"/>
                <w:szCs w:val="11"/>
                <w:color w:val="auto"/>
              </w:rPr>
            </w:pPr>
          </w:p>
        </w:tc>
        <w:tc>
          <w:tcPr>
            <w:tcW w:w="580" w:type="dxa"/>
            <w:vAlign w:val="bottom"/>
            <w:shd w:val="clear" w:color="auto" w:fill="0E2A35"/>
          </w:tcPr>
          <w:p>
            <w:pPr>
              <w:spacing w:after="0"/>
              <w:rPr>
                <w:sz w:val="11"/>
                <w:szCs w:val="11"/>
                <w:color w:val="auto"/>
              </w:rPr>
            </w:pPr>
          </w:p>
        </w:tc>
        <w:tc>
          <w:tcPr>
            <w:tcW w:w="120" w:type="dxa"/>
            <w:vAlign w:val="bottom"/>
            <w:shd w:val="clear" w:color="auto" w:fill="0E2A35"/>
          </w:tcPr>
          <w:p>
            <w:pPr>
              <w:spacing w:after="0"/>
              <w:rPr>
                <w:sz w:val="11"/>
                <w:szCs w:val="11"/>
                <w:color w:val="auto"/>
              </w:rPr>
            </w:pPr>
          </w:p>
        </w:tc>
        <w:tc>
          <w:tcPr>
            <w:tcW w:w="240" w:type="dxa"/>
            <w:vAlign w:val="bottom"/>
            <w:shd w:val="clear" w:color="auto" w:fill="0E2A35"/>
          </w:tcPr>
          <w:p>
            <w:pPr>
              <w:spacing w:after="0"/>
              <w:rPr>
                <w:sz w:val="11"/>
                <w:szCs w:val="11"/>
                <w:color w:val="auto"/>
              </w:rPr>
            </w:pPr>
          </w:p>
        </w:tc>
        <w:tc>
          <w:tcPr>
            <w:tcW w:w="1160" w:type="dxa"/>
            <w:vAlign w:val="bottom"/>
            <w:shd w:val="clear" w:color="auto" w:fill="0E2A35"/>
          </w:tcPr>
          <w:p>
            <w:pPr>
              <w:jc w:val="center"/>
              <w:ind w:left="37"/>
              <w:spacing w:after="0" w:line="135" w:lineRule="exact"/>
              <w:rPr>
                <w:sz w:val="20"/>
                <w:szCs w:val="20"/>
                <w:color w:val="auto"/>
              </w:rPr>
            </w:pPr>
            <w:r>
              <w:rPr>
                <w:rFonts w:ascii="Arial" w:cs="Arial" w:eastAsia="Arial" w:hAnsi="Arial"/>
                <w:sz w:val="13"/>
                <w:szCs w:val="13"/>
                <w:b w:val="1"/>
                <w:bCs w:val="1"/>
                <w:color w:val="FFFFFF"/>
                <w:w w:val="97"/>
              </w:rPr>
              <w:t>Performance-</w:t>
            </w:r>
          </w:p>
        </w:tc>
        <w:tc>
          <w:tcPr>
            <w:tcW w:w="160" w:type="dxa"/>
            <w:vAlign w:val="bottom"/>
            <w:shd w:val="clear" w:color="auto" w:fill="0E2A35"/>
          </w:tcPr>
          <w:p>
            <w:pPr>
              <w:spacing w:after="0"/>
              <w:rPr>
                <w:sz w:val="11"/>
                <w:szCs w:val="11"/>
                <w:color w:val="auto"/>
              </w:rPr>
            </w:pPr>
          </w:p>
        </w:tc>
        <w:tc>
          <w:tcPr>
            <w:tcW w:w="260" w:type="dxa"/>
            <w:vAlign w:val="bottom"/>
            <w:shd w:val="clear" w:color="auto" w:fill="0E2A35"/>
          </w:tcPr>
          <w:p>
            <w:pPr>
              <w:spacing w:after="0"/>
              <w:rPr>
                <w:sz w:val="11"/>
                <w:szCs w:val="11"/>
                <w:color w:val="auto"/>
              </w:rPr>
            </w:pPr>
          </w:p>
        </w:tc>
        <w:tc>
          <w:tcPr>
            <w:tcW w:w="980" w:type="dxa"/>
            <w:vAlign w:val="bottom"/>
            <w:shd w:val="clear" w:color="auto" w:fill="0E2A35"/>
          </w:tcPr>
          <w:p>
            <w:pPr>
              <w:spacing w:after="0"/>
              <w:rPr>
                <w:sz w:val="11"/>
                <w:szCs w:val="11"/>
                <w:color w:val="auto"/>
              </w:rPr>
            </w:pPr>
          </w:p>
        </w:tc>
        <w:tc>
          <w:tcPr>
            <w:tcW w:w="140" w:type="dxa"/>
            <w:vAlign w:val="bottom"/>
            <w:shd w:val="clear" w:color="auto" w:fill="0E2A35"/>
          </w:tcPr>
          <w:p>
            <w:pPr>
              <w:spacing w:after="0"/>
              <w:rPr>
                <w:sz w:val="11"/>
                <w:szCs w:val="11"/>
                <w:color w:val="auto"/>
              </w:rPr>
            </w:pPr>
          </w:p>
        </w:tc>
        <w:tc>
          <w:tcPr>
            <w:tcW w:w="280" w:type="dxa"/>
            <w:vAlign w:val="bottom"/>
            <w:shd w:val="clear" w:color="auto" w:fill="0E2A35"/>
          </w:tcPr>
          <w:p>
            <w:pPr>
              <w:spacing w:after="0"/>
              <w:rPr>
                <w:sz w:val="11"/>
                <w:szCs w:val="11"/>
                <w:color w:val="auto"/>
              </w:rPr>
            </w:pPr>
          </w:p>
        </w:tc>
        <w:tc>
          <w:tcPr>
            <w:tcW w:w="1340" w:type="dxa"/>
            <w:vAlign w:val="bottom"/>
            <w:shd w:val="clear" w:color="auto" w:fill="0E2A35"/>
          </w:tcPr>
          <w:p>
            <w:pPr>
              <w:spacing w:after="0"/>
              <w:rPr>
                <w:sz w:val="11"/>
                <w:szCs w:val="11"/>
                <w:color w:val="auto"/>
              </w:rPr>
            </w:pPr>
          </w:p>
        </w:tc>
        <w:tc>
          <w:tcPr>
            <w:tcW w:w="180" w:type="dxa"/>
            <w:vAlign w:val="bottom"/>
            <w:shd w:val="clear" w:color="auto" w:fill="0E2A35"/>
          </w:tcPr>
          <w:p>
            <w:pPr>
              <w:spacing w:after="0"/>
              <w:rPr>
                <w:sz w:val="11"/>
                <w:szCs w:val="11"/>
                <w:color w:val="auto"/>
              </w:rPr>
            </w:pPr>
          </w:p>
        </w:tc>
        <w:tc>
          <w:tcPr>
            <w:tcW w:w="240" w:type="dxa"/>
            <w:vAlign w:val="bottom"/>
            <w:shd w:val="clear" w:color="auto" w:fill="0E2A35"/>
          </w:tcPr>
          <w:p>
            <w:pPr>
              <w:spacing w:after="0"/>
              <w:rPr>
                <w:sz w:val="11"/>
                <w:szCs w:val="11"/>
                <w:color w:val="auto"/>
              </w:rPr>
            </w:pPr>
          </w:p>
        </w:tc>
        <w:tc>
          <w:tcPr>
            <w:tcW w:w="740" w:type="dxa"/>
            <w:vAlign w:val="bottom"/>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60" w:type="dxa"/>
            <w:vAlign w:val="bottom"/>
            <w:shd w:val="clear" w:color="auto" w:fill="0E2A35"/>
          </w:tcPr>
          <w:p>
            <w:pPr>
              <w:spacing w:after="0"/>
              <w:rPr>
                <w:sz w:val="14"/>
                <w:szCs w:val="14"/>
                <w:color w:val="auto"/>
              </w:rPr>
            </w:pPr>
          </w:p>
        </w:tc>
        <w:tc>
          <w:tcPr>
            <w:tcW w:w="1500" w:type="dxa"/>
            <w:vAlign w:val="bottom"/>
            <w:shd w:val="clear" w:color="auto" w:fill="0E2A35"/>
          </w:tcPr>
          <w:p>
            <w:pPr>
              <w:ind w:left="1380"/>
              <w:spacing w:after="0"/>
              <w:rPr>
                <w:sz w:val="20"/>
                <w:szCs w:val="20"/>
                <w:color w:val="auto"/>
              </w:rPr>
            </w:pPr>
            <w:r>
              <w:rPr>
                <w:rFonts w:ascii="Arial" w:cs="Arial" w:eastAsia="Arial" w:hAnsi="Arial"/>
                <w:sz w:val="4"/>
                <w:szCs w:val="4"/>
                <w:color w:val="auto"/>
              </w:rPr>
              <w:t>​</w:t>
            </w:r>
          </w:p>
        </w:tc>
        <w:tc>
          <w:tcPr>
            <w:tcW w:w="140" w:type="dxa"/>
            <w:vAlign w:val="bottom"/>
            <w:gridSpan w:val="2"/>
            <w:shd w:val="clear" w:color="auto" w:fill="0E2A35"/>
          </w:tcPr>
          <w:p>
            <w:pPr>
              <w:ind w:left="120"/>
              <w:spacing w:after="0"/>
              <w:rPr>
                <w:sz w:val="20"/>
                <w:szCs w:val="20"/>
                <w:color w:val="auto"/>
              </w:rPr>
            </w:pPr>
            <w:r>
              <w:rPr>
                <w:rFonts w:ascii="Arial" w:cs="Arial" w:eastAsia="Arial" w:hAnsi="Arial"/>
                <w:sz w:val="2"/>
                <w:szCs w:val="2"/>
                <w:color w:val="auto"/>
                <w:w w:val="4294942296"/>
              </w:rPr>
              <w:t>​</w:t>
            </w:r>
          </w:p>
        </w:tc>
        <w:tc>
          <w:tcPr>
            <w:tcW w:w="580" w:type="dxa"/>
            <w:vAlign w:val="bottom"/>
            <w:shd w:val="clear" w:color="auto" w:fill="0E2A35"/>
          </w:tcPr>
          <w:p>
            <w:pPr>
              <w:spacing w:after="0"/>
              <w:rPr>
                <w:sz w:val="14"/>
                <w:szCs w:val="14"/>
                <w:color w:val="auto"/>
              </w:rPr>
            </w:pPr>
          </w:p>
        </w:tc>
        <w:tc>
          <w:tcPr>
            <w:tcW w:w="120" w:type="dxa"/>
            <w:vAlign w:val="bottom"/>
            <w:shd w:val="clear" w:color="auto" w:fill="0E2A35"/>
          </w:tcPr>
          <w:p>
            <w:pPr>
              <w:jc w:val="right"/>
              <w:ind w:right="102"/>
              <w:spacing w:after="0"/>
              <w:rPr>
                <w:sz w:val="20"/>
                <w:szCs w:val="20"/>
                <w:color w:val="auto"/>
              </w:rPr>
            </w:pPr>
            <w:r>
              <w:rPr>
                <w:rFonts w:ascii="Arial" w:cs="Arial" w:eastAsia="Arial" w:hAnsi="Arial"/>
                <w:sz w:val="4"/>
                <w:szCs w:val="4"/>
                <w:color w:val="auto"/>
              </w:rPr>
              <w:t>​</w:t>
            </w:r>
          </w:p>
        </w:tc>
        <w:tc>
          <w:tcPr>
            <w:tcW w:w="240" w:type="dxa"/>
            <w:vAlign w:val="bottom"/>
            <w:shd w:val="clear" w:color="auto" w:fill="0E2A35"/>
          </w:tcPr>
          <w:p>
            <w:pPr>
              <w:ind w:left="100"/>
              <w:spacing w:after="0"/>
              <w:rPr>
                <w:sz w:val="20"/>
                <w:szCs w:val="20"/>
                <w:color w:val="auto"/>
              </w:rPr>
            </w:pPr>
            <w:r>
              <w:rPr>
                <w:rFonts w:ascii="Arial" w:cs="Arial" w:eastAsia="Arial" w:hAnsi="Arial"/>
                <w:sz w:val="4"/>
                <w:szCs w:val="4"/>
                <w:color w:val="auto"/>
              </w:rPr>
              <w:t>​</w:t>
            </w:r>
          </w:p>
        </w:tc>
        <w:tc>
          <w:tcPr>
            <w:tcW w:w="1160" w:type="dxa"/>
            <w:vAlign w:val="bottom"/>
            <w:shd w:val="clear" w:color="auto" w:fill="0E2A35"/>
          </w:tcPr>
          <w:p>
            <w:pPr>
              <w:ind w:left="440"/>
              <w:spacing w:after="0"/>
              <w:rPr>
                <w:sz w:val="20"/>
                <w:szCs w:val="20"/>
                <w:color w:val="auto"/>
              </w:rPr>
            </w:pPr>
            <w:r>
              <w:rPr>
                <w:rFonts w:ascii="Arial" w:cs="Arial" w:eastAsia="Arial" w:hAnsi="Arial"/>
                <w:sz w:val="13"/>
                <w:szCs w:val="13"/>
                <w:b w:val="1"/>
                <w:bCs w:val="1"/>
                <w:color w:val="FFFFFF"/>
              </w:rPr>
              <w:t>Based</w:t>
            </w:r>
          </w:p>
        </w:tc>
        <w:tc>
          <w:tcPr>
            <w:tcW w:w="160" w:type="dxa"/>
            <w:vAlign w:val="bottom"/>
            <w:shd w:val="clear" w:color="auto" w:fill="0E2A35"/>
          </w:tcPr>
          <w:p>
            <w:pPr>
              <w:ind w:left="40"/>
              <w:spacing w:after="0"/>
              <w:rPr>
                <w:sz w:val="20"/>
                <w:szCs w:val="20"/>
                <w:color w:val="auto"/>
              </w:rPr>
            </w:pPr>
            <w:r>
              <w:rPr>
                <w:rFonts w:ascii="Arial" w:cs="Arial" w:eastAsia="Arial" w:hAnsi="Arial"/>
                <w:sz w:val="4"/>
                <w:szCs w:val="4"/>
                <w:color w:val="auto"/>
              </w:rPr>
              <w:t>​</w:t>
            </w:r>
          </w:p>
        </w:tc>
        <w:tc>
          <w:tcPr>
            <w:tcW w:w="260" w:type="dxa"/>
            <w:vAlign w:val="bottom"/>
            <w:shd w:val="clear" w:color="auto" w:fill="0E2A35"/>
          </w:tcPr>
          <w:p>
            <w:pPr>
              <w:ind w:left="120"/>
              <w:spacing w:after="0"/>
              <w:rPr>
                <w:sz w:val="20"/>
                <w:szCs w:val="20"/>
                <w:color w:val="auto"/>
              </w:rPr>
            </w:pPr>
            <w:r>
              <w:rPr>
                <w:rFonts w:ascii="Arial" w:cs="Arial" w:eastAsia="Arial" w:hAnsi="Arial"/>
                <w:sz w:val="4"/>
                <w:szCs w:val="4"/>
                <w:color w:val="auto"/>
              </w:rPr>
              <w:t>​</w:t>
            </w:r>
          </w:p>
        </w:tc>
        <w:tc>
          <w:tcPr>
            <w:tcW w:w="9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Fiscal 2021</w:t>
            </w:r>
          </w:p>
        </w:tc>
        <w:tc>
          <w:tcPr>
            <w:tcW w:w="140" w:type="dxa"/>
            <w:vAlign w:val="bottom"/>
            <w:shd w:val="clear" w:color="auto" w:fill="0E2A35"/>
          </w:tcPr>
          <w:p>
            <w:pPr>
              <w:ind w:left="20"/>
              <w:spacing w:after="0"/>
              <w:rPr>
                <w:sz w:val="20"/>
                <w:szCs w:val="20"/>
                <w:color w:val="auto"/>
              </w:rPr>
            </w:pPr>
            <w:r>
              <w:rPr>
                <w:rFonts w:ascii="Arial" w:cs="Arial" w:eastAsia="Arial" w:hAnsi="Arial"/>
                <w:sz w:val="4"/>
                <w:szCs w:val="4"/>
                <w:color w:val="auto"/>
              </w:rPr>
              <w:t>​</w:t>
            </w:r>
          </w:p>
        </w:tc>
        <w:tc>
          <w:tcPr>
            <w:tcW w:w="280" w:type="dxa"/>
            <w:vAlign w:val="bottom"/>
            <w:shd w:val="clear" w:color="auto" w:fill="0E2A35"/>
          </w:tcPr>
          <w:p>
            <w:pPr>
              <w:ind w:left="120"/>
              <w:spacing w:after="0"/>
              <w:rPr>
                <w:sz w:val="20"/>
                <w:szCs w:val="20"/>
                <w:color w:val="auto"/>
              </w:rPr>
            </w:pPr>
            <w:r>
              <w:rPr>
                <w:rFonts w:ascii="Arial" w:cs="Arial" w:eastAsia="Arial" w:hAnsi="Arial"/>
                <w:sz w:val="4"/>
                <w:szCs w:val="4"/>
                <w:color w:val="auto"/>
              </w:rPr>
              <w:t>​</w:t>
            </w:r>
          </w:p>
        </w:tc>
        <w:tc>
          <w:tcPr>
            <w:tcW w:w="1340" w:type="dxa"/>
            <w:vAlign w:val="bottom"/>
            <w:vMerge w:val="restart"/>
            <w:shd w:val="clear" w:color="auto" w:fill="0E2A35"/>
          </w:tcPr>
          <w:p>
            <w:pPr>
              <w:jc w:val="right"/>
              <w:spacing w:after="0"/>
              <w:rPr>
                <w:sz w:val="20"/>
                <w:szCs w:val="20"/>
                <w:color w:val="auto"/>
              </w:rPr>
            </w:pPr>
            <w:r>
              <w:rPr>
                <w:rFonts w:ascii="Arial" w:cs="Arial" w:eastAsia="Arial" w:hAnsi="Arial"/>
                <w:sz w:val="13"/>
                <w:szCs w:val="13"/>
                <w:b w:val="1"/>
                <w:bCs w:val="1"/>
                <w:color w:val="FFFFFF"/>
              </w:rPr>
              <w:t>LTIP / Performance</w:t>
            </w:r>
          </w:p>
        </w:tc>
        <w:tc>
          <w:tcPr>
            <w:tcW w:w="180" w:type="dxa"/>
            <w:vAlign w:val="bottom"/>
            <w:shd w:val="clear" w:color="auto" w:fill="0E2A35"/>
          </w:tcPr>
          <w:p>
            <w:pPr>
              <w:ind w:left="60"/>
              <w:spacing w:after="0"/>
              <w:rPr>
                <w:sz w:val="20"/>
                <w:szCs w:val="20"/>
                <w:color w:val="auto"/>
              </w:rPr>
            </w:pPr>
            <w:r>
              <w:rPr>
                <w:rFonts w:ascii="Arial" w:cs="Arial" w:eastAsia="Arial" w:hAnsi="Arial"/>
                <w:sz w:val="4"/>
                <w:szCs w:val="4"/>
                <w:color w:val="auto"/>
              </w:rPr>
              <w:t>​</w:t>
            </w:r>
          </w:p>
        </w:tc>
        <w:tc>
          <w:tcPr>
            <w:tcW w:w="240" w:type="dxa"/>
            <w:vAlign w:val="bottom"/>
            <w:shd w:val="clear" w:color="auto" w:fill="0E2A35"/>
          </w:tcPr>
          <w:p>
            <w:pPr>
              <w:ind w:left="120"/>
              <w:spacing w:after="0"/>
              <w:rPr>
                <w:sz w:val="20"/>
                <w:szCs w:val="20"/>
                <w:color w:val="auto"/>
              </w:rPr>
            </w:pPr>
            <w:r>
              <w:rPr>
                <w:rFonts w:ascii="Arial" w:cs="Arial" w:eastAsia="Arial" w:hAnsi="Arial"/>
                <w:sz w:val="4"/>
                <w:szCs w:val="4"/>
                <w:color w:val="auto"/>
              </w:rPr>
              <w:t>​</w:t>
            </w:r>
          </w:p>
        </w:tc>
        <w:tc>
          <w:tcPr>
            <w:tcW w:w="740" w:type="dxa"/>
            <w:vAlign w:val="bottom"/>
            <w:shd w:val="clear" w:color="auto" w:fill="0E2A35"/>
          </w:tcPr>
          <w:p>
            <w:pPr>
              <w:jc w:val="right"/>
              <w:ind w:right="117"/>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21"/>
        </w:trPr>
        <w:tc>
          <w:tcPr>
            <w:tcW w:w="860" w:type="dxa"/>
            <w:vAlign w:val="bottom"/>
            <w:shd w:val="clear" w:color="auto" w:fill="0E2A35"/>
          </w:tcPr>
          <w:p>
            <w:pPr>
              <w:spacing w:after="0"/>
              <w:rPr>
                <w:sz w:val="10"/>
                <w:szCs w:val="10"/>
                <w:color w:val="auto"/>
              </w:rPr>
            </w:pPr>
          </w:p>
        </w:tc>
        <w:tc>
          <w:tcPr>
            <w:tcW w:w="1500" w:type="dxa"/>
            <w:vAlign w:val="bottom"/>
            <w:shd w:val="clear" w:color="auto" w:fill="0E2A35"/>
          </w:tcPr>
          <w:p>
            <w:pPr>
              <w:spacing w:after="0"/>
              <w:rPr>
                <w:sz w:val="10"/>
                <w:szCs w:val="10"/>
                <w:color w:val="auto"/>
              </w:rPr>
            </w:pPr>
          </w:p>
        </w:tc>
        <w:tc>
          <w:tcPr>
            <w:tcW w:w="120" w:type="dxa"/>
            <w:vAlign w:val="bottom"/>
            <w:shd w:val="clear" w:color="auto" w:fill="0E2A35"/>
          </w:tcPr>
          <w:p>
            <w:pPr>
              <w:spacing w:after="0"/>
              <w:rPr>
                <w:sz w:val="10"/>
                <w:szCs w:val="10"/>
                <w:color w:val="auto"/>
              </w:rPr>
            </w:pPr>
          </w:p>
        </w:tc>
        <w:tc>
          <w:tcPr>
            <w:tcW w:w="20" w:type="dxa"/>
            <w:vAlign w:val="bottom"/>
            <w:shd w:val="clear" w:color="auto" w:fill="0E2A35"/>
          </w:tcPr>
          <w:p>
            <w:pPr>
              <w:spacing w:after="0"/>
              <w:rPr>
                <w:sz w:val="10"/>
                <w:szCs w:val="10"/>
                <w:color w:val="auto"/>
              </w:rPr>
            </w:pPr>
          </w:p>
        </w:tc>
        <w:tc>
          <w:tcPr>
            <w:tcW w:w="580" w:type="dxa"/>
            <w:vAlign w:val="bottom"/>
            <w:shd w:val="clear" w:color="auto" w:fill="0E2A35"/>
          </w:tcPr>
          <w:p>
            <w:pPr>
              <w:spacing w:after="0"/>
              <w:rPr>
                <w:sz w:val="10"/>
                <w:szCs w:val="10"/>
                <w:color w:val="auto"/>
              </w:rPr>
            </w:pPr>
          </w:p>
        </w:tc>
        <w:tc>
          <w:tcPr>
            <w:tcW w:w="120" w:type="dxa"/>
            <w:vAlign w:val="bottom"/>
            <w:shd w:val="clear" w:color="auto" w:fill="0E2A35"/>
          </w:tcPr>
          <w:p>
            <w:pPr>
              <w:spacing w:after="0"/>
              <w:rPr>
                <w:sz w:val="10"/>
                <w:szCs w:val="10"/>
                <w:color w:val="auto"/>
              </w:rPr>
            </w:pPr>
          </w:p>
        </w:tc>
        <w:tc>
          <w:tcPr>
            <w:tcW w:w="240" w:type="dxa"/>
            <w:vAlign w:val="bottom"/>
            <w:shd w:val="clear" w:color="auto" w:fill="0E2A35"/>
          </w:tcPr>
          <w:p>
            <w:pPr>
              <w:spacing w:after="0"/>
              <w:rPr>
                <w:sz w:val="10"/>
                <w:szCs w:val="10"/>
                <w:color w:val="auto"/>
              </w:rPr>
            </w:pPr>
          </w:p>
        </w:tc>
        <w:tc>
          <w:tcPr>
            <w:tcW w:w="1160" w:type="dxa"/>
            <w:vAlign w:val="bottom"/>
            <w:shd w:val="clear" w:color="auto" w:fill="0E2A35"/>
          </w:tcPr>
          <w:p>
            <w:pPr>
              <w:jc w:val="center"/>
              <w:ind w:left="37"/>
              <w:spacing w:after="0" w:line="121" w:lineRule="exact"/>
              <w:rPr>
                <w:sz w:val="20"/>
                <w:szCs w:val="20"/>
                <w:color w:val="auto"/>
              </w:rPr>
            </w:pPr>
            <w:r>
              <w:rPr>
                <w:rFonts w:ascii="Arial" w:cs="Arial" w:eastAsia="Arial" w:hAnsi="Arial"/>
                <w:sz w:val="13"/>
                <w:szCs w:val="13"/>
                <w:b w:val="1"/>
                <w:bCs w:val="1"/>
                <w:color w:val="FFFFFF"/>
                <w:w w:val="95"/>
              </w:rPr>
              <w:t>Restricted Stock</w:t>
            </w:r>
          </w:p>
        </w:tc>
        <w:tc>
          <w:tcPr>
            <w:tcW w:w="160" w:type="dxa"/>
            <w:vAlign w:val="bottom"/>
            <w:shd w:val="clear" w:color="auto" w:fill="0E2A35"/>
          </w:tcPr>
          <w:p>
            <w:pPr>
              <w:spacing w:after="0"/>
              <w:rPr>
                <w:sz w:val="10"/>
                <w:szCs w:val="10"/>
                <w:color w:val="auto"/>
              </w:rPr>
            </w:pPr>
          </w:p>
        </w:tc>
        <w:tc>
          <w:tcPr>
            <w:tcW w:w="260" w:type="dxa"/>
            <w:vAlign w:val="bottom"/>
            <w:shd w:val="clear" w:color="auto" w:fill="0E2A35"/>
          </w:tcPr>
          <w:p>
            <w:pPr>
              <w:spacing w:after="0"/>
              <w:rPr>
                <w:sz w:val="10"/>
                <w:szCs w:val="10"/>
                <w:color w:val="auto"/>
              </w:rPr>
            </w:pPr>
          </w:p>
        </w:tc>
        <w:tc>
          <w:tcPr>
            <w:tcW w:w="980" w:type="dxa"/>
            <w:vAlign w:val="bottom"/>
            <w:shd w:val="clear" w:color="auto" w:fill="0E2A35"/>
          </w:tcPr>
          <w:p>
            <w:pPr>
              <w:jc w:val="center"/>
              <w:spacing w:after="0" w:line="121" w:lineRule="exact"/>
              <w:rPr>
                <w:sz w:val="20"/>
                <w:szCs w:val="20"/>
                <w:color w:val="auto"/>
              </w:rPr>
            </w:pPr>
            <w:r>
              <w:rPr>
                <w:rFonts w:ascii="Arial" w:cs="Arial" w:eastAsia="Arial" w:hAnsi="Arial"/>
                <w:sz w:val="13"/>
                <w:szCs w:val="13"/>
                <w:b w:val="1"/>
                <w:bCs w:val="1"/>
                <w:color w:val="FFFFFF"/>
                <w:w w:val="95"/>
              </w:rPr>
              <w:t>Performance</w:t>
            </w:r>
          </w:p>
        </w:tc>
        <w:tc>
          <w:tcPr>
            <w:tcW w:w="140" w:type="dxa"/>
            <w:vAlign w:val="bottom"/>
            <w:shd w:val="clear" w:color="auto" w:fill="0E2A35"/>
          </w:tcPr>
          <w:p>
            <w:pPr>
              <w:spacing w:after="0"/>
              <w:rPr>
                <w:sz w:val="10"/>
                <w:szCs w:val="10"/>
                <w:color w:val="auto"/>
              </w:rPr>
            </w:pPr>
          </w:p>
        </w:tc>
        <w:tc>
          <w:tcPr>
            <w:tcW w:w="280" w:type="dxa"/>
            <w:vAlign w:val="bottom"/>
            <w:shd w:val="clear" w:color="auto" w:fill="0E2A35"/>
          </w:tcPr>
          <w:p>
            <w:pPr>
              <w:spacing w:after="0"/>
              <w:rPr>
                <w:sz w:val="10"/>
                <w:szCs w:val="10"/>
                <w:color w:val="auto"/>
              </w:rPr>
            </w:pPr>
          </w:p>
        </w:tc>
        <w:tc>
          <w:tcPr>
            <w:tcW w:w="1340" w:type="dxa"/>
            <w:vAlign w:val="bottom"/>
            <w:vMerge w:val="continue"/>
            <w:shd w:val="clear" w:color="auto" w:fill="0E2A35"/>
          </w:tcPr>
          <w:p>
            <w:pPr>
              <w:spacing w:after="0"/>
              <w:rPr>
                <w:sz w:val="10"/>
                <w:szCs w:val="10"/>
                <w:color w:val="auto"/>
              </w:rPr>
            </w:pPr>
          </w:p>
        </w:tc>
        <w:tc>
          <w:tcPr>
            <w:tcW w:w="180" w:type="dxa"/>
            <w:vAlign w:val="bottom"/>
            <w:shd w:val="clear" w:color="auto" w:fill="0E2A35"/>
          </w:tcPr>
          <w:p>
            <w:pPr>
              <w:spacing w:after="0"/>
              <w:rPr>
                <w:sz w:val="10"/>
                <w:szCs w:val="10"/>
                <w:color w:val="auto"/>
              </w:rPr>
            </w:pPr>
          </w:p>
        </w:tc>
        <w:tc>
          <w:tcPr>
            <w:tcW w:w="240" w:type="dxa"/>
            <w:vAlign w:val="bottom"/>
            <w:shd w:val="clear" w:color="auto" w:fill="0E2A35"/>
          </w:tcPr>
          <w:p>
            <w:pPr>
              <w:spacing w:after="0"/>
              <w:rPr>
                <w:sz w:val="10"/>
                <w:szCs w:val="10"/>
                <w:color w:val="auto"/>
              </w:rPr>
            </w:pPr>
          </w:p>
        </w:tc>
        <w:tc>
          <w:tcPr>
            <w:tcW w:w="740" w:type="dxa"/>
            <w:vAlign w:val="bottom"/>
            <w:shd w:val="clear" w:color="auto" w:fill="0E2A35"/>
          </w:tcPr>
          <w:p>
            <w:pPr>
              <w:jc w:val="right"/>
              <w:ind w:right="97"/>
              <w:spacing w:after="0" w:line="121" w:lineRule="exact"/>
              <w:rPr>
                <w:sz w:val="20"/>
                <w:szCs w:val="20"/>
                <w:color w:val="auto"/>
              </w:rPr>
            </w:pPr>
            <w:r>
              <w:rPr>
                <w:rFonts w:ascii="Arial" w:cs="Arial" w:eastAsia="Arial" w:hAnsi="Arial"/>
                <w:sz w:val="13"/>
                <w:szCs w:val="13"/>
                <w:b w:val="1"/>
                <w:bCs w:val="1"/>
                <w:color w:val="FFFFFF"/>
              </w:rPr>
              <w:t>Stock</w:t>
            </w:r>
          </w:p>
        </w:tc>
        <w:tc>
          <w:tcPr>
            <w:tcW w:w="0" w:type="dxa"/>
            <w:vAlign w:val="bottom"/>
          </w:tcPr>
          <w:p>
            <w:pPr>
              <w:spacing w:after="0"/>
              <w:rPr>
                <w:sz w:val="1"/>
                <w:szCs w:val="1"/>
                <w:color w:val="auto"/>
              </w:rPr>
            </w:pPr>
          </w:p>
        </w:tc>
      </w:tr>
      <w:tr>
        <w:trPr>
          <w:trHeight w:val="154"/>
        </w:trPr>
        <w:tc>
          <w:tcPr>
            <w:tcW w:w="86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500" w:type="dxa"/>
            <w:vAlign w:val="bottom"/>
            <w:shd w:val="clear" w:color="auto" w:fill="0E2A35"/>
          </w:tcPr>
          <w:p>
            <w:pPr>
              <w:spacing w:after="0"/>
              <w:rPr>
                <w:sz w:val="13"/>
                <w:szCs w:val="13"/>
                <w:color w:val="auto"/>
              </w:rPr>
            </w:pPr>
          </w:p>
        </w:tc>
        <w:tc>
          <w:tcPr>
            <w:tcW w:w="120" w:type="dxa"/>
            <w:vAlign w:val="bottom"/>
            <w:shd w:val="clear" w:color="auto" w:fill="0E2A35"/>
          </w:tcPr>
          <w:p>
            <w:pPr>
              <w:spacing w:after="0"/>
              <w:rPr>
                <w:sz w:val="13"/>
                <w:szCs w:val="13"/>
                <w:color w:val="auto"/>
              </w:rPr>
            </w:pPr>
          </w:p>
        </w:tc>
        <w:tc>
          <w:tcPr>
            <w:tcW w:w="20" w:type="dxa"/>
            <w:vAlign w:val="bottom"/>
            <w:shd w:val="clear" w:color="auto" w:fill="0E2A35"/>
          </w:tcPr>
          <w:p>
            <w:pPr>
              <w:spacing w:after="0"/>
              <w:rPr>
                <w:sz w:val="13"/>
                <w:szCs w:val="13"/>
                <w:color w:val="auto"/>
              </w:rPr>
            </w:pPr>
          </w:p>
        </w:tc>
        <w:tc>
          <w:tcPr>
            <w:tcW w:w="580" w:type="dxa"/>
            <w:vAlign w:val="bottom"/>
            <w:shd w:val="clear" w:color="auto" w:fill="0E2A35"/>
          </w:tcPr>
          <w:p>
            <w:pPr>
              <w:jc w:val="center"/>
              <w:ind w:left="137"/>
              <w:spacing w:after="0"/>
              <w:rPr>
                <w:sz w:val="20"/>
                <w:szCs w:val="20"/>
                <w:color w:val="auto"/>
              </w:rPr>
            </w:pPr>
            <w:r>
              <w:rPr>
                <w:rFonts w:ascii="Arial" w:cs="Arial" w:eastAsia="Arial" w:hAnsi="Arial"/>
                <w:sz w:val="13"/>
                <w:szCs w:val="13"/>
                <w:b w:val="1"/>
                <w:bCs w:val="1"/>
                <w:color w:val="FFFFFF"/>
                <w:w w:val="92"/>
              </w:rPr>
              <w:t>Fiscal</w:t>
            </w:r>
          </w:p>
        </w:tc>
        <w:tc>
          <w:tcPr>
            <w:tcW w:w="120" w:type="dxa"/>
            <w:vAlign w:val="bottom"/>
            <w:shd w:val="clear" w:color="auto" w:fill="0E2A35"/>
          </w:tcPr>
          <w:p>
            <w:pPr>
              <w:spacing w:after="0"/>
              <w:rPr>
                <w:sz w:val="13"/>
                <w:szCs w:val="13"/>
                <w:color w:val="auto"/>
              </w:rPr>
            </w:pPr>
          </w:p>
        </w:tc>
        <w:tc>
          <w:tcPr>
            <w:tcW w:w="240" w:type="dxa"/>
            <w:vAlign w:val="bottom"/>
            <w:shd w:val="clear" w:color="auto" w:fill="0E2A35"/>
          </w:tcPr>
          <w:p>
            <w:pPr>
              <w:spacing w:after="0"/>
              <w:rPr>
                <w:sz w:val="13"/>
                <w:szCs w:val="13"/>
                <w:color w:val="auto"/>
              </w:rPr>
            </w:pPr>
          </w:p>
        </w:tc>
        <w:tc>
          <w:tcPr>
            <w:tcW w:w="1160" w:type="dxa"/>
            <w:vAlign w:val="bottom"/>
            <w:shd w:val="clear" w:color="auto" w:fill="0E2A35"/>
          </w:tcPr>
          <w:p>
            <w:pPr>
              <w:jc w:val="center"/>
              <w:ind w:left="77"/>
              <w:spacing w:after="0" w:line="154" w:lineRule="exact"/>
              <w:rPr>
                <w:sz w:val="20"/>
                <w:szCs w:val="20"/>
                <w:color w:val="auto"/>
              </w:rPr>
            </w:pPr>
            <w:r>
              <w:rPr>
                <w:rFonts w:ascii="Arial" w:cs="Arial" w:eastAsia="Arial" w:hAnsi="Arial"/>
                <w:sz w:val="11"/>
                <w:szCs w:val="11"/>
                <w:b w:val="1"/>
                <w:bCs w:val="1"/>
                <w:color w:val="FFFFFF"/>
              </w:rPr>
              <w:t>Grant</w:t>
            </w:r>
            <w:r>
              <w:rPr>
                <w:rFonts w:ascii="Arial" w:cs="Arial" w:eastAsia="Arial" w:hAnsi="Arial"/>
                <w:sz w:val="17"/>
                <w:szCs w:val="17"/>
                <w:b w:val="1"/>
                <w:bCs w:val="1"/>
                <w:color w:val="FFFFFF"/>
                <w:vertAlign w:val="superscript"/>
              </w:rPr>
              <w:t>(a)</w:t>
            </w:r>
          </w:p>
        </w:tc>
        <w:tc>
          <w:tcPr>
            <w:tcW w:w="160" w:type="dxa"/>
            <w:vAlign w:val="bottom"/>
            <w:shd w:val="clear" w:color="auto" w:fill="0E2A35"/>
          </w:tcPr>
          <w:p>
            <w:pPr>
              <w:spacing w:after="0"/>
              <w:rPr>
                <w:sz w:val="13"/>
                <w:szCs w:val="13"/>
                <w:color w:val="auto"/>
              </w:rPr>
            </w:pPr>
          </w:p>
        </w:tc>
        <w:tc>
          <w:tcPr>
            <w:tcW w:w="260" w:type="dxa"/>
            <w:vAlign w:val="bottom"/>
            <w:shd w:val="clear" w:color="auto" w:fill="0E2A35"/>
          </w:tcPr>
          <w:p>
            <w:pPr>
              <w:spacing w:after="0"/>
              <w:rPr>
                <w:sz w:val="13"/>
                <w:szCs w:val="13"/>
                <w:color w:val="auto"/>
              </w:rPr>
            </w:pPr>
          </w:p>
        </w:tc>
        <w:tc>
          <w:tcPr>
            <w:tcW w:w="980" w:type="dxa"/>
            <w:vAlign w:val="bottom"/>
            <w:shd w:val="clear" w:color="auto" w:fill="0E2A35"/>
          </w:tcPr>
          <w:p>
            <w:pPr>
              <w:jc w:val="right"/>
              <w:spacing w:after="0" w:line="154" w:lineRule="exact"/>
              <w:rPr>
                <w:sz w:val="20"/>
                <w:szCs w:val="20"/>
                <w:color w:val="auto"/>
              </w:rPr>
            </w:pPr>
            <w:r>
              <w:rPr>
                <w:rFonts w:ascii="Arial" w:cs="Arial" w:eastAsia="Arial" w:hAnsi="Arial"/>
                <w:sz w:val="11"/>
                <w:szCs w:val="11"/>
                <w:b w:val="1"/>
                <w:bCs w:val="1"/>
                <w:color w:val="FFFFFF"/>
              </w:rPr>
              <w:t>Stock Units</w:t>
            </w:r>
            <w:r>
              <w:rPr>
                <w:rFonts w:ascii="Arial" w:cs="Arial" w:eastAsia="Arial" w:hAnsi="Arial"/>
                <w:sz w:val="17"/>
                <w:szCs w:val="17"/>
                <w:b w:val="1"/>
                <w:bCs w:val="1"/>
                <w:color w:val="FFFFFF"/>
                <w:vertAlign w:val="superscript"/>
              </w:rPr>
              <w:t>(b)</w:t>
            </w:r>
          </w:p>
        </w:tc>
        <w:tc>
          <w:tcPr>
            <w:tcW w:w="140" w:type="dxa"/>
            <w:vAlign w:val="bottom"/>
            <w:shd w:val="clear" w:color="auto" w:fill="0E2A35"/>
          </w:tcPr>
          <w:p>
            <w:pPr>
              <w:spacing w:after="0"/>
              <w:rPr>
                <w:sz w:val="13"/>
                <w:szCs w:val="13"/>
                <w:color w:val="auto"/>
              </w:rPr>
            </w:pPr>
          </w:p>
        </w:tc>
        <w:tc>
          <w:tcPr>
            <w:tcW w:w="280" w:type="dxa"/>
            <w:vAlign w:val="bottom"/>
            <w:shd w:val="clear" w:color="auto" w:fill="0E2A35"/>
          </w:tcPr>
          <w:p>
            <w:pPr>
              <w:spacing w:after="0"/>
              <w:rPr>
                <w:sz w:val="13"/>
                <w:szCs w:val="13"/>
                <w:color w:val="auto"/>
              </w:rPr>
            </w:pPr>
          </w:p>
        </w:tc>
        <w:tc>
          <w:tcPr>
            <w:tcW w:w="1340" w:type="dxa"/>
            <w:vAlign w:val="bottom"/>
            <w:shd w:val="clear" w:color="auto" w:fill="0E2A35"/>
          </w:tcPr>
          <w:p>
            <w:pPr>
              <w:jc w:val="right"/>
              <w:ind w:right="257"/>
              <w:spacing w:after="0" w:line="154" w:lineRule="exact"/>
              <w:rPr>
                <w:sz w:val="20"/>
                <w:szCs w:val="20"/>
                <w:color w:val="auto"/>
              </w:rPr>
            </w:pPr>
            <w:r>
              <w:rPr>
                <w:rFonts w:ascii="Arial" w:cs="Arial" w:eastAsia="Arial" w:hAnsi="Arial"/>
                <w:sz w:val="11"/>
                <w:szCs w:val="11"/>
                <w:b w:val="1"/>
                <w:bCs w:val="1"/>
                <w:color w:val="FFFFFF"/>
              </w:rPr>
              <w:t>Shares</w:t>
            </w:r>
            <w:r>
              <w:rPr>
                <w:rFonts w:ascii="Arial" w:cs="Arial" w:eastAsia="Arial" w:hAnsi="Arial"/>
                <w:sz w:val="17"/>
                <w:szCs w:val="17"/>
                <w:b w:val="1"/>
                <w:bCs w:val="1"/>
                <w:color w:val="FFFFFF"/>
                <w:vertAlign w:val="superscript"/>
              </w:rPr>
              <w:t>(c)</w:t>
            </w:r>
          </w:p>
        </w:tc>
        <w:tc>
          <w:tcPr>
            <w:tcW w:w="180" w:type="dxa"/>
            <w:vAlign w:val="bottom"/>
            <w:shd w:val="clear" w:color="auto" w:fill="0E2A35"/>
          </w:tcPr>
          <w:p>
            <w:pPr>
              <w:spacing w:after="0"/>
              <w:rPr>
                <w:sz w:val="13"/>
                <w:szCs w:val="13"/>
                <w:color w:val="auto"/>
              </w:rPr>
            </w:pPr>
          </w:p>
        </w:tc>
        <w:tc>
          <w:tcPr>
            <w:tcW w:w="240" w:type="dxa"/>
            <w:vAlign w:val="bottom"/>
            <w:shd w:val="clear" w:color="auto" w:fill="0E2A35"/>
          </w:tcPr>
          <w:p>
            <w:pPr>
              <w:spacing w:after="0"/>
              <w:rPr>
                <w:sz w:val="13"/>
                <w:szCs w:val="13"/>
                <w:color w:val="auto"/>
              </w:rPr>
            </w:pPr>
          </w:p>
        </w:tc>
        <w:tc>
          <w:tcPr>
            <w:tcW w:w="740" w:type="dxa"/>
            <w:vAlign w:val="bottom"/>
            <w:shd w:val="clear" w:color="auto" w:fill="0E2A35"/>
          </w:tcPr>
          <w:p>
            <w:pPr>
              <w:jc w:val="right"/>
              <w:ind w:right="17"/>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76"/>
        </w:trPr>
        <w:tc>
          <w:tcPr>
            <w:tcW w:w="860" w:type="dxa"/>
            <w:vAlign w:val="bottom"/>
            <w:vMerge w:val="continue"/>
            <w:shd w:val="clear" w:color="auto" w:fill="0E2A35"/>
          </w:tcPr>
          <w:p>
            <w:pPr>
              <w:spacing w:after="0"/>
              <w:rPr>
                <w:sz w:val="15"/>
                <w:szCs w:val="15"/>
                <w:color w:val="auto"/>
              </w:rPr>
            </w:pPr>
          </w:p>
        </w:tc>
        <w:tc>
          <w:tcPr>
            <w:tcW w:w="1500" w:type="dxa"/>
            <w:vAlign w:val="bottom"/>
            <w:shd w:val="clear" w:color="auto" w:fill="0E2A35"/>
          </w:tcPr>
          <w:p>
            <w:pPr>
              <w:spacing w:after="0"/>
              <w:rPr>
                <w:sz w:val="15"/>
                <w:szCs w:val="15"/>
                <w:color w:val="auto"/>
              </w:rPr>
            </w:pPr>
          </w:p>
        </w:tc>
        <w:tc>
          <w:tcPr>
            <w:tcW w:w="120" w:type="dxa"/>
            <w:vAlign w:val="bottom"/>
            <w:shd w:val="clear" w:color="auto" w:fill="0E2A35"/>
          </w:tcPr>
          <w:p>
            <w:pPr>
              <w:spacing w:after="0"/>
              <w:rPr>
                <w:sz w:val="15"/>
                <w:szCs w:val="15"/>
                <w:color w:val="auto"/>
              </w:rPr>
            </w:pPr>
          </w:p>
        </w:tc>
        <w:tc>
          <w:tcPr>
            <w:tcW w:w="20" w:type="dxa"/>
            <w:vAlign w:val="bottom"/>
            <w:shd w:val="clear" w:color="auto" w:fill="0E2A35"/>
          </w:tcPr>
          <w:p>
            <w:pPr>
              <w:spacing w:after="0"/>
              <w:rPr>
                <w:sz w:val="15"/>
                <w:szCs w:val="15"/>
                <w:color w:val="auto"/>
              </w:rPr>
            </w:pPr>
          </w:p>
        </w:tc>
        <w:tc>
          <w:tcPr>
            <w:tcW w:w="580" w:type="dxa"/>
            <w:vAlign w:val="bottom"/>
            <w:shd w:val="clear" w:color="auto" w:fill="0E2A35"/>
          </w:tcPr>
          <w:p>
            <w:pPr>
              <w:jc w:val="center"/>
              <w:ind w:left="137"/>
              <w:spacing w:after="0"/>
              <w:rPr>
                <w:sz w:val="20"/>
                <w:szCs w:val="20"/>
                <w:color w:val="auto"/>
              </w:rPr>
            </w:pPr>
            <w:r>
              <w:rPr>
                <w:rFonts w:ascii="Arial" w:cs="Arial" w:eastAsia="Arial" w:hAnsi="Arial"/>
                <w:sz w:val="13"/>
                <w:szCs w:val="13"/>
                <w:b w:val="1"/>
                <w:bCs w:val="1"/>
                <w:color w:val="FFFFFF"/>
                <w:w w:val="92"/>
              </w:rPr>
              <w:t>Year</w:t>
            </w:r>
          </w:p>
        </w:tc>
        <w:tc>
          <w:tcPr>
            <w:tcW w:w="120" w:type="dxa"/>
            <w:vAlign w:val="bottom"/>
            <w:shd w:val="clear" w:color="auto" w:fill="0E2A35"/>
          </w:tcPr>
          <w:p>
            <w:pPr>
              <w:spacing w:after="0"/>
              <w:rPr>
                <w:sz w:val="15"/>
                <w:szCs w:val="15"/>
                <w:color w:val="auto"/>
              </w:rPr>
            </w:pPr>
          </w:p>
        </w:tc>
        <w:tc>
          <w:tcPr>
            <w:tcW w:w="240" w:type="dxa"/>
            <w:vAlign w:val="bottom"/>
            <w:shd w:val="clear" w:color="auto" w:fill="0E2A35"/>
          </w:tcPr>
          <w:p>
            <w:pPr>
              <w:spacing w:after="0"/>
              <w:rPr>
                <w:sz w:val="15"/>
                <w:szCs w:val="15"/>
                <w:color w:val="auto"/>
              </w:rPr>
            </w:pPr>
          </w:p>
        </w:tc>
        <w:tc>
          <w:tcPr>
            <w:tcW w:w="1160" w:type="dxa"/>
            <w:vAlign w:val="bottom"/>
            <w:shd w:val="clear" w:color="auto" w:fill="0E2A35"/>
          </w:tcPr>
          <w:p>
            <w:pPr>
              <w:jc w:val="center"/>
              <w:ind w:left="77"/>
              <w:spacing w:after="0"/>
              <w:rPr>
                <w:sz w:val="20"/>
                <w:szCs w:val="20"/>
                <w:color w:val="auto"/>
              </w:rPr>
            </w:pPr>
            <w:r>
              <w:rPr>
                <w:rFonts w:ascii="Arial" w:cs="Arial" w:eastAsia="Arial" w:hAnsi="Arial"/>
                <w:sz w:val="13"/>
                <w:szCs w:val="13"/>
                <w:b w:val="1"/>
                <w:bCs w:val="1"/>
                <w:color w:val="FFFFFF"/>
                <w:w w:val="87"/>
              </w:rPr>
              <w:t>($)</w:t>
            </w:r>
          </w:p>
        </w:tc>
        <w:tc>
          <w:tcPr>
            <w:tcW w:w="160" w:type="dxa"/>
            <w:vAlign w:val="bottom"/>
            <w:shd w:val="clear" w:color="auto" w:fill="0E2A35"/>
          </w:tcPr>
          <w:p>
            <w:pPr>
              <w:spacing w:after="0"/>
              <w:rPr>
                <w:sz w:val="15"/>
                <w:szCs w:val="15"/>
                <w:color w:val="auto"/>
              </w:rPr>
            </w:pPr>
          </w:p>
        </w:tc>
        <w:tc>
          <w:tcPr>
            <w:tcW w:w="260" w:type="dxa"/>
            <w:vAlign w:val="bottom"/>
            <w:shd w:val="clear" w:color="auto" w:fill="0E2A35"/>
          </w:tcPr>
          <w:p>
            <w:pPr>
              <w:spacing w:after="0"/>
              <w:rPr>
                <w:sz w:val="15"/>
                <w:szCs w:val="15"/>
                <w:color w:val="auto"/>
              </w:rPr>
            </w:pPr>
          </w:p>
        </w:tc>
        <w:tc>
          <w:tcPr>
            <w:tcW w:w="980" w:type="dxa"/>
            <w:vAlign w:val="bottom"/>
            <w:shd w:val="clear" w:color="auto" w:fill="0E2A35"/>
          </w:tcPr>
          <w:p>
            <w:pPr>
              <w:jc w:val="center"/>
              <w:ind w:left="37"/>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E2A35"/>
          </w:tcPr>
          <w:p>
            <w:pPr>
              <w:spacing w:after="0"/>
              <w:rPr>
                <w:sz w:val="15"/>
                <w:szCs w:val="15"/>
                <w:color w:val="auto"/>
              </w:rPr>
            </w:pPr>
          </w:p>
        </w:tc>
        <w:tc>
          <w:tcPr>
            <w:tcW w:w="280" w:type="dxa"/>
            <w:vAlign w:val="bottom"/>
            <w:shd w:val="clear" w:color="auto" w:fill="0E2A35"/>
          </w:tcPr>
          <w:p>
            <w:pPr>
              <w:spacing w:after="0"/>
              <w:rPr>
                <w:sz w:val="15"/>
                <w:szCs w:val="15"/>
                <w:color w:val="auto"/>
              </w:rPr>
            </w:pPr>
          </w:p>
        </w:tc>
        <w:tc>
          <w:tcPr>
            <w:tcW w:w="1340" w:type="dxa"/>
            <w:vAlign w:val="bottom"/>
            <w:shd w:val="clear" w:color="auto" w:fill="0E2A35"/>
          </w:tcPr>
          <w:p>
            <w:pPr>
              <w:jc w:val="center"/>
              <w:ind w:left="77"/>
              <w:spacing w:after="0"/>
              <w:rPr>
                <w:sz w:val="20"/>
                <w:szCs w:val="20"/>
                <w:color w:val="auto"/>
              </w:rPr>
            </w:pPr>
            <w:r>
              <w:rPr>
                <w:rFonts w:ascii="Arial" w:cs="Arial" w:eastAsia="Arial" w:hAnsi="Arial"/>
                <w:sz w:val="13"/>
                <w:szCs w:val="13"/>
                <w:b w:val="1"/>
                <w:bCs w:val="1"/>
                <w:color w:val="FFFFFF"/>
              </w:rPr>
              <w:t>($)</w:t>
            </w:r>
          </w:p>
        </w:tc>
        <w:tc>
          <w:tcPr>
            <w:tcW w:w="180" w:type="dxa"/>
            <w:vAlign w:val="bottom"/>
            <w:shd w:val="clear" w:color="auto" w:fill="0E2A35"/>
          </w:tcPr>
          <w:p>
            <w:pPr>
              <w:spacing w:after="0"/>
              <w:rPr>
                <w:sz w:val="15"/>
                <w:szCs w:val="15"/>
                <w:color w:val="auto"/>
              </w:rPr>
            </w:pPr>
          </w:p>
        </w:tc>
        <w:tc>
          <w:tcPr>
            <w:tcW w:w="240" w:type="dxa"/>
            <w:vAlign w:val="bottom"/>
            <w:shd w:val="clear" w:color="auto" w:fill="0E2A35"/>
          </w:tcPr>
          <w:p>
            <w:pPr>
              <w:spacing w:after="0"/>
              <w:rPr>
                <w:sz w:val="15"/>
                <w:szCs w:val="15"/>
                <w:color w:val="auto"/>
              </w:rPr>
            </w:pPr>
          </w:p>
        </w:tc>
        <w:tc>
          <w:tcPr>
            <w:tcW w:w="740" w:type="dxa"/>
            <w:vAlign w:val="bottom"/>
            <w:shd w:val="clear" w:color="auto" w:fill="0E2A35"/>
          </w:tcPr>
          <w:p>
            <w:pPr>
              <w:jc w:val="right"/>
              <w:ind w:right="17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76"/>
        </w:trPr>
        <w:tc>
          <w:tcPr>
            <w:tcW w:w="2360" w:type="dxa"/>
            <w:vAlign w:val="bottom"/>
            <w:gridSpan w:val="2"/>
            <w:shd w:val="clear" w:color="auto" w:fill="0E2A35"/>
          </w:tcPr>
          <w:p>
            <w:pPr>
              <w:spacing w:after="0"/>
              <w:rPr>
                <w:sz w:val="6"/>
                <w:szCs w:val="6"/>
                <w:color w:val="auto"/>
              </w:rPr>
            </w:pPr>
          </w:p>
        </w:tc>
        <w:tc>
          <w:tcPr>
            <w:tcW w:w="120" w:type="dxa"/>
            <w:vAlign w:val="bottom"/>
            <w:shd w:val="clear" w:color="auto" w:fill="0E2A35"/>
          </w:tcPr>
          <w:p>
            <w:pPr>
              <w:spacing w:after="0"/>
              <w:rPr>
                <w:sz w:val="6"/>
                <w:szCs w:val="6"/>
                <w:color w:val="auto"/>
              </w:rPr>
            </w:pPr>
          </w:p>
        </w:tc>
        <w:tc>
          <w:tcPr>
            <w:tcW w:w="20" w:type="dxa"/>
            <w:vAlign w:val="bottom"/>
            <w:shd w:val="clear" w:color="auto" w:fill="0E2A35"/>
          </w:tcPr>
          <w:p>
            <w:pPr>
              <w:spacing w:after="0"/>
              <w:rPr>
                <w:sz w:val="6"/>
                <w:szCs w:val="6"/>
                <w:color w:val="auto"/>
              </w:rPr>
            </w:pPr>
          </w:p>
        </w:tc>
        <w:tc>
          <w:tcPr>
            <w:tcW w:w="700" w:type="dxa"/>
            <w:vAlign w:val="bottom"/>
            <w:gridSpan w:val="2"/>
            <w:shd w:val="clear" w:color="auto" w:fill="0E2A35"/>
          </w:tcPr>
          <w:p>
            <w:pPr>
              <w:spacing w:after="0"/>
              <w:rPr>
                <w:sz w:val="6"/>
                <w:szCs w:val="6"/>
                <w:color w:val="auto"/>
              </w:rPr>
            </w:pPr>
          </w:p>
        </w:tc>
        <w:tc>
          <w:tcPr>
            <w:tcW w:w="240" w:type="dxa"/>
            <w:vAlign w:val="bottom"/>
            <w:shd w:val="clear" w:color="auto" w:fill="0E2A35"/>
          </w:tcPr>
          <w:p>
            <w:pPr>
              <w:spacing w:after="0"/>
              <w:rPr>
                <w:sz w:val="6"/>
                <w:szCs w:val="6"/>
                <w:color w:val="auto"/>
              </w:rPr>
            </w:pPr>
          </w:p>
        </w:tc>
        <w:tc>
          <w:tcPr>
            <w:tcW w:w="1160" w:type="dxa"/>
            <w:vAlign w:val="bottom"/>
            <w:shd w:val="clear" w:color="auto" w:fill="0E2A35"/>
          </w:tcPr>
          <w:p>
            <w:pPr>
              <w:spacing w:after="0"/>
              <w:rPr>
                <w:sz w:val="6"/>
                <w:szCs w:val="6"/>
                <w:color w:val="auto"/>
              </w:rPr>
            </w:pPr>
          </w:p>
        </w:tc>
        <w:tc>
          <w:tcPr>
            <w:tcW w:w="160" w:type="dxa"/>
            <w:vAlign w:val="bottom"/>
            <w:shd w:val="clear" w:color="auto" w:fill="0E2A35"/>
          </w:tcPr>
          <w:p>
            <w:pPr>
              <w:spacing w:after="0"/>
              <w:rPr>
                <w:sz w:val="6"/>
                <w:szCs w:val="6"/>
                <w:color w:val="auto"/>
              </w:rPr>
            </w:pPr>
          </w:p>
        </w:tc>
        <w:tc>
          <w:tcPr>
            <w:tcW w:w="260" w:type="dxa"/>
            <w:vAlign w:val="bottom"/>
            <w:shd w:val="clear" w:color="auto" w:fill="0E2A35"/>
          </w:tcPr>
          <w:p>
            <w:pPr>
              <w:spacing w:after="0"/>
              <w:rPr>
                <w:sz w:val="6"/>
                <w:szCs w:val="6"/>
                <w:color w:val="auto"/>
              </w:rPr>
            </w:pPr>
          </w:p>
        </w:tc>
        <w:tc>
          <w:tcPr>
            <w:tcW w:w="980" w:type="dxa"/>
            <w:vAlign w:val="bottom"/>
            <w:shd w:val="clear" w:color="auto" w:fill="0E2A35"/>
          </w:tcPr>
          <w:p>
            <w:pPr>
              <w:spacing w:after="0"/>
              <w:rPr>
                <w:sz w:val="6"/>
                <w:szCs w:val="6"/>
                <w:color w:val="auto"/>
              </w:rPr>
            </w:pPr>
          </w:p>
        </w:tc>
        <w:tc>
          <w:tcPr>
            <w:tcW w:w="140" w:type="dxa"/>
            <w:vAlign w:val="bottom"/>
            <w:shd w:val="clear" w:color="auto" w:fill="0E2A35"/>
          </w:tcPr>
          <w:p>
            <w:pPr>
              <w:spacing w:after="0"/>
              <w:rPr>
                <w:sz w:val="6"/>
                <w:szCs w:val="6"/>
                <w:color w:val="auto"/>
              </w:rPr>
            </w:pPr>
          </w:p>
        </w:tc>
        <w:tc>
          <w:tcPr>
            <w:tcW w:w="280" w:type="dxa"/>
            <w:vAlign w:val="bottom"/>
            <w:shd w:val="clear" w:color="auto" w:fill="0E2A35"/>
          </w:tcPr>
          <w:p>
            <w:pPr>
              <w:spacing w:after="0"/>
              <w:rPr>
                <w:sz w:val="6"/>
                <w:szCs w:val="6"/>
                <w:color w:val="auto"/>
              </w:rPr>
            </w:pPr>
          </w:p>
        </w:tc>
        <w:tc>
          <w:tcPr>
            <w:tcW w:w="1340" w:type="dxa"/>
            <w:vAlign w:val="bottom"/>
            <w:shd w:val="clear" w:color="auto" w:fill="0E2A35"/>
          </w:tcPr>
          <w:p>
            <w:pPr>
              <w:spacing w:after="0"/>
              <w:rPr>
                <w:sz w:val="6"/>
                <w:szCs w:val="6"/>
                <w:color w:val="auto"/>
              </w:rPr>
            </w:pPr>
          </w:p>
        </w:tc>
        <w:tc>
          <w:tcPr>
            <w:tcW w:w="180" w:type="dxa"/>
            <w:vAlign w:val="bottom"/>
            <w:shd w:val="clear" w:color="auto" w:fill="0E2A35"/>
          </w:tcPr>
          <w:p>
            <w:pPr>
              <w:spacing w:after="0"/>
              <w:rPr>
                <w:sz w:val="6"/>
                <w:szCs w:val="6"/>
                <w:color w:val="auto"/>
              </w:rPr>
            </w:pPr>
          </w:p>
        </w:tc>
        <w:tc>
          <w:tcPr>
            <w:tcW w:w="240" w:type="dxa"/>
            <w:vAlign w:val="bottom"/>
            <w:shd w:val="clear" w:color="auto" w:fill="0E2A35"/>
          </w:tcPr>
          <w:p>
            <w:pPr>
              <w:spacing w:after="0"/>
              <w:rPr>
                <w:sz w:val="6"/>
                <w:szCs w:val="6"/>
                <w:color w:val="auto"/>
              </w:rPr>
            </w:pPr>
          </w:p>
        </w:tc>
        <w:tc>
          <w:tcPr>
            <w:tcW w:w="740" w:type="dxa"/>
            <w:vAlign w:val="bottom"/>
            <w:shd w:val="clear" w:color="auto" w:fill="0E2A35"/>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360" w:type="dxa"/>
            <w:vAlign w:val="bottom"/>
            <w:gridSpan w:val="2"/>
          </w:tcPr>
          <w:p>
            <w:pPr>
              <w:ind w:left="60"/>
              <w:spacing w:after="0"/>
              <w:rPr>
                <w:sz w:val="20"/>
                <w:szCs w:val="20"/>
                <w:color w:val="auto"/>
              </w:rPr>
            </w:pPr>
            <w:r>
              <w:rPr>
                <w:rFonts w:ascii="Arial" w:cs="Arial" w:eastAsia="Arial" w:hAnsi="Arial"/>
                <w:sz w:val="13"/>
                <w:szCs w:val="13"/>
                <w:color w:val="0E2A35"/>
              </w:rPr>
              <w:t>Michael J. Happe</w:t>
            </w: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700" w:type="dxa"/>
            <w:vAlign w:val="bottom"/>
            <w:gridSpan w:val="2"/>
          </w:tcPr>
          <w:p>
            <w:pPr>
              <w:jc w:val="right"/>
              <w:ind w:right="102"/>
              <w:spacing w:after="0"/>
              <w:rPr>
                <w:sz w:val="20"/>
                <w:szCs w:val="20"/>
                <w:color w:val="auto"/>
              </w:rPr>
            </w:pPr>
            <w:r>
              <w:rPr>
                <w:rFonts w:ascii="Arial" w:cs="Arial" w:eastAsia="Arial" w:hAnsi="Arial"/>
                <w:sz w:val="13"/>
                <w:szCs w:val="13"/>
                <w:color w:val="0E2A35"/>
              </w:rPr>
              <w:t xml:space="preserve">2023 </w:t>
            </w:r>
            <w:r>
              <w:rPr>
                <w:rFonts w:ascii="Arial" w:cs="Arial" w:eastAsia="Arial" w:hAnsi="Arial"/>
                <w:sz w:val="3"/>
                <w:szCs w:val="3"/>
                <w:color w:val="000000"/>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jc w:val="right"/>
              <w:ind w:right="197"/>
              <w:spacing w:after="0"/>
              <w:rPr>
                <w:sz w:val="20"/>
                <w:szCs w:val="20"/>
                <w:color w:val="auto"/>
              </w:rPr>
            </w:pPr>
            <w:r>
              <w:rPr>
                <w:rFonts w:ascii="Arial" w:cs="Arial" w:eastAsia="Arial" w:hAnsi="Arial"/>
                <w:sz w:val="13"/>
                <w:szCs w:val="13"/>
                <w:color w:val="0E2A35"/>
              </w:rPr>
              <w:t>1,750,008</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297"/>
              <w:spacing w:after="0"/>
              <w:rPr>
                <w:sz w:val="20"/>
                <w:szCs w:val="20"/>
                <w:color w:val="auto"/>
              </w:rPr>
            </w:pPr>
            <w:r>
              <w:rPr>
                <w:rFonts w:ascii="Arial" w:cs="Arial" w:eastAsia="Arial" w:hAnsi="Arial"/>
                <w:sz w:val="13"/>
                <w:szCs w:val="13"/>
                <w:color w:val="0E2A35"/>
              </w:rPr>
              <w:t>2,499,987</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4,249,995</w:t>
            </w:r>
          </w:p>
        </w:tc>
        <w:tc>
          <w:tcPr>
            <w:tcW w:w="0" w:type="dxa"/>
            <w:vAlign w:val="bottom"/>
          </w:tcPr>
          <w:p>
            <w:pPr>
              <w:spacing w:after="0"/>
              <w:rPr>
                <w:sz w:val="1"/>
                <w:szCs w:val="1"/>
                <w:color w:val="auto"/>
              </w:rPr>
            </w:pPr>
          </w:p>
        </w:tc>
      </w:tr>
      <w:tr>
        <w:trPr>
          <w:trHeight w:val="83"/>
        </w:trPr>
        <w:tc>
          <w:tcPr>
            <w:tcW w:w="8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500" w:type="dxa"/>
            <w:vAlign w:val="bottom"/>
          </w:tcPr>
          <w:p>
            <w:pPr>
              <w:ind w:left="1380"/>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580" w:type="dxa"/>
            <w:vAlign w:val="bottom"/>
          </w:tcPr>
          <w:p>
            <w:pPr>
              <w:jc w:val="center"/>
              <w:ind w:left="117"/>
              <w:spacing w:after="0"/>
              <w:rPr>
                <w:sz w:val="20"/>
                <w:szCs w:val="20"/>
                <w:color w:val="auto"/>
              </w:rPr>
            </w:pPr>
            <w:r>
              <w:rPr>
                <w:rFonts w:ascii="Arial" w:cs="Arial" w:eastAsia="Arial" w:hAnsi="Arial"/>
                <w:sz w:val="13"/>
                <w:szCs w:val="13"/>
                <w:color w:val="0E2A35"/>
                <w:w w:val="96"/>
              </w:rPr>
              <w:t>2022​</w:t>
            </w:r>
          </w:p>
        </w:tc>
        <w:tc>
          <w:tcPr>
            <w:tcW w:w="12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jc w:val="right"/>
              <w:ind w:right="197"/>
              <w:spacing w:after="0"/>
              <w:rPr>
                <w:sz w:val="20"/>
                <w:szCs w:val="20"/>
                <w:color w:val="auto"/>
              </w:rPr>
            </w:pPr>
            <w:r>
              <w:rPr>
                <w:rFonts w:ascii="Arial" w:cs="Arial" w:eastAsia="Arial" w:hAnsi="Arial"/>
                <w:sz w:val="13"/>
                <w:szCs w:val="13"/>
                <w:color w:val="0E2A35"/>
              </w:rPr>
              <w:t>1,469,999</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297"/>
              <w:spacing w:after="0"/>
              <w:rPr>
                <w:sz w:val="20"/>
                <w:szCs w:val="20"/>
                <w:color w:val="auto"/>
              </w:rPr>
            </w:pPr>
            <w:r>
              <w:rPr>
                <w:rFonts w:ascii="Arial" w:cs="Arial" w:eastAsia="Arial" w:hAnsi="Arial"/>
                <w:sz w:val="13"/>
                <w:szCs w:val="13"/>
                <w:color w:val="0E2A35"/>
              </w:rPr>
              <w:t>2,099,966</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3,569,965</w:t>
            </w:r>
          </w:p>
        </w:tc>
        <w:tc>
          <w:tcPr>
            <w:tcW w:w="0" w:type="dxa"/>
            <w:vAlign w:val="bottom"/>
          </w:tcPr>
          <w:p>
            <w:pPr>
              <w:spacing w:after="0"/>
              <w:rPr>
                <w:sz w:val="1"/>
                <w:szCs w:val="1"/>
                <w:color w:val="auto"/>
              </w:rPr>
            </w:pPr>
          </w:p>
        </w:tc>
      </w:tr>
      <w:tr>
        <w:trPr>
          <w:trHeight w:val="83"/>
        </w:trPr>
        <w:tc>
          <w:tcPr>
            <w:tcW w:w="8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580" w:type="dxa"/>
            <w:vAlign w:val="bottom"/>
          </w:tcPr>
          <w:p>
            <w:pPr>
              <w:jc w:val="center"/>
              <w:ind w:left="117"/>
              <w:spacing w:after="0"/>
              <w:rPr>
                <w:sz w:val="20"/>
                <w:szCs w:val="20"/>
                <w:color w:val="auto"/>
              </w:rPr>
            </w:pPr>
            <w:r>
              <w:rPr>
                <w:rFonts w:ascii="Arial" w:cs="Arial" w:eastAsia="Arial" w:hAnsi="Arial"/>
                <w:sz w:val="13"/>
                <w:szCs w:val="13"/>
                <w:color w:val="0E2A35"/>
                <w:w w:val="96"/>
              </w:rPr>
              <w:t>2021​</w:t>
            </w:r>
          </w:p>
        </w:tc>
        <w:tc>
          <w:tcPr>
            <w:tcW w:w="12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jc w:val="right"/>
              <w:ind w:right="197"/>
              <w:spacing w:after="0"/>
              <w:rPr>
                <w:sz w:val="20"/>
                <w:szCs w:val="20"/>
                <w:color w:val="auto"/>
              </w:rPr>
            </w:pPr>
            <w:r>
              <w:rPr>
                <w:rFonts w:ascii="Arial" w:cs="Arial" w:eastAsia="Arial" w:hAnsi="Arial"/>
                <w:sz w:val="13"/>
                <w:szCs w:val="13"/>
                <w:color w:val="0E2A35"/>
              </w:rPr>
              <w:t>1,224,990</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599,989</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297"/>
              <w:spacing w:after="0"/>
              <w:rPr>
                <w:sz w:val="20"/>
                <w:szCs w:val="20"/>
                <w:color w:val="auto"/>
              </w:rPr>
            </w:pPr>
            <w:r>
              <w:rPr>
                <w:rFonts w:ascii="Arial" w:cs="Arial" w:eastAsia="Arial" w:hAnsi="Arial"/>
                <w:sz w:val="13"/>
                <w:szCs w:val="13"/>
                <w:color w:val="0E2A35"/>
              </w:rPr>
              <w:t>1,750,001</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3,574,980</w:t>
            </w:r>
          </w:p>
        </w:tc>
        <w:tc>
          <w:tcPr>
            <w:tcW w:w="0" w:type="dxa"/>
            <w:vAlign w:val="bottom"/>
          </w:tcPr>
          <w:p>
            <w:pPr>
              <w:spacing w:after="0"/>
              <w:rPr>
                <w:sz w:val="1"/>
                <w:szCs w:val="1"/>
                <w:color w:val="auto"/>
              </w:rPr>
            </w:pPr>
          </w:p>
        </w:tc>
      </w:tr>
      <w:tr>
        <w:trPr>
          <w:trHeight w:val="83"/>
        </w:trPr>
        <w:tc>
          <w:tcPr>
            <w:tcW w:w="2360" w:type="dxa"/>
            <w:vAlign w:val="bottom"/>
            <w:tcBorders>
              <w:bottom w:val="single" w:sz="8" w:color="0E2A35"/>
            </w:tcBorders>
            <w:gridSpan w:val="2"/>
          </w:tcPr>
          <w:p>
            <w:pPr>
              <w:spacing w:after="0"/>
              <w:rPr>
                <w:sz w:val="7"/>
                <w:szCs w:val="7"/>
                <w:color w:val="auto"/>
              </w:rPr>
            </w:pPr>
          </w:p>
        </w:tc>
        <w:tc>
          <w:tcPr>
            <w:tcW w:w="140" w:type="dxa"/>
            <w:vAlign w:val="bottom"/>
            <w:tcBorders>
              <w:bottom w:val="single" w:sz="8" w:color="0E2A35"/>
            </w:tcBorders>
            <w:gridSpan w:val="2"/>
          </w:tcPr>
          <w:p>
            <w:pPr>
              <w:spacing w:after="0"/>
              <w:rPr>
                <w:sz w:val="7"/>
                <w:szCs w:val="7"/>
                <w:color w:val="auto"/>
              </w:rPr>
            </w:pPr>
          </w:p>
        </w:tc>
        <w:tc>
          <w:tcPr>
            <w:tcW w:w="700" w:type="dxa"/>
            <w:vAlign w:val="bottom"/>
            <w:tcBorders>
              <w:bottom w:val="single" w:sz="8" w:color="0E2A35"/>
            </w:tcBorders>
            <w:gridSpan w:val="2"/>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60"/>
              <w:spacing w:after="0"/>
              <w:rPr>
                <w:sz w:val="20"/>
                <w:szCs w:val="20"/>
                <w:color w:val="auto"/>
              </w:rPr>
            </w:pPr>
            <w:r>
              <w:rPr>
                <w:rFonts w:ascii="Arial" w:cs="Arial" w:eastAsia="Arial" w:hAnsi="Arial"/>
                <w:sz w:val="13"/>
                <w:szCs w:val="13"/>
                <w:color w:val="0E2A35"/>
              </w:rPr>
              <w:t>Bryan L. Hughes​</w:t>
            </w: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700" w:type="dxa"/>
            <w:vAlign w:val="bottom"/>
            <w:gridSpan w:val="2"/>
          </w:tcPr>
          <w:p>
            <w:pPr>
              <w:jc w:val="right"/>
              <w:ind w:right="102"/>
              <w:spacing w:after="0"/>
              <w:rPr>
                <w:sz w:val="20"/>
                <w:szCs w:val="20"/>
                <w:color w:val="auto"/>
              </w:rPr>
            </w:pPr>
            <w:r>
              <w:rPr>
                <w:rFonts w:ascii="Arial" w:cs="Arial" w:eastAsia="Arial" w:hAnsi="Arial"/>
                <w:sz w:val="13"/>
                <w:szCs w:val="13"/>
                <w:color w:val="0E2A35"/>
              </w:rPr>
              <w:t xml:space="preserve">2023 </w:t>
            </w:r>
            <w:r>
              <w:rPr>
                <w:rFonts w:ascii="Arial" w:cs="Arial" w:eastAsia="Arial" w:hAnsi="Arial"/>
                <w:sz w:val="3"/>
                <w:szCs w:val="3"/>
                <w:color w:val="000000"/>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352,189</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center"/>
              <w:ind w:left="77"/>
              <w:spacing w:after="0"/>
              <w:rPr>
                <w:sz w:val="20"/>
                <w:szCs w:val="20"/>
                <w:color w:val="auto"/>
              </w:rPr>
            </w:pPr>
            <w:r>
              <w:rPr>
                <w:rFonts w:ascii="Arial" w:cs="Arial" w:eastAsia="Arial" w:hAnsi="Arial"/>
                <w:sz w:val="13"/>
                <w:szCs w:val="13"/>
                <w:color w:val="0E2A35"/>
                <w:w w:val="93"/>
              </w:rPr>
              <w:t>503,127</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855,316</w:t>
            </w:r>
          </w:p>
        </w:tc>
        <w:tc>
          <w:tcPr>
            <w:tcW w:w="0" w:type="dxa"/>
            <w:vAlign w:val="bottom"/>
          </w:tcPr>
          <w:p>
            <w:pPr>
              <w:spacing w:after="0"/>
              <w:rPr>
                <w:sz w:val="1"/>
                <w:szCs w:val="1"/>
                <w:color w:val="auto"/>
              </w:rPr>
            </w:pPr>
          </w:p>
        </w:tc>
      </w:tr>
      <w:tr>
        <w:trPr>
          <w:trHeight w:val="83"/>
        </w:trPr>
        <w:tc>
          <w:tcPr>
            <w:tcW w:w="8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500" w:type="dxa"/>
            <w:vAlign w:val="bottom"/>
          </w:tcPr>
          <w:p>
            <w:pPr>
              <w:ind w:left="1380"/>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580" w:type="dxa"/>
            <w:vAlign w:val="bottom"/>
          </w:tcPr>
          <w:p>
            <w:pPr>
              <w:jc w:val="center"/>
              <w:ind w:left="117"/>
              <w:spacing w:after="0"/>
              <w:rPr>
                <w:sz w:val="20"/>
                <w:szCs w:val="20"/>
                <w:color w:val="auto"/>
              </w:rPr>
            </w:pPr>
            <w:r>
              <w:rPr>
                <w:rFonts w:ascii="Arial" w:cs="Arial" w:eastAsia="Arial" w:hAnsi="Arial"/>
                <w:sz w:val="13"/>
                <w:szCs w:val="13"/>
                <w:color w:val="0E2A35"/>
                <w:w w:val="96"/>
              </w:rPr>
              <w:t>2022​</w:t>
            </w:r>
          </w:p>
        </w:tc>
        <w:tc>
          <w:tcPr>
            <w:tcW w:w="12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343,783</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center"/>
              <w:ind w:left="77"/>
              <w:spacing w:after="0"/>
              <w:rPr>
                <w:sz w:val="20"/>
                <w:szCs w:val="20"/>
                <w:color w:val="auto"/>
              </w:rPr>
            </w:pPr>
            <w:r>
              <w:rPr>
                <w:rFonts w:ascii="Arial" w:cs="Arial" w:eastAsia="Arial" w:hAnsi="Arial"/>
                <w:sz w:val="13"/>
                <w:szCs w:val="13"/>
                <w:color w:val="0E2A35"/>
                <w:w w:val="93"/>
              </w:rPr>
              <w:t>412,495</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756,278</w:t>
            </w:r>
          </w:p>
        </w:tc>
        <w:tc>
          <w:tcPr>
            <w:tcW w:w="0" w:type="dxa"/>
            <w:vAlign w:val="bottom"/>
          </w:tcPr>
          <w:p>
            <w:pPr>
              <w:spacing w:after="0"/>
              <w:rPr>
                <w:sz w:val="1"/>
                <w:szCs w:val="1"/>
                <w:color w:val="auto"/>
              </w:rPr>
            </w:pPr>
          </w:p>
        </w:tc>
      </w:tr>
      <w:tr>
        <w:trPr>
          <w:trHeight w:val="83"/>
        </w:trPr>
        <w:tc>
          <w:tcPr>
            <w:tcW w:w="8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580" w:type="dxa"/>
            <w:vAlign w:val="bottom"/>
          </w:tcPr>
          <w:p>
            <w:pPr>
              <w:jc w:val="center"/>
              <w:ind w:left="117"/>
              <w:spacing w:after="0"/>
              <w:rPr>
                <w:sz w:val="20"/>
                <w:szCs w:val="20"/>
                <w:color w:val="auto"/>
              </w:rPr>
            </w:pPr>
            <w:r>
              <w:rPr>
                <w:rFonts w:ascii="Arial" w:cs="Arial" w:eastAsia="Arial" w:hAnsi="Arial"/>
                <w:sz w:val="13"/>
                <w:szCs w:val="13"/>
                <w:color w:val="0E2A35"/>
                <w:w w:val="96"/>
              </w:rPr>
              <w:t>2021​</w:t>
            </w:r>
          </w:p>
        </w:tc>
        <w:tc>
          <w:tcPr>
            <w:tcW w:w="12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229,675</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210,004</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center"/>
              <w:ind w:left="77"/>
              <w:spacing w:after="0"/>
              <w:rPr>
                <w:sz w:val="20"/>
                <w:szCs w:val="20"/>
                <w:color w:val="auto"/>
              </w:rPr>
            </w:pPr>
            <w:r>
              <w:rPr>
                <w:rFonts w:ascii="Arial" w:cs="Arial" w:eastAsia="Arial" w:hAnsi="Arial"/>
                <w:sz w:val="13"/>
                <w:szCs w:val="13"/>
                <w:color w:val="0E2A35"/>
                <w:w w:val="93"/>
              </w:rPr>
              <w:t>328,139</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767,818</w:t>
            </w:r>
          </w:p>
        </w:tc>
        <w:tc>
          <w:tcPr>
            <w:tcW w:w="0" w:type="dxa"/>
            <w:vAlign w:val="bottom"/>
          </w:tcPr>
          <w:p>
            <w:pPr>
              <w:spacing w:after="0"/>
              <w:rPr>
                <w:sz w:val="1"/>
                <w:szCs w:val="1"/>
                <w:color w:val="auto"/>
              </w:rPr>
            </w:pPr>
          </w:p>
        </w:tc>
      </w:tr>
      <w:tr>
        <w:trPr>
          <w:trHeight w:val="83"/>
        </w:trPr>
        <w:tc>
          <w:tcPr>
            <w:tcW w:w="2360" w:type="dxa"/>
            <w:vAlign w:val="bottom"/>
            <w:tcBorders>
              <w:bottom w:val="single" w:sz="8" w:color="0E2A35"/>
            </w:tcBorders>
            <w:gridSpan w:val="2"/>
          </w:tcPr>
          <w:p>
            <w:pPr>
              <w:spacing w:after="0"/>
              <w:rPr>
                <w:sz w:val="7"/>
                <w:szCs w:val="7"/>
                <w:color w:val="auto"/>
              </w:rPr>
            </w:pPr>
          </w:p>
        </w:tc>
        <w:tc>
          <w:tcPr>
            <w:tcW w:w="140" w:type="dxa"/>
            <w:vAlign w:val="bottom"/>
            <w:tcBorders>
              <w:bottom w:val="single" w:sz="8" w:color="0E2A35"/>
            </w:tcBorders>
            <w:gridSpan w:val="2"/>
          </w:tcPr>
          <w:p>
            <w:pPr>
              <w:spacing w:after="0"/>
              <w:rPr>
                <w:sz w:val="7"/>
                <w:szCs w:val="7"/>
                <w:color w:val="auto"/>
              </w:rPr>
            </w:pPr>
          </w:p>
        </w:tc>
        <w:tc>
          <w:tcPr>
            <w:tcW w:w="700" w:type="dxa"/>
            <w:vAlign w:val="bottom"/>
            <w:tcBorders>
              <w:bottom w:val="single" w:sz="8" w:color="0E2A35"/>
            </w:tcBorders>
            <w:gridSpan w:val="2"/>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60"/>
              <w:spacing w:after="0"/>
              <w:rPr>
                <w:sz w:val="20"/>
                <w:szCs w:val="20"/>
                <w:color w:val="auto"/>
              </w:rPr>
            </w:pPr>
            <w:r>
              <w:rPr>
                <w:rFonts w:ascii="Arial" w:cs="Arial" w:eastAsia="Arial" w:hAnsi="Arial"/>
                <w:sz w:val="13"/>
                <w:szCs w:val="13"/>
                <w:color w:val="0E2A35"/>
              </w:rPr>
              <w:t>Stacy L. Bogart</w:t>
            </w: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700" w:type="dxa"/>
            <w:vAlign w:val="bottom"/>
            <w:gridSpan w:val="2"/>
          </w:tcPr>
          <w:p>
            <w:pPr>
              <w:jc w:val="right"/>
              <w:ind w:right="102"/>
              <w:spacing w:after="0"/>
              <w:rPr>
                <w:sz w:val="20"/>
                <w:szCs w:val="20"/>
                <w:color w:val="auto"/>
              </w:rPr>
            </w:pPr>
            <w:r>
              <w:rPr>
                <w:rFonts w:ascii="Arial" w:cs="Arial" w:eastAsia="Arial" w:hAnsi="Arial"/>
                <w:sz w:val="13"/>
                <w:szCs w:val="13"/>
                <w:color w:val="0E2A35"/>
              </w:rPr>
              <w:t xml:space="preserve">2023 </w:t>
            </w:r>
            <w:r>
              <w:rPr>
                <w:rFonts w:ascii="Arial" w:cs="Arial" w:eastAsia="Arial" w:hAnsi="Arial"/>
                <w:sz w:val="3"/>
                <w:szCs w:val="3"/>
                <w:color w:val="000000"/>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268,783</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center"/>
              <w:ind w:left="77"/>
              <w:spacing w:after="0"/>
              <w:rPr>
                <w:sz w:val="20"/>
                <w:szCs w:val="20"/>
                <w:color w:val="auto"/>
              </w:rPr>
            </w:pPr>
            <w:r>
              <w:rPr>
                <w:rFonts w:ascii="Arial" w:cs="Arial" w:eastAsia="Arial" w:hAnsi="Arial"/>
                <w:sz w:val="13"/>
                <w:szCs w:val="13"/>
                <w:color w:val="0E2A35"/>
                <w:w w:val="93"/>
              </w:rPr>
              <w:t>383,992</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652,775</w:t>
            </w:r>
          </w:p>
        </w:tc>
        <w:tc>
          <w:tcPr>
            <w:tcW w:w="0" w:type="dxa"/>
            <w:vAlign w:val="bottom"/>
          </w:tcPr>
          <w:p>
            <w:pPr>
              <w:spacing w:after="0"/>
              <w:rPr>
                <w:sz w:val="1"/>
                <w:szCs w:val="1"/>
                <w:color w:val="auto"/>
              </w:rPr>
            </w:pPr>
          </w:p>
        </w:tc>
      </w:tr>
      <w:tr>
        <w:trPr>
          <w:trHeight w:val="83"/>
        </w:trPr>
        <w:tc>
          <w:tcPr>
            <w:tcW w:w="8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700" w:type="dxa"/>
            <w:vAlign w:val="bottom"/>
            <w:tcBorders>
              <w:bottom w:val="single" w:sz="8" w:color="0E2A35"/>
            </w:tcBorders>
            <w:gridSpan w:val="2"/>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500" w:type="dxa"/>
            <w:vAlign w:val="bottom"/>
          </w:tcPr>
          <w:p>
            <w:pPr>
              <w:ind w:left="1380"/>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700" w:type="dxa"/>
            <w:vAlign w:val="bottom"/>
            <w:gridSpan w:val="2"/>
          </w:tcPr>
          <w:p>
            <w:pPr>
              <w:jc w:val="right"/>
              <w:ind w:right="102"/>
              <w:spacing w:after="0"/>
              <w:rPr>
                <w:sz w:val="20"/>
                <w:szCs w:val="20"/>
                <w:color w:val="auto"/>
              </w:rPr>
            </w:pPr>
            <w:r>
              <w:rPr>
                <w:rFonts w:ascii="Arial" w:cs="Arial" w:eastAsia="Arial" w:hAnsi="Arial"/>
                <w:sz w:val="13"/>
                <w:szCs w:val="13"/>
                <w:color w:val="0E2A35"/>
              </w:rPr>
              <w:t xml:space="preserve">2022 </w:t>
            </w:r>
            <w:r>
              <w:rPr>
                <w:rFonts w:ascii="Arial" w:cs="Arial" w:eastAsia="Arial" w:hAnsi="Arial"/>
                <w:sz w:val="3"/>
                <w:szCs w:val="3"/>
                <w:color w:val="000000"/>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280,514</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center"/>
              <w:ind w:left="77"/>
              <w:spacing w:after="0"/>
              <w:rPr>
                <w:sz w:val="20"/>
                <w:szCs w:val="20"/>
                <w:color w:val="auto"/>
              </w:rPr>
            </w:pPr>
            <w:r>
              <w:rPr>
                <w:rFonts w:ascii="Arial" w:cs="Arial" w:eastAsia="Arial" w:hAnsi="Arial"/>
                <w:sz w:val="13"/>
                <w:szCs w:val="13"/>
                <w:color w:val="0E2A35"/>
                <w:w w:val="93"/>
              </w:rPr>
              <w:t>330,782</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611,296</w:t>
            </w:r>
          </w:p>
        </w:tc>
        <w:tc>
          <w:tcPr>
            <w:tcW w:w="0" w:type="dxa"/>
            <w:vAlign w:val="bottom"/>
          </w:tcPr>
          <w:p>
            <w:pPr>
              <w:spacing w:after="0"/>
              <w:rPr>
                <w:sz w:val="1"/>
                <w:szCs w:val="1"/>
                <w:color w:val="auto"/>
              </w:rPr>
            </w:pPr>
          </w:p>
        </w:tc>
      </w:tr>
      <w:tr>
        <w:trPr>
          <w:trHeight w:val="83"/>
        </w:trPr>
        <w:tc>
          <w:tcPr>
            <w:tcW w:w="8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700" w:type="dxa"/>
            <w:vAlign w:val="bottom"/>
            <w:tcBorders>
              <w:bottom w:val="single" w:sz="8" w:color="0E2A35"/>
            </w:tcBorders>
            <w:gridSpan w:val="2"/>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700" w:type="dxa"/>
            <w:vAlign w:val="bottom"/>
            <w:gridSpan w:val="2"/>
          </w:tcPr>
          <w:p>
            <w:pPr>
              <w:jc w:val="right"/>
              <w:ind w:right="102"/>
              <w:spacing w:after="0"/>
              <w:rPr>
                <w:sz w:val="20"/>
                <w:szCs w:val="20"/>
                <w:color w:val="auto"/>
              </w:rPr>
            </w:pPr>
            <w:r>
              <w:rPr>
                <w:rFonts w:ascii="Arial" w:cs="Arial" w:eastAsia="Arial" w:hAnsi="Arial"/>
                <w:sz w:val="13"/>
                <w:szCs w:val="13"/>
                <w:color w:val="0E2A35"/>
              </w:rPr>
              <w:t xml:space="preserve">2021 </w:t>
            </w:r>
            <w:r>
              <w:rPr>
                <w:rFonts w:ascii="Arial" w:cs="Arial" w:eastAsia="Arial" w:hAnsi="Arial"/>
                <w:sz w:val="3"/>
                <w:szCs w:val="3"/>
                <w:color w:val="000000"/>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177,093</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159,983</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center"/>
              <w:ind w:left="77"/>
              <w:spacing w:after="0"/>
              <w:rPr>
                <w:sz w:val="20"/>
                <w:szCs w:val="20"/>
                <w:color w:val="auto"/>
              </w:rPr>
            </w:pPr>
            <w:r>
              <w:rPr>
                <w:rFonts w:ascii="Arial" w:cs="Arial" w:eastAsia="Arial" w:hAnsi="Arial"/>
                <w:sz w:val="13"/>
                <w:szCs w:val="13"/>
                <w:color w:val="0E2A35"/>
                <w:w w:val="93"/>
              </w:rPr>
              <w:t>252,997</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590,073</w:t>
            </w:r>
          </w:p>
        </w:tc>
        <w:tc>
          <w:tcPr>
            <w:tcW w:w="0" w:type="dxa"/>
            <w:vAlign w:val="bottom"/>
          </w:tcPr>
          <w:p>
            <w:pPr>
              <w:spacing w:after="0"/>
              <w:rPr>
                <w:sz w:val="1"/>
                <w:szCs w:val="1"/>
                <w:color w:val="auto"/>
              </w:rPr>
            </w:pPr>
          </w:p>
        </w:tc>
      </w:tr>
      <w:tr>
        <w:trPr>
          <w:trHeight w:val="83"/>
        </w:trPr>
        <w:tc>
          <w:tcPr>
            <w:tcW w:w="860" w:type="dxa"/>
            <w:vAlign w:val="bottom"/>
            <w:tcBorders>
              <w:bottom w:val="single" w:sz="8" w:color="0E2A35"/>
            </w:tcBorders>
          </w:tcPr>
          <w:p>
            <w:pPr>
              <w:spacing w:after="0"/>
              <w:rPr>
                <w:sz w:val="7"/>
                <w:szCs w:val="7"/>
                <w:color w:val="auto"/>
              </w:rPr>
            </w:pPr>
          </w:p>
        </w:tc>
        <w:tc>
          <w:tcPr>
            <w:tcW w:w="150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gridSpan w:val="2"/>
          </w:tcPr>
          <w:p>
            <w:pPr>
              <w:spacing w:after="0"/>
              <w:rPr>
                <w:sz w:val="7"/>
                <w:szCs w:val="7"/>
                <w:color w:val="auto"/>
              </w:rPr>
            </w:pPr>
          </w:p>
        </w:tc>
        <w:tc>
          <w:tcPr>
            <w:tcW w:w="700" w:type="dxa"/>
            <w:vAlign w:val="bottom"/>
            <w:tcBorders>
              <w:bottom w:val="single" w:sz="8" w:color="0E2A35"/>
            </w:tcBorders>
            <w:gridSpan w:val="2"/>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60" w:type="dxa"/>
            <w:vAlign w:val="bottom"/>
            <w:vMerge w:val="restart"/>
          </w:tcPr>
          <w:p>
            <w:pPr>
              <w:ind w:left="60"/>
              <w:spacing w:after="0"/>
              <w:rPr>
                <w:sz w:val="20"/>
                <w:szCs w:val="20"/>
                <w:color w:val="auto"/>
              </w:rPr>
            </w:pPr>
            <w:r>
              <w:rPr>
                <w:rFonts w:ascii="Arial" w:cs="Arial" w:eastAsia="Arial" w:hAnsi="Arial"/>
                <w:sz w:val="13"/>
                <w:szCs w:val="13"/>
                <w:color w:val="0E2A35"/>
                <w:w w:val="94"/>
              </w:rPr>
              <w:t>​Huw S. Bower</w:t>
            </w:r>
          </w:p>
        </w:tc>
        <w:tc>
          <w:tcPr>
            <w:tcW w:w="1500" w:type="dxa"/>
            <w:vAlign w:val="bottom"/>
          </w:tcPr>
          <w:p>
            <w:pPr>
              <w:spacing w:after="0"/>
              <w:rPr>
                <w:sz w:val="20"/>
                <w:szCs w:val="20"/>
                <w:color w:val="auto"/>
              </w:rPr>
            </w:pPr>
            <w:r>
              <w:rPr>
                <w:rFonts w:ascii="Arial" w:cs="Arial" w:eastAsia="Arial" w:hAnsi="Arial"/>
                <w:sz w:val="10"/>
                <w:szCs w:val="10"/>
                <w:color w:val="0E2A35"/>
              </w:rPr>
              <w:t>(d)</w:t>
            </w: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700" w:type="dxa"/>
            <w:vAlign w:val="bottom"/>
            <w:gridSpan w:val="2"/>
          </w:tcPr>
          <w:p>
            <w:pPr>
              <w:jc w:val="right"/>
              <w:ind w:right="102"/>
              <w:spacing w:after="0"/>
              <w:rPr>
                <w:sz w:val="20"/>
                <w:szCs w:val="20"/>
                <w:color w:val="auto"/>
              </w:rPr>
            </w:pPr>
            <w:r>
              <w:rPr>
                <w:rFonts w:ascii="Arial" w:cs="Arial" w:eastAsia="Arial" w:hAnsi="Arial"/>
                <w:sz w:val="13"/>
                <w:szCs w:val="13"/>
                <w:color w:val="0E2A35"/>
              </w:rPr>
              <w:t xml:space="preserve">2023 </w:t>
            </w:r>
            <w:r>
              <w:rPr>
                <w:rFonts w:ascii="Arial" w:cs="Arial" w:eastAsia="Arial" w:hAnsi="Arial"/>
                <w:sz w:val="3"/>
                <w:szCs w:val="3"/>
                <w:color w:val="000000"/>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372,942</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center"/>
              <w:ind w:left="77"/>
              <w:spacing w:after="0"/>
              <w:rPr>
                <w:sz w:val="20"/>
                <w:szCs w:val="20"/>
                <w:color w:val="auto"/>
              </w:rPr>
            </w:pPr>
            <w:r>
              <w:rPr>
                <w:rFonts w:ascii="Arial" w:cs="Arial" w:eastAsia="Arial" w:hAnsi="Arial"/>
                <w:sz w:val="13"/>
                <w:szCs w:val="13"/>
                <w:color w:val="0E2A35"/>
                <w:w w:val="93"/>
              </w:rPr>
              <w:t>532,799</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905,741</w:t>
            </w:r>
          </w:p>
        </w:tc>
        <w:tc>
          <w:tcPr>
            <w:tcW w:w="0" w:type="dxa"/>
            <w:vAlign w:val="bottom"/>
          </w:tcPr>
          <w:p>
            <w:pPr>
              <w:spacing w:after="0"/>
              <w:rPr>
                <w:sz w:val="1"/>
                <w:szCs w:val="1"/>
                <w:color w:val="auto"/>
              </w:rPr>
            </w:pPr>
          </w:p>
        </w:tc>
      </w:tr>
      <w:tr>
        <w:trPr>
          <w:trHeight w:val="41"/>
        </w:trPr>
        <w:tc>
          <w:tcPr>
            <w:tcW w:w="86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
        </w:trPr>
        <w:tc>
          <w:tcPr>
            <w:tcW w:w="8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0E2A35"/>
            </w:tcBorders>
          </w:tcPr>
          <w:p>
            <w:pPr>
              <w:spacing w:after="0"/>
              <w:rPr>
                <w:sz w:val="3"/>
                <w:szCs w:val="3"/>
                <w:color w:val="auto"/>
              </w:rPr>
            </w:pPr>
          </w:p>
        </w:tc>
        <w:tc>
          <w:tcPr>
            <w:tcW w:w="580" w:type="dxa"/>
            <w:vAlign w:val="bottom"/>
            <w:tcBorders>
              <w:bottom w:val="single" w:sz="8" w:color="0E2A35"/>
            </w:tcBorders>
          </w:tcPr>
          <w:p>
            <w:pPr>
              <w:spacing w:after="0"/>
              <w:rPr>
                <w:sz w:val="3"/>
                <w:szCs w:val="3"/>
                <w:color w:val="auto"/>
              </w:rPr>
            </w:pPr>
          </w:p>
        </w:tc>
        <w:tc>
          <w:tcPr>
            <w:tcW w:w="120" w:type="dxa"/>
            <w:vAlign w:val="bottom"/>
            <w:tcBorders>
              <w:bottom w:val="single" w:sz="8" w:color="0E2A35"/>
            </w:tcBorders>
          </w:tcPr>
          <w:p>
            <w:pPr>
              <w:spacing w:after="0"/>
              <w:rPr>
                <w:sz w:val="3"/>
                <w:szCs w:val="3"/>
                <w:color w:val="auto"/>
              </w:rPr>
            </w:pPr>
          </w:p>
        </w:tc>
        <w:tc>
          <w:tcPr>
            <w:tcW w:w="240" w:type="dxa"/>
            <w:vAlign w:val="bottom"/>
            <w:tcBorders>
              <w:bottom w:val="single" w:sz="8" w:color="0E2A35"/>
            </w:tcBorders>
          </w:tcPr>
          <w:p>
            <w:pPr>
              <w:spacing w:after="0"/>
              <w:rPr>
                <w:sz w:val="3"/>
                <w:szCs w:val="3"/>
                <w:color w:val="auto"/>
              </w:rPr>
            </w:pPr>
          </w:p>
        </w:tc>
        <w:tc>
          <w:tcPr>
            <w:tcW w:w="1160" w:type="dxa"/>
            <w:vAlign w:val="bottom"/>
            <w:tcBorders>
              <w:bottom w:val="single" w:sz="8" w:color="0E2A35"/>
            </w:tcBorders>
          </w:tcPr>
          <w:p>
            <w:pPr>
              <w:spacing w:after="0"/>
              <w:rPr>
                <w:sz w:val="3"/>
                <w:szCs w:val="3"/>
                <w:color w:val="auto"/>
              </w:rPr>
            </w:pPr>
          </w:p>
        </w:tc>
        <w:tc>
          <w:tcPr>
            <w:tcW w:w="160" w:type="dxa"/>
            <w:vAlign w:val="bottom"/>
            <w:tcBorders>
              <w:bottom w:val="single" w:sz="8" w:color="0E2A35"/>
            </w:tcBorders>
          </w:tcPr>
          <w:p>
            <w:pPr>
              <w:spacing w:after="0"/>
              <w:rPr>
                <w:sz w:val="3"/>
                <w:szCs w:val="3"/>
                <w:color w:val="auto"/>
              </w:rPr>
            </w:pPr>
          </w:p>
        </w:tc>
        <w:tc>
          <w:tcPr>
            <w:tcW w:w="260" w:type="dxa"/>
            <w:vAlign w:val="bottom"/>
            <w:tcBorders>
              <w:bottom w:val="single" w:sz="8" w:color="0E2A35"/>
            </w:tcBorders>
          </w:tcPr>
          <w:p>
            <w:pPr>
              <w:spacing w:after="0"/>
              <w:rPr>
                <w:sz w:val="3"/>
                <w:szCs w:val="3"/>
                <w:color w:val="auto"/>
              </w:rPr>
            </w:pPr>
          </w:p>
        </w:tc>
        <w:tc>
          <w:tcPr>
            <w:tcW w:w="980" w:type="dxa"/>
            <w:vAlign w:val="bottom"/>
            <w:tcBorders>
              <w:bottom w:val="single" w:sz="8" w:color="0E2A35"/>
            </w:tcBorders>
          </w:tcPr>
          <w:p>
            <w:pPr>
              <w:spacing w:after="0"/>
              <w:rPr>
                <w:sz w:val="3"/>
                <w:szCs w:val="3"/>
                <w:color w:val="auto"/>
              </w:rPr>
            </w:pPr>
          </w:p>
        </w:tc>
        <w:tc>
          <w:tcPr>
            <w:tcW w:w="140" w:type="dxa"/>
            <w:vAlign w:val="bottom"/>
            <w:tcBorders>
              <w:bottom w:val="single" w:sz="8" w:color="0E2A35"/>
            </w:tcBorders>
          </w:tcPr>
          <w:p>
            <w:pPr>
              <w:spacing w:after="0"/>
              <w:rPr>
                <w:sz w:val="3"/>
                <w:szCs w:val="3"/>
                <w:color w:val="auto"/>
              </w:rPr>
            </w:pPr>
          </w:p>
        </w:tc>
        <w:tc>
          <w:tcPr>
            <w:tcW w:w="280" w:type="dxa"/>
            <w:vAlign w:val="bottom"/>
            <w:tcBorders>
              <w:bottom w:val="single" w:sz="8" w:color="0E2A35"/>
            </w:tcBorders>
          </w:tcPr>
          <w:p>
            <w:pPr>
              <w:spacing w:after="0"/>
              <w:rPr>
                <w:sz w:val="3"/>
                <w:szCs w:val="3"/>
                <w:color w:val="auto"/>
              </w:rPr>
            </w:pPr>
          </w:p>
        </w:tc>
        <w:tc>
          <w:tcPr>
            <w:tcW w:w="1340" w:type="dxa"/>
            <w:vAlign w:val="bottom"/>
            <w:tcBorders>
              <w:bottom w:val="single" w:sz="8" w:color="0E2A35"/>
            </w:tcBorders>
          </w:tcPr>
          <w:p>
            <w:pPr>
              <w:spacing w:after="0"/>
              <w:rPr>
                <w:sz w:val="3"/>
                <w:szCs w:val="3"/>
                <w:color w:val="auto"/>
              </w:rPr>
            </w:pPr>
          </w:p>
        </w:tc>
        <w:tc>
          <w:tcPr>
            <w:tcW w:w="180" w:type="dxa"/>
            <w:vAlign w:val="bottom"/>
            <w:tcBorders>
              <w:bottom w:val="single" w:sz="8" w:color="0E2A35"/>
            </w:tcBorders>
          </w:tcPr>
          <w:p>
            <w:pPr>
              <w:spacing w:after="0"/>
              <w:rPr>
                <w:sz w:val="3"/>
                <w:szCs w:val="3"/>
                <w:color w:val="auto"/>
              </w:rPr>
            </w:pPr>
          </w:p>
        </w:tc>
        <w:tc>
          <w:tcPr>
            <w:tcW w:w="240" w:type="dxa"/>
            <w:vAlign w:val="bottom"/>
            <w:tcBorders>
              <w:bottom w:val="single" w:sz="8" w:color="0E2A35"/>
            </w:tcBorders>
          </w:tcPr>
          <w:p>
            <w:pPr>
              <w:spacing w:after="0"/>
              <w:rPr>
                <w:sz w:val="3"/>
                <w:szCs w:val="3"/>
                <w:color w:val="auto"/>
              </w:rPr>
            </w:pPr>
          </w:p>
        </w:tc>
        <w:tc>
          <w:tcPr>
            <w:tcW w:w="740" w:type="dxa"/>
            <w:vAlign w:val="bottom"/>
            <w:tcBorders>
              <w:bottom w:val="single" w:sz="8" w:color="0E2A35"/>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500" w:type="dxa"/>
            <w:vAlign w:val="bottom"/>
          </w:tcPr>
          <w:p>
            <w:pPr>
              <w:ind w:left="1380"/>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580" w:type="dxa"/>
            <w:vAlign w:val="bottom"/>
          </w:tcPr>
          <w:p>
            <w:pPr>
              <w:jc w:val="center"/>
              <w:ind w:left="117"/>
              <w:spacing w:after="0"/>
              <w:rPr>
                <w:sz w:val="20"/>
                <w:szCs w:val="20"/>
                <w:color w:val="auto"/>
              </w:rPr>
            </w:pPr>
            <w:r>
              <w:rPr>
                <w:rFonts w:ascii="Arial" w:cs="Arial" w:eastAsia="Arial" w:hAnsi="Arial"/>
                <w:sz w:val="13"/>
                <w:szCs w:val="13"/>
                <w:color w:val="0E2A35"/>
                <w:w w:val="96"/>
              </w:rPr>
              <w:t>2022​</w:t>
            </w:r>
          </w:p>
        </w:tc>
        <w:tc>
          <w:tcPr>
            <w:tcW w:w="12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ind w:left="440"/>
              <w:spacing w:after="0"/>
              <w:rPr>
                <w:sz w:val="20"/>
                <w:szCs w:val="20"/>
                <w:color w:val="auto"/>
              </w:rPr>
            </w:pPr>
            <w:r>
              <w:rPr>
                <w:rFonts w:ascii="Arial" w:cs="Arial" w:eastAsia="Arial" w:hAnsi="Arial"/>
                <w:sz w:val="13"/>
                <w:szCs w:val="13"/>
                <w:color w:val="0E2A35"/>
              </w:rPr>
              <w:t>356,860</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center"/>
              <w:ind w:left="77"/>
              <w:spacing w:after="0"/>
              <w:rPr>
                <w:sz w:val="20"/>
                <w:szCs w:val="20"/>
                <w:color w:val="auto"/>
              </w:rPr>
            </w:pPr>
            <w:r>
              <w:rPr>
                <w:rFonts w:ascii="Arial" w:cs="Arial" w:eastAsia="Arial" w:hAnsi="Arial"/>
                <w:sz w:val="13"/>
                <w:szCs w:val="13"/>
                <w:color w:val="0E2A35"/>
                <w:w w:val="93"/>
              </w:rPr>
              <w:t>509,779</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866,639</w:t>
            </w:r>
          </w:p>
        </w:tc>
        <w:tc>
          <w:tcPr>
            <w:tcW w:w="0" w:type="dxa"/>
            <w:vAlign w:val="bottom"/>
          </w:tcPr>
          <w:p>
            <w:pPr>
              <w:spacing w:after="0"/>
              <w:rPr>
                <w:sz w:val="1"/>
                <w:szCs w:val="1"/>
                <w:color w:val="auto"/>
              </w:rPr>
            </w:pPr>
          </w:p>
        </w:tc>
      </w:tr>
      <w:tr>
        <w:trPr>
          <w:trHeight w:val="83"/>
        </w:trPr>
        <w:tc>
          <w:tcPr>
            <w:tcW w:w="8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580" w:type="dxa"/>
            <w:vAlign w:val="bottom"/>
          </w:tcPr>
          <w:p>
            <w:pPr>
              <w:jc w:val="center"/>
              <w:ind w:left="117"/>
              <w:spacing w:after="0"/>
              <w:rPr>
                <w:sz w:val="20"/>
                <w:szCs w:val="20"/>
                <w:color w:val="auto"/>
              </w:rPr>
            </w:pPr>
            <w:r>
              <w:rPr>
                <w:rFonts w:ascii="Arial" w:cs="Arial" w:eastAsia="Arial" w:hAnsi="Arial"/>
                <w:sz w:val="13"/>
                <w:szCs w:val="13"/>
                <w:color w:val="0E2A35"/>
                <w:w w:val="96"/>
              </w:rPr>
              <w:t>2021​</w:t>
            </w:r>
          </w:p>
        </w:tc>
        <w:tc>
          <w:tcPr>
            <w:tcW w:w="12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jc w:val="right"/>
              <w:ind w:right="197"/>
              <w:spacing w:after="0"/>
              <w:rPr>
                <w:sz w:val="20"/>
                <w:szCs w:val="20"/>
                <w:color w:val="auto"/>
              </w:rPr>
            </w:pPr>
            <w:r>
              <w:rPr>
                <w:rFonts w:ascii="Arial" w:cs="Arial" w:eastAsia="Arial" w:hAnsi="Arial"/>
                <w:sz w:val="13"/>
                <w:szCs w:val="13"/>
                <w:color w:val="0E2A35"/>
              </w:rPr>
              <w:t>1,496,524</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center"/>
              <w:ind w:left="77"/>
              <w:spacing w:after="0"/>
              <w:rPr>
                <w:sz w:val="20"/>
                <w:szCs w:val="20"/>
                <w:color w:val="auto"/>
              </w:rPr>
            </w:pPr>
            <w:r>
              <w:rPr>
                <w:rFonts w:ascii="Arial" w:cs="Arial" w:eastAsia="Arial" w:hAnsi="Arial"/>
                <w:sz w:val="13"/>
                <w:szCs w:val="13"/>
                <w:color w:val="0E2A35"/>
                <w:w w:val="93"/>
              </w:rPr>
              <w:t>494,987</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1,991,511</w:t>
            </w:r>
          </w:p>
        </w:tc>
        <w:tc>
          <w:tcPr>
            <w:tcW w:w="0" w:type="dxa"/>
            <w:vAlign w:val="bottom"/>
          </w:tcPr>
          <w:p>
            <w:pPr>
              <w:spacing w:after="0"/>
              <w:rPr>
                <w:sz w:val="1"/>
                <w:szCs w:val="1"/>
                <w:color w:val="auto"/>
              </w:rPr>
            </w:pPr>
          </w:p>
        </w:tc>
      </w:tr>
      <w:tr>
        <w:trPr>
          <w:trHeight w:val="83"/>
        </w:trPr>
        <w:tc>
          <w:tcPr>
            <w:tcW w:w="2360" w:type="dxa"/>
            <w:vAlign w:val="bottom"/>
            <w:tcBorders>
              <w:bottom w:val="single" w:sz="8" w:color="0E2A35"/>
            </w:tcBorders>
            <w:gridSpan w:val="2"/>
          </w:tcPr>
          <w:p>
            <w:pPr>
              <w:spacing w:after="0"/>
              <w:rPr>
                <w:sz w:val="7"/>
                <w:szCs w:val="7"/>
                <w:color w:val="auto"/>
              </w:rPr>
            </w:pPr>
          </w:p>
        </w:tc>
        <w:tc>
          <w:tcPr>
            <w:tcW w:w="140" w:type="dxa"/>
            <w:vAlign w:val="bottom"/>
            <w:tcBorders>
              <w:bottom w:val="single" w:sz="8" w:color="0E2A35"/>
            </w:tcBorders>
            <w:gridSpan w:val="2"/>
          </w:tcPr>
          <w:p>
            <w:pPr>
              <w:spacing w:after="0"/>
              <w:rPr>
                <w:sz w:val="7"/>
                <w:szCs w:val="7"/>
                <w:color w:val="auto"/>
              </w:rPr>
            </w:pPr>
          </w:p>
        </w:tc>
        <w:tc>
          <w:tcPr>
            <w:tcW w:w="700" w:type="dxa"/>
            <w:vAlign w:val="bottom"/>
            <w:tcBorders>
              <w:bottom w:val="single" w:sz="8" w:color="0E2A35"/>
            </w:tcBorders>
            <w:gridSpan w:val="2"/>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60"/>
              <w:spacing w:after="0"/>
              <w:rPr>
                <w:sz w:val="20"/>
                <w:szCs w:val="20"/>
                <w:color w:val="auto"/>
              </w:rPr>
            </w:pPr>
            <w:r>
              <w:rPr>
                <w:rFonts w:ascii="Arial" w:cs="Arial" w:eastAsia="Arial" w:hAnsi="Arial"/>
                <w:sz w:val="13"/>
                <w:szCs w:val="13"/>
                <w:color w:val="0E2A35"/>
              </w:rPr>
              <w:t>Donald J. Clark</w:t>
            </w: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700" w:type="dxa"/>
            <w:vAlign w:val="bottom"/>
            <w:gridSpan w:val="2"/>
          </w:tcPr>
          <w:p>
            <w:pPr>
              <w:jc w:val="right"/>
              <w:ind w:right="102"/>
              <w:spacing w:after="0"/>
              <w:rPr>
                <w:sz w:val="20"/>
                <w:szCs w:val="20"/>
                <w:color w:val="auto"/>
              </w:rPr>
            </w:pPr>
            <w:r>
              <w:rPr>
                <w:rFonts w:ascii="Arial" w:cs="Arial" w:eastAsia="Arial" w:hAnsi="Arial"/>
                <w:sz w:val="13"/>
                <w:szCs w:val="13"/>
                <w:color w:val="0E2A35"/>
              </w:rPr>
              <w:t xml:space="preserve">2023 </w:t>
            </w:r>
            <w:r>
              <w:rPr>
                <w:rFonts w:ascii="Arial" w:cs="Arial" w:eastAsia="Arial" w:hAnsi="Arial"/>
                <w:sz w:val="3"/>
                <w:szCs w:val="3"/>
                <w:color w:val="000000"/>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jc w:val="right"/>
              <w:ind w:right="197"/>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297"/>
              <w:spacing w:after="0"/>
              <w:rPr>
                <w:sz w:val="20"/>
                <w:szCs w:val="20"/>
                <w:color w:val="auto"/>
              </w:rPr>
            </w:pPr>
            <w:r>
              <w:rPr>
                <w:rFonts w:ascii="Arial" w:cs="Arial" w:eastAsia="Arial" w:hAnsi="Arial"/>
                <w:sz w:val="13"/>
                <w:szCs w:val="13"/>
                <w:color w:val="0E2A35"/>
              </w:rPr>
              <w:t>—</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w:t>
            </w:r>
          </w:p>
        </w:tc>
        <w:tc>
          <w:tcPr>
            <w:tcW w:w="0" w:type="dxa"/>
            <w:vAlign w:val="bottom"/>
          </w:tcPr>
          <w:p>
            <w:pPr>
              <w:spacing w:after="0"/>
              <w:rPr>
                <w:sz w:val="1"/>
                <w:szCs w:val="1"/>
                <w:color w:val="auto"/>
              </w:rPr>
            </w:pPr>
          </w:p>
        </w:tc>
      </w:tr>
      <w:tr>
        <w:trPr>
          <w:trHeight w:val="83"/>
        </w:trPr>
        <w:tc>
          <w:tcPr>
            <w:tcW w:w="8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500" w:type="dxa"/>
            <w:vAlign w:val="bottom"/>
          </w:tcPr>
          <w:p>
            <w:pPr>
              <w:ind w:left="1380"/>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580" w:type="dxa"/>
            <w:vAlign w:val="bottom"/>
          </w:tcPr>
          <w:p>
            <w:pPr>
              <w:jc w:val="center"/>
              <w:ind w:left="117"/>
              <w:spacing w:after="0"/>
              <w:rPr>
                <w:sz w:val="20"/>
                <w:szCs w:val="20"/>
                <w:color w:val="auto"/>
              </w:rPr>
            </w:pPr>
            <w:r>
              <w:rPr>
                <w:rFonts w:ascii="Arial" w:cs="Arial" w:eastAsia="Arial" w:hAnsi="Arial"/>
                <w:sz w:val="13"/>
                <w:szCs w:val="13"/>
                <w:color w:val="0E2A35"/>
                <w:w w:val="96"/>
              </w:rPr>
              <w:t>2022​</w:t>
            </w:r>
          </w:p>
        </w:tc>
        <w:tc>
          <w:tcPr>
            <w:tcW w:w="12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jc w:val="right"/>
              <w:ind w:right="197"/>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297"/>
              <w:spacing w:after="0"/>
              <w:rPr>
                <w:sz w:val="20"/>
                <w:szCs w:val="20"/>
                <w:color w:val="auto"/>
              </w:rPr>
            </w:pPr>
            <w:r>
              <w:rPr>
                <w:rFonts w:ascii="Arial" w:cs="Arial" w:eastAsia="Arial" w:hAnsi="Arial"/>
                <w:sz w:val="13"/>
                <w:szCs w:val="13"/>
                <w:color w:val="0E2A35"/>
              </w:rPr>
              <w:t>—</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w:t>
            </w:r>
          </w:p>
        </w:tc>
        <w:tc>
          <w:tcPr>
            <w:tcW w:w="0" w:type="dxa"/>
            <w:vAlign w:val="bottom"/>
          </w:tcPr>
          <w:p>
            <w:pPr>
              <w:spacing w:after="0"/>
              <w:rPr>
                <w:sz w:val="1"/>
                <w:szCs w:val="1"/>
                <w:color w:val="auto"/>
              </w:rPr>
            </w:pPr>
          </w:p>
        </w:tc>
      </w:tr>
      <w:tr>
        <w:trPr>
          <w:trHeight w:val="83"/>
        </w:trPr>
        <w:tc>
          <w:tcPr>
            <w:tcW w:w="8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bottom w:val="single" w:sz="8" w:color="0E2A35"/>
            </w:tcBorders>
          </w:tcPr>
          <w:p>
            <w:pPr>
              <w:spacing w:after="0"/>
              <w:rPr>
                <w:sz w:val="7"/>
                <w:szCs w:val="7"/>
                <w:color w:val="auto"/>
              </w:rPr>
            </w:pPr>
          </w:p>
        </w:tc>
        <w:tc>
          <w:tcPr>
            <w:tcW w:w="12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1160" w:type="dxa"/>
            <w:vAlign w:val="bottom"/>
            <w:tcBorders>
              <w:bottom w:val="single" w:sz="8" w:color="0E2A35"/>
            </w:tcBorders>
          </w:tcPr>
          <w:p>
            <w:pPr>
              <w:spacing w:after="0"/>
              <w:rPr>
                <w:sz w:val="7"/>
                <w:szCs w:val="7"/>
                <w:color w:val="auto"/>
              </w:rPr>
            </w:pPr>
          </w:p>
        </w:tc>
        <w:tc>
          <w:tcPr>
            <w:tcW w:w="160" w:type="dxa"/>
            <w:vAlign w:val="bottom"/>
            <w:tcBorders>
              <w:bottom w:val="single" w:sz="8" w:color="0E2A35"/>
            </w:tcBorders>
          </w:tcPr>
          <w:p>
            <w:pPr>
              <w:spacing w:after="0"/>
              <w:rPr>
                <w:sz w:val="7"/>
                <w:szCs w:val="7"/>
                <w:color w:val="auto"/>
              </w:rPr>
            </w:pPr>
          </w:p>
        </w:tc>
        <w:tc>
          <w:tcPr>
            <w:tcW w:w="260" w:type="dxa"/>
            <w:vAlign w:val="bottom"/>
            <w:tcBorders>
              <w:bottom w:val="single" w:sz="8" w:color="0E2A35"/>
            </w:tcBorders>
          </w:tcPr>
          <w:p>
            <w:pPr>
              <w:spacing w:after="0"/>
              <w:rPr>
                <w:sz w:val="7"/>
                <w:szCs w:val="7"/>
                <w:color w:val="auto"/>
              </w:rPr>
            </w:pPr>
          </w:p>
        </w:tc>
        <w:tc>
          <w:tcPr>
            <w:tcW w:w="980" w:type="dxa"/>
            <w:vAlign w:val="bottom"/>
            <w:tcBorders>
              <w:bottom w:val="single" w:sz="8" w:color="0E2A35"/>
            </w:tcBorders>
          </w:tcPr>
          <w:p>
            <w:pPr>
              <w:spacing w:after="0"/>
              <w:rPr>
                <w:sz w:val="7"/>
                <w:szCs w:val="7"/>
                <w:color w:val="auto"/>
              </w:rPr>
            </w:pPr>
          </w:p>
        </w:tc>
        <w:tc>
          <w:tcPr>
            <w:tcW w:w="140" w:type="dxa"/>
            <w:vAlign w:val="bottom"/>
            <w:tcBorders>
              <w:bottom w:val="single" w:sz="8" w:color="0E2A35"/>
            </w:tcBorders>
          </w:tcPr>
          <w:p>
            <w:pPr>
              <w:spacing w:after="0"/>
              <w:rPr>
                <w:sz w:val="7"/>
                <w:szCs w:val="7"/>
                <w:color w:val="auto"/>
              </w:rPr>
            </w:pPr>
          </w:p>
        </w:tc>
        <w:tc>
          <w:tcPr>
            <w:tcW w:w="280" w:type="dxa"/>
            <w:vAlign w:val="bottom"/>
            <w:tcBorders>
              <w:bottom w:val="single" w:sz="8" w:color="0E2A35"/>
            </w:tcBorders>
          </w:tcPr>
          <w:p>
            <w:pPr>
              <w:spacing w:after="0"/>
              <w:rPr>
                <w:sz w:val="7"/>
                <w:szCs w:val="7"/>
                <w:color w:val="auto"/>
              </w:rPr>
            </w:pPr>
          </w:p>
        </w:tc>
        <w:tc>
          <w:tcPr>
            <w:tcW w:w="1340" w:type="dxa"/>
            <w:vAlign w:val="bottom"/>
            <w:tcBorders>
              <w:bottom w:val="single" w:sz="8" w:color="0E2A35"/>
            </w:tcBorders>
          </w:tcPr>
          <w:p>
            <w:pPr>
              <w:spacing w:after="0"/>
              <w:rPr>
                <w:sz w:val="7"/>
                <w:szCs w:val="7"/>
                <w:color w:val="auto"/>
              </w:rPr>
            </w:pPr>
          </w:p>
        </w:tc>
        <w:tc>
          <w:tcPr>
            <w:tcW w:w="180" w:type="dxa"/>
            <w:vAlign w:val="bottom"/>
            <w:tcBorders>
              <w:bottom w:val="single" w:sz="8" w:color="0E2A35"/>
            </w:tcBorders>
          </w:tcPr>
          <w:p>
            <w:pPr>
              <w:spacing w:after="0"/>
              <w:rPr>
                <w:sz w:val="7"/>
                <w:szCs w:val="7"/>
                <w:color w:val="auto"/>
              </w:rPr>
            </w:pPr>
          </w:p>
        </w:tc>
        <w:tc>
          <w:tcPr>
            <w:tcW w:w="240" w:type="dxa"/>
            <w:vAlign w:val="bottom"/>
            <w:tcBorders>
              <w:bottom w:val="single" w:sz="8" w:color="0E2A35"/>
            </w:tcBorders>
          </w:tcPr>
          <w:p>
            <w:pPr>
              <w:spacing w:after="0"/>
              <w:rPr>
                <w:sz w:val="7"/>
                <w:szCs w:val="7"/>
                <w:color w:val="auto"/>
              </w:rPr>
            </w:pPr>
          </w:p>
        </w:tc>
        <w:tc>
          <w:tcPr>
            <w:tcW w:w="7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gridSpan w:val="2"/>
          </w:tcPr>
          <w:p>
            <w:pPr>
              <w:ind w:left="120"/>
              <w:spacing w:after="0"/>
              <w:rPr>
                <w:sz w:val="20"/>
                <w:szCs w:val="20"/>
                <w:color w:val="auto"/>
              </w:rPr>
            </w:pPr>
            <w:r>
              <w:rPr>
                <w:rFonts w:ascii="Arial" w:cs="Arial" w:eastAsia="Arial" w:hAnsi="Arial"/>
                <w:sz w:val="2"/>
                <w:szCs w:val="2"/>
                <w:color w:val="auto"/>
                <w:w w:val="4294942296"/>
              </w:rPr>
              <w:t>​</w:t>
            </w:r>
          </w:p>
        </w:tc>
        <w:tc>
          <w:tcPr>
            <w:tcW w:w="580" w:type="dxa"/>
            <w:vAlign w:val="bottom"/>
          </w:tcPr>
          <w:p>
            <w:pPr>
              <w:jc w:val="center"/>
              <w:ind w:left="117"/>
              <w:spacing w:after="0"/>
              <w:rPr>
                <w:sz w:val="20"/>
                <w:szCs w:val="20"/>
                <w:color w:val="auto"/>
              </w:rPr>
            </w:pPr>
            <w:r>
              <w:rPr>
                <w:rFonts w:ascii="Arial" w:cs="Arial" w:eastAsia="Arial" w:hAnsi="Arial"/>
                <w:sz w:val="13"/>
                <w:szCs w:val="13"/>
                <w:color w:val="0E2A35"/>
                <w:w w:val="96"/>
              </w:rPr>
              <w:t>2021​</w:t>
            </w:r>
          </w:p>
        </w:tc>
        <w:tc>
          <w:tcPr>
            <w:tcW w:w="120" w:type="dxa"/>
            <w:vAlign w:val="bottom"/>
          </w:tcPr>
          <w:p>
            <w:pPr>
              <w:jc w:val="right"/>
              <w:ind w:right="102"/>
              <w:spacing w:after="0"/>
              <w:rPr>
                <w:sz w:val="20"/>
                <w:szCs w:val="20"/>
                <w:color w:val="auto"/>
              </w:rPr>
            </w:pPr>
            <w:r>
              <w:rPr>
                <w:rFonts w:ascii="Arial" w:cs="Arial" w:eastAsia="Arial" w:hAnsi="Arial"/>
                <w:sz w:val="4"/>
                <w:szCs w:val="4"/>
                <w:color w:val="auto"/>
              </w:rPr>
              <w:t>​</w:t>
            </w:r>
          </w:p>
        </w:tc>
        <w:tc>
          <w:tcPr>
            <w:tcW w:w="240" w:type="dxa"/>
            <w:vAlign w:val="bottom"/>
          </w:tcPr>
          <w:p>
            <w:pPr>
              <w:ind w:left="100"/>
              <w:spacing w:after="0"/>
              <w:rPr>
                <w:sz w:val="20"/>
                <w:szCs w:val="20"/>
                <w:color w:val="auto"/>
              </w:rPr>
            </w:pPr>
            <w:r>
              <w:rPr>
                <w:rFonts w:ascii="Arial" w:cs="Arial" w:eastAsia="Arial" w:hAnsi="Arial"/>
                <w:sz w:val="4"/>
                <w:szCs w:val="4"/>
                <w:color w:val="auto"/>
              </w:rPr>
              <w:t>​</w:t>
            </w:r>
          </w:p>
        </w:tc>
        <w:tc>
          <w:tcPr>
            <w:tcW w:w="1160" w:type="dxa"/>
            <w:vAlign w:val="bottom"/>
          </w:tcPr>
          <w:p>
            <w:pPr>
              <w:jc w:val="right"/>
              <w:ind w:right="197"/>
              <w:spacing w:after="0"/>
              <w:rPr>
                <w:sz w:val="20"/>
                <w:szCs w:val="20"/>
                <w:color w:val="auto"/>
              </w:rPr>
            </w:pPr>
            <w:r>
              <w:rPr>
                <w:rFonts w:ascii="Arial" w:cs="Arial" w:eastAsia="Arial" w:hAnsi="Arial"/>
                <w:sz w:val="13"/>
                <w:szCs w:val="13"/>
                <w:color w:val="0E2A35"/>
              </w:rPr>
              <w:t>—</w:t>
            </w:r>
          </w:p>
        </w:tc>
        <w:tc>
          <w:tcPr>
            <w:tcW w:w="160" w:type="dxa"/>
            <w:vAlign w:val="bottom"/>
          </w:tcPr>
          <w:p>
            <w:pPr>
              <w:ind w:left="4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jc w:val="right"/>
              <w:ind w:right="177"/>
              <w:spacing w:after="0"/>
              <w:rPr>
                <w:sz w:val="20"/>
                <w:szCs w:val="20"/>
                <w:color w:val="auto"/>
              </w:rPr>
            </w:pPr>
            <w:r>
              <w:rPr>
                <w:rFonts w:ascii="Arial" w:cs="Arial" w:eastAsia="Arial" w:hAnsi="Arial"/>
                <w:sz w:val="13"/>
                <w:szCs w:val="13"/>
                <w:color w:val="0E2A35"/>
              </w:rPr>
              <w:t>—</w:t>
            </w:r>
          </w:p>
        </w:tc>
        <w:tc>
          <w:tcPr>
            <w:tcW w:w="140" w:type="dxa"/>
            <w:vAlign w:val="bottom"/>
          </w:tcPr>
          <w:p>
            <w:pPr>
              <w:ind w:left="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340" w:type="dxa"/>
            <w:vAlign w:val="bottom"/>
          </w:tcPr>
          <w:p>
            <w:pPr>
              <w:jc w:val="right"/>
              <w:ind w:right="297"/>
              <w:spacing w:after="0"/>
              <w:rPr>
                <w:sz w:val="20"/>
                <w:szCs w:val="20"/>
                <w:color w:val="auto"/>
              </w:rPr>
            </w:pPr>
            <w:r>
              <w:rPr>
                <w:rFonts w:ascii="Arial" w:cs="Arial" w:eastAsia="Arial" w:hAnsi="Arial"/>
                <w:sz w:val="13"/>
                <w:szCs w:val="13"/>
                <w:color w:val="0E2A35"/>
              </w:rPr>
              <w:t>—</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0E2A3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61595</wp:posOffset>
            </wp:positionV>
            <wp:extent cx="56661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66105" cy="8890"/>
                    </a:xfrm>
                    <a:prstGeom prst="rect">
                      <a:avLst/>
                    </a:prstGeom>
                    <a:noFill/>
                  </pic:spPr>
                </pic:pic>
              </a:graphicData>
            </a:graphic>
          </wp:anchor>
        </w:drawing>
      </w:r>
    </w:p>
    <w:p>
      <w:pPr>
        <w:spacing w:after="0" w:line="185" w:lineRule="exact"/>
        <w:rPr>
          <w:sz w:val="20"/>
          <w:szCs w:val="20"/>
          <w:color w:val="auto"/>
        </w:rPr>
      </w:pPr>
    </w:p>
    <w:p>
      <w:pPr>
        <w:jc w:val="both"/>
        <w:ind w:left="720" w:right="40" w:hanging="360"/>
        <w:spacing w:after="0" w:line="230" w:lineRule="auto"/>
        <w:tabs>
          <w:tab w:leader="none" w:pos="720" w:val="left"/>
        </w:tabs>
        <w:numPr>
          <w:ilvl w:val="1"/>
          <w:numId w:val="42"/>
        </w:numPr>
        <w:rPr>
          <w:rFonts w:ascii="Arial" w:cs="Arial" w:eastAsia="Arial" w:hAnsi="Arial"/>
          <w:sz w:val="13"/>
          <w:szCs w:val="13"/>
          <w:color w:val="0E2A35"/>
        </w:rPr>
      </w:pPr>
      <w:r>
        <w:rPr>
          <w:rFonts w:ascii="Arial" w:cs="Arial" w:eastAsia="Arial" w:hAnsi="Arial"/>
          <w:sz w:val="13"/>
          <w:szCs w:val="13"/>
          <w:color w:val="0E2A35"/>
        </w:rPr>
        <w:t>These amounts represent restricted stock units granted each computed in accordance with Accounting Standards Codification (ASC) 718. The grant date fair value of each of the awards was determined at the closing price of the Company's shares on the NYSE on the grant date without regard to estimated forfeitures related to service-based vesting conditions.</w:t>
      </w:r>
    </w:p>
    <w:p>
      <w:pPr>
        <w:spacing w:after="0" w:line="29" w:lineRule="exact"/>
        <w:rPr>
          <w:rFonts w:ascii="Arial" w:cs="Arial" w:eastAsia="Arial" w:hAnsi="Arial"/>
          <w:sz w:val="13"/>
          <w:szCs w:val="13"/>
          <w:color w:val="0E2A35"/>
        </w:rPr>
      </w:pPr>
    </w:p>
    <w:p>
      <w:pPr>
        <w:ind w:left="720" w:hanging="360"/>
        <w:spacing w:after="0"/>
        <w:tabs>
          <w:tab w:leader="none" w:pos="720" w:val="left"/>
        </w:tabs>
        <w:numPr>
          <w:ilvl w:val="1"/>
          <w:numId w:val="42"/>
        </w:numPr>
        <w:rPr>
          <w:rFonts w:ascii="Arial" w:cs="Arial" w:eastAsia="Arial" w:hAnsi="Arial"/>
          <w:sz w:val="13"/>
          <w:szCs w:val="13"/>
          <w:color w:val="0E2A35"/>
        </w:rPr>
      </w:pPr>
      <w:r>
        <w:rPr>
          <w:rFonts w:ascii="Arial" w:cs="Arial" w:eastAsia="Arial" w:hAnsi="Arial"/>
          <w:sz w:val="13"/>
          <w:szCs w:val="13"/>
          <w:color w:val="0E2A35"/>
        </w:rPr>
        <w:t>These amounts represent the grant date fair value computed in accordance with ASC 718 of the performance stock units specific to fiscal 2021.</w:t>
      </w:r>
    </w:p>
    <w:p>
      <w:pPr>
        <w:spacing w:after="0" w:line="39" w:lineRule="exact"/>
        <w:rPr>
          <w:rFonts w:ascii="Arial" w:cs="Arial" w:eastAsia="Arial" w:hAnsi="Arial"/>
          <w:sz w:val="13"/>
          <w:szCs w:val="13"/>
          <w:color w:val="0E2A35"/>
        </w:rPr>
      </w:pPr>
    </w:p>
    <w:p>
      <w:pPr>
        <w:ind w:left="720" w:right="40" w:hanging="360"/>
        <w:spacing w:after="0" w:line="244" w:lineRule="auto"/>
        <w:tabs>
          <w:tab w:leader="none" w:pos="720" w:val="left"/>
        </w:tabs>
        <w:numPr>
          <w:ilvl w:val="1"/>
          <w:numId w:val="42"/>
        </w:numPr>
        <w:rPr>
          <w:rFonts w:ascii="Arial" w:cs="Arial" w:eastAsia="Arial" w:hAnsi="Arial"/>
          <w:sz w:val="12"/>
          <w:szCs w:val="12"/>
          <w:color w:val="0E2A35"/>
        </w:rPr>
      </w:pPr>
      <w:r>
        <w:rPr>
          <w:rFonts w:ascii="Arial" w:cs="Arial" w:eastAsia="Arial" w:hAnsi="Arial"/>
          <w:sz w:val="12"/>
          <w:szCs w:val="12"/>
          <w:color w:val="0E2A35"/>
        </w:rPr>
        <w:t xml:space="preserve">These amounts represent the grant date fair value computed in accordance with ASC 718 of the LTIP/performance share unit awards. These amounts for the fiscal 2023-2025 LTIP represent the values that are based on achievement of 100% of the target performance. Assuming achievement of the maximum 200% of target performance, the value of the fiscal 2023-2025 LTIP awards would be: $4,999,975 for Mr. Happe; $1,006,255 for Mr. Hughes; $767,984 for Ms. Bogart; and $1,065,598 for Mr. Bower. Assumptions used in the calculation of the amounts reported in this column are included in Note 14, </w:t>
      </w:r>
      <w:r>
        <w:rPr>
          <w:rFonts w:ascii="Arial" w:cs="Arial" w:eastAsia="Arial" w:hAnsi="Arial"/>
          <w:sz w:val="12"/>
          <w:szCs w:val="12"/>
          <w:i w:val="1"/>
          <w:iCs w:val="1"/>
          <w:color w:val="0E2A35"/>
        </w:rPr>
        <w:t>Stock-Based Compensation Plans</w:t>
      </w:r>
      <w:r>
        <w:rPr>
          <w:rFonts w:ascii="Arial" w:cs="Arial" w:eastAsia="Arial" w:hAnsi="Arial"/>
          <w:sz w:val="12"/>
          <w:szCs w:val="12"/>
          <w:color w:val="0E2A35"/>
        </w:rPr>
        <w:t>, of the Notes to the Consolidated Financial Statements included in our 2023 Form 10-K.</w:t>
      </w:r>
    </w:p>
    <w:p>
      <w:pPr>
        <w:spacing w:after="0" w:line="27" w:lineRule="exact"/>
        <w:rPr>
          <w:rFonts w:ascii="Arial" w:cs="Arial" w:eastAsia="Arial" w:hAnsi="Arial"/>
          <w:sz w:val="12"/>
          <w:szCs w:val="12"/>
          <w:color w:val="0E2A35"/>
        </w:rPr>
      </w:pPr>
    </w:p>
    <w:p>
      <w:pPr>
        <w:ind w:left="720" w:right="120" w:hanging="360"/>
        <w:spacing w:after="0" w:line="236" w:lineRule="auto"/>
        <w:tabs>
          <w:tab w:leader="none" w:pos="720" w:val="left"/>
        </w:tabs>
        <w:numPr>
          <w:ilvl w:val="1"/>
          <w:numId w:val="42"/>
        </w:numPr>
        <w:rPr>
          <w:rFonts w:ascii="Arial" w:cs="Arial" w:eastAsia="Arial" w:hAnsi="Arial"/>
          <w:sz w:val="13"/>
          <w:szCs w:val="13"/>
          <w:color w:val="0E2A35"/>
        </w:rPr>
      </w:pPr>
      <w:r>
        <w:rPr>
          <w:rFonts w:ascii="Arial" w:cs="Arial" w:eastAsia="Arial" w:hAnsi="Arial"/>
          <w:sz w:val="13"/>
          <w:szCs w:val="13"/>
          <w:color w:val="0E2A35"/>
        </w:rPr>
        <w:t>Mr. Bower joined the Company in October 2020. Mr. Bower received a new hire RSU award which is included in the Non-Performance-Based Restricted Stock Grant column for fiscal 2021.</w:t>
      </w:r>
    </w:p>
    <w:p>
      <w:pPr>
        <w:spacing w:after="0" w:line="29" w:lineRule="exact"/>
        <w:rPr>
          <w:rFonts w:ascii="Arial" w:cs="Arial" w:eastAsia="Arial" w:hAnsi="Arial"/>
          <w:sz w:val="13"/>
          <w:szCs w:val="13"/>
          <w:color w:val="0E2A35"/>
        </w:rPr>
      </w:pPr>
    </w:p>
    <w:p>
      <w:pPr>
        <w:jc w:val="both"/>
        <w:ind w:left="360" w:right="280" w:hanging="360"/>
        <w:spacing w:after="0" w:line="273" w:lineRule="auto"/>
        <w:tabs>
          <w:tab w:leader="none" w:pos="360" w:val="left"/>
        </w:tabs>
        <w:numPr>
          <w:ilvl w:val="0"/>
          <w:numId w:val="43"/>
        </w:numPr>
        <w:rPr>
          <w:rFonts w:ascii="Arial" w:cs="Arial" w:eastAsia="Arial" w:hAnsi="Arial"/>
          <w:sz w:val="12"/>
          <w:szCs w:val="12"/>
          <w:color w:val="0E2A35"/>
        </w:rPr>
      </w:pPr>
      <w:r>
        <w:rPr>
          <w:rFonts w:ascii="Arial" w:cs="Arial" w:eastAsia="Arial" w:hAnsi="Arial"/>
          <w:sz w:val="12"/>
          <w:szCs w:val="12"/>
          <w:color w:val="0E2A35"/>
        </w:rPr>
        <w:t xml:space="preserve">The amounts shown represent the aggregate grant date fair values of the option grants. Assumptions used in the calculation of the amounts reported in this column are included in Note 14, </w:t>
      </w:r>
      <w:r>
        <w:rPr>
          <w:rFonts w:ascii="Arial" w:cs="Arial" w:eastAsia="Arial" w:hAnsi="Arial"/>
          <w:sz w:val="12"/>
          <w:szCs w:val="12"/>
          <w:i w:val="1"/>
          <w:iCs w:val="1"/>
          <w:color w:val="0E2A35"/>
        </w:rPr>
        <w:t>Stock-Based Compensation Plans</w:t>
      </w:r>
      <w:r>
        <w:rPr>
          <w:rFonts w:ascii="Arial" w:cs="Arial" w:eastAsia="Arial" w:hAnsi="Arial"/>
          <w:sz w:val="12"/>
          <w:szCs w:val="12"/>
          <w:color w:val="0E2A35"/>
        </w:rPr>
        <w:t>, of the Notes to the Consolidated Financial Statements included in our 2023 Form 10-K.</w:t>
      </w:r>
    </w:p>
    <w:p>
      <w:pPr>
        <w:spacing w:after="0" w:line="10" w:lineRule="exact"/>
        <w:rPr>
          <w:rFonts w:ascii="Arial" w:cs="Arial" w:eastAsia="Arial" w:hAnsi="Arial"/>
          <w:sz w:val="12"/>
          <w:szCs w:val="12"/>
          <w:color w:val="0E2A35"/>
        </w:rPr>
      </w:pPr>
    </w:p>
    <w:p>
      <w:pPr>
        <w:ind w:left="360" w:right="220" w:hanging="360"/>
        <w:spacing w:after="0" w:line="230" w:lineRule="auto"/>
        <w:tabs>
          <w:tab w:leader="none" w:pos="360" w:val="left"/>
        </w:tabs>
        <w:numPr>
          <w:ilvl w:val="0"/>
          <w:numId w:val="43"/>
        </w:numPr>
        <w:rPr>
          <w:rFonts w:ascii="Arial" w:cs="Arial" w:eastAsia="Arial" w:hAnsi="Arial"/>
          <w:sz w:val="13"/>
          <w:szCs w:val="13"/>
          <w:color w:val="0E2A35"/>
        </w:rPr>
      </w:pPr>
      <w:r>
        <w:rPr>
          <w:rFonts w:ascii="Arial" w:cs="Arial" w:eastAsia="Arial" w:hAnsi="Arial"/>
          <w:sz w:val="13"/>
          <w:szCs w:val="13"/>
          <w:color w:val="0E2A35"/>
        </w:rPr>
        <w:t>These amounts represent actual annual incentive plan award payouts made in cash to NEOs under the fiscal 2021, 2022, and 2023 OICPs. In the case of Mr. Clark, these amounts do not represent award payouts under such OICPs, but instead represent award payouts under the pre-existing Grand Design MIP that he participates in.</w:t>
      </w:r>
    </w:p>
    <w:p>
      <w:pPr>
        <w:spacing w:after="0" w:line="291"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200660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46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60" w:hanging="360"/>
        <w:spacing w:after="0"/>
        <w:tabs>
          <w:tab w:leader="none" w:pos="360" w:val="left"/>
        </w:tabs>
        <w:numPr>
          <w:ilvl w:val="0"/>
          <w:numId w:val="44"/>
        </w:numPr>
        <w:rPr>
          <w:rFonts w:ascii="Arial" w:cs="Arial" w:eastAsia="Arial" w:hAnsi="Arial"/>
          <w:sz w:val="13"/>
          <w:szCs w:val="13"/>
          <w:color w:val="0E2A35"/>
        </w:rPr>
      </w:pPr>
      <w:r>
        <w:rPr>
          <w:rFonts w:ascii="Arial" w:cs="Arial" w:eastAsia="Arial" w:hAnsi="Arial"/>
          <w:sz w:val="13"/>
          <w:szCs w:val="13"/>
          <w:color w:val="0E2A35"/>
        </w:rPr>
        <w:t>Amounts reported in this column for fiscal 2023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93980</wp:posOffset>
            </wp:positionV>
            <wp:extent cx="1697355" cy="7632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697355" cy="763270"/>
                    </a:xfrm>
                    <a:prstGeom prst="rect">
                      <a:avLst/>
                    </a:prstGeom>
                    <a:noFill/>
                  </pic:spPr>
                </pic:pic>
              </a:graphicData>
            </a:graphic>
          </wp:anchor>
        </w:drawing>
      </w:r>
    </w:p>
    <w:p>
      <w:pPr>
        <w:spacing w:after="0" w:line="128"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1920" w:type="dxa"/>
            <w:vAlign w:val="bottom"/>
            <w:shd w:val="clear" w:color="auto" w:fill="0E2A35"/>
          </w:tcPr>
          <w:p>
            <w:pPr>
              <w:spacing w:after="0"/>
              <w:rPr>
                <w:sz w:val="16"/>
                <w:szCs w:val="16"/>
                <w:color w:val="auto"/>
              </w:rPr>
            </w:pPr>
          </w:p>
        </w:tc>
        <w:tc>
          <w:tcPr>
            <w:tcW w:w="820" w:type="dxa"/>
            <w:vAlign w:val="bottom"/>
            <w:shd w:val="clear" w:color="auto" w:fill="0E2A35"/>
          </w:tcPr>
          <w:p>
            <w:pPr>
              <w:ind w:left="760"/>
              <w:spacing w:after="0"/>
              <w:rPr>
                <w:sz w:val="20"/>
                <w:szCs w:val="20"/>
                <w:color w:val="auto"/>
              </w:rPr>
            </w:pPr>
            <w:r>
              <w:rPr>
                <w:rFonts w:ascii="Arial" w:cs="Arial" w:eastAsia="Arial" w:hAnsi="Arial"/>
                <w:sz w:val="4"/>
                <w:szCs w:val="4"/>
                <w:color w:val="auto"/>
              </w:rPr>
              <w:t>​</w:t>
            </w:r>
          </w:p>
        </w:tc>
        <w:tc>
          <w:tcPr>
            <w:tcW w:w="120" w:type="dxa"/>
            <w:vAlign w:val="bottom"/>
            <w:shd w:val="clear" w:color="auto" w:fill="0E2A35"/>
          </w:tcPr>
          <w:p>
            <w:pPr>
              <w:ind w:left="60"/>
              <w:spacing w:after="0"/>
              <w:rPr>
                <w:sz w:val="20"/>
                <w:szCs w:val="20"/>
                <w:color w:val="auto"/>
              </w:rPr>
            </w:pPr>
            <w:r>
              <w:rPr>
                <w:rFonts w:ascii="Arial" w:cs="Arial" w:eastAsia="Arial" w:hAnsi="Arial"/>
                <w:sz w:val="4"/>
                <w:szCs w:val="4"/>
                <w:color w:val="auto"/>
              </w:rPr>
              <w:t>​</w:t>
            </w:r>
          </w:p>
        </w:tc>
        <w:tc>
          <w:tcPr>
            <w:tcW w:w="620" w:type="dxa"/>
            <w:vAlign w:val="bottom"/>
            <w:shd w:val="clear" w:color="auto" w:fill="0E2A35"/>
          </w:tcPr>
          <w:p>
            <w:pPr>
              <w:spacing w:after="0"/>
              <w:rPr>
                <w:sz w:val="16"/>
                <w:szCs w:val="16"/>
                <w:color w:val="auto"/>
              </w:rPr>
            </w:pPr>
          </w:p>
        </w:tc>
        <w:tc>
          <w:tcPr>
            <w:tcW w:w="100" w:type="dxa"/>
            <w:vAlign w:val="bottom"/>
            <w:shd w:val="clear" w:color="auto" w:fill="0E2A35"/>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shd w:val="clear" w:color="auto" w:fill="0E2A35"/>
          </w:tcPr>
          <w:p>
            <w:pPr>
              <w:ind w:left="60"/>
              <w:spacing w:after="0"/>
              <w:rPr>
                <w:sz w:val="20"/>
                <w:szCs w:val="20"/>
                <w:color w:val="auto"/>
              </w:rPr>
            </w:pPr>
            <w:r>
              <w:rPr>
                <w:rFonts w:ascii="Arial" w:cs="Arial" w:eastAsia="Arial" w:hAnsi="Arial"/>
                <w:sz w:val="4"/>
                <w:szCs w:val="4"/>
                <w:color w:val="auto"/>
              </w:rPr>
              <w:t>​</w:t>
            </w:r>
          </w:p>
        </w:tc>
        <w:tc>
          <w:tcPr>
            <w:tcW w:w="720" w:type="dxa"/>
            <w:vAlign w:val="bottom"/>
            <w:shd w:val="clear" w:color="auto" w:fill="0E2A35"/>
          </w:tcPr>
          <w:p>
            <w:pPr>
              <w:spacing w:after="0"/>
              <w:rPr>
                <w:sz w:val="16"/>
                <w:szCs w:val="16"/>
                <w:color w:val="auto"/>
              </w:rPr>
            </w:pPr>
          </w:p>
        </w:tc>
        <w:tc>
          <w:tcPr>
            <w:tcW w:w="100" w:type="dxa"/>
            <w:vAlign w:val="bottom"/>
            <w:shd w:val="clear" w:color="auto" w:fill="0E2A35"/>
          </w:tcPr>
          <w:p>
            <w:pPr>
              <w:ind w:left="40"/>
              <w:spacing w:after="0"/>
              <w:rPr>
                <w:sz w:val="20"/>
                <w:szCs w:val="20"/>
                <w:color w:val="auto"/>
              </w:rPr>
            </w:pPr>
            <w:r>
              <w:rPr>
                <w:rFonts w:ascii="Arial" w:cs="Arial" w:eastAsia="Arial" w:hAnsi="Arial"/>
                <w:sz w:val="4"/>
                <w:szCs w:val="4"/>
                <w:color w:val="auto"/>
              </w:rPr>
              <w:t>​</w:t>
            </w:r>
          </w:p>
        </w:tc>
        <w:tc>
          <w:tcPr>
            <w:tcW w:w="120" w:type="dxa"/>
            <w:vAlign w:val="bottom"/>
            <w:shd w:val="clear" w:color="auto" w:fill="0E2A35"/>
          </w:tcPr>
          <w:p>
            <w:pPr>
              <w:ind w:left="60"/>
              <w:spacing w:after="0"/>
              <w:rPr>
                <w:sz w:val="20"/>
                <w:szCs w:val="20"/>
                <w:color w:val="auto"/>
              </w:rPr>
            </w:pPr>
            <w:r>
              <w:rPr>
                <w:rFonts w:ascii="Arial" w:cs="Arial" w:eastAsia="Arial" w:hAnsi="Arial"/>
                <w:sz w:val="4"/>
                <w:szCs w:val="4"/>
                <w:color w:val="auto"/>
              </w:rPr>
              <w:t>​</w:t>
            </w:r>
          </w:p>
        </w:tc>
        <w:tc>
          <w:tcPr>
            <w:tcW w:w="720" w:type="dxa"/>
            <w:vAlign w:val="bottom"/>
            <w:shd w:val="clear" w:color="auto" w:fill="0E2A35"/>
          </w:tcPr>
          <w:p>
            <w:pPr>
              <w:spacing w:after="0"/>
              <w:rPr>
                <w:sz w:val="16"/>
                <w:szCs w:val="16"/>
                <w:color w:val="auto"/>
              </w:rPr>
            </w:pPr>
          </w:p>
        </w:tc>
        <w:tc>
          <w:tcPr>
            <w:tcW w:w="100" w:type="dxa"/>
            <w:vAlign w:val="bottom"/>
            <w:shd w:val="clear" w:color="auto" w:fill="0E2A35"/>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shd w:val="clear" w:color="auto" w:fill="0E2A35"/>
          </w:tcPr>
          <w:p>
            <w:pPr>
              <w:ind w:left="40"/>
              <w:spacing w:after="0"/>
              <w:rPr>
                <w:sz w:val="20"/>
                <w:szCs w:val="20"/>
                <w:color w:val="auto"/>
              </w:rPr>
            </w:pPr>
            <w:r>
              <w:rPr>
                <w:rFonts w:ascii="Arial" w:cs="Arial" w:eastAsia="Arial" w:hAnsi="Arial"/>
                <w:sz w:val="4"/>
                <w:szCs w:val="4"/>
                <w:color w:val="auto"/>
              </w:rPr>
              <w:t>​</w:t>
            </w:r>
          </w:p>
        </w:tc>
        <w:tc>
          <w:tcPr>
            <w:tcW w:w="400" w:type="dxa"/>
            <w:vAlign w:val="bottom"/>
            <w:shd w:val="clear" w:color="auto" w:fill="0E2A35"/>
          </w:tcPr>
          <w:p>
            <w:pPr>
              <w:spacing w:after="0"/>
              <w:rPr>
                <w:sz w:val="16"/>
                <w:szCs w:val="16"/>
                <w:color w:val="auto"/>
              </w:rPr>
            </w:pPr>
          </w:p>
        </w:tc>
        <w:tc>
          <w:tcPr>
            <w:tcW w:w="100" w:type="dxa"/>
            <w:vAlign w:val="bottom"/>
            <w:shd w:val="clear" w:color="auto" w:fill="0E2A35"/>
          </w:tcPr>
          <w:p>
            <w:pPr>
              <w:ind w:left="20"/>
              <w:spacing w:after="0"/>
              <w:rPr>
                <w:sz w:val="20"/>
                <w:szCs w:val="20"/>
                <w:color w:val="auto"/>
              </w:rPr>
            </w:pPr>
            <w:r>
              <w:rPr>
                <w:rFonts w:ascii="Arial" w:cs="Arial" w:eastAsia="Arial" w:hAnsi="Arial"/>
                <w:sz w:val="4"/>
                <w:szCs w:val="4"/>
                <w:color w:val="auto"/>
              </w:rPr>
              <w:t>​</w:t>
            </w:r>
          </w:p>
        </w:tc>
        <w:tc>
          <w:tcPr>
            <w:tcW w:w="120" w:type="dxa"/>
            <w:vAlign w:val="bottom"/>
            <w:gridSpan w:val="2"/>
            <w:shd w:val="clear" w:color="auto" w:fill="0E2A35"/>
          </w:tcPr>
          <w:p>
            <w:pPr>
              <w:ind w:left="40"/>
              <w:spacing w:after="0"/>
              <w:rPr>
                <w:sz w:val="20"/>
                <w:szCs w:val="20"/>
                <w:color w:val="auto"/>
              </w:rPr>
            </w:pPr>
            <w:r>
              <w:rPr>
                <w:rFonts w:ascii="Arial" w:cs="Arial" w:eastAsia="Arial" w:hAnsi="Arial"/>
                <w:sz w:val="4"/>
                <w:szCs w:val="4"/>
                <w:color w:val="auto"/>
              </w:rPr>
              <w:t>​</w:t>
            </w:r>
          </w:p>
        </w:tc>
        <w:tc>
          <w:tcPr>
            <w:tcW w:w="60" w:type="dxa"/>
            <w:vAlign w:val="bottom"/>
            <w:shd w:val="clear" w:color="auto" w:fill="0E2A35"/>
          </w:tcPr>
          <w:p>
            <w:pPr>
              <w:spacing w:after="0"/>
              <w:rPr>
                <w:sz w:val="16"/>
                <w:szCs w:val="16"/>
                <w:color w:val="auto"/>
              </w:rPr>
            </w:pPr>
          </w:p>
        </w:tc>
        <w:tc>
          <w:tcPr>
            <w:tcW w:w="1360" w:type="dxa"/>
            <w:vAlign w:val="bottom"/>
            <w:gridSpan w:val="4"/>
            <w:shd w:val="clear" w:color="auto" w:fill="0E2A35"/>
          </w:tcPr>
          <w:p>
            <w:pPr>
              <w:ind w:left="320"/>
              <w:spacing w:after="0"/>
              <w:rPr>
                <w:sz w:val="20"/>
                <w:szCs w:val="20"/>
                <w:color w:val="auto"/>
              </w:rPr>
            </w:pPr>
            <w:r>
              <w:rPr>
                <w:rFonts w:ascii="Arial" w:cs="Arial" w:eastAsia="Arial" w:hAnsi="Arial"/>
                <w:sz w:val="13"/>
                <w:szCs w:val="13"/>
                <w:b w:val="1"/>
                <w:bCs w:val="1"/>
                <w:color w:val="FFFFFF"/>
              </w:rPr>
              <w:t>Saving Plan</w:t>
            </w:r>
          </w:p>
        </w:tc>
        <w:tc>
          <w:tcPr>
            <w:tcW w:w="80" w:type="dxa"/>
            <w:vAlign w:val="bottom"/>
            <w:gridSpan w:val="2"/>
            <w:shd w:val="clear" w:color="auto" w:fill="0E2A35"/>
          </w:tcPr>
          <w:p>
            <w:pPr>
              <w:spacing w:after="0"/>
              <w:rPr>
                <w:sz w:val="20"/>
                <w:szCs w:val="20"/>
                <w:color w:val="auto"/>
              </w:rPr>
            </w:pPr>
            <w:r>
              <w:rPr>
                <w:rFonts w:ascii="Arial" w:cs="Arial" w:eastAsia="Arial" w:hAnsi="Arial"/>
                <w:sz w:val="4"/>
                <w:szCs w:val="4"/>
                <w:color w:val="auto"/>
              </w:rPr>
              <w:t>​</w:t>
            </w:r>
          </w:p>
        </w:tc>
        <w:tc>
          <w:tcPr>
            <w:tcW w:w="140" w:type="dxa"/>
            <w:vAlign w:val="bottom"/>
            <w:gridSpan w:val="2"/>
            <w:shd w:val="clear" w:color="auto" w:fill="0E2A35"/>
          </w:tcPr>
          <w:p>
            <w:pPr>
              <w:ind w:left="40"/>
              <w:spacing w:after="0"/>
              <w:rPr>
                <w:sz w:val="20"/>
                <w:szCs w:val="20"/>
                <w:color w:val="auto"/>
              </w:rPr>
            </w:pPr>
            <w:r>
              <w:rPr>
                <w:rFonts w:ascii="Arial" w:cs="Arial" w:eastAsia="Arial" w:hAnsi="Arial"/>
                <w:sz w:val="4"/>
                <w:szCs w:val="4"/>
                <w:color w:val="auto"/>
              </w:rPr>
              <w:t>​</w:t>
            </w:r>
          </w:p>
        </w:tc>
        <w:tc>
          <w:tcPr>
            <w:tcW w:w="1080" w:type="dxa"/>
            <w:vAlign w:val="bottom"/>
            <w:shd w:val="clear" w:color="auto" w:fill="0E2A35"/>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20" w:type="dxa"/>
            <w:vAlign w:val="bottom"/>
            <w:shd w:val="clear" w:color="auto" w:fill="0E2A35"/>
          </w:tcPr>
          <w:p>
            <w:pPr>
              <w:spacing w:after="0"/>
              <w:rPr>
                <w:sz w:val="13"/>
                <w:szCs w:val="13"/>
                <w:color w:val="auto"/>
              </w:rPr>
            </w:pPr>
          </w:p>
        </w:tc>
        <w:tc>
          <w:tcPr>
            <w:tcW w:w="820" w:type="dxa"/>
            <w:vAlign w:val="bottom"/>
            <w:shd w:val="clear" w:color="auto" w:fill="0E2A35"/>
          </w:tcPr>
          <w:p>
            <w:pPr>
              <w:spacing w:after="0"/>
              <w:rPr>
                <w:sz w:val="13"/>
                <w:szCs w:val="13"/>
                <w:color w:val="auto"/>
              </w:rPr>
            </w:pPr>
          </w:p>
        </w:tc>
        <w:tc>
          <w:tcPr>
            <w:tcW w:w="120" w:type="dxa"/>
            <w:vAlign w:val="bottom"/>
            <w:shd w:val="clear" w:color="auto" w:fill="0E2A35"/>
          </w:tcPr>
          <w:p>
            <w:pPr>
              <w:spacing w:after="0"/>
              <w:rPr>
                <w:sz w:val="13"/>
                <w:szCs w:val="13"/>
                <w:color w:val="auto"/>
              </w:rPr>
            </w:pPr>
          </w:p>
        </w:tc>
        <w:tc>
          <w:tcPr>
            <w:tcW w:w="620" w:type="dxa"/>
            <w:vAlign w:val="bottom"/>
            <w:shd w:val="clear" w:color="auto" w:fill="0E2A35"/>
          </w:tcPr>
          <w:p>
            <w:pPr>
              <w:spacing w:after="0"/>
              <w:rPr>
                <w:sz w:val="13"/>
                <w:szCs w:val="13"/>
                <w:color w:val="auto"/>
              </w:rPr>
            </w:pPr>
          </w:p>
        </w:tc>
        <w:tc>
          <w:tcPr>
            <w:tcW w:w="100" w:type="dxa"/>
            <w:vAlign w:val="bottom"/>
            <w:shd w:val="clear" w:color="auto" w:fill="0E2A35"/>
          </w:tcPr>
          <w:p>
            <w:pPr>
              <w:spacing w:after="0"/>
              <w:rPr>
                <w:sz w:val="13"/>
                <w:szCs w:val="13"/>
                <w:color w:val="auto"/>
              </w:rPr>
            </w:pPr>
          </w:p>
        </w:tc>
        <w:tc>
          <w:tcPr>
            <w:tcW w:w="120" w:type="dxa"/>
            <w:vAlign w:val="bottom"/>
            <w:shd w:val="clear" w:color="auto" w:fill="0E2A35"/>
          </w:tcPr>
          <w:p>
            <w:pPr>
              <w:spacing w:after="0"/>
              <w:rPr>
                <w:sz w:val="13"/>
                <w:szCs w:val="13"/>
                <w:color w:val="auto"/>
              </w:rPr>
            </w:pPr>
          </w:p>
        </w:tc>
        <w:tc>
          <w:tcPr>
            <w:tcW w:w="720" w:type="dxa"/>
            <w:vAlign w:val="bottom"/>
            <w:shd w:val="clear" w:color="auto" w:fill="0E2A35"/>
          </w:tcPr>
          <w:p>
            <w:pPr>
              <w:spacing w:after="0"/>
              <w:rPr>
                <w:sz w:val="13"/>
                <w:szCs w:val="13"/>
                <w:color w:val="auto"/>
              </w:rPr>
            </w:pPr>
          </w:p>
        </w:tc>
        <w:tc>
          <w:tcPr>
            <w:tcW w:w="100" w:type="dxa"/>
            <w:vAlign w:val="bottom"/>
            <w:shd w:val="clear" w:color="auto" w:fill="0E2A35"/>
          </w:tcPr>
          <w:p>
            <w:pPr>
              <w:spacing w:after="0"/>
              <w:rPr>
                <w:sz w:val="13"/>
                <w:szCs w:val="13"/>
                <w:color w:val="auto"/>
              </w:rPr>
            </w:pPr>
          </w:p>
        </w:tc>
        <w:tc>
          <w:tcPr>
            <w:tcW w:w="120" w:type="dxa"/>
            <w:vAlign w:val="bottom"/>
            <w:shd w:val="clear" w:color="auto" w:fill="0E2A35"/>
          </w:tcPr>
          <w:p>
            <w:pPr>
              <w:spacing w:after="0"/>
              <w:rPr>
                <w:sz w:val="13"/>
                <w:szCs w:val="13"/>
                <w:color w:val="auto"/>
              </w:rPr>
            </w:pPr>
          </w:p>
        </w:tc>
        <w:tc>
          <w:tcPr>
            <w:tcW w:w="720" w:type="dxa"/>
            <w:vAlign w:val="bottom"/>
            <w:shd w:val="clear" w:color="auto" w:fill="0E2A35"/>
          </w:tcPr>
          <w:p>
            <w:pPr>
              <w:spacing w:after="0"/>
              <w:rPr>
                <w:sz w:val="13"/>
                <w:szCs w:val="13"/>
                <w:color w:val="auto"/>
              </w:rPr>
            </w:pPr>
          </w:p>
        </w:tc>
        <w:tc>
          <w:tcPr>
            <w:tcW w:w="100" w:type="dxa"/>
            <w:vAlign w:val="bottom"/>
            <w:shd w:val="clear" w:color="auto" w:fill="0E2A35"/>
          </w:tcPr>
          <w:p>
            <w:pPr>
              <w:spacing w:after="0"/>
              <w:rPr>
                <w:sz w:val="13"/>
                <w:szCs w:val="13"/>
                <w:color w:val="auto"/>
              </w:rPr>
            </w:pPr>
          </w:p>
        </w:tc>
        <w:tc>
          <w:tcPr>
            <w:tcW w:w="120" w:type="dxa"/>
            <w:vAlign w:val="bottom"/>
            <w:shd w:val="clear" w:color="auto" w:fill="0E2A35"/>
          </w:tcPr>
          <w:p>
            <w:pPr>
              <w:spacing w:after="0"/>
              <w:rPr>
                <w:sz w:val="13"/>
                <w:szCs w:val="13"/>
                <w:color w:val="auto"/>
              </w:rPr>
            </w:pPr>
          </w:p>
        </w:tc>
        <w:tc>
          <w:tcPr>
            <w:tcW w:w="400" w:type="dxa"/>
            <w:vAlign w:val="bottom"/>
            <w:shd w:val="clear" w:color="auto" w:fill="0E2A35"/>
          </w:tcPr>
          <w:p>
            <w:pPr>
              <w:spacing w:after="0"/>
              <w:rPr>
                <w:sz w:val="13"/>
                <w:szCs w:val="13"/>
                <w:color w:val="auto"/>
              </w:rPr>
            </w:pPr>
          </w:p>
        </w:tc>
        <w:tc>
          <w:tcPr>
            <w:tcW w:w="100" w:type="dxa"/>
            <w:vAlign w:val="bottom"/>
            <w:shd w:val="clear" w:color="auto" w:fill="0E2A35"/>
          </w:tcPr>
          <w:p>
            <w:pPr>
              <w:spacing w:after="0"/>
              <w:rPr>
                <w:sz w:val="13"/>
                <w:szCs w:val="13"/>
                <w:color w:val="auto"/>
              </w:rPr>
            </w:pPr>
          </w:p>
        </w:tc>
        <w:tc>
          <w:tcPr>
            <w:tcW w:w="60" w:type="dxa"/>
            <w:vAlign w:val="bottom"/>
            <w:shd w:val="clear" w:color="auto" w:fill="0E2A35"/>
          </w:tcPr>
          <w:p>
            <w:pPr>
              <w:spacing w:after="0"/>
              <w:rPr>
                <w:sz w:val="13"/>
                <w:szCs w:val="13"/>
                <w:color w:val="auto"/>
              </w:rPr>
            </w:pPr>
          </w:p>
        </w:tc>
        <w:tc>
          <w:tcPr>
            <w:tcW w:w="60" w:type="dxa"/>
            <w:vAlign w:val="bottom"/>
            <w:tcBorders>
              <w:bottom w:val="single" w:sz="8" w:color="0E2A35"/>
            </w:tcBorders>
            <w:shd w:val="clear" w:color="auto" w:fill="0E2A35"/>
          </w:tcPr>
          <w:p>
            <w:pPr>
              <w:spacing w:after="0"/>
              <w:rPr>
                <w:sz w:val="13"/>
                <w:szCs w:val="13"/>
                <w:color w:val="auto"/>
              </w:rPr>
            </w:pPr>
          </w:p>
        </w:tc>
        <w:tc>
          <w:tcPr>
            <w:tcW w:w="60" w:type="dxa"/>
            <w:vAlign w:val="bottom"/>
            <w:tcBorders>
              <w:bottom w:val="single" w:sz="8" w:color="0E2A35"/>
            </w:tcBorders>
            <w:shd w:val="clear" w:color="auto" w:fill="0E2A35"/>
          </w:tcPr>
          <w:p>
            <w:pPr>
              <w:spacing w:after="0"/>
              <w:rPr>
                <w:sz w:val="13"/>
                <w:szCs w:val="13"/>
                <w:color w:val="auto"/>
              </w:rPr>
            </w:pPr>
          </w:p>
        </w:tc>
        <w:tc>
          <w:tcPr>
            <w:tcW w:w="440" w:type="dxa"/>
            <w:vAlign w:val="bottom"/>
            <w:shd w:val="clear" w:color="auto" w:fill="0E2A35"/>
          </w:tcPr>
          <w:p>
            <w:pPr>
              <w:spacing w:after="0"/>
              <w:rPr>
                <w:sz w:val="13"/>
                <w:szCs w:val="13"/>
                <w:color w:val="auto"/>
              </w:rPr>
            </w:pPr>
          </w:p>
        </w:tc>
        <w:tc>
          <w:tcPr>
            <w:tcW w:w="80" w:type="dxa"/>
            <w:vAlign w:val="bottom"/>
            <w:shd w:val="clear" w:color="auto" w:fill="0E2A35"/>
          </w:tcPr>
          <w:p>
            <w:pPr>
              <w:spacing w:after="0"/>
              <w:rPr>
                <w:sz w:val="13"/>
                <w:szCs w:val="13"/>
                <w:color w:val="auto"/>
              </w:rPr>
            </w:pPr>
          </w:p>
        </w:tc>
        <w:tc>
          <w:tcPr>
            <w:tcW w:w="140" w:type="dxa"/>
            <w:vAlign w:val="bottom"/>
            <w:shd w:val="clear" w:color="auto" w:fill="0E2A35"/>
          </w:tcPr>
          <w:p>
            <w:pPr>
              <w:spacing w:after="0"/>
              <w:rPr>
                <w:sz w:val="13"/>
                <w:szCs w:val="13"/>
                <w:color w:val="auto"/>
              </w:rPr>
            </w:pPr>
          </w:p>
        </w:tc>
        <w:tc>
          <w:tcPr>
            <w:tcW w:w="700" w:type="dxa"/>
            <w:vAlign w:val="bottom"/>
            <w:shd w:val="clear" w:color="auto" w:fill="0E2A35"/>
          </w:tcPr>
          <w:p>
            <w:pPr>
              <w:spacing w:after="0"/>
              <w:rPr>
                <w:sz w:val="13"/>
                <w:szCs w:val="13"/>
                <w:color w:val="auto"/>
              </w:rPr>
            </w:pPr>
          </w:p>
        </w:tc>
        <w:tc>
          <w:tcPr>
            <w:tcW w:w="20" w:type="dxa"/>
            <w:vAlign w:val="bottom"/>
            <w:shd w:val="clear" w:color="auto" w:fill="0E2A35"/>
          </w:tcPr>
          <w:p>
            <w:pPr>
              <w:spacing w:after="0"/>
              <w:rPr>
                <w:sz w:val="13"/>
                <w:szCs w:val="13"/>
                <w:color w:val="auto"/>
              </w:rPr>
            </w:pPr>
          </w:p>
        </w:tc>
        <w:tc>
          <w:tcPr>
            <w:tcW w:w="60" w:type="dxa"/>
            <w:vAlign w:val="bottom"/>
            <w:tcBorders>
              <w:bottom w:val="single" w:sz="8" w:color="0E2A35"/>
            </w:tcBorders>
            <w:shd w:val="clear" w:color="auto" w:fill="0E2A35"/>
          </w:tcPr>
          <w:p>
            <w:pPr>
              <w:spacing w:after="0"/>
              <w:rPr>
                <w:sz w:val="13"/>
                <w:szCs w:val="13"/>
                <w:color w:val="auto"/>
              </w:rPr>
            </w:pPr>
          </w:p>
        </w:tc>
        <w:tc>
          <w:tcPr>
            <w:tcW w:w="60" w:type="dxa"/>
            <w:vAlign w:val="bottom"/>
            <w:tcBorders>
              <w:bottom w:val="single" w:sz="8" w:color="0E2A35"/>
            </w:tcBorders>
            <w:shd w:val="clear" w:color="auto" w:fill="0E2A35"/>
          </w:tcPr>
          <w:p>
            <w:pPr>
              <w:spacing w:after="0"/>
              <w:rPr>
                <w:sz w:val="13"/>
                <w:szCs w:val="13"/>
                <w:color w:val="auto"/>
              </w:rPr>
            </w:pPr>
          </w:p>
        </w:tc>
        <w:tc>
          <w:tcPr>
            <w:tcW w:w="80" w:type="dxa"/>
            <w:vAlign w:val="bottom"/>
            <w:shd w:val="clear" w:color="auto" w:fill="0E2A35"/>
          </w:tcPr>
          <w:p>
            <w:pPr>
              <w:spacing w:after="0"/>
              <w:rPr>
                <w:sz w:val="13"/>
                <w:szCs w:val="13"/>
                <w:color w:val="auto"/>
              </w:rPr>
            </w:pPr>
          </w:p>
        </w:tc>
        <w:tc>
          <w:tcPr>
            <w:tcW w:w="1080" w:type="dxa"/>
            <w:vAlign w:val="bottom"/>
            <w:shd w:val="clear" w:color="auto" w:fill="0E2A35"/>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3"/>
              </w:rPr>
              <w:t>Tax and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FFFFFF"/>
                <w:w w:val="94"/>
              </w:rPr>
              <w:t>Life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restart"/>
          </w:tcPr>
          <w:p>
            <w:pPr>
              <w:ind w:left="300"/>
              <w:spacing w:after="0"/>
              <w:rPr>
                <w:sz w:val="20"/>
                <w:szCs w:val="20"/>
                <w:color w:val="auto"/>
              </w:rPr>
            </w:pPr>
            <w:r>
              <w:rPr>
                <w:rFonts w:ascii="Arial" w:cs="Arial" w:eastAsia="Arial" w:hAnsi="Arial"/>
                <w:sz w:val="13"/>
                <w:szCs w:val="13"/>
                <w:b w:val="1"/>
                <w:bCs w:val="1"/>
                <w:color w:val="FFFFFF"/>
              </w:rPr>
              <w:t>Total All</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FFFFFF"/>
              </w:rPr>
              <w:t>Car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FFFFFF"/>
                <w:w w:val="97"/>
              </w:rPr>
              <w:t>Insurance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4"/>
              </w:rPr>
              <w:t>Profit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820" w:type="dxa"/>
            <w:vAlign w:val="bottom"/>
          </w:tcPr>
          <w:p>
            <w:pPr>
              <w:ind w:left="76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20" w:type="dxa"/>
            <w:vAlign w:val="bottom"/>
            <w:gridSpan w:val="2"/>
          </w:tcPr>
          <w:p>
            <w:pPr>
              <w:jc w:val="right"/>
              <w:ind w:right="42"/>
              <w:spacing w:after="0" w:line="130" w:lineRule="exact"/>
              <w:rPr>
                <w:sz w:val="20"/>
                <w:szCs w:val="20"/>
                <w:color w:val="auto"/>
              </w:rPr>
            </w:pPr>
            <w:r>
              <w:rPr>
                <w:rFonts w:ascii="Arial" w:cs="Arial" w:eastAsia="Arial" w:hAnsi="Arial"/>
                <w:sz w:val="13"/>
                <w:szCs w:val="13"/>
                <w:b w:val="1"/>
                <w:bCs w:val="1"/>
                <w:color w:val="FFFFFF"/>
              </w:rPr>
              <w:t xml:space="preserve">Financial </w:t>
            </w:r>
            <w:r>
              <w:rPr>
                <w:rFonts w:ascii="Arial" w:cs="Arial" w:eastAsia="Arial" w:hAnsi="Arial"/>
                <w:sz w:val="3"/>
                <w:szCs w:val="3"/>
                <w:color w:val="000000"/>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20" w:type="dxa"/>
            <w:vAlign w:val="bottom"/>
            <w:vMerge w:val="continue"/>
          </w:tcPr>
          <w:p>
            <w:pPr>
              <w:spacing w:after="0"/>
              <w:rPr>
                <w:sz w:val="11"/>
                <w:szCs w:val="11"/>
                <w:color w:val="auto"/>
              </w:rPr>
            </w:pP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820" w:type="dxa"/>
            <w:vAlign w:val="bottom"/>
            <w:gridSpan w:val="2"/>
          </w:tcPr>
          <w:p>
            <w:pPr>
              <w:jc w:val="right"/>
              <w:ind w:right="42"/>
              <w:spacing w:after="0" w:line="130" w:lineRule="exact"/>
              <w:rPr>
                <w:sz w:val="20"/>
                <w:szCs w:val="20"/>
                <w:color w:val="auto"/>
              </w:rPr>
            </w:pPr>
            <w:r>
              <w:rPr>
                <w:rFonts w:ascii="Arial" w:cs="Arial" w:eastAsia="Arial" w:hAnsi="Arial"/>
                <w:sz w:val="13"/>
                <w:szCs w:val="13"/>
                <w:b w:val="1"/>
                <w:bCs w:val="1"/>
                <w:color w:val="FFFFFF"/>
              </w:rPr>
              <w:t xml:space="preserve">Premiums </w:t>
            </w:r>
            <w:r>
              <w:rPr>
                <w:rFonts w:ascii="Arial" w:cs="Arial" w:eastAsia="Arial" w:hAnsi="Arial"/>
                <w:sz w:val="3"/>
                <w:szCs w:val="3"/>
                <w:color w:val="000000"/>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400" w:type="dxa"/>
            <w:vAlign w:val="bottom"/>
            <w:vMerge w:val="restart"/>
          </w:tcPr>
          <w:p>
            <w:pPr>
              <w:jc w:val="center"/>
              <w:spacing w:after="0"/>
              <w:rPr>
                <w:sz w:val="20"/>
                <w:szCs w:val="20"/>
                <w:color w:val="auto"/>
              </w:rPr>
            </w:pPr>
            <w:r>
              <w:rPr>
                <w:rFonts w:ascii="Arial" w:cs="Arial" w:eastAsia="Arial" w:hAnsi="Arial"/>
                <w:sz w:val="13"/>
                <w:szCs w:val="13"/>
                <w:b w:val="1"/>
                <w:bCs w:val="1"/>
                <w:color w:val="FFFFFF"/>
                <w:w w:val="92"/>
              </w:rPr>
              <w:t>Other</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20" w:type="dxa"/>
            <w:vAlign w:val="bottom"/>
            <w:gridSpan w:val="2"/>
          </w:tcPr>
          <w:p>
            <w:pPr>
              <w:ind w:left="40"/>
              <w:spacing w:after="0"/>
              <w:rPr>
                <w:sz w:val="20"/>
                <w:szCs w:val="20"/>
                <w:color w:val="auto"/>
              </w:rPr>
            </w:pPr>
            <w:r>
              <w:rPr>
                <w:rFonts w:ascii="Arial" w:cs="Arial" w:eastAsia="Arial" w:hAnsi="Arial"/>
                <w:sz w:val="4"/>
                <w:szCs w:val="4"/>
                <w:color w:val="auto"/>
              </w:rPr>
              <w:t>​</w:t>
            </w:r>
          </w:p>
        </w:tc>
        <w:tc>
          <w:tcPr>
            <w:tcW w:w="6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b w:val="1"/>
                <w:bCs w:val="1"/>
                <w:color w:val="FFFFFF"/>
              </w:rPr>
              <w:t>Match​</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700" w:type="dxa"/>
            <w:vAlign w:val="bottom"/>
            <w:vMerge w:val="continue"/>
          </w:tcPr>
          <w:p>
            <w:pPr>
              <w:spacing w:after="0"/>
              <w:rPr>
                <w:sz w:val="11"/>
                <w:szCs w:val="11"/>
                <w:color w:val="auto"/>
              </w:rPr>
            </w:pPr>
          </w:p>
        </w:tc>
        <w:tc>
          <w:tcPr>
            <w:tcW w:w="80" w:type="dxa"/>
            <w:vAlign w:val="bottom"/>
            <w:gridSpan w:val="2"/>
          </w:tcPr>
          <w:p>
            <w:pPr>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40"/>
              <w:spacing w:after="0"/>
              <w:rPr>
                <w:sz w:val="20"/>
                <w:szCs w:val="20"/>
                <w:color w:val="auto"/>
              </w:rPr>
            </w:pPr>
            <w:r>
              <w:rPr>
                <w:rFonts w:ascii="Arial" w:cs="Arial" w:eastAsia="Arial" w:hAnsi="Arial"/>
                <w:sz w:val="4"/>
                <w:szCs w:val="4"/>
                <w:color w:val="auto"/>
              </w:rPr>
              <w:t>​</w:t>
            </w:r>
          </w:p>
        </w:tc>
        <w:tc>
          <w:tcPr>
            <w:tcW w:w="1080" w:type="dxa"/>
            <w:vAlign w:val="bottom"/>
          </w:tcPr>
          <w:p>
            <w:pPr>
              <w:jc w:val="center"/>
              <w:spacing w:after="0" w:line="130" w:lineRule="exact"/>
              <w:rPr>
                <w:sz w:val="20"/>
                <w:szCs w:val="20"/>
                <w:color w:val="auto"/>
              </w:rPr>
            </w:pPr>
            <w:r>
              <w:rPr>
                <w:rFonts w:ascii="Arial" w:cs="Arial" w:eastAsia="Arial" w:hAnsi="Arial"/>
                <w:sz w:val="13"/>
                <w:szCs w:val="13"/>
                <w:b w:val="1"/>
                <w:bCs w:val="1"/>
                <w:color w:val="FFFFFF"/>
                <w:w w:val="92"/>
              </w:rPr>
              <w:t>Other</w:t>
            </w:r>
          </w:p>
        </w:tc>
        <w:tc>
          <w:tcPr>
            <w:tcW w:w="0" w:type="dxa"/>
            <w:vAlign w:val="bottom"/>
          </w:tcPr>
          <w:p>
            <w:pPr>
              <w:spacing w:after="0"/>
              <w:rPr>
                <w:sz w:val="1"/>
                <w:szCs w:val="1"/>
                <w:color w:val="auto"/>
              </w:rPr>
            </w:pPr>
          </w:p>
        </w:tc>
      </w:tr>
      <w:tr>
        <w:trPr>
          <w:trHeight w:val="140"/>
        </w:trPr>
        <w:tc>
          <w:tcPr>
            <w:tcW w:w="1920" w:type="dxa"/>
            <w:vAlign w:val="bottom"/>
            <w:vMerge w:val="restart"/>
          </w:tcPr>
          <w:p>
            <w:pPr>
              <w:ind w:left="60"/>
              <w:spacing w:after="0"/>
              <w:rPr>
                <w:sz w:val="20"/>
                <w:szCs w:val="20"/>
                <w:color w:val="auto"/>
              </w:rPr>
            </w:pPr>
            <w:r>
              <w:rPr>
                <w:rFonts w:ascii="Arial" w:cs="Arial" w:eastAsia="Arial" w:hAnsi="Arial"/>
                <w:sz w:val="13"/>
                <w:szCs w:val="13"/>
                <w:b w:val="1"/>
                <w:bCs w:val="1"/>
                <w:color w:val="FFFFFF"/>
              </w:rPr>
              <w:t>Name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0" w:lineRule="exact"/>
              <w:rPr>
                <w:sz w:val="20"/>
                <w:szCs w:val="20"/>
                <w:color w:val="auto"/>
              </w:rPr>
            </w:pPr>
            <w:r>
              <w:rPr>
                <w:rFonts w:ascii="Arial" w:cs="Arial" w:eastAsia="Arial" w:hAnsi="Arial"/>
                <w:sz w:val="13"/>
                <w:szCs w:val="13"/>
                <w:b w:val="1"/>
                <w:bCs w:val="1"/>
                <w:color w:val="FFFFFF"/>
                <w:w w:val="98"/>
              </w:rPr>
              <w:t>Planning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Arial" w:cs="Arial" w:eastAsia="Arial" w:hAnsi="Arial"/>
                <w:sz w:val="13"/>
                <w:szCs w:val="13"/>
                <w:b w:val="1"/>
                <w:bCs w:val="1"/>
                <w:color w:val="FFFFFF"/>
                <w:w w:val="96"/>
              </w:rPr>
              <w:t>Allowance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0" w:lineRule="exact"/>
              <w:rPr>
                <w:sz w:val="20"/>
                <w:szCs w:val="20"/>
                <w:color w:val="auto"/>
              </w:rPr>
            </w:pPr>
            <w:r>
              <w:rPr>
                <w:rFonts w:ascii="Arial" w:cs="Arial" w:eastAsia="Arial" w:hAnsi="Arial"/>
                <w:sz w:val="13"/>
                <w:szCs w:val="13"/>
                <w:b w:val="1"/>
                <w:bCs w:val="1"/>
                <w:color w:val="FFFFFF"/>
                <w:w w:val="94"/>
              </w:rPr>
              <w:t>STD &amp; LTD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Arial" w:cs="Arial" w:eastAsia="Arial" w:hAnsi="Arial"/>
                <w:sz w:val="10"/>
                <w:szCs w:val="10"/>
                <w:b w:val="1"/>
                <w:bCs w:val="1"/>
                <w:color w:val="FFFFFF"/>
              </w:rPr>
              <w:t>Sharing</w:t>
            </w:r>
            <w:r>
              <w:rPr>
                <w:rFonts w:ascii="Arial" w:cs="Arial" w:eastAsia="Arial" w:hAnsi="Arial"/>
                <w:sz w:val="16"/>
                <w:szCs w:val="16"/>
                <w:b w:val="1"/>
                <w:bCs w:val="1"/>
                <w:color w:val="FFFFFF"/>
                <w:vertAlign w:val="superscript"/>
              </w:rPr>
              <w:t>(a)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Arial" w:cs="Arial" w:eastAsia="Arial" w:hAnsi="Arial"/>
                <w:sz w:val="13"/>
                <w:szCs w:val="13"/>
                <w:b w:val="1"/>
                <w:bCs w:val="1"/>
                <w:color w:val="FFFFFF"/>
                <w:w w:val="97"/>
              </w:rPr>
              <w:t>Compensation</w:t>
            </w:r>
          </w:p>
        </w:tc>
        <w:tc>
          <w:tcPr>
            <w:tcW w:w="0" w:type="dxa"/>
            <w:vAlign w:val="bottom"/>
          </w:tcPr>
          <w:p>
            <w:pPr>
              <w:spacing w:after="0"/>
              <w:rPr>
                <w:sz w:val="1"/>
                <w:szCs w:val="1"/>
                <w:color w:val="auto"/>
              </w:rPr>
            </w:pPr>
          </w:p>
        </w:tc>
      </w:tr>
      <w:tr>
        <w:trPr>
          <w:trHeight w:val="176"/>
        </w:trPr>
        <w:tc>
          <w:tcPr>
            <w:tcW w:w="19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left="12"/>
              <w:spacing w:after="0"/>
              <w:rPr>
                <w:sz w:val="20"/>
                <w:szCs w:val="20"/>
                <w:color w:val="auto"/>
              </w:rPr>
            </w:pPr>
            <w:r>
              <w:rPr>
                <w:rFonts w:ascii="Arial" w:cs="Arial" w:eastAsia="Arial" w:hAnsi="Arial"/>
                <w:sz w:val="13"/>
                <w:szCs w:val="13"/>
                <w:b w:val="1"/>
                <w:bCs w:val="1"/>
                <w:color w:val="FFFFFF"/>
                <w:w w:val="87"/>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left="11"/>
              <w:spacing w:after="0"/>
              <w:rPr>
                <w:sz w:val="20"/>
                <w:szCs w:val="20"/>
                <w:color w:val="auto"/>
              </w:rPr>
            </w:pPr>
            <w:r>
              <w:rPr>
                <w:rFonts w:ascii="Arial" w:cs="Arial" w:eastAsia="Arial" w:hAnsi="Arial"/>
                <w:sz w:val="13"/>
                <w:szCs w:val="13"/>
                <w:b w:val="1"/>
                <w:bCs w:val="1"/>
                <w:color w:val="FFFFFF"/>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left="13"/>
              <w:spacing w:after="0"/>
              <w:rPr>
                <w:sz w:val="20"/>
                <w:szCs w:val="20"/>
                <w:color w:val="auto"/>
              </w:rPr>
            </w:pPr>
            <w:r>
              <w:rPr>
                <w:rFonts w:ascii="Arial" w:cs="Arial" w:eastAsia="Arial" w:hAnsi="Arial"/>
                <w:sz w:val="13"/>
                <w:szCs w:val="13"/>
                <w:b w:val="1"/>
                <w:bCs w:val="1"/>
                <w:color w:val="FFFFFF"/>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center"/>
              <w:ind w:left="11"/>
              <w:spacing w:after="0"/>
              <w:rPr>
                <w:sz w:val="20"/>
                <w:szCs w:val="20"/>
                <w:color w:val="auto"/>
              </w:rPr>
            </w:pPr>
            <w:r>
              <w:rPr>
                <w:rFonts w:ascii="Arial" w:cs="Arial" w:eastAsia="Arial" w:hAnsi="Arial"/>
                <w:sz w:val="13"/>
                <w:szCs w:val="13"/>
                <w:b w:val="1"/>
                <w:bCs w:val="1"/>
                <w:color w:val="FFFFFF"/>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FFFFFF"/>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453"/>
        </w:trPr>
        <w:tc>
          <w:tcPr>
            <w:tcW w:w="192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Michael J. Happe</w:t>
            </w:r>
          </w:p>
        </w:tc>
        <w:tc>
          <w:tcPr>
            <w:tcW w:w="820" w:type="dxa"/>
            <w:vAlign w:val="bottom"/>
            <w:tcBorders>
              <w:bottom w:val="single" w:sz="8" w:color="0E2A35"/>
            </w:tcBorders>
          </w:tcPr>
          <w:p>
            <w:pPr>
              <w:ind w:left="760"/>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0E2A35"/>
            </w:tcBorders>
          </w:tcPr>
          <w:p>
            <w:pPr>
              <w:ind w:left="60"/>
              <w:spacing w:after="0"/>
              <w:rPr>
                <w:sz w:val="20"/>
                <w:szCs w:val="20"/>
                <w:color w:val="auto"/>
              </w:rPr>
            </w:pPr>
            <w:r>
              <w:rPr>
                <w:rFonts w:ascii="Arial" w:cs="Arial" w:eastAsia="Arial" w:hAnsi="Arial"/>
                <w:sz w:val="4"/>
                <w:szCs w:val="4"/>
                <w:color w:val="auto"/>
              </w:rPr>
              <w:t>​</w:t>
            </w:r>
          </w:p>
        </w:tc>
        <w:tc>
          <w:tcPr>
            <w:tcW w:w="620" w:type="dxa"/>
            <w:vAlign w:val="bottom"/>
            <w:tcBorders>
              <w:bottom w:val="single" w:sz="8" w:color="0E2A35"/>
            </w:tcBorders>
          </w:tcPr>
          <w:p>
            <w:pPr>
              <w:jc w:val="right"/>
              <w:ind w:right="32"/>
              <w:spacing w:after="0"/>
              <w:rPr>
                <w:sz w:val="20"/>
                <w:szCs w:val="20"/>
                <w:color w:val="auto"/>
              </w:rPr>
            </w:pPr>
            <w:r>
              <w:rPr>
                <w:rFonts w:ascii="Arial" w:cs="Arial" w:eastAsia="Arial" w:hAnsi="Arial"/>
                <w:sz w:val="14"/>
                <w:szCs w:val="14"/>
                <w:color w:val="0E2A35"/>
              </w:rPr>
              <w:t>7,800​</w:t>
            </w:r>
          </w:p>
        </w:tc>
        <w:tc>
          <w:tcPr>
            <w:tcW w:w="100" w:type="dxa"/>
            <w:vAlign w:val="bottom"/>
            <w:tcBorders>
              <w:bottom w:val="single" w:sz="8" w:color="0E2A35"/>
            </w:tcBorders>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0E2A35"/>
            </w:tcBorders>
          </w:tcPr>
          <w:p>
            <w:pPr>
              <w:ind w:left="60"/>
              <w:spacing w:after="0"/>
              <w:rPr>
                <w:sz w:val="20"/>
                <w:szCs w:val="20"/>
                <w:color w:val="auto"/>
              </w:rPr>
            </w:pPr>
            <w:r>
              <w:rPr>
                <w:rFonts w:ascii="Arial" w:cs="Arial" w:eastAsia="Arial" w:hAnsi="Arial"/>
                <w:sz w:val="4"/>
                <w:szCs w:val="4"/>
                <w:color w:val="auto"/>
              </w:rPr>
              <w:t>​</w:t>
            </w:r>
          </w:p>
        </w:tc>
        <w:tc>
          <w:tcPr>
            <w:tcW w:w="720" w:type="dxa"/>
            <w:vAlign w:val="bottom"/>
            <w:tcBorders>
              <w:bottom w:val="single" w:sz="8" w:color="0E2A35"/>
            </w:tcBorders>
          </w:tcPr>
          <w:p>
            <w:pPr>
              <w:jc w:val="right"/>
              <w:ind w:right="51"/>
              <w:spacing w:after="0"/>
              <w:rPr>
                <w:sz w:val="20"/>
                <w:szCs w:val="20"/>
                <w:color w:val="auto"/>
              </w:rPr>
            </w:pPr>
            <w:r>
              <w:rPr>
                <w:rFonts w:ascii="Arial" w:cs="Arial" w:eastAsia="Arial" w:hAnsi="Arial"/>
                <w:sz w:val="14"/>
                <w:szCs w:val="14"/>
                <w:color w:val="0E2A35"/>
              </w:rPr>
              <w:t>18,004​</w:t>
            </w:r>
          </w:p>
        </w:tc>
        <w:tc>
          <w:tcPr>
            <w:tcW w:w="100" w:type="dxa"/>
            <w:vAlign w:val="bottom"/>
            <w:tcBorders>
              <w:bottom w:val="single" w:sz="8" w:color="0E2A35"/>
            </w:tcBorders>
          </w:tcPr>
          <w:p>
            <w:pPr>
              <w:ind w:left="40"/>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0E2A35"/>
            </w:tcBorders>
          </w:tcPr>
          <w:p>
            <w:pPr>
              <w:ind w:left="60"/>
              <w:spacing w:after="0"/>
              <w:rPr>
                <w:sz w:val="20"/>
                <w:szCs w:val="20"/>
                <w:color w:val="auto"/>
              </w:rPr>
            </w:pPr>
            <w:r>
              <w:rPr>
                <w:rFonts w:ascii="Arial" w:cs="Arial" w:eastAsia="Arial" w:hAnsi="Arial"/>
                <w:sz w:val="4"/>
                <w:szCs w:val="4"/>
                <w:color w:val="auto"/>
              </w:rPr>
              <w:t>​</w:t>
            </w:r>
          </w:p>
        </w:tc>
        <w:tc>
          <w:tcPr>
            <w:tcW w:w="720" w:type="dxa"/>
            <w:vAlign w:val="bottom"/>
            <w:tcBorders>
              <w:bottom w:val="single" w:sz="8" w:color="0E2A35"/>
            </w:tcBorders>
          </w:tcPr>
          <w:p>
            <w:pPr>
              <w:jc w:val="right"/>
              <w:ind w:right="53"/>
              <w:spacing w:after="0"/>
              <w:rPr>
                <w:sz w:val="20"/>
                <w:szCs w:val="20"/>
                <w:color w:val="auto"/>
              </w:rPr>
            </w:pPr>
            <w:r>
              <w:rPr>
                <w:rFonts w:ascii="Arial" w:cs="Arial" w:eastAsia="Arial" w:hAnsi="Arial"/>
                <w:sz w:val="14"/>
                <w:szCs w:val="14"/>
                <w:color w:val="0E2A35"/>
              </w:rPr>
              <w:t>14,000​</w:t>
            </w:r>
          </w:p>
        </w:tc>
        <w:tc>
          <w:tcPr>
            <w:tcW w:w="100" w:type="dxa"/>
            <w:vAlign w:val="bottom"/>
            <w:tcBorders>
              <w:bottom w:val="single" w:sz="8" w:color="0E2A35"/>
            </w:tcBorders>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0E2A35"/>
            </w:tcBorders>
          </w:tcPr>
          <w:p>
            <w:pPr>
              <w:ind w:left="40"/>
              <w:spacing w:after="0"/>
              <w:rPr>
                <w:sz w:val="20"/>
                <w:szCs w:val="20"/>
                <w:color w:val="auto"/>
              </w:rPr>
            </w:pPr>
            <w:r>
              <w:rPr>
                <w:rFonts w:ascii="Arial" w:cs="Arial" w:eastAsia="Arial" w:hAnsi="Arial"/>
                <w:sz w:val="4"/>
                <w:szCs w:val="4"/>
                <w:color w:val="auto"/>
              </w:rPr>
              <w:t>​</w:t>
            </w:r>
          </w:p>
        </w:tc>
        <w:tc>
          <w:tcPr>
            <w:tcW w:w="40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w w:val="99"/>
              </w:rPr>
              <w:t>—</w:t>
            </w:r>
          </w:p>
        </w:tc>
        <w:tc>
          <w:tcPr>
            <w:tcW w:w="100" w:type="dxa"/>
            <w:vAlign w:val="bottom"/>
            <w:tcBorders>
              <w:bottom w:val="single" w:sz="8" w:color="0E2A35"/>
            </w:tcBorders>
          </w:tcPr>
          <w:p>
            <w:pPr>
              <w:ind w:left="20"/>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0E2A35"/>
            </w:tcBorders>
            <w:gridSpan w:val="2"/>
          </w:tcPr>
          <w:p>
            <w:pPr>
              <w:ind w:left="40"/>
              <w:spacing w:after="0"/>
              <w:rPr>
                <w:sz w:val="20"/>
                <w:szCs w:val="20"/>
                <w:color w:val="auto"/>
              </w:rPr>
            </w:pPr>
            <w:r>
              <w:rPr>
                <w:rFonts w:ascii="Arial" w:cs="Arial" w:eastAsia="Arial" w:hAnsi="Arial"/>
                <w:sz w:val="4"/>
                <w:szCs w:val="4"/>
                <w:color w:val="auto"/>
              </w:rPr>
              <w:t>​</w:t>
            </w:r>
          </w:p>
        </w:tc>
        <w:tc>
          <w:tcPr>
            <w:tcW w:w="500" w:type="dxa"/>
            <w:vAlign w:val="bottom"/>
            <w:tcBorders>
              <w:bottom w:val="single" w:sz="8" w:color="0E2A35"/>
            </w:tcBorders>
            <w:gridSpan w:val="2"/>
          </w:tcPr>
          <w:p>
            <w:pPr>
              <w:jc w:val="center"/>
              <w:spacing w:after="0"/>
              <w:rPr>
                <w:sz w:val="20"/>
                <w:szCs w:val="20"/>
                <w:color w:val="auto"/>
              </w:rPr>
            </w:pPr>
            <w:r>
              <w:rPr>
                <w:rFonts w:ascii="Arial" w:cs="Arial" w:eastAsia="Arial" w:hAnsi="Arial"/>
                <w:sz w:val="14"/>
                <w:szCs w:val="14"/>
                <w:color w:val="0E2A35"/>
              </w:rPr>
              <w:t>12,200​</w:t>
            </w:r>
          </w:p>
        </w:tc>
        <w:tc>
          <w:tcPr>
            <w:tcW w:w="80" w:type="dxa"/>
            <w:vAlign w:val="bottom"/>
            <w:tcBorders>
              <w:bottom w:val="single" w:sz="8" w:color="0E2A35"/>
            </w:tcBorders>
          </w:tcPr>
          <w:p>
            <w:pPr>
              <w:ind w:left="20"/>
              <w:spacing w:after="0"/>
              <w:rPr>
                <w:sz w:val="20"/>
                <w:szCs w:val="20"/>
                <w:color w:val="auto"/>
              </w:rPr>
            </w:pPr>
            <w:r>
              <w:rPr>
                <w:rFonts w:ascii="Arial" w:cs="Arial" w:eastAsia="Arial" w:hAnsi="Arial"/>
                <w:sz w:val="4"/>
                <w:szCs w:val="4"/>
                <w:color w:val="auto"/>
              </w:rPr>
              <w:t>​</w:t>
            </w:r>
          </w:p>
        </w:tc>
        <w:tc>
          <w:tcPr>
            <w:tcW w:w="140" w:type="dxa"/>
            <w:vAlign w:val="bottom"/>
            <w:tcBorders>
              <w:bottom w:val="single" w:sz="8" w:color="0E2A35"/>
            </w:tcBorders>
          </w:tcPr>
          <w:p>
            <w:pPr>
              <w:ind w:left="60"/>
              <w:spacing w:after="0"/>
              <w:rPr>
                <w:sz w:val="20"/>
                <w:szCs w:val="20"/>
                <w:color w:val="auto"/>
              </w:rPr>
            </w:pPr>
            <w:r>
              <w:rPr>
                <w:rFonts w:ascii="Arial" w:cs="Arial" w:eastAsia="Arial" w:hAnsi="Arial"/>
                <w:sz w:val="4"/>
                <w:szCs w:val="4"/>
                <w:color w:val="auto"/>
              </w:rPr>
              <w:t>​</w:t>
            </w:r>
          </w:p>
        </w:tc>
        <w:tc>
          <w:tcPr>
            <w:tcW w:w="700" w:type="dxa"/>
            <w:vAlign w:val="bottom"/>
            <w:tcBorders>
              <w:bottom w:val="single" w:sz="8" w:color="0E2A35"/>
            </w:tcBorders>
          </w:tcPr>
          <w:p>
            <w:pPr>
              <w:ind w:left="160"/>
              <w:spacing w:after="0"/>
              <w:rPr>
                <w:sz w:val="20"/>
                <w:szCs w:val="20"/>
                <w:color w:val="auto"/>
              </w:rPr>
            </w:pPr>
            <w:r>
              <w:rPr>
                <w:rFonts w:ascii="Arial" w:cs="Arial" w:eastAsia="Arial" w:hAnsi="Arial"/>
                <w:sz w:val="14"/>
                <w:szCs w:val="14"/>
                <w:color w:val="0E2A35"/>
              </w:rPr>
              <w:t>9,460​</w:t>
            </w:r>
          </w:p>
        </w:tc>
        <w:tc>
          <w:tcPr>
            <w:tcW w:w="80" w:type="dxa"/>
            <w:vAlign w:val="bottom"/>
            <w:tcBorders>
              <w:bottom w:val="single" w:sz="8" w:color="0E2A35"/>
            </w:tcBorders>
            <w:gridSpan w:val="2"/>
          </w:tcPr>
          <w:p>
            <w:pPr>
              <w:spacing w:after="0"/>
              <w:rPr>
                <w:sz w:val="20"/>
                <w:szCs w:val="20"/>
                <w:color w:val="auto"/>
              </w:rPr>
            </w:pPr>
            <w:r>
              <w:rPr>
                <w:rFonts w:ascii="Arial" w:cs="Arial" w:eastAsia="Arial" w:hAnsi="Arial"/>
                <w:sz w:val="4"/>
                <w:szCs w:val="4"/>
                <w:color w:val="auto"/>
              </w:rPr>
              <w:t>​</w:t>
            </w:r>
          </w:p>
        </w:tc>
        <w:tc>
          <w:tcPr>
            <w:tcW w:w="140" w:type="dxa"/>
            <w:vAlign w:val="bottom"/>
            <w:tcBorders>
              <w:bottom w:val="single" w:sz="8" w:color="0E2A35"/>
            </w:tcBorders>
            <w:gridSpan w:val="2"/>
          </w:tcPr>
          <w:p>
            <w:pPr>
              <w:ind w:left="40"/>
              <w:spacing w:after="0"/>
              <w:rPr>
                <w:sz w:val="20"/>
                <w:szCs w:val="20"/>
                <w:color w:val="auto"/>
              </w:rPr>
            </w:pPr>
            <w:r>
              <w:rPr>
                <w:rFonts w:ascii="Arial" w:cs="Arial" w:eastAsia="Arial" w:hAnsi="Arial"/>
                <w:sz w:val="4"/>
                <w:szCs w:val="4"/>
                <w:color w:val="auto"/>
              </w:rPr>
              <w:t>​</w:t>
            </w:r>
          </w:p>
        </w:tc>
        <w:tc>
          <w:tcPr>
            <w:tcW w:w="1080" w:type="dxa"/>
            <w:vAlign w:val="bottom"/>
            <w:tcBorders>
              <w:bottom w:val="single" w:sz="8" w:color="0E2A35"/>
            </w:tcBorders>
          </w:tcPr>
          <w:p>
            <w:pPr>
              <w:ind w:left="280"/>
              <w:spacing w:after="0"/>
              <w:rPr>
                <w:sz w:val="20"/>
                <w:szCs w:val="20"/>
                <w:color w:val="auto"/>
              </w:rPr>
            </w:pPr>
            <w:r>
              <w:rPr>
                <w:rFonts w:ascii="Arial" w:cs="Arial" w:eastAsia="Arial" w:hAnsi="Arial"/>
                <w:sz w:val="14"/>
                <w:szCs w:val="14"/>
                <w:color w:val="0E2A35"/>
              </w:rPr>
              <w:t>​77,241</w:t>
            </w:r>
            <w:r>
              <w:rPr>
                <w:rFonts w:ascii="Arial" w:cs="Arial" w:eastAsia="Arial" w:hAnsi="Arial"/>
                <w:sz w:val="23"/>
                <w:szCs w:val="23"/>
                <w:color w:val="0E2A35"/>
                <w:vertAlign w:val="superscript"/>
              </w:rPr>
              <w:t>(b)</w:t>
            </w:r>
          </w:p>
        </w:tc>
        <w:tc>
          <w:tcPr>
            <w:tcW w:w="0" w:type="dxa"/>
            <w:vAlign w:val="bottom"/>
          </w:tcPr>
          <w:p>
            <w:pPr>
              <w:spacing w:after="0"/>
              <w:rPr>
                <w:sz w:val="1"/>
                <w:szCs w:val="1"/>
                <w:color w:val="auto"/>
              </w:rPr>
            </w:pPr>
          </w:p>
        </w:tc>
      </w:tr>
      <w:tr>
        <w:trPr>
          <w:trHeight w:val="372"/>
        </w:trPr>
        <w:tc>
          <w:tcPr>
            <w:tcW w:w="192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Bryan L. Hughes</w:t>
            </w:r>
          </w:p>
        </w:tc>
        <w:tc>
          <w:tcPr>
            <w:tcW w:w="820" w:type="dxa"/>
            <w:vAlign w:val="bottom"/>
            <w:tcBorders>
              <w:bottom w:val="single" w:sz="8" w:color="0E2A35"/>
            </w:tcBorders>
          </w:tcPr>
          <w:p>
            <w:pPr>
              <w:ind w:left="760"/>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0E2A35"/>
            </w:tcBorders>
          </w:tcPr>
          <w:p>
            <w:pPr>
              <w:ind w:left="60"/>
              <w:spacing w:after="0"/>
              <w:rPr>
                <w:sz w:val="20"/>
                <w:szCs w:val="20"/>
                <w:color w:val="auto"/>
              </w:rPr>
            </w:pPr>
            <w:r>
              <w:rPr>
                <w:rFonts w:ascii="Arial" w:cs="Arial" w:eastAsia="Arial" w:hAnsi="Arial"/>
                <w:sz w:val="4"/>
                <w:szCs w:val="4"/>
                <w:color w:val="auto"/>
              </w:rPr>
              <w:t>​</w:t>
            </w:r>
          </w:p>
        </w:tc>
        <w:tc>
          <w:tcPr>
            <w:tcW w:w="620" w:type="dxa"/>
            <w:vAlign w:val="bottom"/>
            <w:tcBorders>
              <w:bottom w:val="single" w:sz="8" w:color="0E2A35"/>
            </w:tcBorders>
          </w:tcPr>
          <w:p>
            <w:pPr>
              <w:jc w:val="right"/>
              <w:ind w:right="32"/>
              <w:spacing w:after="0"/>
              <w:rPr>
                <w:sz w:val="20"/>
                <w:szCs w:val="20"/>
                <w:color w:val="auto"/>
              </w:rPr>
            </w:pPr>
            <w:r>
              <w:rPr>
                <w:rFonts w:ascii="Arial" w:cs="Arial" w:eastAsia="Arial" w:hAnsi="Arial"/>
                <w:sz w:val="14"/>
                <w:szCs w:val="14"/>
                <w:color w:val="0E2A35"/>
              </w:rPr>
              <w:t>7,800​</w:t>
            </w:r>
          </w:p>
        </w:tc>
        <w:tc>
          <w:tcPr>
            <w:tcW w:w="100" w:type="dxa"/>
            <w:vAlign w:val="bottom"/>
            <w:tcBorders>
              <w:bottom w:val="single" w:sz="8" w:color="0E2A35"/>
            </w:tcBorders>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0E2A35"/>
            </w:tcBorders>
          </w:tcPr>
          <w:p>
            <w:pPr>
              <w:ind w:left="60"/>
              <w:spacing w:after="0"/>
              <w:rPr>
                <w:sz w:val="20"/>
                <w:szCs w:val="20"/>
                <w:color w:val="auto"/>
              </w:rPr>
            </w:pPr>
            <w:r>
              <w:rPr>
                <w:rFonts w:ascii="Arial" w:cs="Arial" w:eastAsia="Arial" w:hAnsi="Arial"/>
                <w:sz w:val="4"/>
                <w:szCs w:val="4"/>
                <w:color w:val="auto"/>
              </w:rPr>
              <w:t>​</w:t>
            </w:r>
          </w:p>
        </w:tc>
        <w:tc>
          <w:tcPr>
            <w:tcW w:w="720" w:type="dxa"/>
            <w:vAlign w:val="bottom"/>
            <w:tcBorders>
              <w:bottom w:val="single" w:sz="8" w:color="0E2A35"/>
            </w:tcBorders>
          </w:tcPr>
          <w:p>
            <w:pPr>
              <w:jc w:val="right"/>
              <w:ind w:right="51"/>
              <w:spacing w:after="0"/>
              <w:rPr>
                <w:sz w:val="20"/>
                <w:szCs w:val="20"/>
                <w:color w:val="auto"/>
              </w:rPr>
            </w:pPr>
            <w:r>
              <w:rPr>
                <w:rFonts w:ascii="Arial" w:cs="Arial" w:eastAsia="Arial" w:hAnsi="Arial"/>
                <w:sz w:val="14"/>
                <w:szCs w:val="14"/>
                <w:color w:val="0E2A35"/>
              </w:rPr>
              <w:t>18,004​</w:t>
            </w:r>
          </w:p>
        </w:tc>
        <w:tc>
          <w:tcPr>
            <w:tcW w:w="100" w:type="dxa"/>
            <w:vAlign w:val="bottom"/>
            <w:tcBorders>
              <w:bottom w:val="single" w:sz="8" w:color="0E2A35"/>
            </w:tcBorders>
          </w:tcPr>
          <w:p>
            <w:pPr>
              <w:ind w:left="40"/>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0E2A35"/>
            </w:tcBorders>
          </w:tcPr>
          <w:p>
            <w:pPr>
              <w:ind w:left="60"/>
              <w:spacing w:after="0"/>
              <w:rPr>
                <w:sz w:val="20"/>
                <w:szCs w:val="20"/>
                <w:color w:val="auto"/>
              </w:rPr>
            </w:pPr>
            <w:r>
              <w:rPr>
                <w:rFonts w:ascii="Arial" w:cs="Arial" w:eastAsia="Arial" w:hAnsi="Arial"/>
                <w:sz w:val="4"/>
                <w:szCs w:val="4"/>
                <w:color w:val="auto"/>
              </w:rPr>
              <w:t>​</w:t>
            </w:r>
          </w:p>
        </w:tc>
        <w:tc>
          <w:tcPr>
            <w:tcW w:w="720" w:type="dxa"/>
            <w:vAlign w:val="bottom"/>
            <w:tcBorders>
              <w:bottom w:val="single" w:sz="8" w:color="0E2A35"/>
            </w:tcBorders>
          </w:tcPr>
          <w:p>
            <w:pPr>
              <w:jc w:val="right"/>
              <w:ind w:right="53"/>
              <w:spacing w:after="0"/>
              <w:rPr>
                <w:sz w:val="20"/>
                <w:szCs w:val="20"/>
                <w:color w:val="auto"/>
              </w:rPr>
            </w:pPr>
            <w:r>
              <w:rPr>
                <w:rFonts w:ascii="Arial" w:cs="Arial" w:eastAsia="Arial" w:hAnsi="Arial"/>
                <w:sz w:val="14"/>
                <w:szCs w:val="14"/>
                <w:color w:val="0E2A35"/>
              </w:rPr>
              <w:t>​ 5,395</w:t>
            </w:r>
          </w:p>
        </w:tc>
        <w:tc>
          <w:tcPr>
            <w:tcW w:w="100" w:type="dxa"/>
            <w:vAlign w:val="bottom"/>
            <w:tcBorders>
              <w:bottom w:val="single" w:sz="8" w:color="0E2A35"/>
            </w:tcBorders>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0E2A35"/>
            </w:tcBorders>
          </w:tcPr>
          <w:p>
            <w:pPr>
              <w:ind w:left="40"/>
              <w:spacing w:after="0"/>
              <w:rPr>
                <w:sz w:val="20"/>
                <w:szCs w:val="20"/>
                <w:color w:val="auto"/>
              </w:rPr>
            </w:pPr>
            <w:r>
              <w:rPr>
                <w:rFonts w:ascii="Arial" w:cs="Arial" w:eastAsia="Arial" w:hAnsi="Arial"/>
                <w:sz w:val="4"/>
                <w:szCs w:val="4"/>
                <w:color w:val="auto"/>
              </w:rPr>
              <w:t>​</w:t>
            </w:r>
          </w:p>
        </w:tc>
        <w:tc>
          <w:tcPr>
            <w:tcW w:w="40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w w:val="99"/>
              </w:rPr>
              <w:t>—</w:t>
            </w:r>
          </w:p>
        </w:tc>
        <w:tc>
          <w:tcPr>
            <w:tcW w:w="100" w:type="dxa"/>
            <w:vAlign w:val="bottom"/>
            <w:tcBorders>
              <w:bottom w:val="single" w:sz="8" w:color="0E2A35"/>
            </w:tcBorders>
          </w:tcPr>
          <w:p>
            <w:pPr>
              <w:ind w:left="20"/>
              <w:spacing w:after="0"/>
              <w:rPr>
                <w:sz w:val="20"/>
                <w:szCs w:val="20"/>
                <w:color w:val="auto"/>
              </w:rPr>
            </w:pPr>
            <w:r>
              <w:rPr>
                <w:rFonts w:ascii="Arial" w:cs="Arial" w:eastAsia="Arial" w:hAnsi="Arial"/>
                <w:sz w:val="4"/>
                <w:szCs w:val="4"/>
                <w:color w:val="auto"/>
              </w:rPr>
              <w:t>​</w:t>
            </w:r>
          </w:p>
        </w:tc>
        <w:tc>
          <w:tcPr>
            <w:tcW w:w="120" w:type="dxa"/>
            <w:vAlign w:val="bottom"/>
            <w:tcBorders>
              <w:bottom w:val="single" w:sz="8" w:color="0E2A35"/>
            </w:tcBorders>
            <w:gridSpan w:val="2"/>
          </w:tcPr>
          <w:p>
            <w:pPr>
              <w:ind w:left="40"/>
              <w:spacing w:after="0"/>
              <w:rPr>
                <w:sz w:val="20"/>
                <w:szCs w:val="20"/>
                <w:color w:val="auto"/>
              </w:rPr>
            </w:pPr>
            <w:r>
              <w:rPr>
                <w:rFonts w:ascii="Arial" w:cs="Arial" w:eastAsia="Arial" w:hAnsi="Arial"/>
                <w:sz w:val="4"/>
                <w:szCs w:val="4"/>
                <w:color w:val="auto"/>
              </w:rPr>
              <w:t>​</w:t>
            </w:r>
          </w:p>
        </w:tc>
        <w:tc>
          <w:tcPr>
            <w:tcW w:w="500" w:type="dxa"/>
            <w:vAlign w:val="bottom"/>
            <w:tcBorders>
              <w:bottom w:val="single" w:sz="8" w:color="0E2A35"/>
            </w:tcBorders>
            <w:gridSpan w:val="2"/>
          </w:tcPr>
          <w:p>
            <w:pPr>
              <w:jc w:val="center"/>
              <w:spacing w:after="0"/>
              <w:rPr>
                <w:sz w:val="20"/>
                <w:szCs w:val="20"/>
                <w:color w:val="auto"/>
              </w:rPr>
            </w:pPr>
            <w:r>
              <w:rPr>
                <w:rFonts w:ascii="Arial" w:cs="Arial" w:eastAsia="Arial" w:hAnsi="Arial"/>
                <w:sz w:val="14"/>
                <w:szCs w:val="14"/>
                <w:color w:val="0E2A35"/>
              </w:rPr>
              <w:t>12,200​</w:t>
            </w:r>
          </w:p>
        </w:tc>
        <w:tc>
          <w:tcPr>
            <w:tcW w:w="80" w:type="dxa"/>
            <w:vAlign w:val="bottom"/>
            <w:tcBorders>
              <w:bottom w:val="single" w:sz="8" w:color="0E2A35"/>
            </w:tcBorders>
          </w:tcPr>
          <w:p>
            <w:pPr>
              <w:ind w:left="20"/>
              <w:spacing w:after="0"/>
              <w:rPr>
                <w:sz w:val="20"/>
                <w:szCs w:val="20"/>
                <w:color w:val="auto"/>
              </w:rPr>
            </w:pPr>
            <w:r>
              <w:rPr>
                <w:rFonts w:ascii="Arial" w:cs="Arial" w:eastAsia="Arial" w:hAnsi="Arial"/>
                <w:sz w:val="4"/>
                <w:szCs w:val="4"/>
                <w:color w:val="auto"/>
              </w:rPr>
              <w:t>​</w:t>
            </w:r>
          </w:p>
        </w:tc>
        <w:tc>
          <w:tcPr>
            <w:tcW w:w="140" w:type="dxa"/>
            <w:vAlign w:val="bottom"/>
            <w:tcBorders>
              <w:bottom w:val="single" w:sz="8" w:color="0E2A35"/>
            </w:tcBorders>
          </w:tcPr>
          <w:p>
            <w:pPr>
              <w:ind w:left="60"/>
              <w:spacing w:after="0"/>
              <w:rPr>
                <w:sz w:val="20"/>
                <w:szCs w:val="20"/>
                <w:color w:val="auto"/>
              </w:rPr>
            </w:pPr>
            <w:r>
              <w:rPr>
                <w:rFonts w:ascii="Arial" w:cs="Arial" w:eastAsia="Arial" w:hAnsi="Arial"/>
                <w:sz w:val="4"/>
                <w:szCs w:val="4"/>
                <w:color w:val="auto"/>
              </w:rPr>
              <w:t>​</w:t>
            </w:r>
          </w:p>
        </w:tc>
        <w:tc>
          <w:tcPr>
            <w:tcW w:w="700" w:type="dxa"/>
            <w:vAlign w:val="bottom"/>
            <w:tcBorders>
              <w:bottom w:val="single" w:sz="8" w:color="0E2A35"/>
            </w:tcBorders>
          </w:tcPr>
          <w:p>
            <w:pPr>
              <w:ind w:left="160"/>
              <w:spacing w:after="0"/>
              <w:rPr>
                <w:sz w:val="20"/>
                <w:szCs w:val="20"/>
                <w:color w:val="auto"/>
              </w:rPr>
            </w:pPr>
            <w:r>
              <w:rPr>
                <w:rFonts w:ascii="Arial" w:cs="Arial" w:eastAsia="Arial" w:hAnsi="Arial"/>
                <w:sz w:val="14"/>
                <w:szCs w:val="14"/>
                <w:color w:val="0E2A35"/>
              </w:rPr>
              <w:t>9,246​</w:t>
            </w:r>
          </w:p>
        </w:tc>
        <w:tc>
          <w:tcPr>
            <w:tcW w:w="80" w:type="dxa"/>
            <w:vAlign w:val="bottom"/>
            <w:tcBorders>
              <w:bottom w:val="single" w:sz="8" w:color="0E2A35"/>
            </w:tcBorders>
            <w:gridSpan w:val="2"/>
          </w:tcPr>
          <w:p>
            <w:pPr>
              <w:spacing w:after="0"/>
              <w:rPr>
                <w:sz w:val="20"/>
                <w:szCs w:val="20"/>
                <w:color w:val="auto"/>
              </w:rPr>
            </w:pPr>
            <w:r>
              <w:rPr>
                <w:rFonts w:ascii="Arial" w:cs="Arial" w:eastAsia="Arial" w:hAnsi="Arial"/>
                <w:sz w:val="4"/>
                <w:szCs w:val="4"/>
                <w:color w:val="auto"/>
              </w:rPr>
              <w:t>​</w:t>
            </w:r>
          </w:p>
        </w:tc>
        <w:tc>
          <w:tcPr>
            <w:tcW w:w="140" w:type="dxa"/>
            <w:vAlign w:val="bottom"/>
            <w:tcBorders>
              <w:bottom w:val="single" w:sz="8" w:color="0E2A35"/>
            </w:tcBorders>
            <w:gridSpan w:val="2"/>
          </w:tcPr>
          <w:p>
            <w:pPr>
              <w:ind w:left="40"/>
              <w:spacing w:after="0"/>
              <w:rPr>
                <w:sz w:val="20"/>
                <w:szCs w:val="20"/>
                <w:color w:val="auto"/>
              </w:rPr>
            </w:pPr>
            <w:r>
              <w:rPr>
                <w:rFonts w:ascii="Arial" w:cs="Arial" w:eastAsia="Arial" w:hAnsi="Arial"/>
                <w:sz w:val="4"/>
                <w:szCs w:val="4"/>
                <w:color w:val="auto"/>
              </w:rPr>
              <w:t>​</w:t>
            </w:r>
          </w:p>
        </w:tc>
        <w:tc>
          <w:tcPr>
            <w:tcW w:w="1080" w:type="dxa"/>
            <w:vAlign w:val="bottom"/>
            <w:tcBorders>
              <w:bottom w:val="single" w:sz="8" w:color="0E2A35"/>
            </w:tcBorders>
          </w:tcPr>
          <w:p>
            <w:pPr>
              <w:ind w:left="280"/>
              <w:spacing w:after="0"/>
              <w:rPr>
                <w:sz w:val="20"/>
                <w:szCs w:val="20"/>
                <w:color w:val="auto"/>
              </w:rPr>
            </w:pPr>
            <w:r>
              <w:rPr>
                <w:rFonts w:ascii="Arial" w:cs="Arial" w:eastAsia="Arial" w:hAnsi="Arial"/>
                <w:sz w:val="14"/>
                <w:szCs w:val="14"/>
                <w:color w:val="0E2A35"/>
              </w:rPr>
              <w:t>​56,271</w:t>
            </w:r>
            <w:r>
              <w:rPr>
                <w:rFonts w:ascii="Arial" w:cs="Arial" w:eastAsia="Arial" w:hAnsi="Arial"/>
                <w:sz w:val="23"/>
                <w:szCs w:val="23"/>
                <w:color w:val="0E2A35"/>
                <w:vertAlign w:val="superscript"/>
              </w:rPr>
              <w:t>(b)</w:t>
            </w:r>
          </w:p>
        </w:tc>
        <w:tc>
          <w:tcPr>
            <w:tcW w:w="0" w:type="dxa"/>
            <w:vAlign w:val="bottom"/>
          </w:tcPr>
          <w:p>
            <w:pPr>
              <w:spacing w:after="0"/>
              <w:rPr>
                <w:sz w:val="1"/>
                <w:szCs w:val="1"/>
                <w:color w:val="auto"/>
              </w:rPr>
            </w:pPr>
          </w:p>
        </w:tc>
      </w:tr>
      <w:tr>
        <w:trPr>
          <w:trHeight w:val="265"/>
        </w:trPr>
        <w:tc>
          <w:tcPr>
            <w:tcW w:w="1920" w:type="dxa"/>
            <w:vAlign w:val="bottom"/>
          </w:tcPr>
          <w:p>
            <w:pPr>
              <w:ind w:left="60"/>
              <w:spacing w:after="0"/>
              <w:rPr>
                <w:sz w:val="20"/>
                <w:szCs w:val="20"/>
                <w:color w:val="auto"/>
              </w:rPr>
            </w:pPr>
            <w:r>
              <w:rPr>
                <w:rFonts w:ascii="Arial" w:cs="Arial" w:eastAsia="Arial" w:hAnsi="Arial"/>
                <w:sz w:val="14"/>
                <w:szCs w:val="14"/>
                <w:color w:val="0E2A35"/>
              </w:rPr>
              <w:t>Stacy L. Bogart</w:t>
            </w:r>
          </w:p>
        </w:tc>
        <w:tc>
          <w:tcPr>
            <w:tcW w:w="820" w:type="dxa"/>
            <w:vAlign w:val="bottom"/>
          </w:tcPr>
          <w:p>
            <w:pPr>
              <w:ind w:left="76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620" w:type="dxa"/>
            <w:vAlign w:val="bottom"/>
          </w:tcPr>
          <w:p>
            <w:pPr>
              <w:jc w:val="right"/>
              <w:ind w:right="32"/>
              <w:spacing w:after="0"/>
              <w:rPr>
                <w:sz w:val="20"/>
                <w:szCs w:val="20"/>
                <w:color w:val="auto"/>
              </w:rPr>
            </w:pPr>
            <w:r>
              <w:rPr>
                <w:rFonts w:ascii="Arial" w:cs="Arial" w:eastAsia="Arial" w:hAnsi="Arial"/>
                <w:sz w:val="14"/>
                <w:szCs w:val="14"/>
                <w:color w:val="0E2A35"/>
              </w:rPr>
              <w:t>7,800​</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20" w:type="dxa"/>
            <w:vAlign w:val="bottom"/>
          </w:tcPr>
          <w:p>
            <w:pPr>
              <w:jc w:val="right"/>
              <w:ind w:right="51"/>
              <w:spacing w:after="0"/>
              <w:rPr>
                <w:sz w:val="20"/>
                <w:szCs w:val="20"/>
                <w:color w:val="auto"/>
              </w:rPr>
            </w:pPr>
            <w:r>
              <w:rPr>
                <w:rFonts w:ascii="Arial" w:cs="Arial" w:eastAsia="Arial" w:hAnsi="Arial"/>
                <w:sz w:val="14"/>
                <w:szCs w:val="14"/>
                <w:color w:val="0E2A35"/>
              </w:rPr>
              <w:t>18,004​</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20" w:type="dxa"/>
            <w:vAlign w:val="bottom"/>
          </w:tcPr>
          <w:p>
            <w:pPr>
              <w:jc w:val="right"/>
              <w:ind w:right="53"/>
              <w:spacing w:after="0"/>
              <w:rPr>
                <w:sz w:val="20"/>
                <w:szCs w:val="20"/>
                <w:color w:val="auto"/>
              </w:rPr>
            </w:pPr>
            <w:r>
              <w:rPr>
                <w:rFonts w:ascii="Arial" w:cs="Arial" w:eastAsia="Arial" w:hAnsi="Arial"/>
                <w:sz w:val="14"/>
                <w:szCs w:val="14"/>
                <w:color w:val="0E2A35"/>
              </w:rPr>
              <w:t>​ 6,605</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40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20" w:type="dxa"/>
            <w:vAlign w:val="bottom"/>
            <w:gridSpan w:val="2"/>
          </w:tcPr>
          <w:p>
            <w:pPr>
              <w:ind w:left="40"/>
              <w:spacing w:after="0"/>
              <w:rPr>
                <w:sz w:val="20"/>
                <w:szCs w:val="20"/>
                <w:color w:val="auto"/>
              </w:rPr>
            </w:pPr>
            <w:r>
              <w:rPr>
                <w:rFonts w:ascii="Arial" w:cs="Arial" w:eastAsia="Arial" w:hAnsi="Arial"/>
                <w:sz w:val="4"/>
                <w:szCs w:val="4"/>
                <w:color w:val="auto"/>
              </w:rPr>
              <w:t>​</w:t>
            </w:r>
          </w:p>
        </w:tc>
        <w:tc>
          <w:tcPr>
            <w:tcW w:w="500" w:type="dxa"/>
            <w:vAlign w:val="bottom"/>
            <w:gridSpan w:val="2"/>
          </w:tcPr>
          <w:p>
            <w:pPr>
              <w:jc w:val="center"/>
              <w:spacing w:after="0"/>
              <w:rPr>
                <w:sz w:val="20"/>
                <w:szCs w:val="20"/>
                <w:color w:val="auto"/>
              </w:rPr>
            </w:pPr>
            <w:r>
              <w:rPr>
                <w:rFonts w:ascii="Arial" w:cs="Arial" w:eastAsia="Arial" w:hAnsi="Arial"/>
                <w:sz w:val="14"/>
                <w:szCs w:val="14"/>
                <w:color w:val="0E2A35"/>
              </w:rPr>
              <w:t>12,200​</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700" w:type="dxa"/>
            <w:vAlign w:val="bottom"/>
          </w:tcPr>
          <w:p>
            <w:pPr>
              <w:ind w:left="160"/>
              <w:spacing w:after="0"/>
              <w:rPr>
                <w:sz w:val="20"/>
                <w:szCs w:val="20"/>
                <w:color w:val="auto"/>
              </w:rPr>
            </w:pPr>
            <w:r>
              <w:rPr>
                <w:rFonts w:ascii="Arial" w:cs="Arial" w:eastAsia="Arial" w:hAnsi="Arial"/>
                <w:sz w:val="14"/>
                <w:szCs w:val="14"/>
                <w:color w:val="0E2A35"/>
              </w:rPr>
              <w:t>9,246​</w:t>
            </w:r>
          </w:p>
        </w:tc>
        <w:tc>
          <w:tcPr>
            <w:tcW w:w="80" w:type="dxa"/>
            <w:vAlign w:val="bottom"/>
            <w:gridSpan w:val="2"/>
          </w:tcPr>
          <w:p>
            <w:pPr>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40"/>
              <w:spacing w:after="0"/>
              <w:rPr>
                <w:sz w:val="20"/>
                <w:szCs w:val="20"/>
                <w:color w:val="auto"/>
              </w:rPr>
            </w:pPr>
            <w:r>
              <w:rPr>
                <w:rFonts w:ascii="Arial" w:cs="Arial" w:eastAsia="Arial" w:hAnsi="Arial"/>
                <w:sz w:val="4"/>
                <w:szCs w:val="4"/>
                <w:color w:val="auto"/>
              </w:rPr>
              <w:t>​</w:t>
            </w:r>
          </w:p>
        </w:tc>
        <w:tc>
          <w:tcPr>
            <w:tcW w:w="1080" w:type="dxa"/>
            <w:vAlign w:val="bottom"/>
          </w:tcPr>
          <w:p>
            <w:pPr>
              <w:ind w:left="280"/>
              <w:spacing w:after="0"/>
              <w:rPr>
                <w:sz w:val="20"/>
                <w:szCs w:val="20"/>
                <w:color w:val="auto"/>
              </w:rPr>
            </w:pPr>
            <w:r>
              <w:rPr>
                <w:rFonts w:ascii="Arial" w:cs="Arial" w:eastAsia="Arial" w:hAnsi="Arial"/>
                <w:sz w:val="14"/>
                <w:szCs w:val="14"/>
                <w:color w:val="0E2A35"/>
              </w:rPr>
              <w:t>53,855​</w:t>
            </w:r>
          </w:p>
        </w:tc>
        <w:tc>
          <w:tcPr>
            <w:tcW w:w="0" w:type="dxa"/>
            <w:vAlign w:val="bottom"/>
          </w:tcPr>
          <w:p>
            <w:pPr>
              <w:spacing w:after="0"/>
              <w:rPr>
                <w:sz w:val="1"/>
                <w:szCs w:val="1"/>
                <w:color w:val="auto"/>
              </w:rPr>
            </w:pPr>
          </w:p>
        </w:tc>
      </w:tr>
      <w:tr>
        <w:trPr>
          <w:trHeight w:val="79"/>
        </w:trPr>
        <w:tc>
          <w:tcPr>
            <w:tcW w:w="1920" w:type="dxa"/>
            <w:vAlign w:val="bottom"/>
            <w:tcBorders>
              <w:bottom w:val="single" w:sz="8" w:color="0E2A35"/>
            </w:tcBorders>
          </w:tcPr>
          <w:p>
            <w:pPr>
              <w:spacing w:after="0"/>
              <w:rPr>
                <w:sz w:val="6"/>
                <w:szCs w:val="6"/>
                <w:color w:val="auto"/>
              </w:rPr>
            </w:pPr>
          </w:p>
        </w:tc>
        <w:tc>
          <w:tcPr>
            <w:tcW w:w="8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6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7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7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7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108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920" w:type="dxa"/>
            <w:vAlign w:val="bottom"/>
          </w:tcPr>
          <w:p>
            <w:pPr>
              <w:ind w:left="60"/>
              <w:spacing w:after="0"/>
              <w:rPr>
                <w:sz w:val="20"/>
                <w:szCs w:val="20"/>
                <w:color w:val="auto"/>
              </w:rPr>
            </w:pPr>
            <w:r>
              <w:rPr>
                <w:rFonts w:ascii="Arial" w:cs="Arial" w:eastAsia="Arial" w:hAnsi="Arial"/>
                <w:sz w:val="14"/>
                <w:szCs w:val="14"/>
                <w:color w:val="0E2A35"/>
              </w:rPr>
              <w:t>Huw S. Bower</w:t>
            </w:r>
          </w:p>
        </w:tc>
        <w:tc>
          <w:tcPr>
            <w:tcW w:w="820" w:type="dxa"/>
            <w:vAlign w:val="bottom"/>
          </w:tcPr>
          <w:p>
            <w:pPr>
              <w:ind w:left="76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620" w:type="dxa"/>
            <w:vAlign w:val="bottom"/>
          </w:tcPr>
          <w:p>
            <w:pPr>
              <w:jc w:val="right"/>
              <w:ind w:right="32"/>
              <w:spacing w:after="0"/>
              <w:rPr>
                <w:sz w:val="20"/>
                <w:szCs w:val="20"/>
                <w:color w:val="auto"/>
              </w:rPr>
            </w:pPr>
            <w:r>
              <w:rPr>
                <w:rFonts w:ascii="Arial" w:cs="Arial" w:eastAsia="Arial" w:hAnsi="Arial"/>
                <w:sz w:val="14"/>
                <w:szCs w:val="14"/>
                <w:color w:val="0E2A35"/>
              </w:rPr>
              <w:t>7,800​</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20" w:type="dxa"/>
            <w:vAlign w:val="bottom"/>
          </w:tcPr>
          <w:p>
            <w:pPr>
              <w:jc w:val="right"/>
              <w:ind w:right="51"/>
              <w:spacing w:after="0"/>
              <w:rPr>
                <w:sz w:val="20"/>
                <w:szCs w:val="20"/>
                <w:color w:val="auto"/>
              </w:rPr>
            </w:pPr>
            <w:r>
              <w:rPr>
                <w:rFonts w:ascii="Arial" w:cs="Arial" w:eastAsia="Arial" w:hAnsi="Arial"/>
                <w:sz w:val="14"/>
                <w:szCs w:val="14"/>
                <w:color w:val="0E2A35"/>
              </w:rPr>
              <w:t>18,004​</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20" w:type="dxa"/>
            <w:vAlign w:val="bottom"/>
          </w:tcPr>
          <w:p>
            <w:pPr>
              <w:jc w:val="right"/>
              <w:ind w:right="53"/>
              <w:spacing w:after="0"/>
              <w:rPr>
                <w:sz w:val="20"/>
                <w:szCs w:val="20"/>
                <w:color w:val="auto"/>
              </w:rPr>
            </w:pPr>
            <w:r>
              <w:rPr>
                <w:rFonts w:ascii="Arial" w:cs="Arial" w:eastAsia="Arial" w:hAnsi="Arial"/>
                <w:sz w:val="14"/>
                <w:szCs w:val="14"/>
                <w:color w:val="0E2A35"/>
              </w:rPr>
              <w:t>​ 6,545</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40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20" w:type="dxa"/>
            <w:vAlign w:val="bottom"/>
            <w:gridSpan w:val="2"/>
          </w:tcPr>
          <w:p>
            <w:pPr>
              <w:ind w:left="40"/>
              <w:spacing w:after="0"/>
              <w:rPr>
                <w:sz w:val="20"/>
                <w:szCs w:val="20"/>
                <w:color w:val="auto"/>
              </w:rPr>
            </w:pPr>
            <w:r>
              <w:rPr>
                <w:rFonts w:ascii="Arial" w:cs="Arial" w:eastAsia="Arial" w:hAnsi="Arial"/>
                <w:sz w:val="4"/>
                <w:szCs w:val="4"/>
                <w:color w:val="auto"/>
              </w:rPr>
              <w:t>​</w:t>
            </w:r>
          </w:p>
        </w:tc>
        <w:tc>
          <w:tcPr>
            <w:tcW w:w="500" w:type="dxa"/>
            <w:vAlign w:val="bottom"/>
            <w:gridSpan w:val="2"/>
          </w:tcPr>
          <w:p>
            <w:pPr>
              <w:jc w:val="center"/>
              <w:spacing w:after="0"/>
              <w:rPr>
                <w:sz w:val="20"/>
                <w:szCs w:val="20"/>
                <w:color w:val="auto"/>
              </w:rPr>
            </w:pPr>
            <w:r>
              <w:rPr>
                <w:rFonts w:ascii="Arial" w:cs="Arial" w:eastAsia="Arial" w:hAnsi="Arial"/>
                <w:sz w:val="14"/>
                <w:szCs w:val="14"/>
                <w:color w:val="0E2A35"/>
              </w:rPr>
              <w:t>12,200​</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700" w:type="dxa"/>
            <w:vAlign w:val="bottom"/>
          </w:tcPr>
          <w:p>
            <w:pPr>
              <w:ind w:left="160"/>
              <w:spacing w:after="0"/>
              <w:rPr>
                <w:sz w:val="20"/>
                <w:szCs w:val="20"/>
                <w:color w:val="auto"/>
              </w:rPr>
            </w:pPr>
            <w:r>
              <w:rPr>
                <w:rFonts w:ascii="Arial" w:cs="Arial" w:eastAsia="Arial" w:hAnsi="Arial"/>
                <w:sz w:val="14"/>
                <w:szCs w:val="14"/>
                <w:color w:val="0E2A35"/>
              </w:rPr>
              <w:t>9,424​</w:t>
            </w:r>
          </w:p>
        </w:tc>
        <w:tc>
          <w:tcPr>
            <w:tcW w:w="80" w:type="dxa"/>
            <w:vAlign w:val="bottom"/>
            <w:gridSpan w:val="2"/>
          </w:tcPr>
          <w:p>
            <w:pPr>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40"/>
              <w:spacing w:after="0"/>
              <w:rPr>
                <w:sz w:val="20"/>
                <w:szCs w:val="20"/>
                <w:color w:val="auto"/>
              </w:rPr>
            </w:pPr>
            <w:r>
              <w:rPr>
                <w:rFonts w:ascii="Arial" w:cs="Arial" w:eastAsia="Arial" w:hAnsi="Arial"/>
                <w:sz w:val="4"/>
                <w:szCs w:val="4"/>
                <w:color w:val="auto"/>
              </w:rPr>
              <w:t>​</w:t>
            </w:r>
          </w:p>
        </w:tc>
        <w:tc>
          <w:tcPr>
            <w:tcW w:w="1080" w:type="dxa"/>
            <w:vAlign w:val="bottom"/>
          </w:tcPr>
          <w:p>
            <w:pPr>
              <w:ind w:left="280"/>
              <w:spacing w:after="0"/>
              <w:rPr>
                <w:sz w:val="20"/>
                <w:szCs w:val="20"/>
                <w:color w:val="auto"/>
              </w:rPr>
            </w:pPr>
            <w:r>
              <w:rPr>
                <w:rFonts w:ascii="Arial" w:cs="Arial" w:eastAsia="Arial" w:hAnsi="Arial"/>
                <w:sz w:val="14"/>
                <w:szCs w:val="14"/>
                <w:color w:val="0E2A35"/>
              </w:rPr>
              <w:t>53,973​</w:t>
            </w:r>
          </w:p>
        </w:tc>
        <w:tc>
          <w:tcPr>
            <w:tcW w:w="0" w:type="dxa"/>
            <w:vAlign w:val="bottom"/>
          </w:tcPr>
          <w:p>
            <w:pPr>
              <w:spacing w:after="0"/>
              <w:rPr>
                <w:sz w:val="1"/>
                <w:szCs w:val="1"/>
                <w:color w:val="auto"/>
              </w:rPr>
            </w:pPr>
          </w:p>
        </w:tc>
      </w:tr>
      <w:tr>
        <w:trPr>
          <w:trHeight w:val="80"/>
        </w:trPr>
        <w:tc>
          <w:tcPr>
            <w:tcW w:w="1920" w:type="dxa"/>
            <w:vAlign w:val="bottom"/>
            <w:tcBorders>
              <w:bottom w:val="single" w:sz="8" w:color="0E2A35"/>
            </w:tcBorders>
          </w:tcPr>
          <w:p>
            <w:pPr>
              <w:spacing w:after="0"/>
              <w:rPr>
                <w:sz w:val="6"/>
                <w:szCs w:val="6"/>
                <w:color w:val="auto"/>
              </w:rPr>
            </w:pPr>
          </w:p>
        </w:tc>
        <w:tc>
          <w:tcPr>
            <w:tcW w:w="82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6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7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72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120" w:type="dxa"/>
            <w:vAlign w:val="bottom"/>
            <w:tcBorders>
              <w:bottom w:val="single" w:sz="8" w:color="0E2A35"/>
            </w:tcBorders>
          </w:tcPr>
          <w:p>
            <w:pPr>
              <w:spacing w:after="0"/>
              <w:rPr>
                <w:sz w:val="6"/>
                <w:szCs w:val="6"/>
                <w:color w:val="auto"/>
              </w:rPr>
            </w:pPr>
          </w:p>
        </w:tc>
        <w:tc>
          <w:tcPr>
            <w:tcW w:w="400" w:type="dxa"/>
            <w:vAlign w:val="bottom"/>
            <w:tcBorders>
              <w:bottom w:val="single" w:sz="8" w:color="0E2A35"/>
            </w:tcBorders>
          </w:tcPr>
          <w:p>
            <w:pPr>
              <w:spacing w:after="0"/>
              <w:rPr>
                <w:sz w:val="6"/>
                <w:szCs w:val="6"/>
                <w:color w:val="auto"/>
              </w:rPr>
            </w:pPr>
          </w:p>
        </w:tc>
        <w:tc>
          <w:tcPr>
            <w:tcW w:w="10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44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140" w:type="dxa"/>
            <w:vAlign w:val="bottom"/>
            <w:tcBorders>
              <w:bottom w:val="single" w:sz="8" w:color="0E2A35"/>
            </w:tcBorders>
          </w:tcPr>
          <w:p>
            <w:pPr>
              <w:spacing w:after="0"/>
              <w:rPr>
                <w:sz w:val="6"/>
                <w:szCs w:val="6"/>
                <w:color w:val="auto"/>
              </w:rPr>
            </w:pPr>
          </w:p>
        </w:tc>
        <w:tc>
          <w:tcPr>
            <w:tcW w:w="700" w:type="dxa"/>
            <w:vAlign w:val="bottom"/>
            <w:tcBorders>
              <w:bottom w:val="single" w:sz="8" w:color="0E2A35"/>
            </w:tcBorders>
          </w:tcPr>
          <w:p>
            <w:pPr>
              <w:spacing w:after="0"/>
              <w:rPr>
                <w:sz w:val="6"/>
                <w:szCs w:val="6"/>
                <w:color w:val="auto"/>
              </w:rPr>
            </w:pPr>
          </w:p>
        </w:tc>
        <w:tc>
          <w:tcPr>
            <w:tcW w:w="2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60" w:type="dxa"/>
            <w:vAlign w:val="bottom"/>
            <w:tcBorders>
              <w:bottom w:val="single" w:sz="8" w:color="0E2A35"/>
            </w:tcBorders>
          </w:tcPr>
          <w:p>
            <w:pPr>
              <w:spacing w:after="0"/>
              <w:rPr>
                <w:sz w:val="6"/>
                <w:szCs w:val="6"/>
                <w:color w:val="auto"/>
              </w:rPr>
            </w:pPr>
          </w:p>
        </w:tc>
        <w:tc>
          <w:tcPr>
            <w:tcW w:w="80" w:type="dxa"/>
            <w:vAlign w:val="bottom"/>
            <w:tcBorders>
              <w:bottom w:val="single" w:sz="8" w:color="0E2A35"/>
            </w:tcBorders>
          </w:tcPr>
          <w:p>
            <w:pPr>
              <w:spacing w:after="0"/>
              <w:rPr>
                <w:sz w:val="6"/>
                <w:szCs w:val="6"/>
                <w:color w:val="auto"/>
              </w:rPr>
            </w:pPr>
          </w:p>
        </w:tc>
        <w:tc>
          <w:tcPr>
            <w:tcW w:w="108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920" w:type="dxa"/>
            <w:vAlign w:val="bottom"/>
          </w:tcPr>
          <w:p>
            <w:pPr>
              <w:ind w:left="60"/>
              <w:spacing w:after="0"/>
              <w:rPr>
                <w:sz w:val="20"/>
                <w:szCs w:val="20"/>
                <w:color w:val="auto"/>
              </w:rPr>
            </w:pPr>
            <w:r>
              <w:rPr>
                <w:rFonts w:ascii="Arial" w:cs="Arial" w:eastAsia="Arial" w:hAnsi="Arial"/>
                <w:sz w:val="14"/>
                <w:szCs w:val="14"/>
                <w:color w:val="0E2A35"/>
              </w:rPr>
              <w:t>Donald J. Clark</w:t>
            </w:r>
          </w:p>
        </w:tc>
        <w:tc>
          <w:tcPr>
            <w:tcW w:w="820" w:type="dxa"/>
            <w:vAlign w:val="bottom"/>
          </w:tcPr>
          <w:p>
            <w:pPr>
              <w:ind w:left="76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620" w:type="dxa"/>
            <w:vAlign w:val="bottom"/>
          </w:tcPr>
          <w:p>
            <w:pPr>
              <w:jc w:val="right"/>
              <w:ind w:right="32"/>
              <w:spacing w:after="0"/>
              <w:rPr>
                <w:sz w:val="20"/>
                <w:szCs w:val="20"/>
                <w:color w:val="auto"/>
              </w:rPr>
            </w:pPr>
            <w:r>
              <w:rPr>
                <w:rFonts w:ascii="Arial" w:cs="Arial" w:eastAsia="Arial" w:hAnsi="Arial"/>
                <w:sz w:val="14"/>
                <w:szCs w:val="14"/>
                <w:color w:val="0E2A35"/>
              </w:rPr>
              <w:t>—</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20" w:type="dxa"/>
            <w:vAlign w:val="bottom"/>
          </w:tcPr>
          <w:p>
            <w:pPr>
              <w:jc w:val="right"/>
              <w:ind w:right="51"/>
              <w:spacing w:after="0"/>
              <w:rPr>
                <w:sz w:val="20"/>
                <w:szCs w:val="20"/>
                <w:color w:val="auto"/>
              </w:rPr>
            </w:pPr>
            <w:r>
              <w:rPr>
                <w:rFonts w:ascii="Arial" w:cs="Arial" w:eastAsia="Arial" w:hAnsi="Arial"/>
                <w:sz w:val="14"/>
                <w:szCs w:val="14"/>
                <w:color w:val="0E2A35"/>
              </w:rPr>
              <w:t>—</w:t>
            </w:r>
          </w:p>
        </w:tc>
        <w:tc>
          <w:tcPr>
            <w:tcW w:w="100" w:type="dxa"/>
            <w:vAlign w:val="bottom"/>
          </w:tcPr>
          <w:p>
            <w:pPr>
              <w:ind w:left="40"/>
              <w:spacing w:after="0"/>
              <w:rPr>
                <w:sz w:val="20"/>
                <w:szCs w:val="20"/>
                <w:color w:val="auto"/>
              </w:rPr>
            </w:pPr>
            <w:r>
              <w:rPr>
                <w:rFonts w:ascii="Arial" w:cs="Arial" w:eastAsia="Arial" w:hAnsi="Arial"/>
                <w:sz w:val="4"/>
                <w:szCs w:val="4"/>
                <w:color w:val="auto"/>
              </w:rPr>
              <w:t>​</w:t>
            </w:r>
          </w:p>
        </w:tc>
        <w:tc>
          <w:tcPr>
            <w:tcW w:w="120" w:type="dxa"/>
            <w:vAlign w:val="bottom"/>
          </w:tcPr>
          <w:p>
            <w:pPr>
              <w:ind w:left="60"/>
              <w:spacing w:after="0"/>
              <w:rPr>
                <w:sz w:val="20"/>
                <w:szCs w:val="20"/>
                <w:color w:val="auto"/>
              </w:rPr>
            </w:pPr>
            <w:r>
              <w:rPr>
                <w:rFonts w:ascii="Arial" w:cs="Arial" w:eastAsia="Arial" w:hAnsi="Arial"/>
                <w:sz w:val="4"/>
                <w:szCs w:val="4"/>
                <w:color w:val="auto"/>
              </w:rPr>
              <w:t>​</w:t>
            </w:r>
          </w:p>
        </w:tc>
        <w:tc>
          <w:tcPr>
            <w:tcW w:w="720" w:type="dxa"/>
            <w:vAlign w:val="bottom"/>
          </w:tcPr>
          <w:p>
            <w:pPr>
              <w:jc w:val="right"/>
              <w:ind w:right="53"/>
              <w:spacing w:after="0"/>
              <w:rPr>
                <w:sz w:val="20"/>
                <w:szCs w:val="20"/>
                <w:color w:val="auto"/>
              </w:rPr>
            </w:pPr>
            <w:r>
              <w:rPr>
                <w:rFonts w:ascii="Arial" w:cs="Arial" w:eastAsia="Arial" w:hAnsi="Arial"/>
                <w:sz w:val="14"/>
                <w:szCs w:val="14"/>
                <w:color w:val="0E2A35"/>
              </w:rPr>
              <w:t>—</w:t>
            </w:r>
          </w:p>
        </w:tc>
        <w:tc>
          <w:tcPr>
            <w:tcW w:w="100" w:type="dxa"/>
            <w:vAlign w:val="bottom"/>
          </w:tcPr>
          <w:p>
            <w:pPr>
              <w:jc w:val="right"/>
              <w:ind w:right="42"/>
              <w:spacing w:after="0"/>
              <w:rPr>
                <w:sz w:val="20"/>
                <w:szCs w:val="20"/>
                <w:color w:val="auto"/>
              </w:rPr>
            </w:pPr>
            <w:r>
              <w:rPr>
                <w:rFonts w:ascii="Arial" w:cs="Arial" w:eastAsia="Arial" w:hAnsi="Arial"/>
                <w:sz w:val="4"/>
                <w:szCs w:val="4"/>
                <w:color w:val="auto"/>
              </w:rPr>
              <w:t>​</w:t>
            </w:r>
          </w:p>
        </w:tc>
        <w:tc>
          <w:tcPr>
            <w:tcW w:w="120" w:type="dxa"/>
            <w:vAlign w:val="bottom"/>
          </w:tcPr>
          <w:p>
            <w:pPr>
              <w:ind w:left="40"/>
              <w:spacing w:after="0"/>
              <w:rPr>
                <w:sz w:val="20"/>
                <w:szCs w:val="20"/>
                <w:color w:val="auto"/>
              </w:rPr>
            </w:pPr>
            <w:r>
              <w:rPr>
                <w:rFonts w:ascii="Arial" w:cs="Arial" w:eastAsia="Arial" w:hAnsi="Arial"/>
                <w:sz w:val="4"/>
                <w:szCs w:val="4"/>
                <w:color w:val="auto"/>
              </w:rPr>
              <w:t>​</w:t>
            </w:r>
          </w:p>
        </w:tc>
        <w:tc>
          <w:tcPr>
            <w:tcW w:w="40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00" w:type="dxa"/>
            <w:vAlign w:val="bottom"/>
          </w:tcPr>
          <w:p>
            <w:pPr>
              <w:ind w:left="20"/>
              <w:spacing w:after="0"/>
              <w:rPr>
                <w:sz w:val="20"/>
                <w:szCs w:val="20"/>
                <w:color w:val="auto"/>
              </w:rPr>
            </w:pPr>
            <w:r>
              <w:rPr>
                <w:rFonts w:ascii="Arial" w:cs="Arial" w:eastAsia="Arial" w:hAnsi="Arial"/>
                <w:sz w:val="4"/>
                <w:szCs w:val="4"/>
                <w:color w:val="auto"/>
              </w:rPr>
              <w:t>​</w:t>
            </w:r>
          </w:p>
        </w:tc>
        <w:tc>
          <w:tcPr>
            <w:tcW w:w="120" w:type="dxa"/>
            <w:vAlign w:val="bottom"/>
            <w:gridSpan w:val="2"/>
          </w:tcPr>
          <w:p>
            <w:pPr>
              <w:ind w:left="40"/>
              <w:spacing w:after="0"/>
              <w:rPr>
                <w:sz w:val="20"/>
                <w:szCs w:val="20"/>
                <w:color w:val="auto"/>
              </w:rPr>
            </w:pPr>
            <w:r>
              <w:rPr>
                <w:rFonts w:ascii="Arial" w:cs="Arial" w:eastAsia="Arial" w:hAnsi="Arial"/>
                <w:sz w:val="4"/>
                <w:szCs w:val="4"/>
                <w:color w:val="auto"/>
              </w:rPr>
              <w:t>​</w:t>
            </w:r>
          </w:p>
        </w:tc>
        <w:tc>
          <w:tcPr>
            <w:tcW w:w="500" w:type="dxa"/>
            <w:vAlign w:val="bottom"/>
            <w:gridSpan w:val="2"/>
          </w:tcPr>
          <w:p>
            <w:pPr>
              <w:jc w:val="center"/>
              <w:spacing w:after="0"/>
              <w:rPr>
                <w:sz w:val="20"/>
                <w:szCs w:val="20"/>
                <w:color w:val="auto"/>
              </w:rPr>
            </w:pPr>
            <w:r>
              <w:rPr>
                <w:rFonts w:ascii="Arial" w:cs="Arial" w:eastAsia="Arial" w:hAnsi="Arial"/>
                <w:sz w:val="14"/>
                <w:szCs w:val="14"/>
                <w:color w:val="0E2A35"/>
              </w:rPr>
              <w:t>12,200​</w:t>
            </w:r>
          </w:p>
        </w:tc>
        <w:tc>
          <w:tcPr>
            <w:tcW w:w="80" w:type="dxa"/>
            <w:vAlign w:val="bottom"/>
          </w:tcPr>
          <w:p>
            <w:pPr>
              <w:ind w:left="20"/>
              <w:spacing w:after="0"/>
              <w:rPr>
                <w:sz w:val="20"/>
                <w:szCs w:val="20"/>
                <w:color w:val="auto"/>
              </w:rPr>
            </w:pPr>
            <w:r>
              <w:rPr>
                <w:rFonts w:ascii="Arial" w:cs="Arial" w:eastAsia="Arial" w:hAnsi="Arial"/>
                <w:sz w:val="4"/>
                <w:szCs w:val="4"/>
                <w:color w:val="auto"/>
              </w:rPr>
              <w:t>​</w:t>
            </w:r>
          </w:p>
        </w:tc>
        <w:tc>
          <w:tcPr>
            <w:tcW w:w="140" w:type="dxa"/>
            <w:vAlign w:val="bottom"/>
          </w:tcPr>
          <w:p>
            <w:pPr>
              <w:ind w:left="60"/>
              <w:spacing w:after="0"/>
              <w:rPr>
                <w:sz w:val="20"/>
                <w:szCs w:val="20"/>
                <w:color w:val="auto"/>
              </w:rPr>
            </w:pPr>
            <w:r>
              <w:rPr>
                <w:rFonts w:ascii="Arial" w:cs="Arial" w:eastAsia="Arial" w:hAnsi="Arial"/>
                <w:sz w:val="4"/>
                <w:szCs w:val="4"/>
                <w:color w:val="auto"/>
              </w:rPr>
              <w:t>​</w:t>
            </w:r>
          </w:p>
        </w:tc>
        <w:tc>
          <w:tcPr>
            <w:tcW w:w="700" w:type="dxa"/>
            <w:vAlign w:val="bottom"/>
          </w:tcPr>
          <w:p>
            <w:pPr>
              <w:ind w:left="160"/>
              <w:spacing w:after="0"/>
              <w:rPr>
                <w:sz w:val="20"/>
                <w:szCs w:val="20"/>
                <w:color w:val="auto"/>
              </w:rPr>
            </w:pPr>
            <w:r>
              <w:rPr>
                <w:rFonts w:ascii="Arial" w:cs="Arial" w:eastAsia="Arial" w:hAnsi="Arial"/>
                <w:sz w:val="14"/>
                <w:szCs w:val="14"/>
                <w:color w:val="0E2A35"/>
              </w:rPr>
              <w:t>9,424​</w:t>
            </w:r>
          </w:p>
        </w:tc>
        <w:tc>
          <w:tcPr>
            <w:tcW w:w="80" w:type="dxa"/>
            <w:vAlign w:val="bottom"/>
            <w:gridSpan w:val="2"/>
          </w:tcPr>
          <w:p>
            <w:pPr>
              <w:spacing w:after="0"/>
              <w:rPr>
                <w:sz w:val="20"/>
                <w:szCs w:val="20"/>
                <w:color w:val="auto"/>
              </w:rPr>
            </w:pPr>
            <w:r>
              <w:rPr>
                <w:rFonts w:ascii="Arial" w:cs="Arial" w:eastAsia="Arial" w:hAnsi="Arial"/>
                <w:sz w:val="4"/>
                <w:szCs w:val="4"/>
                <w:color w:val="auto"/>
              </w:rPr>
              <w:t>​</w:t>
            </w:r>
          </w:p>
        </w:tc>
        <w:tc>
          <w:tcPr>
            <w:tcW w:w="140" w:type="dxa"/>
            <w:vAlign w:val="bottom"/>
            <w:gridSpan w:val="2"/>
          </w:tcPr>
          <w:p>
            <w:pPr>
              <w:ind w:left="40"/>
              <w:spacing w:after="0"/>
              <w:rPr>
                <w:sz w:val="20"/>
                <w:szCs w:val="20"/>
                <w:color w:val="auto"/>
              </w:rPr>
            </w:pPr>
            <w:r>
              <w:rPr>
                <w:rFonts w:ascii="Arial" w:cs="Arial" w:eastAsia="Arial" w:hAnsi="Arial"/>
                <w:sz w:val="4"/>
                <w:szCs w:val="4"/>
                <w:color w:val="auto"/>
              </w:rPr>
              <w:t>​</w:t>
            </w:r>
          </w:p>
        </w:tc>
        <w:tc>
          <w:tcPr>
            <w:tcW w:w="1080" w:type="dxa"/>
            <w:vAlign w:val="bottom"/>
          </w:tcPr>
          <w:p>
            <w:pPr>
              <w:ind w:left="280"/>
              <w:spacing w:after="0"/>
              <w:rPr>
                <w:sz w:val="20"/>
                <w:szCs w:val="20"/>
                <w:color w:val="auto"/>
              </w:rPr>
            </w:pPr>
            <w:r>
              <w:rPr>
                <w:rFonts w:ascii="Arial" w:cs="Arial" w:eastAsia="Arial" w:hAnsi="Arial"/>
                <w:sz w:val="14"/>
                <w:szCs w:val="14"/>
                <w:color w:val="0E2A35"/>
              </w:rPr>
              <w:t>21,624​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59055</wp:posOffset>
            </wp:positionV>
            <wp:extent cx="566610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-1680210</wp:posOffset>
            </wp:positionV>
            <wp:extent cx="3968750" cy="548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968750" cy="548640"/>
                    </a:xfrm>
                    <a:prstGeom prst="rect">
                      <a:avLst/>
                    </a:prstGeom>
                    <a:noFill/>
                  </pic:spPr>
                </pic:pic>
              </a:graphicData>
            </a:graphic>
          </wp:anchor>
        </w:drawing>
      </w:r>
    </w:p>
    <w:p>
      <w:pPr>
        <w:spacing w:after="0" w:line="181" w:lineRule="exact"/>
        <w:rPr>
          <w:sz w:val="20"/>
          <w:szCs w:val="20"/>
          <w:color w:val="auto"/>
        </w:rPr>
      </w:pPr>
    </w:p>
    <w:p>
      <w:pPr>
        <w:ind w:left="720" w:hanging="360"/>
        <w:spacing w:after="0"/>
        <w:tabs>
          <w:tab w:leader="none" w:pos="720" w:val="left"/>
        </w:tabs>
        <w:numPr>
          <w:ilvl w:val="1"/>
          <w:numId w:val="45"/>
        </w:numPr>
        <w:rPr>
          <w:rFonts w:ascii="Arial" w:cs="Arial" w:eastAsia="Arial" w:hAnsi="Arial"/>
          <w:sz w:val="13"/>
          <w:szCs w:val="13"/>
          <w:color w:val="0E2A35"/>
        </w:rPr>
      </w:pPr>
      <w:r>
        <w:rPr>
          <w:rFonts w:ascii="Arial" w:cs="Arial" w:eastAsia="Arial" w:hAnsi="Arial"/>
          <w:sz w:val="13"/>
          <w:szCs w:val="13"/>
          <w:color w:val="0E2A35"/>
        </w:rPr>
        <w:t>The profit sharing amounts were paid with respect to the Company’s performance in fiscal 2022.</w:t>
      </w:r>
    </w:p>
    <w:p>
      <w:pPr>
        <w:spacing w:after="0" w:line="39" w:lineRule="exact"/>
        <w:rPr>
          <w:rFonts w:ascii="Arial" w:cs="Arial" w:eastAsia="Arial" w:hAnsi="Arial"/>
          <w:sz w:val="13"/>
          <w:szCs w:val="13"/>
          <w:color w:val="0E2A35"/>
        </w:rPr>
      </w:pPr>
    </w:p>
    <w:p>
      <w:pPr>
        <w:ind w:left="720" w:right="100" w:hanging="360"/>
        <w:spacing w:after="0" w:line="236" w:lineRule="auto"/>
        <w:tabs>
          <w:tab w:leader="none" w:pos="720" w:val="left"/>
        </w:tabs>
        <w:numPr>
          <w:ilvl w:val="1"/>
          <w:numId w:val="45"/>
        </w:numPr>
        <w:rPr>
          <w:rFonts w:ascii="Arial" w:cs="Arial" w:eastAsia="Arial" w:hAnsi="Arial"/>
          <w:sz w:val="13"/>
          <w:szCs w:val="13"/>
          <w:color w:val="0E2A35"/>
        </w:rPr>
      </w:pPr>
      <w:r>
        <w:rPr>
          <w:rFonts w:ascii="Arial" w:cs="Arial" w:eastAsia="Arial" w:hAnsi="Arial"/>
          <w:sz w:val="13"/>
          <w:szCs w:val="13"/>
          <w:color w:val="0E2A35"/>
        </w:rPr>
        <w:t>The difference in the amount shown here and the sum of the other compensation elements included in this table reflect the amount paid for an executive physical.</w:t>
      </w:r>
    </w:p>
    <w:p>
      <w:pPr>
        <w:spacing w:after="0" w:line="29" w:lineRule="exact"/>
        <w:rPr>
          <w:rFonts w:ascii="Arial" w:cs="Arial" w:eastAsia="Arial" w:hAnsi="Arial"/>
          <w:sz w:val="13"/>
          <w:szCs w:val="13"/>
          <w:color w:val="0E2A35"/>
        </w:rPr>
      </w:pPr>
    </w:p>
    <w:p>
      <w:pPr>
        <w:ind w:left="360" w:right="100" w:hanging="360"/>
        <w:spacing w:after="0" w:line="230" w:lineRule="auto"/>
        <w:tabs>
          <w:tab w:leader="none" w:pos="360" w:val="left"/>
        </w:tabs>
        <w:numPr>
          <w:ilvl w:val="0"/>
          <w:numId w:val="46"/>
        </w:numPr>
        <w:rPr>
          <w:rFonts w:ascii="Arial" w:cs="Arial" w:eastAsia="Arial" w:hAnsi="Arial"/>
          <w:sz w:val="13"/>
          <w:szCs w:val="13"/>
          <w:color w:val="0E2A35"/>
        </w:rPr>
      </w:pPr>
      <w:r>
        <w:rPr>
          <w:rFonts w:ascii="Arial" w:cs="Arial" w:eastAsia="Arial" w:hAnsi="Arial"/>
          <w:sz w:val="13"/>
          <w:szCs w:val="13"/>
          <w:color w:val="0E2A35"/>
        </w:rPr>
        <w:t>Under the terms of his amended employment agreement, Mr. Clark’s annual incentive plan payout under the Grand Design MIP paid out 85% in cash and 15% in restricted stock units for fiscal 2023 and 2022. Both the cash and restricted stock units are reported under the Non-Equity Incentive Plan Compensation column. For fiscal 2021, Mr. Clark’s Grand Design MIP payout was 90% in cash and 10% in restricted stock units.</w:t>
      </w:r>
    </w:p>
    <w:p>
      <w:pPr>
        <w:spacing w:after="0" w:line="29" w:lineRule="exact"/>
        <w:rPr>
          <w:rFonts w:ascii="Arial" w:cs="Arial" w:eastAsia="Arial" w:hAnsi="Arial"/>
          <w:sz w:val="13"/>
          <w:szCs w:val="13"/>
          <w:color w:val="0E2A35"/>
        </w:rPr>
      </w:pPr>
    </w:p>
    <w:p>
      <w:pPr>
        <w:ind w:left="360" w:hanging="360"/>
        <w:spacing w:after="0"/>
        <w:tabs>
          <w:tab w:leader="none" w:pos="360" w:val="left"/>
        </w:tabs>
        <w:numPr>
          <w:ilvl w:val="0"/>
          <w:numId w:val="46"/>
        </w:numPr>
        <w:rPr>
          <w:rFonts w:ascii="Arial" w:cs="Arial" w:eastAsia="Arial" w:hAnsi="Arial"/>
          <w:sz w:val="13"/>
          <w:szCs w:val="13"/>
          <w:color w:val="0E2A35"/>
        </w:rPr>
      </w:pPr>
      <w:r>
        <w:rPr>
          <w:rFonts w:ascii="Arial" w:cs="Arial" w:eastAsia="Arial" w:hAnsi="Arial"/>
          <w:sz w:val="13"/>
          <w:szCs w:val="13"/>
          <w:color w:val="0E2A35"/>
        </w:rPr>
        <w:t>The amount shown here includes $914,899 in restricted stock units awarded for fiscal 2023 performance pursuant to the Grand Design MIP.</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46"/>
        </w:numPr>
        <w:rPr>
          <w:rFonts w:ascii="Arial" w:cs="Arial" w:eastAsia="Arial" w:hAnsi="Arial"/>
          <w:sz w:val="13"/>
          <w:szCs w:val="13"/>
          <w:color w:val="0E2A35"/>
        </w:rPr>
      </w:pPr>
      <w:r>
        <w:rPr>
          <w:rFonts w:ascii="Arial" w:cs="Arial" w:eastAsia="Arial" w:hAnsi="Arial"/>
          <w:sz w:val="13"/>
          <w:szCs w:val="13"/>
          <w:color w:val="0E2A35"/>
        </w:rPr>
        <w:t>The amount shown here includes $1,958,594 in restricted stock units awarded for fiscal 2022 performance pursuant to the Grand Design MIP.</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46"/>
        </w:numPr>
        <w:rPr>
          <w:rFonts w:ascii="Arial" w:cs="Arial" w:eastAsia="Arial" w:hAnsi="Arial"/>
          <w:sz w:val="13"/>
          <w:szCs w:val="13"/>
          <w:color w:val="0E2A35"/>
        </w:rPr>
      </w:pPr>
      <w:r>
        <w:rPr>
          <w:rFonts w:ascii="Arial" w:cs="Arial" w:eastAsia="Arial" w:hAnsi="Arial"/>
          <w:sz w:val="13"/>
          <w:szCs w:val="13"/>
          <w:color w:val="0E2A35"/>
        </w:rPr>
        <w:t>The amount shown here includes $1,011,923 in restricted stock units awarded for fiscal 2021 performance pursuant to the Grand Design MIP.</w:t>
      </w:r>
    </w:p>
    <w:p>
      <w:pPr>
        <w:spacing w:after="0" w:line="302"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200660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39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C7D265"/>
        </w:rPr>
        <w:t>Grants of Plan-Based Awards Table</w:t>
      </w:r>
    </w:p>
    <w:p>
      <w:pPr>
        <w:spacing w:after="0" w:line="201" w:lineRule="exact"/>
        <w:rPr>
          <w:sz w:val="20"/>
          <w:szCs w:val="20"/>
          <w:color w:val="auto"/>
        </w:rPr>
      </w:pPr>
    </w:p>
    <w:p>
      <w:pPr>
        <w:ind w:left="440" w:right="680"/>
        <w:spacing w:after="0" w:line="276" w:lineRule="auto"/>
        <w:rPr>
          <w:sz w:val="20"/>
          <w:szCs w:val="20"/>
          <w:color w:val="auto"/>
        </w:rPr>
      </w:pPr>
      <w:r>
        <w:rPr>
          <w:rFonts w:ascii="Arial" w:cs="Arial" w:eastAsia="Arial" w:hAnsi="Arial"/>
          <w:sz w:val="16"/>
          <w:szCs w:val="16"/>
          <w:color w:val="0E2A35"/>
        </w:rPr>
        <w:t>The following table provides additional information relating to plan-based awards granted to our NEOs in fiscal 2023. All equity awards were granted under the 2019 Plan.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shd w:val="clear" w:color="auto" w:fill="0E2A35"/>
          </w:tcPr>
          <w:p>
            <w:pPr>
              <w:spacing w:after="0"/>
              <w:rPr>
                <w:sz w:val="21"/>
                <w:szCs w:val="21"/>
                <w:color w:val="auto"/>
              </w:rPr>
            </w:pPr>
          </w:p>
        </w:tc>
        <w:tc>
          <w:tcPr>
            <w:tcW w:w="1120" w:type="dxa"/>
            <w:vAlign w:val="bottom"/>
            <w:shd w:val="clear" w:color="auto" w:fill="0E2A35"/>
          </w:tcPr>
          <w:p>
            <w:pPr>
              <w:spacing w:after="0"/>
              <w:rPr>
                <w:sz w:val="21"/>
                <w:szCs w:val="21"/>
                <w:color w:val="auto"/>
              </w:rPr>
            </w:pPr>
          </w:p>
        </w:tc>
        <w:tc>
          <w:tcPr>
            <w:tcW w:w="820" w:type="dxa"/>
            <w:vAlign w:val="bottom"/>
            <w:shd w:val="clear" w:color="auto" w:fill="0E2A35"/>
          </w:tcPr>
          <w:p>
            <w:pPr>
              <w:spacing w:after="0"/>
              <w:rPr>
                <w:sz w:val="21"/>
                <w:szCs w:val="21"/>
                <w:color w:val="auto"/>
              </w:rPr>
            </w:pPr>
          </w:p>
        </w:tc>
        <w:tc>
          <w:tcPr>
            <w:tcW w:w="2000" w:type="dxa"/>
            <w:vAlign w:val="bottom"/>
            <w:gridSpan w:val="3"/>
            <w:shd w:val="clear" w:color="auto" w:fill="0E2A35"/>
          </w:tcPr>
          <w:p>
            <w:pPr>
              <w:jc w:val="center"/>
              <w:spacing w:after="0"/>
              <w:rPr>
                <w:sz w:val="20"/>
                <w:szCs w:val="20"/>
                <w:color w:val="auto"/>
              </w:rPr>
            </w:pPr>
            <w:r>
              <w:rPr>
                <w:rFonts w:ascii="Arial" w:cs="Arial" w:eastAsia="Arial" w:hAnsi="Arial"/>
                <w:sz w:val="12"/>
                <w:szCs w:val="12"/>
                <w:b w:val="1"/>
                <w:bCs w:val="1"/>
                <w:color w:val="FFFFFF"/>
                <w:w w:val="97"/>
              </w:rPr>
              <w:t>Estimated Future</w:t>
            </w:r>
          </w:p>
        </w:tc>
        <w:tc>
          <w:tcPr>
            <w:tcW w:w="1940" w:type="dxa"/>
            <w:vAlign w:val="bottom"/>
            <w:gridSpan w:val="3"/>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Estimated Future</w:t>
            </w:r>
          </w:p>
        </w:tc>
        <w:tc>
          <w:tcPr>
            <w:tcW w:w="6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8"/>
              </w:rPr>
              <w:t>All Other</w:t>
            </w:r>
          </w:p>
        </w:tc>
        <w:tc>
          <w:tcPr>
            <w:tcW w:w="7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4"/>
              </w:rPr>
              <w:t>All Other</w:t>
            </w:r>
          </w:p>
        </w:tc>
        <w:tc>
          <w:tcPr>
            <w:tcW w:w="640" w:type="dxa"/>
            <w:vAlign w:val="bottom"/>
            <w:shd w:val="clear" w:color="auto" w:fill="0E2A35"/>
          </w:tcPr>
          <w:p>
            <w:pPr>
              <w:spacing w:after="0"/>
              <w:rPr>
                <w:sz w:val="21"/>
                <w:szCs w:val="21"/>
                <w:color w:val="auto"/>
              </w:rPr>
            </w:pPr>
          </w:p>
        </w:tc>
        <w:tc>
          <w:tcPr>
            <w:tcW w:w="780" w:type="dxa"/>
            <w:vAlign w:val="bottom"/>
            <w:shd w:val="clear" w:color="auto" w:fill="0E2A35"/>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420" w:type="dxa"/>
            <w:vAlign w:val="bottom"/>
            <w:shd w:val="clear" w:color="auto" w:fill="0E2A35"/>
          </w:tcPr>
          <w:p>
            <w:pPr>
              <w:spacing w:after="0"/>
              <w:rPr>
                <w:sz w:val="12"/>
                <w:szCs w:val="12"/>
                <w:color w:val="auto"/>
              </w:rPr>
            </w:pPr>
          </w:p>
        </w:tc>
        <w:tc>
          <w:tcPr>
            <w:tcW w:w="1120" w:type="dxa"/>
            <w:vAlign w:val="bottom"/>
            <w:shd w:val="clear" w:color="auto" w:fill="0E2A35"/>
          </w:tcPr>
          <w:p>
            <w:pPr>
              <w:spacing w:after="0"/>
              <w:rPr>
                <w:sz w:val="12"/>
                <w:szCs w:val="12"/>
                <w:color w:val="auto"/>
              </w:rPr>
            </w:pPr>
          </w:p>
        </w:tc>
        <w:tc>
          <w:tcPr>
            <w:tcW w:w="820" w:type="dxa"/>
            <w:vAlign w:val="bottom"/>
            <w:shd w:val="clear" w:color="auto" w:fill="0E2A35"/>
          </w:tcPr>
          <w:p>
            <w:pPr>
              <w:spacing w:after="0"/>
              <w:rPr>
                <w:sz w:val="12"/>
                <w:szCs w:val="12"/>
                <w:color w:val="auto"/>
              </w:rPr>
            </w:pPr>
          </w:p>
        </w:tc>
        <w:tc>
          <w:tcPr>
            <w:tcW w:w="2000" w:type="dxa"/>
            <w:vAlign w:val="bottom"/>
            <w:gridSpan w:val="3"/>
            <w:shd w:val="clear" w:color="auto" w:fill="0E2A35"/>
          </w:tcPr>
          <w:p>
            <w:pPr>
              <w:jc w:val="center"/>
              <w:spacing w:after="0"/>
              <w:rPr>
                <w:sz w:val="20"/>
                <w:szCs w:val="20"/>
                <w:color w:val="auto"/>
              </w:rPr>
            </w:pPr>
            <w:r>
              <w:rPr>
                <w:rFonts w:ascii="Arial" w:cs="Arial" w:eastAsia="Arial" w:hAnsi="Arial"/>
                <w:sz w:val="12"/>
                <w:szCs w:val="12"/>
                <w:b w:val="1"/>
                <w:bCs w:val="1"/>
                <w:color w:val="FFFFFF"/>
                <w:w w:val="96"/>
              </w:rPr>
              <w:t>Payouts Under</w:t>
            </w:r>
          </w:p>
        </w:tc>
        <w:tc>
          <w:tcPr>
            <w:tcW w:w="1940" w:type="dxa"/>
            <w:vAlign w:val="bottom"/>
            <w:gridSpan w:val="3"/>
            <w:shd w:val="clear" w:color="auto" w:fill="0E2A35"/>
          </w:tcPr>
          <w:p>
            <w:pPr>
              <w:jc w:val="center"/>
              <w:spacing w:after="0"/>
              <w:rPr>
                <w:sz w:val="20"/>
                <w:szCs w:val="20"/>
                <w:color w:val="auto"/>
              </w:rPr>
            </w:pPr>
            <w:r>
              <w:rPr>
                <w:rFonts w:ascii="Arial" w:cs="Arial" w:eastAsia="Arial" w:hAnsi="Arial"/>
                <w:sz w:val="12"/>
                <w:szCs w:val="12"/>
                <w:b w:val="1"/>
                <w:bCs w:val="1"/>
                <w:color w:val="FFFFFF"/>
                <w:w w:val="96"/>
              </w:rPr>
              <w:t>Payouts Under</w:t>
            </w:r>
          </w:p>
        </w:tc>
        <w:tc>
          <w:tcPr>
            <w:tcW w:w="6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7"/>
              </w:rPr>
              <w:t>Stock</w:t>
            </w:r>
          </w:p>
        </w:tc>
        <w:tc>
          <w:tcPr>
            <w:tcW w:w="7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8"/>
              </w:rPr>
              <w:t>Option</w:t>
            </w:r>
          </w:p>
        </w:tc>
        <w:tc>
          <w:tcPr>
            <w:tcW w:w="640" w:type="dxa"/>
            <w:vAlign w:val="bottom"/>
            <w:shd w:val="clear" w:color="auto" w:fill="0E2A35"/>
          </w:tcPr>
          <w:p>
            <w:pPr>
              <w:spacing w:after="0"/>
              <w:rPr>
                <w:sz w:val="12"/>
                <w:szCs w:val="12"/>
                <w:color w:val="auto"/>
              </w:rPr>
            </w:pPr>
          </w:p>
        </w:tc>
        <w:tc>
          <w:tcPr>
            <w:tcW w:w="780" w:type="dxa"/>
            <w:vAlign w:val="bottom"/>
            <w:shd w:val="clear" w:color="auto" w:fill="0E2A35"/>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20" w:type="dxa"/>
            <w:vAlign w:val="bottom"/>
            <w:shd w:val="clear" w:color="auto" w:fill="0E2A35"/>
          </w:tcPr>
          <w:p>
            <w:pPr>
              <w:spacing w:after="0"/>
              <w:rPr>
                <w:sz w:val="11"/>
                <w:szCs w:val="11"/>
                <w:color w:val="auto"/>
              </w:rPr>
            </w:pPr>
          </w:p>
        </w:tc>
        <w:tc>
          <w:tcPr>
            <w:tcW w:w="1120" w:type="dxa"/>
            <w:vAlign w:val="bottom"/>
            <w:shd w:val="clear" w:color="auto" w:fill="0E2A35"/>
          </w:tcPr>
          <w:p>
            <w:pPr>
              <w:spacing w:after="0"/>
              <w:rPr>
                <w:sz w:val="11"/>
                <w:szCs w:val="11"/>
                <w:color w:val="auto"/>
              </w:rPr>
            </w:pPr>
          </w:p>
        </w:tc>
        <w:tc>
          <w:tcPr>
            <w:tcW w:w="820" w:type="dxa"/>
            <w:vAlign w:val="bottom"/>
            <w:shd w:val="clear" w:color="auto" w:fill="0E2A35"/>
          </w:tcPr>
          <w:p>
            <w:pPr>
              <w:spacing w:after="0"/>
              <w:rPr>
                <w:sz w:val="11"/>
                <w:szCs w:val="11"/>
                <w:color w:val="auto"/>
              </w:rPr>
            </w:pPr>
          </w:p>
        </w:tc>
        <w:tc>
          <w:tcPr>
            <w:tcW w:w="2000" w:type="dxa"/>
            <w:vAlign w:val="bottom"/>
            <w:gridSpan w:val="3"/>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Non-Equity Incentive</w:t>
            </w:r>
          </w:p>
        </w:tc>
        <w:tc>
          <w:tcPr>
            <w:tcW w:w="1940" w:type="dxa"/>
            <w:vAlign w:val="bottom"/>
            <w:gridSpan w:val="3"/>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Equity Incentive</w:t>
            </w:r>
          </w:p>
        </w:tc>
        <w:tc>
          <w:tcPr>
            <w:tcW w:w="6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76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64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Exercise</w:t>
            </w:r>
          </w:p>
        </w:tc>
        <w:tc>
          <w:tcPr>
            <w:tcW w:w="780" w:type="dxa"/>
            <w:vAlign w:val="bottom"/>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Grant Date</w:t>
            </w:r>
          </w:p>
        </w:tc>
        <w:tc>
          <w:tcPr>
            <w:tcW w:w="0" w:type="dxa"/>
            <w:vAlign w:val="bottom"/>
          </w:tcPr>
          <w:p>
            <w:pPr>
              <w:spacing w:after="0"/>
              <w:rPr>
                <w:sz w:val="1"/>
                <w:szCs w:val="1"/>
                <w:color w:val="auto"/>
              </w:rPr>
            </w:pPr>
          </w:p>
        </w:tc>
      </w:tr>
      <w:tr>
        <w:trPr>
          <w:trHeight w:val="148"/>
        </w:trPr>
        <w:tc>
          <w:tcPr>
            <w:tcW w:w="1420" w:type="dxa"/>
            <w:vAlign w:val="bottom"/>
            <w:shd w:val="clear" w:color="auto" w:fill="0E2A35"/>
          </w:tcPr>
          <w:p>
            <w:pPr>
              <w:ind w:left="40"/>
              <w:spacing w:after="0"/>
              <w:rPr>
                <w:sz w:val="20"/>
                <w:szCs w:val="20"/>
                <w:color w:val="auto"/>
              </w:rPr>
            </w:pPr>
            <w:r>
              <w:rPr>
                <w:rFonts w:ascii="Arial" w:cs="Arial" w:eastAsia="Arial" w:hAnsi="Arial"/>
                <w:sz w:val="12"/>
                <w:szCs w:val="12"/>
                <w:b w:val="1"/>
                <w:bCs w:val="1"/>
                <w:color w:val="FFFFFF"/>
              </w:rPr>
              <w:t>​</w:t>
            </w:r>
          </w:p>
        </w:tc>
        <w:tc>
          <w:tcPr>
            <w:tcW w:w="1120" w:type="dxa"/>
            <w:vAlign w:val="bottom"/>
            <w:shd w:val="clear" w:color="auto" w:fill="0E2A35"/>
          </w:tcPr>
          <w:p>
            <w:pPr>
              <w:spacing w:after="0"/>
              <w:rPr>
                <w:sz w:val="12"/>
                <w:szCs w:val="12"/>
                <w:color w:val="auto"/>
              </w:rPr>
            </w:pPr>
          </w:p>
        </w:tc>
        <w:tc>
          <w:tcPr>
            <w:tcW w:w="820" w:type="dxa"/>
            <w:vAlign w:val="bottom"/>
            <w:shd w:val="clear" w:color="auto" w:fill="0E2A35"/>
          </w:tcPr>
          <w:p>
            <w:pPr>
              <w:spacing w:after="0"/>
              <w:rPr>
                <w:sz w:val="12"/>
                <w:szCs w:val="12"/>
                <w:color w:val="auto"/>
              </w:rPr>
            </w:pPr>
          </w:p>
        </w:tc>
        <w:tc>
          <w:tcPr>
            <w:tcW w:w="2000" w:type="dxa"/>
            <w:vAlign w:val="bottom"/>
            <w:gridSpan w:val="3"/>
            <w:shd w:val="clear" w:color="auto" w:fill="0E2A35"/>
          </w:tcPr>
          <w:p>
            <w:pPr>
              <w:jc w:val="right"/>
              <w:ind w:right="482"/>
              <w:spacing w:after="0" w:line="149" w:lineRule="exact"/>
              <w:rPr>
                <w:sz w:val="20"/>
                <w:szCs w:val="20"/>
                <w:color w:val="auto"/>
              </w:rPr>
            </w:pPr>
            <w:r>
              <w:rPr>
                <w:rFonts w:ascii="Arial" w:cs="Arial" w:eastAsia="Arial" w:hAnsi="Arial"/>
                <w:sz w:val="11"/>
                <w:szCs w:val="11"/>
                <w:b w:val="1"/>
                <w:bCs w:val="1"/>
                <w:color w:val="FFFFFF"/>
              </w:rPr>
              <w:t>Plan Awards</w:t>
            </w:r>
            <w:r>
              <w:rPr>
                <w:rFonts w:ascii="Arial" w:cs="Arial" w:eastAsia="Arial" w:hAnsi="Arial"/>
                <w:sz w:val="17"/>
                <w:szCs w:val="17"/>
                <w:b w:val="1"/>
                <w:bCs w:val="1"/>
                <w:color w:val="FFFFFF"/>
                <w:vertAlign w:val="superscript"/>
              </w:rPr>
              <w:t>(1)</w:t>
            </w:r>
            <w:r>
              <w:rPr>
                <w:rFonts w:ascii="Arial" w:cs="Arial" w:eastAsia="Arial" w:hAnsi="Arial"/>
                <w:sz w:val="11"/>
                <w:szCs w:val="11"/>
                <w:b w:val="1"/>
                <w:bCs w:val="1"/>
                <w:color w:val="FFFFFF"/>
              </w:rPr>
              <w:t>​</w:t>
            </w:r>
          </w:p>
        </w:tc>
        <w:tc>
          <w:tcPr>
            <w:tcW w:w="1940" w:type="dxa"/>
            <w:vAlign w:val="bottom"/>
            <w:gridSpan w:val="3"/>
            <w:shd w:val="clear" w:color="auto" w:fill="0E2A35"/>
          </w:tcPr>
          <w:p>
            <w:pPr>
              <w:jc w:val="center"/>
              <w:spacing w:after="0" w:line="149" w:lineRule="exact"/>
              <w:rPr>
                <w:sz w:val="20"/>
                <w:szCs w:val="20"/>
                <w:color w:val="auto"/>
              </w:rPr>
            </w:pPr>
            <w:r>
              <w:rPr>
                <w:rFonts w:ascii="Arial" w:cs="Arial" w:eastAsia="Arial" w:hAnsi="Arial"/>
                <w:sz w:val="11"/>
                <w:szCs w:val="11"/>
                <w:b w:val="1"/>
                <w:bCs w:val="1"/>
                <w:color w:val="FFFFFF"/>
              </w:rPr>
              <w:t>Plan Awards</w:t>
            </w:r>
            <w:r>
              <w:rPr>
                <w:rFonts w:ascii="Arial" w:cs="Arial" w:eastAsia="Arial" w:hAnsi="Arial"/>
                <w:sz w:val="17"/>
                <w:szCs w:val="17"/>
                <w:b w:val="1"/>
                <w:bCs w:val="1"/>
                <w:color w:val="FFFFFF"/>
                <w:vertAlign w:val="superscript"/>
              </w:rPr>
              <w:t>(2)</w:t>
            </w:r>
          </w:p>
        </w:tc>
        <w:tc>
          <w:tcPr>
            <w:tcW w:w="6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6"/>
              </w:rPr>
              <w:t>Number</w:t>
            </w:r>
          </w:p>
        </w:tc>
        <w:tc>
          <w:tcPr>
            <w:tcW w:w="7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9"/>
              </w:rPr>
              <w:t>Number of</w:t>
            </w:r>
          </w:p>
        </w:tc>
        <w:tc>
          <w:tcPr>
            <w:tcW w:w="64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9"/>
              </w:rPr>
              <w:t>or Base</w:t>
            </w:r>
          </w:p>
        </w:tc>
        <w:tc>
          <w:tcPr>
            <w:tcW w:w="7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7"/>
              </w:rPr>
              <w:t>Fair Value</w:t>
            </w:r>
          </w:p>
        </w:tc>
        <w:tc>
          <w:tcPr>
            <w:tcW w:w="0" w:type="dxa"/>
            <w:vAlign w:val="bottom"/>
          </w:tcPr>
          <w:p>
            <w:pPr>
              <w:spacing w:after="0"/>
              <w:rPr>
                <w:sz w:val="1"/>
                <w:szCs w:val="1"/>
                <w:color w:val="auto"/>
              </w:rPr>
            </w:pPr>
          </w:p>
        </w:tc>
      </w:tr>
      <w:tr>
        <w:trPr>
          <w:trHeight w:val="96"/>
        </w:trPr>
        <w:tc>
          <w:tcPr>
            <w:tcW w:w="1420" w:type="dxa"/>
            <w:vAlign w:val="bottom"/>
            <w:shd w:val="clear" w:color="auto" w:fill="0E2A35"/>
          </w:tcPr>
          <w:p>
            <w:pPr>
              <w:spacing w:after="0"/>
              <w:rPr>
                <w:sz w:val="8"/>
                <w:szCs w:val="8"/>
                <w:color w:val="auto"/>
              </w:rPr>
            </w:pPr>
          </w:p>
        </w:tc>
        <w:tc>
          <w:tcPr>
            <w:tcW w:w="1120" w:type="dxa"/>
            <w:vAlign w:val="bottom"/>
            <w:shd w:val="clear" w:color="auto" w:fill="0E2A35"/>
          </w:tcPr>
          <w:p>
            <w:pPr>
              <w:spacing w:after="0"/>
              <w:rPr>
                <w:sz w:val="8"/>
                <w:szCs w:val="8"/>
                <w:color w:val="auto"/>
              </w:rPr>
            </w:pPr>
          </w:p>
        </w:tc>
        <w:tc>
          <w:tcPr>
            <w:tcW w:w="820" w:type="dxa"/>
            <w:vAlign w:val="bottom"/>
            <w:shd w:val="clear" w:color="auto" w:fill="0E2A35"/>
          </w:tcPr>
          <w:p>
            <w:pPr>
              <w:spacing w:after="0"/>
              <w:rPr>
                <w:sz w:val="8"/>
                <w:szCs w:val="8"/>
                <w:color w:val="auto"/>
              </w:rPr>
            </w:pPr>
          </w:p>
        </w:tc>
        <w:tc>
          <w:tcPr>
            <w:tcW w:w="680" w:type="dxa"/>
            <w:vAlign w:val="bottom"/>
            <w:shd w:val="clear" w:color="auto" w:fill="0E2A35"/>
          </w:tcPr>
          <w:p>
            <w:pPr>
              <w:spacing w:after="0"/>
              <w:rPr>
                <w:sz w:val="8"/>
                <w:szCs w:val="8"/>
                <w:color w:val="auto"/>
              </w:rPr>
            </w:pPr>
          </w:p>
        </w:tc>
        <w:tc>
          <w:tcPr>
            <w:tcW w:w="640" w:type="dxa"/>
            <w:vAlign w:val="bottom"/>
            <w:shd w:val="clear" w:color="auto" w:fill="0E2A35"/>
          </w:tcPr>
          <w:p>
            <w:pPr>
              <w:spacing w:after="0"/>
              <w:rPr>
                <w:sz w:val="8"/>
                <w:szCs w:val="8"/>
                <w:color w:val="auto"/>
              </w:rPr>
            </w:pPr>
          </w:p>
        </w:tc>
        <w:tc>
          <w:tcPr>
            <w:tcW w:w="680" w:type="dxa"/>
            <w:vAlign w:val="bottom"/>
            <w:shd w:val="clear" w:color="auto" w:fill="0E2A35"/>
          </w:tcPr>
          <w:p>
            <w:pPr>
              <w:spacing w:after="0"/>
              <w:rPr>
                <w:sz w:val="8"/>
                <w:szCs w:val="8"/>
                <w:color w:val="auto"/>
              </w:rPr>
            </w:pPr>
          </w:p>
        </w:tc>
        <w:tc>
          <w:tcPr>
            <w:tcW w:w="720" w:type="dxa"/>
            <w:vAlign w:val="bottom"/>
            <w:shd w:val="clear" w:color="auto" w:fill="0E2A35"/>
          </w:tcPr>
          <w:p>
            <w:pPr>
              <w:spacing w:after="0"/>
              <w:rPr>
                <w:sz w:val="8"/>
                <w:szCs w:val="8"/>
                <w:color w:val="auto"/>
              </w:rPr>
            </w:pPr>
          </w:p>
        </w:tc>
        <w:tc>
          <w:tcPr>
            <w:tcW w:w="500" w:type="dxa"/>
            <w:vAlign w:val="bottom"/>
            <w:shd w:val="clear" w:color="auto" w:fill="0E2A35"/>
          </w:tcPr>
          <w:p>
            <w:pPr>
              <w:spacing w:after="0"/>
              <w:rPr>
                <w:sz w:val="8"/>
                <w:szCs w:val="8"/>
                <w:color w:val="auto"/>
              </w:rPr>
            </w:pPr>
          </w:p>
        </w:tc>
        <w:tc>
          <w:tcPr>
            <w:tcW w:w="720" w:type="dxa"/>
            <w:vAlign w:val="bottom"/>
            <w:shd w:val="clear" w:color="auto" w:fill="0E2A35"/>
          </w:tcPr>
          <w:p>
            <w:pPr>
              <w:spacing w:after="0"/>
              <w:rPr>
                <w:sz w:val="8"/>
                <w:szCs w:val="8"/>
                <w:color w:val="auto"/>
              </w:rPr>
            </w:pPr>
          </w:p>
        </w:tc>
        <w:tc>
          <w:tcPr>
            <w:tcW w:w="680" w:type="dxa"/>
            <w:vAlign w:val="bottom"/>
            <w:shd w:val="clear" w:color="auto" w:fill="0E2A35"/>
          </w:tcPr>
          <w:p>
            <w:pPr>
              <w:jc w:val="center"/>
              <w:spacing w:after="0" w:line="96" w:lineRule="exact"/>
              <w:rPr>
                <w:sz w:val="20"/>
                <w:szCs w:val="20"/>
                <w:color w:val="auto"/>
              </w:rPr>
            </w:pPr>
            <w:r>
              <w:rPr>
                <w:rFonts w:ascii="Arial" w:cs="Arial" w:eastAsia="Arial" w:hAnsi="Arial"/>
                <w:sz w:val="11"/>
                <w:szCs w:val="11"/>
                <w:b w:val="1"/>
                <w:bCs w:val="1"/>
                <w:color w:val="FFFFFF"/>
              </w:rPr>
              <w:t>of Shares</w:t>
            </w:r>
          </w:p>
        </w:tc>
        <w:tc>
          <w:tcPr>
            <w:tcW w:w="760" w:type="dxa"/>
            <w:vAlign w:val="bottom"/>
            <w:vMerge w:val="restart"/>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Securities</w:t>
            </w:r>
          </w:p>
        </w:tc>
        <w:tc>
          <w:tcPr>
            <w:tcW w:w="640" w:type="dxa"/>
            <w:vAlign w:val="bottom"/>
            <w:vMerge w:val="restart"/>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9"/>
              </w:rPr>
              <w:t>Price of</w:t>
            </w:r>
          </w:p>
        </w:tc>
        <w:tc>
          <w:tcPr>
            <w:tcW w:w="780" w:type="dxa"/>
            <w:vAlign w:val="bottom"/>
            <w:shd w:val="clear" w:color="auto" w:fill="0E2A35"/>
          </w:tcPr>
          <w:p>
            <w:pPr>
              <w:jc w:val="center"/>
              <w:spacing w:after="0" w:line="96" w:lineRule="exact"/>
              <w:rPr>
                <w:sz w:val="20"/>
                <w:szCs w:val="20"/>
                <w:color w:val="auto"/>
              </w:rPr>
            </w:pPr>
            <w:r>
              <w:rPr>
                <w:rFonts w:ascii="Arial" w:cs="Arial" w:eastAsia="Arial" w:hAnsi="Arial"/>
                <w:sz w:val="11"/>
                <w:szCs w:val="11"/>
                <w:b w:val="1"/>
                <w:bCs w:val="1"/>
                <w:color w:val="FFFFFF"/>
              </w:rPr>
              <w:t>of Stock</w:t>
            </w:r>
          </w:p>
        </w:tc>
        <w:tc>
          <w:tcPr>
            <w:tcW w:w="0" w:type="dxa"/>
            <w:vAlign w:val="bottom"/>
          </w:tcPr>
          <w:p>
            <w:pPr>
              <w:spacing w:after="0"/>
              <w:rPr>
                <w:sz w:val="1"/>
                <w:szCs w:val="1"/>
                <w:color w:val="auto"/>
              </w:rPr>
            </w:pPr>
          </w:p>
        </w:tc>
      </w:tr>
      <w:tr>
        <w:trPr>
          <w:trHeight w:val="39"/>
        </w:trPr>
        <w:tc>
          <w:tcPr>
            <w:tcW w:w="1420" w:type="dxa"/>
            <w:vAlign w:val="bottom"/>
            <w:shd w:val="clear" w:color="auto" w:fill="0E2A35"/>
          </w:tcPr>
          <w:p>
            <w:pPr>
              <w:spacing w:after="0"/>
              <w:rPr>
                <w:sz w:val="3"/>
                <w:szCs w:val="3"/>
                <w:color w:val="auto"/>
              </w:rPr>
            </w:pPr>
          </w:p>
        </w:tc>
        <w:tc>
          <w:tcPr>
            <w:tcW w:w="1120" w:type="dxa"/>
            <w:vAlign w:val="bottom"/>
            <w:shd w:val="clear" w:color="auto" w:fill="0E2A35"/>
          </w:tcPr>
          <w:p>
            <w:pPr>
              <w:spacing w:after="0"/>
              <w:rPr>
                <w:sz w:val="3"/>
                <w:szCs w:val="3"/>
                <w:color w:val="auto"/>
              </w:rPr>
            </w:pPr>
          </w:p>
        </w:tc>
        <w:tc>
          <w:tcPr>
            <w:tcW w:w="820" w:type="dxa"/>
            <w:vAlign w:val="bottom"/>
            <w:shd w:val="clear" w:color="auto" w:fill="0E2A35"/>
          </w:tcPr>
          <w:p>
            <w:pPr>
              <w:spacing w:after="0"/>
              <w:rPr>
                <w:sz w:val="3"/>
                <w:szCs w:val="3"/>
                <w:color w:val="auto"/>
              </w:rPr>
            </w:pPr>
          </w:p>
        </w:tc>
        <w:tc>
          <w:tcPr>
            <w:tcW w:w="680" w:type="dxa"/>
            <w:vAlign w:val="bottom"/>
            <w:shd w:val="clear" w:color="auto" w:fill="0E2A35"/>
          </w:tcPr>
          <w:p>
            <w:pPr>
              <w:spacing w:after="0"/>
              <w:rPr>
                <w:sz w:val="3"/>
                <w:szCs w:val="3"/>
                <w:color w:val="auto"/>
              </w:rPr>
            </w:pPr>
          </w:p>
        </w:tc>
        <w:tc>
          <w:tcPr>
            <w:tcW w:w="640" w:type="dxa"/>
            <w:vAlign w:val="bottom"/>
            <w:shd w:val="clear" w:color="auto" w:fill="0E2A35"/>
          </w:tcPr>
          <w:p>
            <w:pPr>
              <w:spacing w:after="0"/>
              <w:rPr>
                <w:sz w:val="3"/>
                <w:szCs w:val="3"/>
                <w:color w:val="auto"/>
              </w:rPr>
            </w:pPr>
          </w:p>
        </w:tc>
        <w:tc>
          <w:tcPr>
            <w:tcW w:w="680" w:type="dxa"/>
            <w:vAlign w:val="bottom"/>
            <w:shd w:val="clear" w:color="auto" w:fill="0E2A35"/>
          </w:tcPr>
          <w:p>
            <w:pPr>
              <w:spacing w:after="0"/>
              <w:rPr>
                <w:sz w:val="3"/>
                <w:szCs w:val="3"/>
                <w:color w:val="auto"/>
              </w:rPr>
            </w:pPr>
          </w:p>
        </w:tc>
        <w:tc>
          <w:tcPr>
            <w:tcW w:w="720" w:type="dxa"/>
            <w:vAlign w:val="bottom"/>
            <w:shd w:val="clear" w:color="auto" w:fill="0E2A35"/>
          </w:tcPr>
          <w:p>
            <w:pPr>
              <w:spacing w:after="0"/>
              <w:rPr>
                <w:sz w:val="3"/>
                <w:szCs w:val="3"/>
                <w:color w:val="auto"/>
              </w:rPr>
            </w:pPr>
          </w:p>
        </w:tc>
        <w:tc>
          <w:tcPr>
            <w:tcW w:w="500" w:type="dxa"/>
            <w:vAlign w:val="bottom"/>
            <w:shd w:val="clear" w:color="auto" w:fill="0E2A35"/>
          </w:tcPr>
          <w:p>
            <w:pPr>
              <w:spacing w:after="0"/>
              <w:rPr>
                <w:sz w:val="3"/>
                <w:szCs w:val="3"/>
                <w:color w:val="auto"/>
              </w:rPr>
            </w:pPr>
          </w:p>
        </w:tc>
        <w:tc>
          <w:tcPr>
            <w:tcW w:w="720" w:type="dxa"/>
            <w:vAlign w:val="bottom"/>
            <w:shd w:val="clear" w:color="auto" w:fill="0E2A35"/>
          </w:tcPr>
          <w:p>
            <w:pPr>
              <w:spacing w:after="0"/>
              <w:rPr>
                <w:sz w:val="3"/>
                <w:szCs w:val="3"/>
                <w:color w:val="auto"/>
              </w:rPr>
            </w:pPr>
          </w:p>
        </w:tc>
        <w:tc>
          <w:tcPr>
            <w:tcW w:w="680" w:type="dxa"/>
            <w:vAlign w:val="bottom"/>
            <w:vMerge w:val="restart"/>
            <w:shd w:val="clear" w:color="auto" w:fill="0E2A35"/>
          </w:tcPr>
          <w:p>
            <w:pPr>
              <w:jc w:val="center"/>
              <w:spacing w:after="0"/>
              <w:rPr>
                <w:sz w:val="20"/>
                <w:szCs w:val="20"/>
                <w:color w:val="auto"/>
              </w:rPr>
            </w:pPr>
            <w:r>
              <w:rPr>
                <w:rFonts w:ascii="Arial" w:cs="Arial" w:eastAsia="Arial" w:hAnsi="Arial"/>
                <w:sz w:val="12"/>
                <w:szCs w:val="12"/>
                <w:b w:val="1"/>
                <w:bCs w:val="1"/>
                <w:color w:val="FFFFFF"/>
                <w:w w:val="97"/>
              </w:rPr>
              <w:t>of Stock</w:t>
            </w:r>
          </w:p>
        </w:tc>
        <w:tc>
          <w:tcPr>
            <w:tcW w:w="760" w:type="dxa"/>
            <w:vAlign w:val="bottom"/>
            <w:vMerge w:val="continue"/>
            <w:shd w:val="clear" w:color="auto" w:fill="0E2A35"/>
          </w:tcPr>
          <w:p>
            <w:pPr>
              <w:spacing w:after="0"/>
              <w:rPr>
                <w:sz w:val="3"/>
                <w:szCs w:val="3"/>
                <w:color w:val="auto"/>
              </w:rPr>
            </w:pPr>
          </w:p>
        </w:tc>
        <w:tc>
          <w:tcPr>
            <w:tcW w:w="640" w:type="dxa"/>
            <w:vAlign w:val="bottom"/>
            <w:vMerge w:val="continue"/>
            <w:shd w:val="clear" w:color="auto" w:fill="0E2A35"/>
          </w:tcPr>
          <w:p>
            <w:pPr>
              <w:spacing w:after="0"/>
              <w:rPr>
                <w:sz w:val="3"/>
                <w:szCs w:val="3"/>
                <w:color w:val="auto"/>
              </w:rPr>
            </w:pPr>
          </w:p>
        </w:tc>
        <w:tc>
          <w:tcPr>
            <w:tcW w:w="780" w:type="dxa"/>
            <w:vAlign w:val="bottom"/>
            <w:vMerge w:val="restart"/>
            <w:shd w:val="clear" w:color="auto" w:fill="0E2A35"/>
          </w:tcPr>
          <w:p>
            <w:pPr>
              <w:jc w:val="center"/>
              <w:spacing w:after="0"/>
              <w:rPr>
                <w:sz w:val="20"/>
                <w:szCs w:val="20"/>
                <w:color w:val="auto"/>
              </w:rPr>
            </w:pPr>
            <w:r>
              <w:rPr>
                <w:rFonts w:ascii="Arial" w:cs="Arial" w:eastAsia="Arial" w:hAnsi="Arial"/>
                <w:sz w:val="12"/>
                <w:szCs w:val="12"/>
                <w:b w:val="1"/>
                <w:bCs w:val="1"/>
                <w:color w:val="FFFFFF"/>
                <w:w w:val="94"/>
              </w:rPr>
              <w:t>and Option</w:t>
            </w:r>
          </w:p>
        </w:tc>
        <w:tc>
          <w:tcPr>
            <w:tcW w:w="0" w:type="dxa"/>
            <w:vAlign w:val="bottom"/>
          </w:tcPr>
          <w:p>
            <w:pPr>
              <w:spacing w:after="0" w:line="20" w:lineRule="exact"/>
              <w:rPr>
                <w:sz w:val="1"/>
                <w:szCs w:val="1"/>
                <w:color w:val="auto"/>
              </w:rPr>
            </w:pPr>
          </w:p>
        </w:tc>
      </w:tr>
      <w:tr>
        <w:trPr>
          <w:trHeight w:val="102"/>
        </w:trPr>
        <w:tc>
          <w:tcPr>
            <w:tcW w:w="1420" w:type="dxa"/>
            <w:vAlign w:val="bottom"/>
            <w:shd w:val="clear" w:color="auto" w:fill="0E2A35"/>
          </w:tcPr>
          <w:p>
            <w:pPr>
              <w:spacing w:after="0"/>
              <w:rPr>
                <w:sz w:val="8"/>
                <w:szCs w:val="8"/>
                <w:color w:val="auto"/>
              </w:rPr>
            </w:pPr>
          </w:p>
        </w:tc>
        <w:tc>
          <w:tcPr>
            <w:tcW w:w="1120" w:type="dxa"/>
            <w:vAlign w:val="bottom"/>
            <w:shd w:val="clear" w:color="auto" w:fill="0E2A35"/>
          </w:tcPr>
          <w:p>
            <w:pPr>
              <w:spacing w:after="0"/>
              <w:rPr>
                <w:sz w:val="8"/>
                <w:szCs w:val="8"/>
                <w:color w:val="auto"/>
              </w:rPr>
            </w:pPr>
          </w:p>
        </w:tc>
        <w:tc>
          <w:tcPr>
            <w:tcW w:w="820" w:type="dxa"/>
            <w:vAlign w:val="bottom"/>
            <w:vMerge w:val="restart"/>
            <w:shd w:val="clear" w:color="auto" w:fill="0E2A35"/>
          </w:tcPr>
          <w:p>
            <w:pPr>
              <w:ind w:left="240"/>
              <w:spacing w:after="0"/>
              <w:rPr>
                <w:sz w:val="20"/>
                <w:szCs w:val="20"/>
                <w:color w:val="auto"/>
              </w:rPr>
            </w:pPr>
            <w:r>
              <w:rPr>
                <w:rFonts w:ascii="Arial" w:cs="Arial" w:eastAsia="Arial" w:hAnsi="Arial"/>
                <w:sz w:val="12"/>
                <w:szCs w:val="12"/>
                <w:b w:val="1"/>
                <w:bCs w:val="1"/>
                <w:color w:val="FFFFFF"/>
              </w:rPr>
              <w:t>Grant</w:t>
            </w:r>
          </w:p>
        </w:tc>
        <w:tc>
          <w:tcPr>
            <w:tcW w:w="680" w:type="dxa"/>
            <w:vAlign w:val="bottom"/>
            <w:shd w:val="clear" w:color="auto" w:fill="0E2A35"/>
          </w:tcPr>
          <w:p>
            <w:pPr>
              <w:spacing w:after="0"/>
              <w:rPr>
                <w:sz w:val="8"/>
                <w:szCs w:val="8"/>
                <w:color w:val="auto"/>
              </w:rPr>
            </w:pPr>
          </w:p>
        </w:tc>
        <w:tc>
          <w:tcPr>
            <w:tcW w:w="640" w:type="dxa"/>
            <w:vAlign w:val="bottom"/>
            <w:shd w:val="clear" w:color="auto" w:fill="0E2A35"/>
          </w:tcPr>
          <w:p>
            <w:pPr>
              <w:spacing w:after="0"/>
              <w:rPr>
                <w:sz w:val="8"/>
                <w:szCs w:val="8"/>
                <w:color w:val="auto"/>
              </w:rPr>
            </w:pPr>
          </w:p>
        </w:tc>
        <w:tc>
          <w:tcPr>
            <w:tcW w:w="680" w:type="dxa"/>
            <w:vAlign w:val="bottom"/>
            <w:shd w:val="clear" w:color="auto" w:fill="0E2A35"/>
          </w:tcPr>
          <w:p>
            <w:pPr>
              <w:spacing w:after="0"/>
              <w:rPr>
                <w:sz w:val="8"/>
                <w:szCs w:val="8"/>
                <w:color w:val="auto"/>
              </w:rPr>
            </w:pPr>
          </w:p>
        </w:tc>
        <w:tc>
          <w:tcPr>
            <w:tcW w:w="720" w:type="dxa"/>
            <w:vAlign w:val="bottom"/>
            <w:shd w:val="clear" w:color="auto" w:fill="0E2A35"/>
          </w:tcPr>
          <w:p>
            <w:pPr>
              <w:spacing w:after="0"/>
              <w:rPr>
                <w:sz w:val="8"/>
                <w:szCs w:val="8"/>
                <w:color w:val="auto"/>
              </w:rPr>
            </w:pPr>
          </w:p>
        </w:tc>
        <w:tc>
          <w:tcPr>
            <w:tcW w:w="500" w:type="dxa"/>
            <w:vAlign w:val="bottom"/>
            <w:shd w:val="clear" w:color="auto" w:fill="0E2A35"/>
          </w:tcPr>
          <w:p>
            <w:pPr>
              <w:spacing w:after="0"/>
              <w:rPr>
                <w:sz w:val="8"/>
                <w:szCs w:val="8"/>
                <w:color w:val="auto"/>
              </w:rPr>
            </w:pPr>
          </w:p>
        </w:tc>
        <w:tc>
          <w:tcPr>
            <w:tcW w:w="720" w:type="dxa"/>
            <w:vAlign w:val="bottom"/>
            <w:shd w:val="clear" w:color="auto" w:fill="0E2A35"/>
          </w:tcPr>
          <w:p>
            <w:pPr>
              <w:spacing w:after="0"/>
              <w:rPr>
                <w:sz w:val="8"/>
                <w:szCs w:val="8"/>
                <w:color w:val="auto"/>
              </w:rPr>
            </w:pPr>
          </w:p>
        </w:tc>
        <w:tc>
          <w:tcPr>
            <w:tcW w:w="680" w:type="dxa"/>
            <w:vAlign w:val="bottom"/>
            <w:vMerge w:val="continue"/>
            <w:shd w:val="clear" w:color="auto" w:fill="0E2A35"/>
          </w:tcPr>
          <w:p>
            <w:pPr>
              <w:spacing w:after="0"/>
              <w:rPr>
                <w:sz w:val="8"/>
                <w:szCs w:val="8"/>
                <w:color w:val="auto"/>
              </w:rPr>
            </w:pPr>
          </w:p>
        </w:tc>
        <w:tc>
          <w:tcPr>
            <w:tcW w:w="760" w:type="dxa"/>
            <w:vAlign w:val="bottom"/>
            <w:vMerge w:val="restart"/>
            <w:shd w:val="clear" w:color="auto" w:fill="0E2A35"/>
          </w:tcPr>
          <w:p>
            <w:pPr>
              <w:jc w:val="center"/>
              <w:spacing w:after="0" w:line="137" w:lineRule="exact"/>
              <w:rPr>
                <w:sz w:val="20"/>
                <w:szCs w:val="20"/>
                <w:color w:val="auto"/>
              </w:rPr>
            </w:pPr>
            <w:r>
              <w:rPr>
                <w:rFonts w:ascii="Arial" w:cs="Arial" w:eastAsia="Arial" w:hAnsi="Arial"/>
                <w:sz w:val="12"/>
                <w:szCs w:val="12"/>
                <w:b w:val="1"/>
                <w:bCs w:val="1"/>
                <w:color w:val="FFFFFF"/>
                <w:w w:val="95"/>
              </w:rPr>
              <w:t>Underlying</w:t>
            </w:r>
          </w:p>
        </w:tc>
        <w:tc>
          <w:tcPr>
            <w:tcW w:w="640" w:type="dxa"/>
            <w:vAlign w:val="bottom"/>
            <w:vMerge w:val="restart"/>
            <w:shd w:val="clear" w:color="auto" w:fill="0E2A35"/>
          </w:tcPr>
          <w:p>
            <w:pPr>
              <w:jc w:val="center"/>
              <w:spacing w:after="0" w:line="137" w:lineRule="exact"/>
              <w:rPr>
                <w:sz w:val="20"/>
                <w:szCs w:val="20"/>
                <w:color w:val="auto"/>
              </w:rPr>
            </w:pPr>
            <w:r>
              <w:rPr>
                <w:rFonts w:ascii="Arial" w:cs="Arial" w:eastAsia="Arial" w:hAnsi="Arial"/>
                <w:sz w:val="12"/>
                <w:szCs w:val="12"/>
                <w:b w:val="1"/>
                <w:bCs w:val="1"/>
                <w:color w:val="FFFFFF"/>
                <w:w w:val="98"/>
              </w:rPr>
              <w:t>Option</w:t>
            </w:r>
          </w:p>
        </w:tc>
        <w:tc>
          <w:tcPr>
            <w:tcW w:w="780" w:type="dxa"/>
            <w:vAlign w:val="bottom"/>
            <w:vMerge w:val="continue"/>
            <w:shd w:val="clear" w:color="auto" w:fill="0E2A35"/>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420" w:type="dxa"/>
            <w:vAlign w:val="bottom"/>
            <w:shd w:val="clear" w:color="auto" w:fill="0E2A35"/>
          </w:tcPr>
          <w:p>
            <w:pPr>
              <w:spacing w:after="0"/>
              <w:rPr>
                <w:sz w:val="2"/>
                <w:szCs w:val="2"/>
                <w:color w:val="auto"/>
              </w:rPr>
            </w:pPr>
          </w:p>
        </w:tc>
        <w:tc>
          <w:tcPr>
            <w:tcW w:w="1120" w:type="dxa"/>
            <w:vAlign w:val="bottom"/>
            <w:shd w:val="clear" w:color="auto" w:fill="0E2A35"/>
          </w:tcPr>
          <w:p>
            <w:pPr>
              <w:spacing w:after="0"/>
              <w:rPr>
                <w:sz w:val="2"/>
                <w:szCs w:val="2"/>
                <w:color w:val="auto"/>
              </w:rPr>
            </w:pPr>
          </w:p>
        </w:tc>
        <w:tc>
          <w:tcPr>
            <w:tcW w:w="820" w:type="dxa"/>
            <w:vAlign w:val="bottom"/>
            <w:vMerge w:val="continue"/>
            <w:shd w:val="clear" w:color="auto" w:fill="0E2A35"/>
          </w:tcPr>
          <w:p>
            <w:pPr>
              <w:spacing w:after="0"/>
              <w:rPr>
                <w:sz w:val="2"/>
                <w:szCs w:val="2"/>
                <w:color w:val="auto"/>
              </w:rPr>
            </w:pPr>
          </w:p>
        </w:tc>
        <w:tc>
          <w:tcPr>
            <w:tcW w:w="680" w:type="dxa"/>
            <w:vAlign w:val="bottom"/>
            <w:shd w:val="clear" w:color="auto" w:fill="0E2A35"/>
          </w:tcPr>
          <w:p>
            <w:pPr>
              <w:spacing w:after="0"/>
              <w:rPr>
                <w:sz w:val="2"/>
                <w:szCs w:val="2"/>
                <w:color w:val="auto"/>
              </w:rPr>
            </w:pPr>
          </w:p>
        </w:tc>
        <w:tc>
          <w:tcPr>
            <w:tcW w:w="640" w:type="dxa"/>
            <w:vAlign w:val="bottom"/>
            <w:shd w:val="clear" w:color="auto" w:fill="0E2A35"/>
          </w:tcPr>
          <w:p>
            <w:pPr>
              <w:spacing w:after="0"/>
              <w:rPr>
                <w:sz w:val="2"/>
                <w:szCs w:val="2"/>
                <w:color w:val="auto"/>
              </w:rPr>
            </w:pPr>
          </w:p>
        </w:tc>
        <w:tc>
          <w:tcPr>
            <w:tcW w:w="680" w:type="dxa"/>
            <w:vAlign w:val="bottom"/>
            <w:shd w:val="clear" w:color="auto" w:fill="0E2A35"/>
          </w:tcPr>
          <w:p>
            <w:pPr>
              <w:spacing w:after="0"/>
              <w:rPr>
                <w:sz w:val="2"/>
                <w:szCs w:val="2"/>
                <w:color w:val="auto"/>
              </w:rPr>
            </w:pPr>
          </w:p>
        </w:tc>
        <w:tc>
          <w:tcPr>
            <w:tcW w:w="720" w:type="dxa"/>
            <w:vAlign w:val="bottom"/>
            <w:shd w:val="clear" w:color="auto" w:fill="0E2A35"/>
          </w:tcPr>
          <w:p>
            <w:pPr>
              <w:spacing w:after="0"/>
              <w:rPr>
                <w:sz w:val="2"/>
                <w:szCs w:val="2"/>
                <w:color w:val="auto"/>
              </w:rPr>
            </w:pPr>
          </w:p>
        </w:tc>
        <w:tc>
          <w:tcPr>
            <w:tcW w:w="500" w:type="dxa"/>
            <w:vAlign w:val="bottom"/>
            <w:shd w:val="clear" w:color="auto" w:fill="0E2A35"/>
          </w:tcPr>
          <w:p>
            <w:pPr>
              <w:spacing w:after="0"/>
              <w:rPr>
                <w:sz w:val="2"/>
                <w:szCs w:val="2"/>
                <w:color w:val="auto"/>
              </w:rPr>
            </w:pPr>
          </w:p>
        </w:tc>
        <w:tc>
          <w:tcPr>
            <w:tcW w:w="720" w:type="dxa"/>
            <w:vAlign w:val="bottom"/>
            <w:shd w:val="clear" w:color="auto" w:fill="0E2A35"/>
          </w:tcPr>
          <w:p>
            <w:pPr>
              <w:spacing w:after="0"/>
              <w:rPr>
                <w:sz w:val="2"/>
                <w:szCs w:val="2"/>
                <w:color w:val="auto"/>
              </w:rPr>
            </w:pPr>
          </w:p>
        </w:tc>
        <w:tc>
          <w:tcPr>
            <w:tcW w:w="680" w:type="dxa"/>
            <w:vAlign w:val="bottom"/>
            <w:vMerge w:val="restart"/>
            <w:shd w:val="clear" w:color="auto" w:fill="0E2A35"/>
          </w:tcPr>
          <w:p>
            <w:pPr>
              <w:jc w:val="center"/>
              <w:spacing w:after="0" w:line="154" w:lineRule="exact"/>
              <w:rPr>
                <w:sz w:val="20"/>
                <w:szCs w:val="20"/>
                <w:color w:val="auto"/>
              </w:rPr>
            </w:pPr>
            <w:r>
              <w:rPr>
                <w:rFonts w:ascii="Arial" w:cs="Arial" w:eastAsia="Arial" w:hAnsi="Arial"/>
                <w:sz w:val="11"/>
                <w:szCs w:val="11"/>
                <w:b w:val="1"/>
                <w:bCs w:val="1"/>
                <w:color w:val="FFFFFF"/>
              </w:rPr>
              <w:t>or Units</w:t>
            </w:r>
            <w:r>
              <w:rPr>
                <w:rFonts w:ascii="Arial" w:cs="Arial" w:eastAsia="Arial" w:hAnsi="Arial"/>
                <w:sz w:val="17"/>
                <w:szCs w:val="17"/>
                <w:b w:val="1"/>
                <w:bCs w:val="1"/>
                <w:color w:val="FFFFFF"/>
                <w:vertAlign w:val="superscript"/>
              </w:rPr>
              <w:t>(3)</w:t>
            </w:r>
          </w:p>
        </w:tc>
        <w:tc>
          <w:tcPr>
            <w:tcW w:w="760" w:type="dxa"/>
            <w:vAlign w:val="bottom"/>
            <w:vMerge w:val="continue"/>
            <w:shd w:val="clear" w:color="auto" w:fill="0E2A35"/>
          </w:tcPr>
          <w:p>
            <w:pPr>
              <w:spacing w:after="0"/>
              <w:rPr>
                <w:sz w:val="2"/>
                <w:szCs w:val="2"/>
                <w:color w:val="auto"/>
              </w:rPr>
            </w:pPr>
          </w:p>
        </w:tc>
        <w:tc>
          <w:tcPr>
            <w:tcW w:w="640" w:type="dxa"/>
            <w:vAlign w:val="bottom"/>
            <w:vMerge w:val="continue"/>
            <w:shd w:val="clear" w:color="auto" w:fill="0E2A35"/>
          </w:tcPr>
          <w:p>
            <w:pPr>
              <w:spacing w:after="0"/>
              <w:rPr>
                <w:sz w:val="2"/>
                <w:szCs w:val="2"/>
                <w:color w:val="auto"/>
              </w:rPr>
            </w:pPr>
          </w:p>
        </w:tc>
        <w:tc>
          <w:tcPr>
            <w:tcW w:w="780" w:type="dxa"/>
            <w:vAlign w:val="bottom"/>
            <w:vMerge w:val="restart"/>
            <w:shd w:val="clear" w:color="auto" w:fill="0E2A35"/>
          </w:tcPr>
          <w:p>
            <w:pPr>
              <w:jc w:val="center"/>
              <w:spacing w:after="0" w:line="154"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(4)</w:t>
            </w:r>
          </w:p>
        </w:tc>
        <w:tc>
          <w:tcPr>
            <w:tcW w:w="0" w:type="dxa"/>
            <w:vAlign w:val="bottom"/>
          </w:tcPr>
          <w:p>
            <w:pPr>
              <w:spacing w:after="0" w:line="20" w:lineRule="exact"/>
              <w:rPr>
                <w:sz w:val="1"/>
                <w:szCs w:val="1"/>
                <w:color w:val="auto"/>
              </w:rPr>
            </w:pPr>
          </w:p>
        </w:tc>
      </w:tr>
      <w:tr>
        <w:trPr>
          <w:trHeight w:val="120"/>
        </w:trPr>
        <w:tc>
          <w:tcPr>
            <w:tcW w:w="1420" w:type="dxa"/>
            <w:vAlign w:val="bottom"/>
            <w:shd w:val="clear" w:color="auto" w:fill="0E2A35"/>
          </w:tcPr>
          <w:p>
            <w:pPr>
              <w:spacing w:after="0"/>
              <w:rPr>
                <w:sz w:val="10"/>
                <w:szCs w:val="10"/>
                <w:color w:val="auto"/>
              </w:rPr>
            </w:pPr>
          </w:p>
        </w:tc>
        <w:tc>
          <w:tcPr>
            <w:tcW w:w="1120" w:type="dxa"/>
            <w:vAlign w:val="bottom"/>
            <w:shd w:val="clear" w:color="auto" w:fill="0E2A35"/>
          </w:tcPr>
          <w:p>
            <w:pPr>
              <w:ind w:left="360"/>
              <w:spacing w:after="0" w:line="120" w:lineRule="exact"/>
              <w:rPr>
                <w:sz w:val="20"/>
                <w:szCs w:val="20"/>
                <w:color w:val="auto"/>
              </w:rPr>
            </w:pPr>
            <w:r>
              <w:rPr>
                <w:rFonts w:ascii="Arial" w:cs="Arial" w:eastAsia="Arial" w:hAnsi="Arial"/>
                <w:sz w:val="12"/>
                <w:szCs w:val="12"/>
                <w:b w:val="1"/>
                <w:bCs w:val="1"/>
                <w:color w:val="FFFFFF"/>
              </w:rPr>
              <w:t>Award​</w:t>
            </w:r>
          </w:p>
        </w:tc>
        <w:tc>
          <w:tcPr>
            <w:tcW w:w="820" w:type="dxa"/>
            <w:vAlign w:val="bottom"/>
            <w:vMerge w:val="continue"/>
            <w:shd w:val="clear" w:color="auto" w:fill="0E2A35"/>
          </w:tcPr>
          <w:p>
            <w:pPr>
              <w:spacing w:after="0"/>
              <w:rPr>
                <w:sz w:val="10"/>
                <w:szCs w:val="10"/>
                <w:color w:val="auto"/>
              </w:rPr>
            </w:pPr>
          </w:p>
        </w:tc>
        <w:tc>
          <w:tcPr>
            <w:tcW w:w="680" w:type="dxa"/>
            <w:vAlign w:val="bottom"/>
            <w:shd w:val="clear" w:color="auto" w:fill="0E2A35"/>
          </w:tcPr>
          <w:p>
            <w:pPr>
              <w:jc w:val="center"/>
              <w:spacing w:after="0" w:line="120" w:lineRule="exact"/>
              <w:rPr>
                <w:sz w:val="20"/>
                <w:szCs w:val="20"/>
                <w:color w:val="auto"/>
              </w:rPr>
            </w:pPr>
            <w:r>
              <w:rPr>
                <w:rFonts w:ascii="Arial" w:cs="Arial" w:eastAsia="Arial" w:hAnsi="Arial"/>
                <w:sz w:val="12"/>
                <w:szCs w:val="12"/>
                <w:b w:val="1"/>
                <w:bCs w:val="1"/>
                <w:color w:val="FFFFFF"/>
                <w:w w:val="96"/>
              </w:rPr>
              <w:t>Threshold</w:t>
            </w:r>
          </w:p>
        </w:tc>
        <w:tc>
          <w:tcPr>
            <w:tcW w:w="640" w:type="dxa"/>
            <w:vAlign w:val="bottom"/>
            <w:shd w:val="clear" w:color="auto" w:fill="0E2A35"/>
          </w:tcPr>
          <w:p>
            <w:pPr>
              <w:jc w:val="center"/>
              <w:spacing w:after="0" w:line="120" w:lineRule="exact"/>
              <w:rPr>
                <w:sz w:val="20"/>
                <w:szCs w:val="20"/>
                <w:color w:val="auto"/>
              </w:rPr>
            </w:pPr>
            <w:r>
              <w:rPr>
                <w:rFonts w:ascii="Arial" w:cs="Arial" w:eastAsia="Arial" w:hAnsi="Arial"/>
                <w:sz w:val="12"/>
                <w:szCs w:val="12"/>
                <w:b w:val="1"/>
                <w:bCs w:val="1"/>
                <w:color w:val="FFFFFF"/>
                <w:w w:val="92"/>
              </w:rPr>
              <w:t>Target</w:t>
            </w:r>
          </w:p>
        </w:tc>
        <w:tc>
          <w:tcPr>
            <w:tcW w:w="680" w:type="dxa"/>
            <w:vAlign w:val="bottom"/>
            <w:shd w:val="clear" w:color="auto" w:fill="0E2A35"/>
          </w:tcPr>
          <w:p>
            <w:pPr>
              <w:jc w:val="right"/>
              <w:ind w:right="2"/>
              <w:spacing w:after="0" w:line="120" w:lineRule="exact"/>
              <w:rPr>
                <w:sz w:val="20"/>
                <w:szCs w:val="20"/>
                <w:color w:val="auto"/>
              </w:rPr>
            </w:pPr>
            <w:r>
              <w:rPr>
                <w:rFonts w:ascii="Arial" w:cs="Arial" w:eastAsia="Arial" w:hAnsi="Arial"/>
                <w:sz w:val="12"/>
                <w:szCs w:val="12"/>
                <w:b w:val="1"/>
                <w:bCs w:val="1"/>
                <w:color w:val="FFFFFF"/>
              </w:rPr>
              <w:t>Maximum</w:t>
            </w:r>
          </w:p>
        </w:tc>
        <w:tc>
          <w:tcPr>
            <w:tcW w:w="720" w:type="dxa"/>
            <w:vAlign w:val="bottom"/>
            <w:shd w:val="clear" w:color="auto" w:fill="0E2A35"/>
          </w:tcPr>
          <w:p>
            <w:pPr>
              <w:jc w:val="right"/>
              <w:ind w:right="2"/>
              <w:spacing w:after="0" w:line="120" w:lineRule="exact"/>
              <w:rPr>
                <w:sz w:val="20"/>
                <w:szCs w:val="20"/>
                <w:color w:val="auto"/>
              </w:rPr>
            </w:pPr>
            <w:r>
              <w:rPr>
                <w:rFonts w:ascii="Arial" w:cs="Arial" w:eastAsia="Arial" w:hAnsi="Arial"/>
                <w:sz w:val="12"/>
                <w:szCs w:val="12"/>
                <w:b w:val="1"/>
                <w:bCs w:val="1"/>
                <w:color w:val="FFFFFF"/>
              </w:rPr>
              <w:t>Threshold</w:t>
            </w:r>
          </w:p>
        </w:tc>
        <w:tc>
          <w:tcPr>
            <w:tcW w:w="500" w:type="dxa"/>
            <w:vAlign w:val="bottom"/>
            <w:shd w:val="clear" w:color="auto" w:fill="0E2A35"/>
          </w:tcPr>
          <w:p>
            <w:pPr>
              <w:jc w:val="center"/>
              <w:spacing w:after="0" w:line="120" w:lineRule="exact"/>
              <w:rPr>
                <w:sz w:val="20"/>
                <w:szCs w:val="20"/>
                <w:color w:val="auto"/>
              </w:rPr>
            </w:pPr>
            <w:r>
              <w:rPr>
                <w:rFonts w:ascii="Arial" w:cs="Arial" w:eastAsia="Arial" w:hAnsi="Arial"/>
                <w:sz w:val="12"/>
                <w:szCs w:val="12"/>
                <w:b w:val="1"/>
                <w:bCs w:val="1"/>
                <w:color w:val="FFFFFF"/>
                <w:w w:val="98"/>
              </w:rPr>
              <w:t>Target</w:t>
            </w:r>
          </w:p>
        </w:tc>
        <w:tc>
          <w:tcPr>
            <w:tcW w:w="720" w:type="dxa"/>
            <w:vAlign w:val="bottom"/>
            <w:shd w:val="clear" w:color="auto" w:fill="0E2A35"/>
          </w:tcPr>
          <w:p>
            <w:pPr>
              <w:jc w:val="center"/>
              <w:spacing w:after="0" w:line="120" w:lineRule="exact"/>
              <w:rPr>
                <w:sz w:val="20"/>
                <w:szCs w:val="20"/>
                <w:color w:val="auto"/>
              </w:rPr>
            </w:pPr>
            <w:r>
              <w:rPr>
                <w:rFonts w:ascii="Arial" w:cs="Arial" w:eastAsia="Arial" w:hAnsi="Arial"/>
                <w:sz w:val="12"/>
                <w:szCs w:val="12"/>
                <w:b w:val="1"/>
                <w:bCs w:val="1"/>
                <w:color w:val="FFFFFF"/>
                <w:w w:val="97"/>
              </w:rPr>
              <w:t>Maximum</w:t>
            </w:r>
          </w:p>
        </w:tc>
        <w:tc>
          <w:tcPr>
            <w:tcW w:w="680" w:type="dxa"/>
            <w:vAlign w:val="bottom"/>
            <w:vMerge w:val="continue"/>
            <w:shd w:val="clear" w:color="auto" w:fill="0E2A35"/>
          </w:tcPr>
          <w:p>
            <w:pPr>
              <w:spacing w:after="0"/>
              <w:rPr>
                <w:sz w:val="10"/>
                <w:szCs w:val="10"/>
                <w:color w:val="auto"/>
              </w:rPr>
            </w:pPr>
          </w:p>
        </w:tc>
        <w:tc>
          <w:tcPr>
            <w:tcW w:w="760" w:type="dxa"/>
            <w:vAlign w:val="bottom"/>
            <w:shd w:val="clear" w:color="auto" w:fill="0E2A35"/>
          </w:tcPr>
          <w:p>
            <w:pPr>
              <w:jc w:val="center"/>
              <w:spacing w:after="0" w:line="120" w:lineRule="exact"/>
              <w:rPr>
                <w:sz w:val="20"/>
                <w:szCs w:val="20"/>
                <w:color w:val="auto"/>
              </w:rPr>
            </w:pPr>
            <w:r>
              <w:rPr>
                <w:rFonts w:ascii="Arial" w:cs="Arial" w:eastAsia="Arial" w:hAnsi="Arial"/>
                <w:sz w:val="12"/>
                <w:szCs w:val="12"/>
                <w:b w:val="1"/>
                <w:bCs w:val="1"/>
                <w:color w:val="FFFFFF"/>
                <w:w w:val="96"/>
              </w:rPr>
              <w:t>Options</w:t>
            </w:r>
          </w:p>
        </w:tc>
        <w:tc>
          <w:tcPr>
            <w:tcW w:w="640" w:type="dxa"/>
            <w:vAlign w:val="bottom"/>
            <w:shd w:val="clear" w:color="auto" w:fill="0E2A35"/>
          </w:tcPr>
          <w:p>
            <w:pPr>
              <w:jc w:val="center"/>
              <w:spacing w:after="0" w:line="120" w:lineRule="exact"/>
              <w:rPr>
                <w:sz w:val="20"/>
                <w:szCs w:val="20"/>
                <w:color w:val="auto"/>
              </w:rPr>
            </w:pPr>
            <w:r>
              <w:rPr>
                <w:rFonts w:ascii="Arial" w:cs="Arial" w:eastAsia="Arial" w:hAnsi="Arial"/>
                <w:sz w:val="12"/>
                <w:szCs w:val="12"/>
                <w:b w:val="1"/>
                <w:bCs w:val="1"/>
                <w:color w:val="FFFFFF"/>
                <w:w w:val="96"/>
              </w:rPr>
              <w:t>Awards</w:t>
            </w:r>
          </w:p>
        </w:tc>
        <w:tc>
          <w:tcPr>
            <w:tcW w:w="780" w:type="dxa"/>
            <w:vAlign w:val="bottom"/>
            <w:vMerge w:val="continue"/>
            <w:shd w:val="clear" w:color="auto" w:fill="0E2A35"/>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420" w:type="dxa"/>
            <w:vAlign w:val="bottom"/>
            <w:shd w:val="clear" w:color="auto" w:fill="0E2A35"/>
          </w:tcPr>
          <w:p>
            <w:pPr>
              <w:ind w:left="40"/>
              <w:spacing w:after="0"/>
              <w:rPr>
                <w:sz w:val="20"/>
                <w:szCs w:val="20"/>
                <w:color w:val="auto"/>
              </w:rPr>
            </w:pPr>
            <w:r>
              <w:rPr>
                <w:rFonts w:ascii="Arial" w:cs="Arial" w:eastAsia="Arial" w:hAnsi="Arial"/>
                <w:sz w:val="12"/>
                <w:szCs w:val="12"/>
                <w:b w:val="1"/>
                <w:bCs w:val="1"/>
                <w:color w:val="FFFFFF"/>
              </w:rPr>
              <w:t>Name​</w:t>
            </w:r>
          </w:p>
        </w:tc>
        <w:tc>
          <w:tcPr>
            <w:tcW w:w="1120" w:type="dxa"/>
            <w:vAlign w:val="bottom"/>
            <w:shd w:val="clear" w:color="auto" w:fill="0E2A35"/>
          </w:tcPr>
          <w:p>
            <w:pPr>
              <w:ind w:left="420"/>
              <w:spacing w:after="0"/>
              <w:rPr>
                <w:sz w:val="20"/>
                <w:szCs w:val="20"/>
                <w:color w:val="auto"/>
              </w:rPr>
            </w:pPr>
            <w:r>
              <w:rPr>
                <w:rFonts w:ascii="Arial" w:cs="Arial" w:eastAsia="Arial" w:hAnsi="Arial"/>
                <w:sz w:val="12"/>
                <w:szCs w:val="12"/>
                <w:b w:val="1"/>
                <w:bCs w:val="1"/>
                <w:color w:val="FFFFFF"/>
              </w:rPr>
              <w:t>Type</w:t>
            </w:r>
          </w:p>
        </w:tc>
        <w:tc>
          <w:tcPr>
            <w:tcW w:w="820" w:type="dxa"/>
            <w:vAlign w:val="bottom"/>
            <w:shd w:val="clear" w:color="auto" w:fill="0E2A35"/>
          </w:tcPr>
          <w:p>
            <w:pPr>
              <w:ind w:left="220"/>
              <w:spacing w:after="0"/>
              <w:rPr>
                <w:sz w:val="20"/>
                <w:szCs w:val="20"/>
                <w:color w:val="auto"/>
              </w:rPr>
            </w:pPr>
            <w:r>
              <w:rPr>
                <w:rFonts w:ascii="Arial" w:cs="Arial" w:eastAsia="Arial" w:hAnsi="Arial"/>
                <w:sz w:val="12"/>
                <w:szCs w:val="12"/>
                <w:b w:val="1"/>
                <w:bCs w:val="1"/>
                <w:color w:val="FFFFFF"/>
              </w:rPr>
              <w:t>Date</w:t>
            </w:r>
            <w:r>
              <w:rPr>
                <w:rFonts w:ascii="Arial" w:cs="Arial" w:eastAsia="Arial" w:hAnsi="Arial"/>
                <w:sz w:val="19"/>
                <w:szCs w:val="19"/>
                <w:b w:val="1"/>
                <w:bCs w:val="1"/>
                <w:color w:val="FFFFFF"/>
                <w:vertAlign w:val="superscript"/>
              </w:rPr>
              <w:t>(5)</w:t>
            </w:r>
          </w:p>
        </w:tc>
        <w:tc>
          <w:tcPr>
            <w:tcW w:w="680" w:type="dxa"/>
            <w:vAlign w:val="bottom"/>
            <w:shd w:val="clear" w:color="auto" w:fill="0E2A35"/>
          </w:tcPr>
          <w:p>
            <w:pPr>
              <w:ind w:left="280"/>
              <w:spacing w:after="0"/>
              <w:rPr>
                <w:sz w:val="20"/>
                <w:szCs w:val="20"/>
                <w:color w:val="auto"/>
              </w:rPr>
            </w:pPr>
            <w:r>
              <w:rPr>
                <w:rFonts w:ascii="Arial" w:cs="Arial" w:eastAsia="Arial" w:hAnsi="Arial"/>
                <w:sz w:val="12"/>
                <w:szCs w:val="12"/>
                <w:b w:val="1"/>
                <w:bCs w:val="1"/>
                <w:color w:val="FFFFFF"/>
              </w:rPr>
              <w:t>($)​</w:t>
            </w:r>
          </w:p>
        </w:tc>
        <w:tc>
          <w:tcPr>
            <w:tcW w:w="64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680" w:type="dxa"/>
            <w:vAlign w:val="bottom"/>
            <w:shd w:val="clear" w:color="auto" w:fill="0E2A35"/>
          </w:tcPr>
          <w:p>
            <w:pPr>
              <w:jc w:val="right"/>
              <w:ind w:right="202"/>
              <w:spacing w:after="0"/>
              <w:rPr>
                <w:sz w:val="20"/>
                <w:szCs w:val="20"/>
                <w:color w:val="auto"/>
              </w:rPr>
            </w:pPr>
            <w:r>
              <w:rPr>
                <w:rFonts w:ascii="Arial" w:cs="Arial" w:eastAsia="Arial" w:hAnsi="Arial"/>
                <w:sz w:val="12"/>
                <w:szCs w:val="12"/>
                <w:b w:val="1"/>
                <w:bCs w:val="1"/>
                <w:color w:val="FFFFFF"/>
              </w:rPr>
              <w:t>($)</w:t>
            </w:r>
          </w:p>
        </w:tc>
        <w:tc>
          <w:tcPr>
            <w:tcW w:w="720" w:type="dxa"/>
            <w:vAlign w:val="bottom"/>
            <w:shd w:val="clear" w:color="auto" w:fill="0E2A35"/>
          </w:tcPr>
          <w:p>
            <w:pPr>
              <w:jc w:val="right"/>
              <w:ind w:right="202"/>
              <w:spacing w:after="0"/>
              <w:rPr>
                <w:sz w:val="20"/>
                <w:szCs w:val="20"/>
                <w:color w:val="auto"/>
              </w:rPr>
            </w:pPr>
            <w:r>
              <w:rPr>
                <w:rFonts w:ascii="Arial" w:cs="Arial" w:eastAsia="Arial" w:hAnsi="Arial"/>
                <w:sz w:val="12"/>
                <w:szCs w:val="12"/>
                <w:b w:val="1"/>
                <w:bCs w:val="1"/>
                <w:color w:val="FFFFFF"/>
              </w:rPr>
              <w:t>(#)</w:t>
            </w:r>
          </w:p>
        </w:tc>
        <w:tc>
          <w:tcPr>
            <w:tcW w:w="500" w:type="dxa"/>
            <w:vAlign w:val="bottom"/>
            <w:shd w:val="clear" w:color="auto" w:fill="0E2A35"/>
          </w:tcPr>
          <w:p>
            <w:pPr>
              <w:jc w:val="right"/>
              <w:ind w:right="102"/>
              <w:spacing w:after="0"/>
              <w:rPr>
                <w:sz w:val="20"/>
                <w:szCs w:val="20"/>
                <w:color w:val="auto"/>
              </w:rPr>
            </w:pPr>
            <w:r>
              <w:rPr>
                <w:rFonts w:ascii="Arial" w:cs="Arial" w:eastAsia="Arial" w:hAnsi="Arial"/>
                <w:sz w:val="12"/>
                <w:szCs w:val="12"/>
                <w:b w:val="1"/>
                <w:bCs w:val="1"/>
                <w:color w:val="FFFFFF"/>
              </w:rPr>
              <w:t>(#)</w:t>
            </w:r>
          </w:p>
        </w:tc>
        <w:tc>
          <w:tcPr>
            <w:tcW w:w="72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rPr>
              <w:t>(#)</w:t>
            </w:r>
          </w:p>
        </w:tc>
        <w:tc>
          <w:tcPr>
            <w:tcW w:w="6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7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64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($/Sh)</w:t>
            </w:r>
          </w:p>
        </w:tc>
        <w:tc>
          <w:tcPr>
            <w:tcW w:w="78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254"/>
        </w:trPr>
        <w:tc>
          <w:tcPr>
            <w:tcW w:w="1420" w:type="dxa"/>
            <w:vAlign w:val="bottom"/>
          </w:tcPr>
          <w:p>
            <w:pPr>
              <w:ind w:left="40"/>
              <w:spacing w:after="0"/>
              <w:rPr>
                <w:sz w:val="20"/>
                <w:szCs w:val="20"/>
                <w:color w:val="auto"/>
              </w:rPr>
            </w:pPr>
            <w:r>
              <w:rPr>
                <w:rFonts w:ascii="Arial" w:cs="Arial" w:eastAsia="Arial" w:hAnsi="Arial"/>
                <w:sz w:val="12"/>
                <w:szCs w:val="12"/>
                <w:color w:val="0E2A35"/>
              </w:rPr>
              <w:t>Michael J. Happe​</w:t>
            </w:r>
          </w:p>
        </w:tc>
        <w:tc>
          <w:tcPr>
            <w:tcW w:w="1120" w:type="dxa"/>
            <w:vAlign w:val="bottom"/>
          </w:tcPr>
          <w:p>
            <w:pPr>
              <w:ind w:left="40"/>
              <w:spacing w:after="0"/>
              <w:rPr>
                <w:sz w:val="20"/>
                <w:szCs w:val="20"/>
                <w:color w:val="auto"/>
              </w:rPr>
            </w:pPr>
            <w:r>
              <w:rPr>
                <w:rFonts w:ascii="Arial" w:cs="Arial" w:eastAsia="Arial" w:hAnsi="Arial"/>
                <w:sz w:val="13"/>
                <w:szCs w:val="13"/>
                <w:color w:val="0E2A35"/>
              </w:rPr>
              <w:t>Stock Options</w:t>
            </w:r>
          </w:p>
        </w:tc>
        <w:tc>
          <w:tcPr>
            <w:tcW w:w="820" w:type="dxa"/>
            <w:vAlign w:val="bottom"/>
          </w:tcPr>
          <w:p>
            <w:pPr>
              <w:ind w:left="180"/>
              <w:spacing w:after="0"/>
              <w:rPr>
                <w:sz w:val="20"/>
                <w:szCs w:val="20"/>
                <w:color w:val="auto"/>
              </w:rPr>
            </w:pPr>
            <w:r>
              <w:rPr>
                <w:rFonts w:ascii="Arial" w:cs="Arial" w:eastAsia="Arial" w:hAnsi="Arial"/>
                <w:sz w:val="12"/>
                <w:szCs w:val="12"/>
                <w:color w:val="0E2A35"/>
              </w:rPr>
              <w:t>10/11/22</w:t>
            </w: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0E2A35"/>
                <w:w w:val="97"/>
              </w:rPr>
              <w:t>31,328</w:t>
            </w:r>
          </w:p>
        </w:tc>
        <w:tc>
          <w:tcPr>
            <w:tcW w:w="640" w:type="dxa"/>
            <w:vAlign w:val="bottom"/>
          </w:tcPr>
          <w:p>
            <w:pPr>
              <w:jc w:val="center"/>
              <w:spacing w:after="0"/>
              <w:rPr>
                <w:sz w:val="20"/>
                <w:szCs w:val="20"/>
                <w:color w:val="auto"/>
              </w:rPr>
            </w:pPr>
            <w:r>
              <w:rPr>
                <w:rFonts w:ascii="Arial" w:cs="Arial" w:eastAsia="Arial" w:hAnsi="Arial"/>
                <w:sz w:val="12"/>
                <w:szCs w:val="12"/>
                <w:color w:val="0E2A35"/>
                <w:w w:val="99"/>
              </w:rPr>
              <w:t>56.09</w:t>
            </w: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 749,992</w:t>
            </w: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E2A35"/>
              </w:rPr>
              <w:t>RSU Award</w:t>
            </w:r>
          </w:p>
        </w:tc>
        <w:tc>
          <w:tcPr>
            <w:tcW w:w="820" w:type="dxa"/>
            <w:vAlign w:val="bottom"/>
          </w:tcPr>
          <w:p>
            <w:pPr>
              <w:ind w:left="180"/>
              <w:spacing w:after="0"/>
              <w:rPr>
                <w:sz w:val="20"/>
                <w:szCs w:val="20"/>
                <w:color w:val="auto"/>
              </w:rPr>
            </w:pPr>
            <w:r>
              <w:rPr>
                <w:rFonts w:ascii="Arial" w:cs="Arial" w:eastAsia="Arial" w:hAnsi="Arial"/>
                <w:sz w:val="12"/>
                <w:szCs w:val="12"/>
                <w:color w:val="0E2A35"/>
              </w:rPr>
              <w:t>10/11/22</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0E2A35"/>
                <w:w w:val="97"/>
              </w:rPr>
              <w:t>31,200</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1,750,008</w:t>
            </w: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E2A35"/>
              </w:rPr>
              <w:t>2023 OICP</w:t>
            </w:r>
          </w:p>
        </w:tc>
        <w:tc>
          <w:tcPr>
            <w:tcW w:w="8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0E2A35"/>
                <w:w w:val="96"/>
              </w:rPr>
              <w:t>300,000</w:t>
            </w:r>
          </w:p>
        </w:tc>
        <w:tc>
          <w:tcPr>
            <w:tcW w:w="640" w:type="dxa"/>
            <w:vAlign w:val="bottom"/>
          </w:tcPr>
          <w:p>
            <w:pPr>
              <w:jc w:val="right"/>
              <w:ind w:right="2"/>
              <w:spacing w:after="0"/>
              <w:rPr>
                <w:sz w:val="20"/>
                <w:szCs w:val="20"/>
                <w:color w:val="auto"/>
              </w:rPr>
            </w:pPr>
            <w:r>
              <w:rPr>
                <w:rFonts w:ascii="Arial" w:cs="Arial" w:eastAsia="Arial" w:hAnsi="Arial"/>
                <w:sz w:val="12"/>
                <w:szCs w:val="12"/>
                <w:color w:val="0E2A35"/>
              </w:rPr>
              <w:t>1,200,000</w:t>
            </w:r>
          </w:p>
        </w:tc>
        <w:tc>
          <w:tcPr>
            <w:tcW w:w="680" w:type="dxa"/>
            <w:vAlign w:val="bottom"/>
          </w:tcPr>
          <w:p>
            <w:pPr>
              <w:jc w:val="right"/>
              <w:ind w:right="42"/>
              <w:spacing w:after="0"/>
              <w:rPr>
                <w:sz w:val="20"/>
                <w:szCs w:val="20"/>
                <w:color w:val="auto"/>
              </w:rPr>
            </w:pPr>
            <w:r>
              <w:rPr>
                <w:rFonts w:ascii="Arial" w:cs="Arial" w:eastAsia="Arial" w:hAnsi="Arial"/>
                <w:sz w:val="12"/>
                <w:szCs w:val="12"/>
                <w:color w:val="0E2A35"/>
              </w:rPr>
              <w:t>2,400,000</w:t>
            </w: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E2A35"/>
              </w:rPr>
              <w:t>2023-2025 LTIP</w:t>
            </w:r>
          </w:p>
        </w:tc>
        <w:tc>
          <w:tcPr>
            <w:tcW w:w="820" w:type="dxa"/>
            <w:vAlign w:val="bottom"/>
          </w:tcPr>
          <w:p>
            <w:pPr>
              <w:ind w:left="180"/>
              <w:spacing w:after="0"/>
              <w:rPr>
                <w:sz w:val="20"/>
                <w:szCs w:val="20"/>
                <w:color w:val="auto"/>
              </w:rPr>
            </w:pPr>
            <w:r>
              <w:rPr>
                <w:rFonts w:ascii="Arial" w:cs="Arial" w:eastAsia="Arial" w:hAnsi="Arial"/>
                <w:sz w:val="12"/>
                <w:szCs w:val="12"/>
                <w:color w:val="0E2A35"/>
              </w:rPr>
              <w:t>10/11/22</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jc w:val="right"/>
              <w:ind w:right="82"/>
              <w:spacing w:after="0"/>
              <w:rPr>
                <w:sz w:val="20"/>
                <w:szCs w:val="20"/>
                <w:color w:val="auto"/>
              </w:rPr>
            </w:pPr>
            <w:r>
              <w:rPr>
                <w:rFonts w:ascii="Arial" w:cs="Arial" w:eastAsia="Arial" w:hAnsi="Arial"/>
                <w:sz w:val="12"/>
                <w:szCs w:val="12"/>
                <w:color w:val="0E2A35"/>
              </w:rPr>
              <w:t>11,143</w:t>
            </w:r>
          </w:p>
        </w:tc>
        <w:tc>
          <w:tcPr>
            <w:tcW w:w="500" w:type="dxa"/>
            <w:vAlign w:val="bottom"/>
          </w:tcPr>
          <w:p>
            <w:pPr>
              <w:jc w:val="right"/>
              <w:ind w:right="2"/>
              <w:spacing w:after="0"/>
              <w:rPr>
                <w:sz w:val="20"/>
                <w:szCs w:val="20"/>
                <w:color w:val="auto"/>
              </w:rPr>
            </w:pPr>
            <w:r>
              <w:rPr>
                <w:rFonts w:ascii="Arial" w:cs="Arial" w:eastAsia="Arial" w:hAnsi="Arial"/>
                <w:sz w:val="12"/>
                <w:szCs w:val="12"/>
                <w:color w:val="0E2A35"/>
              </w:rPr>
              <w:t>44,571</w:t>
            </w:r>
          </w:p>
        </w:tc>
        <w:tc>
          <w:tcPr>
            <w:tcW w:w="720" w:type="dxa"/>
            <w:vAlign w:val="bottom"/>
          </w:tcPr>
          <w:p>
            <w:pPr>
              <w:jc w:val="center"/>
              <w:spacing w:after="0"/>
              <w:rPr>
                <w:sz w:val="20"/>
                <w:szCs w:val="20"/>
                <w:color w:val="auto"/>
              </w:rPr>
            </w:pPr>
            <w:r>
              <w:rPr>
                <w:rFonts w:ascii="Arial" w:cs="Arial" w:eastAsia="Arial" w:hAnsi="Arial"/>
                <w:sz w:val="12"/>
                <w:szCs w:val="12"/>
                <w:color w:val="0E2A35"/>
                <w:w w:val="97"/>
              </w:rPr>
              <w:t>89,142</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2,499,987</w:t>
            </w:r>
          </w:p>
        </w:tc>
        <w:tc>
          <w:tcPr>
            <w:tcW w:w="0" w:type="dxa"/>
            <w:vAlign w:val="bottom"/>
          </w:tcPr>
          <w:p>
            <w:pPr>
              <w:spacing w:after="0"/>
              <w:rPr>
                <w:sz w:val="1"/>
                <w:szCs w:val="1"/>
                <w:color w:val="auto"/>
              </w:rPr>
            </w:pPr>
          </w:p>
        </w:tc>
      </w:tr>
      <w:tr>
        <w:trPr>
          <w:trHeight w:val="97"/>
        </w:trPr>
        <w:tc>
          <w:tcPr>
            <w:tcW w:w="142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ind w:left="40"/>
              <w:spacing w:after="0"/>
              <w:rPr>
                <w:sz w:val="20"/>
                <w:szCs w:val="20"/>
                <w:color w:val="auto"/>
              </w:rPr>
            </w:pPr>
            <w:r>
              <w:rPr>
                <w:rFonts w:ascii="Arial" w:cs="Arial" w:eastAsia="Arial" w:hAnsi="Arial"/>
                <w:sz w:val="12"/>
                <w:szCs w:val="12"/>
                <w:color w:val="0E2A35"/>
              </w:rPr>
              <w:t>Bryan L. Hughes​</w:t>
            </w:r>
          </w:p>
        </w:tc>
        <w:tc>
          <w:tcPr>
            <w:tcW w:w="1120" w:type="dxa"/>
            <w:vAlign w:val="bottom"/>
          </w:tcPr>
          <w:p>
            <w:pPr>
              <w:ind w:left="40"/>
              <w:spacing w:after="0"/>
              <w:rPr>
                <w:sz w:val="20"/>
                <w:szCs w:val="20"/>
                <w:color w:val="auto"/>
              </w:rPr>
            </w:pPr>
            <w:r>
              <w:rPr>
                <w:rFonts w:ascii="Arial" w:cs="Arial" w:eastAsia="Arial" w:hAnsi="Arial"/>
                <w:sz w:val="13"/>
                <w:szCs w:val="13"/>
                <w:color w:val="0E2A35"/>
              </w:rPr>
              <w:t>Stock Options</w:t>
            </w:r>
          </w:p>
        </w:tc>
        <w:tc>
          <w:tcPr>
            <w:tcW w:w="820" w:type="dxa"/>
            <w:vAlign w:val="bottom"/>
          </w:tcPr>
          <w:p>
            <w:pPr>
              <w:ind w:left="180"/>
              <w:spacing w:after="0"/>
              <w:rPr>
                <w:sz w:val="20"/>
                <w:szCs w:val="20"/>
                <w:color w:val="auto"/>
              </w:rPr>
            </w:pPr>
            <w:r>
              <w:rPr>
                <w:rFonts w:ascii="Arial" w:cs="Arial" w:eastAsia="Arial" w:hAnsi="Arial"/>
                <w:sz w:val="12"/>
                <w:szCs w:val="12"/>
                <w:color w:val="0E2A35"/>
              </w:rPr>
              <w:t>10/11/22</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right"/>
              <w:ind w:right="142"/>
              <w:spacing w:after="0"/>
              <w:rPr>
                <w:sz w:val="20"/>
                <w:szCs w:val="20"/>
                <w:color w:val="auto"/>
              </w:rPr>
            </w:pPr>
            <w:r>
              <w:rPr>
                <w:rFonts w:ascii="Arial" w:cs="Arial" w:eastAsia="Arial" w:hAnsi="Arial"/>
                <w:sz w:val="12"/>
                <w:szCs w:val="12"/>
                <w:color w:val="0E2A35"/>
              </w:rPr>
              <w:t>6,305</w:t>
            </w:r>
          </w:p>
        </w:tc>
        <w:tc>
          <w:tcPr>
            <w:tcW w:w="640" w:type="dxa"/>
            <w:vAlign w:val="bottom"/>
          </w:tcPr>
          <w:p>
            <w:pPr>
              <w:jc w:val="center"/>
              <w:spacing w:after="0"/>
              <w:rPr>
                <w:sz w:val="20"/>
                <w:szCs w:val="20"/>
                <w:color w:val="auto"/>
              </w:rPr>
            </w:pPr>
            <w:r>
              <w:rPr>
                <w:rFonts w:ascii="Arial" w:cs="Arial" w:eastAsia="Arial" w:hAnsi="Arial"/>
                <w:sz w:val="12"/>
                <w:szCs w:val="12"/>
                <w:color w:val="0E2A35"/>
                <w:w w:val="99"/>
              </w:rPr>
              <w:t>56.09</w:t>
            </w: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 150,942</w:t>
            </w: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E2A35"/>
              </w:rPr>
              <w:t>RSU Award</w:t>
            </w:r>
          </w:p>
        </w:tc>
        <w:tc>
          <w:tcPr>
            <w:tcW w:w="820" w:type="dxa"/>
            <w:vAlign w:val="bottom"/>
          </w:tcPr>
          <w:p>
            <w:pPr>
              <w:ind w:left="180"/>
              <w:spacing w:after="0"/>
              <w:rPr>
                <w:sz w:val="20"/>
                <w:szCs w:val="20"/>
                <w:color w:val="auto"/>
              </w:rPr>
            </w:pPr>
            <w:r>
              <w:rPr>
                <w:rFonts w:ascii="Arial" w:cs="Arial" w:eastAsia="Arial" w:hAnsi="Arial"/>
                <w:sz w:val="12"/>
                <w:szCs w:val="12"/>
                <w:color w:val="0E2A35"/>
              </w:rPr>
              <w:t>10/11/22</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right"/>
              <w:ind w:right="122"/>
              <w:spacing w:after="0"/>
              <w:rPr>
                <w:sz w:val="20"/>
                <w:szCs w:val="20"/>
                <w:color w:val="auto"/>
              </w:rPr>
            </w:pPr>
            <w:r>
              <w:rPr>
                <w:rFonts w:ascii="Arial" w:cs="Arial" w:eastAsia="Arial" w:hAnsi="Arial"/>
                <w:sz w:val="12"/>
                <w:szCs w:val="12"/>
                <w:color w:val="0E2A35"/>
              </w:rPr>
              <w:t>6,279</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352,189</w:t>
            </w: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E2A35"/>
              </w:rPr>
              <w:t>2023 OICP</w:t>
            </w:r>
          </w:p>
        </w:tc>
        <w:tc>
          <w:tcPr>
            <w:tcW w:w="8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0E2A35"/>
                <w:w w:val="96"/>
              </w:rPr>
              <w:t>129,375</w:t>
            </w:r>
          </w:p>
        </w:tc>
        <w:tc>
          <w:tcPr>
            <w:tcW w:w="640" w:type="dxa"/>
            <w:vAlign w:val="bottom"/>
          </w:tcPr>
          <w:p>
            <w:pPr>
              <w:jc w:val="right"/>
              <w:ind w:right="2"/>
              <w:spacing w:after="0"/>
              <w:rPr>
                <w:sz w:val="20"/>
                <w:szCs w:val="20"/>
                <w:color w:val="auto"/>
              </w:rPr>
            </w:pPr>
            <w:r>
              <w:rPr>
                <w:rFonts w:ascii="Arial" w:cs="Arial" w:eastAsia="Arial" w:hAnsi="Arial"/>
                <w:sz w:val="12"/>
                <w:szCs w:val="12"/>
                <w:color w:val="0E2A35"/>
              </w:rPr>
              <w:t>517,500</w:t>
            </w:r>
          </w:p>
        </w:tc>
        <w:tc>
          <w:tcPr>
            <w:tcW w:w="680" w:type="dxa"/>
            <w:vAlign w:val="bottom"/>
          </w:tcPr>
          <w:p>
            <w:pPr>
              <w:jc w:val="right"/>
              <w:ind w:right="42"/>
              <w:spacing w:after="0"/>
              <w:rPr>
                <w:sz w:val="20"/>
                <w:szCs w:val="20"/>
                <w:color w:val="auto"/>
              </w:rPr>
            </w:pPr>
            <w:r>
              <w:rPr>
                <w:rFonts w:ascii="Arial" w:cs="Arial" w:eastAsia="Arial" w:hAnsi="Arial"/>
                <w:sz w:val="12"/>
                <w:szCs w:val="12"/>
                <w:color w:val="0E2A35"/>
              </w:rPr>
              <w:t>1,035,000</w:t>
            </w: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E2A35"/>
              </w:rPr>
              <w:t>2023-2025 LTIP</w:t>
            </w:r>
          </w:p>
        </w:tc>
        <w:tc>
          <w:tcPr>
            <w:tcW w:w="820" w:type="dxa"/>
            <w:vAlign w:val="bottom"/>
          </w:tcPr>
          <w:p>
            <w:pPr>
              <w:ind w:left="180"/>
              <w:spacing w:after="0"/>
              <w:rPr>
                <w:sz w:val="20"/>
                <w:szCs w:val="20"/>
                <w:color w:val="auto"/>
              </w:rPr>
            </w:pPr>
            <w:r>
              <w:rPr>
                <w:rFonts w:ascii="Arial" w:cs="Arial" w:eastAsia="Arial" w:hAnsi="Arial"/>
                <w:sz w:val="12"/>
                <w:szCs w:val="12"/>
                <w:color w:val="0E2A35"/>
              </w:rPr>
              <w:t>10/11/22</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jc w:val="right"/>
              <w:ind w:right="82"/>
              <w:spacing w:after="0"/>
              <w:rPr>
                <w:sz w:val="20"/>
                <w:szCs w:val="20"/>
                <w:color w:val="auto"/>
              </w:rPr>
            </w:pPr>
            <w:r>
              <w:rPr>
                <w:rFonts w:ascii="Arial" w:cs="Arial" w:eastAsia="Arial" w:hAnsi="Arial"/>
                <w:sz w:val="12"/>
                <w:szCs w:val="12"/>
                <w:color w:val="0E2A35"/>
              </w:rPr>
              <w:t>2,243</w:t>
            </w:r>
          </w:p>
        </w:tc>
        <w:tc>
          <w:tcPr>
            <w:tcW w:w="500" w:type="dxa"/>
            <w:vAlign w:val="bottom"/>
          </w:tcPr>
          <w:p>
            <w:pPr>
              <w:jc w:val="right"/>
              <w:ind w:right="22"/>
              <w:spacing w:after="0"/>
              <w:rPr>
                <w:sz w:val="20"/>
                <w:szCs w:val="20"/>
                <w:color w:val="auto"/>
              </w:rPr>
            </w:pPr>
            <w:r>
              <w:rPr>
                <w:rFonts w:ascii="Arial" w:cs="Arial" w:eastAsia="Arial" w:hAnsi="Arial"/>
                <w:sz w:val="12"/>
                <w:szCs w:val="12"/>
                <w:color w:val="0E2A35"/>
              </w:rPr>
              <w:t>8,970</w:t>
            </w:r>
          </w:p>
        </w:tc>
        <w:tc>
          <w:tcPr>
            <w:tcW w:w="720" w:type="dxa"/>
            <w:vAlign w:val="bottom"/>
          </w:tcPr>
          <w:p>
            <w:pPr>
              <w:jc w:val="center"/>
              <w:spacing w:after="0"/>
              <w:rPr>
                <w:sz w:val="20"/>
                <w:szCs w:val="20"/>
                <w:color w:val="auto"/>
              </w:rPr>
            </w:pPr>
            <w:r>
              <w:rPr>
                <w:rFonts w:ascii="Arial" w:cs="Arial" w:eastAsia="Arial" w:hAnsi="Arial"/>
                <w:sz w:val="12"/>
                <w:szCs w:val="12"/>
                <w:color w:val="0E2A35"/>
                <w:w w:val="97"/>
              </w:rPr>
              <w:t>17,940</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503,127</w:t>
            </w:r>
          </w:p>
        </w:tc>
        <w:tc>
          <w:tcPr>
            <w:tcW w:w="0" w:type="dxa"/>
            <w:vAlign w:val="bottom"/>
          </w:tcPr>
          <w:p>
            <w:pPr>
              <w:spacing w:after="0"/>
              <w:rPr>
                <w:sz w:val="1"/>
                <w:szCs w:val="1"/>
                <w:color w:val="auto"/>
              </w:rPr>
            </w:pPr>
          </w:p>
        </w:tc>
      </w:tr>
      <w:tr>
        <w:trPr>
          <w:trHeight w:val="97"/>
        </w:trPr>
        <w:tc>
          <w:tcPr>
            <w:tcW w:w="142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ind w:left="40"/>
              <w:spacing w:after="0"/>
              <w:rPr>
                <w:sz w:val="20"/>
                <w:szCs w:val="20"/>
                <w:color w:val="auto"/>
              </w:rPr>
            </w:pPr>
            <w:r>
              <w:rPr>
                <w:rFonts w:ascii="Arial" w:cs="Arial" w:eastAsia="Arial" w:hAnsi="Arial"/>
                <w:sz w:val="12"/>
                <w:szCs w:val="12"/>
                <w:color w:val="0E2A35"/>
              </w:rPr>
              <w:t>Stacy L. Bogart</w:t>
            </w:r>
          </w:p>
        </w:tc>
        <w:tc>
          <w:tcPr>
            <w:tcW w:w="1120" w:type="dxa"/>
            <w:vAlign w:val="bottom"/>
          </w:tcPr>
          <w:p>
            <w:pPr>
              <w:ind w:left="40"/>
              <w:spacing w:after="0"/>
              <w:rPr>
                <w:sz w:val="20"/>
                <w:szCs w:val="20"/>
                <w:color w:val="auto"/>
              </w:rPr>
            </w:pPr>
            <w:r>
              <w:rPr>
                <w:rFonts w:ascii="Arial" w:cs="Arial" w:eastAsia="Arial" w:hAnsi="Arial"/>
                <w:sz w:val="13"/>
                <w:szCs w:val="13"/>
                <w:color w:val="0E2A35"/>
              </w:rPr>
              <w:t>Stock Options</w:t>
            </w:r>
          </w:p>
        </w:tc>
        <w:tc>
          <w:tcPr>
            <w:tcW w:w="820" w:type="dxa"/>
            <w:vAlign w:val="bottom"/>
          </w:tcPr>
          <w:p>
            <w:pPr>
              <w:ind w:left="180"/>
              <w:spacing w:after="0"/>
              <w:rPr>
                <w:sz w:val="20"/>
                <w:szCs w:val="20"/>
                <w:color w:val="auto"/>
              </w:rPr>
            </w:pPr>
            <w:r>
              <w:rPr>
                <w:rFonts w:ascii="Arial" w:cs="Arial" w:eastAsia="Arial" w:hAnsi="Arial"/>
                <w:sz w:val="12"/>
                <w:szCs w:val="12"/>
                <w:color w:val="0E2A35"/>
              </w:rPr>
              <w:t>10/11/22</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right"/>
              <w:ind w:right="142"/>
              <w:spacing w:after="0"/>
              <w:rPr>
                <w:sz w:val="20"/>
                <w:szCs w:val="20"/>
                <w:color w:val="auto"/>
              </w:rPr>
            </w:pPr>
            <w:r>
              <w:rPr>
                <w:rFonts w:ascii="Arial" w:cs="Arial" w:eastAsia="Arial" w:hAnsi="Arial"/>
                <w:sz w:val="12"/>
                <w:szCs w:val="12"/>
                <w:color w:val="0E2A35"/>
              </w:rPr>
              <w:t>4,812</w:t>
            </w:r>
          </w:p>
        </w:tc>
        <w:tc>
          <w:tcPr>
            <w:tcW w:w="640" w:type="dxa"/>
            <w:vAlign w:val="bottom"/>
          </w:tcPr>
          <w:p>
            <w:pPr>
              <w:jc w:val="center"/>
              <w:spacing w:after="0"/>
              <w:rPr>
                <w:sz w:val="20"/>
                <w:szCs w:val="20"/>
                <w:color w:val="auto"/>
              </w:rPr>
            </w:pPr>
            <w:r>
              <w:rPr>
                <w:rFonts w:ascii="Arial" w:cs="Arial" w:eastAsia="Arial" w:hAnsi="Arial"/>
                <w:sz w:val="12"/>
                <w:szCs w:val="12"/>
                <w:color w:val="0E2A35"/>
                <w:w w:val="99"/>
              </w:rPr>
              <w:t>56.09</w:t>
            </w:r>
          </w:p>
        </w:tc>
        <w:tc>
          <w:tcPr>
            <w:tcW w:w="780" w:type="dxa"/>
            <w:vAlign w:val="bottom"/>
          </w:tcPr>
          <w:p>
            <w:pPr>
              <w:jc w:val="right"/>
              <w:ind w:right="102"/>
              <w:spacing w:after="0"/>
              <w:rPr>
                <w:sz w:val="20"/>
                <w:szCs w:val="20"/>
                <w:color w:val="auto"/>
              </w:rPr>
            </w:pPr>
            <w:r>
              <w:rPr>
                <w:rFonts w:ascii="Arial" w:cs="Arial" w:eastAsia="Arial" w:hAnsi="Arial"/>
                <w:sz w:val="12"/>
                <w:szCs w:val="12"/>
                <w:color w:val="0E2A35"/>
              </w:rPr>
              <w:t>​ 115,199</w:t>
            </w: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E2A35"/>
              </w:rPr>
              <w:t>RSU Award</w:t>
            </w:r>
          </w:p>
        </w:tc>
        <w:tc>
          <w:tcPr>
            <w:tcW w:w="820" w:type="dxa"/>
            <w:vAlign w:val="bottom"/>
          </w:tcPr>
          <w:p>
            <w:pPr>
              <w:ind w:left="180"/>
              <w:spacing w:after="0"/>
              <w:rPr>
                <w:sz w:val="20"/>
                <w:szCs w:val="20"/>
                <w:color w:val="auto"/>
              </w:rPr>
            </w:pPr>
            <w:r>
              <w:rPr>
                <w:rFonts w:ascii="Arial" w:cs="Arial" w:eastAsia="Arial" w:hAnsi="Arial"/>
                <w:sz w:val="12"/>
                <w:szCs w:val="12"/>
                <w:color w:val="0E2A35"/>
              </w:rPr>
              <w:t>10/11/22</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right"/>
              <w:ind w:right="122"/>
              <w:spacing w:after="0"/>
              <w:rPr>
                <w:sz w:val="20"/>
                <w:szCs w:val="20"/>
                <w:color w:val="auto"/>
              </w:rPr>
            </w:pPr>
            <w:r>
              <w:rPr>
                <w:rFonts w:ascii="Arial" w:cs="Arial" w:eastAsia="Arial" w:hAnsi="Arial"/>
                <w:sz w:val="12"/>
                <w:szCs w:val="12"/>
                <w:color w:val="0E2A35"/>
              </w:rPr>
              <w:t>4,792</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268,783</w:t>
            </w: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E2A35"/>
              </w:rPr>
              <w:t>2023 OICP</w:t>
            </w:r>
          </w:p>
        </w:tc>
        <w:tc>
          <w:tcPr>
            <w:tcW w:w="8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0E2A35"/>
                <w:w w:val="96"/>
              </w:rPr>
              <w:t>102,400</w:t>
            </w:r>
          </w:p>
        </w:tc>
        <w:tc>
          <w:tcPr>
            <w:tcW w:w="640" w:type="dxa"/>
            <w:vAlign w:val="bottom"/>
          </w:tcPr>
          <w:p>
            <w:pPr>
              <w:jc w:val="right"/>
              <w:ind w:right="2"/>
              <w:spacing w:after="0"/>
              <w:rPr>
                <w:sz w:val="20"/>
                <w:szCs w:val="20"/>
                <w:color w:val="auto"/>
              </w:rPr>
            </w:pPr>
            <w:r>
              <w:rPr>
                <w:rFonts w:ascii="Arial" w:cs="Arial" w:eastAsia="Arial" w:hAnsi="Arial"/>
                <w:sz w:val="12"/>
                <w:szCs w:val="12"/>
                <w:color w:val="0E2A35"/>
              </w:rPr>
              <w:t>409,600</w:t>
            </w:r>
          </w:p>
        </w:tc>
        <w:tc>
          <w:tcPr>
            <w:tcW w:w="680" w:type="dxa"/>
            <w:vAlign w:val="bottom"/>
          </w:tcPr>
          <w:p>
            <w:pPr>
              <w:jc w:val="right"/>
              <w:ind w:right="42"/>
              <w:spacing w:after="0"/>
              <w:rPr>
                <w:sz w:val="20"/>
                <w:szCs w:val="20"/>
                <w:color w:val="auto"/>
              </w:rPr>
            </w:pPr>
            <w:r>
              <w:rPr>
                <w:rFonts w:ascii="Arial" w:cs="Arial" w:eastAsia="Arial" w:hAnsi="Arial"/>
                <w:sz w:val="12"/>
                <w:szCs w:val="12"/>
                <w:color w:val="0E2A35"/>
              </w:rPr>
              <w:t>819,200</w:t>
            </w: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E2A35"/>
              </w:rPr>
              <w:t>2023-2025 LTIP</w:t>
            </w:r>
          </w:p>
        </w:tc>
        <w:tc>
          <w:tcPr>
            <w:tcW w:w="820" w:type="dxa"/>
            <w:vAlign w:val="bottom"/>
          </w:tcPr>
          <w:p>
            <w:pPr>
              <w:ind w:left="180"/>
              <w:spacing w:after="0"/>
              <w:rPr>
                <w:sz w:val="20"/>
                <w:szCs w:val="20"/>
                <w:color w:val="auto"/>
              </w:rPr>
            </w:pPr>
            <w:r>
              <w:rPr>
                <w:rFonts w:ascii="Arial" w:cs="Arial" w:eastAsia="Arial" w:hAnsi="Arial"/>
                <w:sz w:val="12"/>
                <w:szCs w:val="12"/>
                <w:color w:val="0E2A35"/>
              </w:rPr>
              <w:t>10/11/22</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jc w:val="right"/>
              <w:ind w:right="82"/>
              <w:spacing w:after="0"/>
              <w:rPr>
                <w:sz w:val="20"/>
                <w:szCs w:val="20"/>
                <w:color w:val="auto"/>
              </w:rPr>
            </w:pPr>
            <w:r>
              <w:rPr>
                <w:rFonts w:ascii="Arial" w:cs="Arial" w:eastAsia="Arial" w:hAnsi="Arial"/>
                <w:sz w:val="12"/>
                <w:szCs w:val="12"/>
                <w:color w:val="0E2A35"/>
              </w:rPr>
              <w:t>1,712</w:t>
            </w:r>
          </w:p>
        </w:tc>
        <w:tc>
          <w:tcPr>
            <w:tcW w:w="500" w:type="dxa"/>
            <w:vAlign w:val="bottom"/>
          </w:tcPr>
          <w:p>
            <w:pPr>
              <w:jc w:val="right"/>
              <w:ind w:right="22"/>
              <w:spacing w:after="0"/>
              <w:rPr>
                <w:sz w:val="20"/>
                <w:szCs w:val="20"/>
                <w:color w:val="auto"/>
              </w:rPr>
            </w:pPr>
            <w:r>
              <w:rPr>
                <w:rFonts w:ascii="Arial" w:cs="Arial" w:eastAsia="Arial" w:hAnsi="Arial"/>
                <w:sz w:val="12"/>
                <w:szCs w:val="12"/>
                <w:color w:val="0E2A35"/>
              </w:rPr>
              <w:t>6,846</w:t>
            </w:r>
          </w:p>
        </w:tc>
        <w:tc>
          <w:tcPr>
            <w:tcW w:w="720" w:type="dxa"/>
            <w:vAlign w:val="bottom"/>
          </w:tcPr>
          <w:p>
            <w:pPr>
              <w:jc w:val="center"/>
              <w:spacing w:after="0"/>
              <w:rPr>
                <w:sz w:val="20"/>
                <w:szCs w:val="20"/>
                <w:color w:val="auto"/>
              </w:rPr>
            </w:pPr>
            <w:r>
              <w:rPr>
                <w:rFonts w:ascii="Arial" w:cs="Arial" w:eastAsia="Arial" w:hAnsi="Arial"/>
                <w:sz w:val="12"/>
                <w:szCs w:val="12"/>
                <w:color w:val="0E2A35"/>
                <w:w w:val="97"/>
              </w:rPr>
              <w:t>13,692</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383,992</w:t>
            </w:r>
          </w:p>
        </w:tc>
        <w:tc>
          <w:tcPr>
            <w:tcW w:w="0" w:type="dxa"/>
            <w:vAlign w:val="bottom"/>
          </w:tcPr>
          <w:p>
            <w:pPr>
              <w:spacing w:after="0"/>
              <w:rPr>
                <w:sz w:val="1"/>
                <w:szCs w:val="1"/>
                <w:color w:val="auto"/>
              </w:rPr>
            </w:pPr>
          </w:p>
        </w:tc>
      </w:tr>
      <w:tr>
        <w:trPr>
          <w:trHeight w:val="97"/>
        </w:trPr>
        <w:tc>
          <w:tcPr>
            <w:tcW w:w="142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420" w:type="dxa"/>
            <w:vAlign w:val="bottom"/>
          </w:tcPr>
          <w:p>
            <w:pPr>
              <w:ind w:left="40"/>
              <w:spacing w:after="0"/>
              <w:rPr>
                <w:sz w:val="20"/>
                <w:szCs w:val="20"/>
                <w:color w:val="auto"/>
              </w:rPr>
            </w:pPr>
            <w:r>
              <w:rPr>
                <w:rFonts w:ascii="Arial" w:cs="Arial" w:eastAsia="Arial" w:hAnsi="Arial"/>
                <w:sz w:val="12"/>
                <w:szCs w:val="12"/>
                <w:color w:val="0E2A35"/>
              </w:rPr>
              <w:t>Huw S. Bower​</w:t>
            </w:r>
          </w:p>
        </w:tc>
        <w:tc>
          <w:tcPr>
            <w:tcW w:w="1120" w:type="dxa"/>
            <w:vAlign w:val="bottom"/>
          </w:tcPr>
          <w:p>
            <w:pPr>
              <w:ind w:left="40"/>
              <w:spacing w:after="0"/>
              <w:rPr>
                <w:sz w:val="20"/>
                <w:szCs w:val="20"/>
                <w:color w:val="auto"/>
              </w:rPr>
            </w:pPr>
            <w:r>
              <w:rPr>
                <w:rFonts w:ascii="Arial" w:cs="Arial" w:eastAsia="Arial" w:hAnsi="Arial"/>
                <w:sz w:val="13"/>
                <w:szCs w:val="13"/>
                <w:color w:val="0E2A35"/>
              </w:rPr>
              <w:t>Stock Options</w:t>
            </w:r>
          </w:p>
        </w:tc>
        <w:tc>
          <w:tcPr>
            <w:tcW w:w="820" w:type="dxa"/>
            <w:vAlign w:val="bottom"/>
          </w:tcPr>
          <w:p>
            <w:pPr>
              <w:ind w:left="180"/>
              <w:spacing w:after="0"/>
              <w:rPr>
                <w:sz w:val="20"/>
                <w:szCs w:val="20"/>
                <w:color w:val="auto"/>
              </w:rPr>
            </w:pPr>
            <w:r>
              <w:rPr>
                <w:rFonts w:ascii="Arial" w:cs="Arial" w:eastAsia="Arial" w:hAnsi="Arial"/>
                <w:sz w:val="12"/>
                <w:szCs w:val="12"/>
                <w:color w:val="0E2A35"/>
              </w:rPr>
              <w:t>10/11/22</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jc w:val="right"/>
              <w:ind w:right="142"/>
              <w:spacing w:after="0"/>
              <w:rPr>
                <w:sz w:val="20"/>
                <w:szCs w:val="20"/>
                <w:color w:val="auto"/>
              </w:rPr>
            </w:pPr>
            <w:r>
              <w:rPr>
                <w:rFonts w:ascii="Arial" w:cs="Arial" w:eastAsia="Arial" w:hAnsi="Arial"/>
                <w:sz w:val="12"/>
                <w:szCs w:val="12"/>
                <w:color w:val="0E2A35"/>
              </w:rPr>
              <w:t>6,677</w:t>
            </w:r>
          </w:p>
        </w:tc>
        <w:tc>
          <w:tcPr>
            <w:tcW w:w="640" w:type="dxa"/>
            <w:vAlign w:val="bottom"/>
          </w:tcPr>
          <w:p>
            <w:pPr>
              <w:jc w:val="center"/>
              <w:spacing w:after="0"/>
              <w:rPr>
                <w:sz w:val="20"/>
                <w:szCs w:val="20"/>
                <w:color w:val="auto"/>
              </w:rPr>
            </w:pPr>
            <w:r>
              <w:rPr>
                <w:rFonts w:ascii="Arial" w:cs="Arial" w:eastAsia="Arial" w:hAnsi="Arial"/>
                <w:sz w:val="12"/>
                <w:szCs w:val="12"/>
                <w:color w:val="0E2A35"/>
                <w:w w:val="99"/>
              </w:rPr>
              <w:t>56.09</w:t>
            </w: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 159,847</w:t>
            </w: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E2A35"/>
              </w:rPr>
              <w:t>RSU Award</w:t>
            </w:r>
          </w:p>
        </w:tc>
        <w:tc>
          <w:tcPr>
            <w:tcW w:w="820" w:type="dxa"/>
            <w:vAlign w:val="bottom"/>
          </w:tcPr>
          <w:p>
            <w:pPr>
              <w:ind w:left="180"/>
              <w:spacing w:after="0"/>
              <w:rPr>
                <w:sz w:val="20"/>
                <w:szCs w:val="20"/>
                <w:color w:val="auto"/>
              </w:rPr>
            </w:pPr>
            <w:r>
              <w:rPr>
                <w:rFonts w:ascii="Arial" w:cs="Arial" w:eastAsia="Arial" w:hAnsi="Arial"/>
                <w:sz w:val="12"/>
                <w:szCs w:val="12"/>
                <w:color w:val="0E2A35"/>
              </w:rPr>
              <w:t>10/11/22</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jc w:val="right"/>
              <w:ind w:right="122"/>
              <w:spacing w:after="0"/>
              <w:rPr>
                <w:sz w:val="20"/>
                <w:szCs w:val="20"/>
                <w:color w:val="auto"/>
              </w:rPr>
            </w:pPr>
            <w:r>
              <w:rPr>
                <w:rFonts w:ascii="Arial" w:cs="Arial" w:eastAsia="Arial" w:hAnsi="Arial"/>
                <w:sz w:val="12"/>
                <w:szCs w:val="12"/>
                <w:color w:val="0E2A35"/>
              </w:rPr>
              <w:t>6,649</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372,942</w:t>
            </w: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E2A35"/>
              </w:rPr>
              <w:t>2023 OICP</w:t>
            </w:r>
          </w:p>
        </w:tc>
        <w:tc>
          <w:tcPr>
            <w:tcW w:w="82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0E2A35"/>
                <w:w w:val="96"/>
              </w:rPr>
              <w:t>133,200</w:t>
            </w:r>
          </w:p>
        </w:tc>
        <w:tc>
          <w:tcPr>
            <w:tcW w:w="640" w:type="dxa"/>
            <w:vAlign w:val="bottom"/>
          </w:tcPr>
          <w:p>
            <w:pPr>
              <w:jc w:val="right"/>
              <w:ind w:right="2"/>
              <w:spacing w:after="0"/>
              <w:rPr>
                <w:sz w:val="20"/>
                <w:szCs w:val="20"/>
                <w:color w:val="auto"/>
              </w:rPr>
            </w:pPr>
            <w:r>
              <w:rPr>
                <w:rFonts w:ascii="Arial" w:cs="Arial" w:eastAsia="Arial" w:hAnsi="Arial"/>
                <w:sz w:val="12"/>
                <w:szCs w:val="12"/>
                <w:color w:val="0E2A35"/>
              </w:rPr>
              <w:t>532,800</w:t>
            </w:r>
          </w:p>
        </w:tc>
        <w:tc>
          <w:tcPr>
            <w:tcW w:w="680" w:type="dxa"/>
            <w:vAlign w:val="bottom"/>
          </w:tcPr>
          <w:p>
            <w:pPr>
              <w:jc w:val="right"/>
              <w:ind w:right="42"/>
              <w:spacing w:after="0"/>
              <w:rPr>
                <w:sz w:val="20"/>
                <w:szCs w:val="20"/>
                <w:color w:val="auto"/>
              </w:rPr>
            </w:pPr>
            <w:r>
              <w:rPr>
                <w:rFonts w:ascii="Arial" w:cs="Arial" w:eastAsia="Arial" w:hAnsi="Arial"/>
                <w:sz w:val="12"/>
                <w:szCs w:val="12"/>
                <w:color w:val="0E2A35"/>
              </w:rPr>
              <w:t>1,065,600</w:t>
            </w: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420" w:type="dxa"/>
            <w:vAlign w:val="bottom"/>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420" w:type="dxa"/>
            <w:vAlign w:val="bottom"/>
          </w:tcPr>
          <w:p>
            <w:pPr>
              <w:spacing w:after="0"/>
              <w:rPr>
                <w:sz w:val="21"/>
                <w:szCs w:val="21"/>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0E2A35"/>
              </w:rPr>
              <w:t>2023-2025 LTIP</w:t>
            </w:r>
          </w:p>
        </w:tc>
        <w:tc>
          <w:tcPr>
            <w:tcW w:w="820" w:type="dxa"/>
            <w:vAlign w:val="bottom"/>
          </w:tcPr>
          <w:p>
            <w:pPr>
              <w:ind w:left="180"/>
              <w:spacing w:after="0"/>
              <w:rPr>
                <w:sz w:val="20"/>
                <w:szCs w:val="20"/>
                <w:color w:val="auto"/>
              </w:rPr>
            </w:pPr>
            <w:r>
              <w:rPr>
                <w:rFonts w:ascii="Arial" w:cs="Arial" w:eastAsia="Arial" w:hAnsi="Arial"/>
                <w:sz w:val="12"/>
                <w:szCs w:val="12"/>
                <w:color w:val="0E2A35"/>
              </w:rPr>
              <w:t>10/11/22</w:t>
            </w:r>
          </w:p>
        </w:tc>
        <w:tc>
          <w:tcPr>
            <w:tcW w:w="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jc w:val="right"/>
              <w:ind w:right="82"/>
              <w:spacing w:after="0"/>
              <w:rPr>
                <w:sz w:val="20"/>
                <w:szCs w:val="20"/>
                <w:color w:val="auto"/>
              </w:rPr>
            </w:pPr>
            <w:r>
              <w:rPr>
                <w:rFonts w:ascii="Arial" w:cs="Arial" w:eastAsia="Arial" w:hAnsi="Arial"/>
                <w:sz w:val="12"/>
                <w:szCs w:val="12"/>
                <w:color w:val="0E2A35"/>
              </w:rPr>
              <w:t>2,375</w:t>
            </w:r>
          </w:p>
        </w:tc>
        <w:tc>
          <w:tcPr>
            <w:tcW w:w="500" w:type="dxa"/>
            <w:vAlign w:val="bottom"/>
          </w:tcPr>
          <w:p>
            <w:pPr>
              <w:jc w:val="right"/>
              <w:ind w:right="22"/>
              <w:spacing w:after="0"/>
              <w:rPr>
                <w:sz w:val="20"/>
                <w:szCs w:val="20"/>
                <w:color w:val="auto"/>
              </w:rPr>
            </w:pPr>
            <w:r>
              <w:rPr>
                <w:rFonts w:ascii="Arial" w:cs="Arial" w:eastAsia="Arial" w:hAnsi="Arial"/>
                <w:sz w:val="12"/>
                <w:szCs w:val="12"/>
                <w:color w:val="0E2A35"/>
              </w:rPr>
              <w:t>9,499</w:t>
            </w:r>
          </w:p>
        </w:tc>
        <w:tc>
          <w:tcPr>
            <w:tcW w:w="720" w:type="dxa"/>
            <w:vAlign w:val="bottom"/>
          </w:tcPr>
          <w:p>
            <w:pPr>
              <w:jc w:val="center"/>
              <w:spacing w:after="0"/>
              <w:rPr>
                <w:sz w:val="20"/>
                <w:szCs w:val="20"/>
                <w:color w:val="auto"/>
              </w:rPr>
            </w:pPr>
            <w:r>
              <w:rPr>
                <w:rFonts w:ascii="Arial" w:cs="Arial" w:eastAsia="Arial" w:hAnsi="Arial"/>
                <w:sz w:val="12"/>
                <w:szCs w:val="12"/>
                <w:color w:val="0E2A35"/>
                <w:w w:val="97"/>
              </w:rPr>
              <w:t>18,998</w:t>
            </w: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532,799</w:t>
            </w:r>
          </w:p>
        </w:tc>
        <w:tc>
          <w:tcPr>
            <w:tcW w:w="0" w:type="dxa"/>
            <w:vAlign w:val="bottom"/>
          </w:tcPr>
          <w:p>
            <w:pPr>
              <w:spacing w:after="0"/>
              <w:rPr>
                <w:sz w:val="1"/>
                <w:szCs w:val="1"/>
                <w:color w:val="auto"/>
              </w:rPr>
            </w:pPr>
          </w:p>
        </w:tc>
      </w:tr>
      <w:tr>
        <w:trPr>
          <w:trHeight w:val="97"/>
        </w:trPr>
        <w:tc>
          <w:tcPr>
            <w:tcW w:w="142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8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500" w:type="dxa"/>
            <w:vAlign w:val="bottom"/>
            <w:tcBorders>
              <w:bottom w:val="single" w:sz="8" w:color="0E2A35"/>
            </w:tcBorders>
          </w:tcPr>
          <w:p>
            <w:pPr>
              <w:spacing w:after="0"/>
              <w:rPr>
                <w:sz w:val="8"/>
                <w:szCs w:val="8"/>
                <w:color w:val="auto"/>
              </w:rPr>
            </w:pPr>
          </w:p>
        </w:tc>
        <w:tc>
          <w:tcPr>
            <w:tcW w:w="720" w:type="dxa"/>
            <w:vAlign w:val="bottom"/>
            <w:tcBorders>
              <w:bottom w:val="single" w:sz="8" w:color="0E2A35"/>
            </w:tcBorders>
          </w:tcPr>
          <w:p>
            <w:pPr>
              <w:spacing w:after="0"/>
              <w:rPr>
                <w:sz w:val="8"/>
                <w:szCs w:val="8"/>
                <w:color w:val="auto"/>
              </w:rPr>
            </w:pPr>
          </w:p>
        </w:tc>
        <w:tc>
          <w:tcPr>
            <w:tcW w:w="680" w:type="dxa"/>
            <w:vAlign w:val="bottom"/>
            <w:tcBorders>
              <w:bottom w:val="single" w:sz="8" w:color="0E2A35"/>
            </w:tcBorders>
          </w:tcPr>
          <w:p>
            <w:pPr>
              <w:spacing w:after="0"/>
              <w:rPr>
                <w:sz w:val="8"/>
                <w:szCs w:val="8"/>
                <w:color w:val="auto"/>
              </w:rPr>
            </w:pPr>
          </w:p>
        </w:tc>
        <w:tc>
          <w:tcPr>
            <w:tcW w:w="760" w:type="dxa"/>
            <w:vAlign w:val="bottom"/>
            <w:tcBorders>
              <w:bottom w:val="single" w:sz="8" w:color="0E2A35"/>
            </w:tcBorders>
          </w:tcPr>
          <w:p>
            <w:pPr>
              <w:spacing w:after="0"/>
              <w:rPr>
                <w:sz w:val="8"/>
                <w:szCs w:val="8"/>
                <w:color w:val="auto"/>
              </w:rPr>
            </w:pPr>
          </w:p>
        </w:tc>
        <w:tc>
          <w:tcPr>
            <w:tcW w:w="640" w:type="dxa"/>
            <w:vAlign w:val="bottom"/>
            <w:tcBorders>
              <w:bottom w:val="single" w:sz="8" w:color="0E2A35"/>
            </w:tcBorders>
          </w:tcPr>
          <w:p>
            <w:pPr>
              <w:spacing w:after="0"/>
              <w:rPr>
                <w:sz w:val="8"/>
                <w:szCs w:val="8"/>
                <w:color w:val="auto"/>
              </w:rPr>
            </w:pPr>
          </w:p>
        </w:tc>
        <w:tc>
          <w:tcPr>
            <w:tcW w:w="78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1420" w:type="dxa"/>
            <w:vAlign w:val="bottom"/>
          </w:tcPr>
          <w:p>
            <w:pPr>
              <w:ind w:left="40"/>
              <w:spacing w:after="0"/>
              <w:rPr>
                <w:sz w:val="20"/>
                <w:szCs w:val="20"/>
                <w:color w:val="auto"/>
              </w:rPr>
            </w:pPr>
            <w:r>
              <w:rPr>
                <w:rFonts w:ascii="Arial" w:cs="Arial" w:eastAsia="Arial" w:hAnsi="Arial"/>
                <w:sz w:val="12"/>
                <w:szCs w:val="12"/>
                <w:color w:val="0E2A35"/>
              </w:rPr>
              <w:t>Donald J. Clark</w:t>
            </w:r>
            <w:r>
              <w:rPr>
                <w:rFonts w:ascii="Arial" w:cs="Arial" w:eastAsia="Arial" w:hAnsi="Arial"/>
                <w:sz w:val="19"/>
                <w:szCs w:val="19"/>
                <w:color w:val="0E2A35"/>
                <w:vertAlign w:val="superscript"/>
              </w:rPr>
              <w:t>(6)</w:t>
            </w:r>
          </w:p>
        </w:tc>
        <w:tc>
          <w:tcPr>
            <w:tcW w:w="1120" w:type="dxa"/>
            <w:vAlign w:val="bottom"/>
          </w:tcPr>
          <w:p>
            <w:pPr>
              <w:ind w:left="40"/>
              <w:spacing w:after="0"/>
              <w:rPr>
                <w:sz w:val="20"/>
                <w:szCs w:val="20"/>
                <w:color w:val="auto"/>
              </w:rPr>
            </w:pPr>
            <w:r>
              <w:rPr>
                <w:rFonts w:ascii="Arial" w:cs="Arial" w:eastAsia="Arial" w:hAnsi="Arial"/>
                <w:sz w:val="13"/>
                <w:szCs w:val="13"/>
                <w:color w:val="0E2A35"/>
              </w:rPr>
              <w:t>RSU Award</w:t>
            </w:r>
          </w:p>
        </w:tc>
        <w:tc>
          <w:tcPr>
            <w:tcW w:w="820" w:type="dxa"/>
            <w:vAlign w:val="bottom"/>
          </w:tcPr>
          <w:p>
            <w:pPr>
              <w:ind w:left="180"/>
              <w:spacing w:after="0"/>
              <w:rPr>
                <w:sz w:val="20"/>
                <w:szCs w:val="20"/>
                <w:color w:val="auto"/>
              </w:rPr>
            </w:pPr>
            <w:r>
              <w:rPr>
                <w:rFonts w:ascii="Arial" w:cs="Arial" w:eastAsia="Arial" w:hAnsi="Arial"/>
                <w:sz w:val="12"/>
                <w:szCs w:val="12"/>
                <w:color w:val="0E2A35"/>
              </w:rPr>
              <w:t>10/10/23</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0E2A35"/>
                <w:w w:val="97"/>
              </w:rPr>
              <w:t>​15,591</w:t>
            </w: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jc w:val="right"/>
              <w:ind w:right="82"/>
              <w:spacing w:after="0"/>
              <w:rPr>
                <w:sz w:val="20"/>
                <w:szCs w:val="20"/>
                <w:color w:val="auto"/>
              </w:rPr>
            </w:pPr>
            <w:r>
              <w:rPr>
                <w:rFonts w:ascii="Arial" w:cs="Arial" w:eastAsia="Arial" w:hAnsi="Arial"/>
                <w:sz w:val="12"/>
                <w:szCs w:val="12"/>
                <w:color w:val="0E2A35"/>
              </w:rPr>
              <w:t>​ 914,899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64465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-4267200</wp:posOffset>
            </wp:positionV>
            <wp:extent cx="24688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9" w:lineRule="exact"/>
        <w:rPr>
          <w:sz w:val="20"/>
          <w:szCs w:val="20"/>
          <w:color w:val="auto"/>
        </w:rPr>
      </w:pPr>
    </w:p>
    <w:p>
      <w:pPr>
        <w:ind w:left="800" w:right="440" w:hanging="360"/>
        <w:spacing w:after="0" w:line="273" w:lineRule="auto"/>
        <w:tabs>
          <w:tab w:leader="none" w:pos="800" w:val="left"/>
        </w:tabs>
        <w:numPr>
          <w:ilvl w:val="0"/>
          <w:numId w:val="47"/>
        </w:numPr>
        <w:rPr>
          <w:rFonts w:ascii="Arial" w:cs="Arial" w:eastAsia="Arial" w:hAnsi="Arial"/>
          <w:sz w:val="12"/>
          <w:szCs w:val="12"/>
          <w:color w:val="0E2A35"/>
        </w:rPr>
      </w:pPr>
      <w:r>
        <w:rPr>
          <w:rFonts w:ascii="Arial" w:cs="Arial" w:eastAsia="Arial" w:hAnsi="Arial"/>
          <w:sz w:val="12"/>
          <w:szCs w:val="12"/>
          <w:color w:val="0E2A35"/>
        </w:rPr>
        <w:t>Fiscal 2023 OICP targets annual performance against goals approved by the committee. Awards under the fiscal 2023 OICP are payable in cash. The threshold, target and maximum amounts presented above represent amounts that could have been earned by our NEOs for fiscal 2023 under the fiscal 2023 OICP.</w:t>
      </w:r>
    </w:p>
    <w:p>
      <w:pPr>
        <w:spacing w:after="0" w:line="10" w:lineRule="exact"/>
        <w:rPr>
          <w:rFonts w:ascii="Arial" w:cs="Arial" w:eastAsia="Arial" w:hAnsi="Arial"/>
          <w:sz w:val="12"/>
          <w:szCs w:val="12"/>
          <w:color w:val="0E2A35"/>
        </w:rPr>
      </w:pPr>
    </w:p>
    <w:p>
      <w:pPr>
        <w:ind w:left="800" w:right="580" w:hanging="360"/>
        <w:spacing w:after="0" w:line="230" w:lineRule="auto"/>
        <w:tabs>
          <w:tab w:leader="none" w:pos="80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Fiscal 2023-2025 LTIP refers to our performance shares. For each of the NEOs except for Mr. Clark, the threshold, target and maximum amounts under the fiscal 2023-2025 LTIP represent potential performance share amounts that are measured over a three-year performance period from August 28, 2022 through August 30, 2025.</w:t>
      </w:r>
    </w:p>
    <w:p>
      <w:pPr>
        <w:spacing w:after="0" w:line="29" w:lineRule="exact"/>
        <w:rPr>
          <w:rFonts w:ascii="Arial" w:cs="Arial" w:eastAsia="Arial" w:hAnsi="Arial"/>
          <w:sz w:val="13"/>
          <w:szCs w:val="13"/>
          <w:color w:val="0E2A35"/>
        </w:rPr>
      </w:pPr>
    </w:p>
    <w:p>
      <w:pPr>
        <w:ind w:left="800" w:hanging="360"/>
        <w:spacing w:after="0"/>
        <w:tabs>
          <w:tab w:leader="none" w:pos="80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Consists of restricted stock units that vest one-third each year on the anniversary of the grant date.</w:t>
      </w:r>
    </w:p>
    <w:p>
      <w:pPr>
        <w:spacing w:after="0" w:line="39" w:lineRule="exact"/>
        <w:rPr>
          <w:rFonts w:ascii="Arial" w:cs="Arial" w:eastAsia="Arial" w:hAnsi="Arial"/>
          <w:sz w:val="13"/>
          <w:szCs w:val="13"/>
          <w:color w:val="0E2A35"/>
        </w:rPr>
      </w:pPr>
    </w:p>
    <w:p>
      <w:pPr>
        <w:jc w:val="both"/>
        <w:ind w:left="800" w:right="740" w:hanging="360"/>
        <w:spacing w:after="0" w:line="230" w:lineRule="auto"/>
        <w:tabs>
          <w:tab w:leader="none" w:pos="80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The grant date fair value per share of the restricted stock was $56.09. The Black-Scholes grant date fair value per option award was $ 23.94. The value for Mr. Clark reflects the portion of Mr. Clark’s fiscal 2023 Grand Design MIP payout that was settled in restricted stock units on October 10, 2023 based on the closing stock price of $58.68 per share on such date.</w:t>
      </w:r>
    </w:p>
    <w:p>
      <w:pPr>
        <w:spacing w:after="0" w:line="29" w:lineRule="exact"/>
        <w:rPr>
          <w:rFonts w:ascii="Arial" w:cs="Arial" w:eastAsia="Arial" w:hAnsi="Arial"/>
          <w:sz w:val="13"/>
          <w:szCs w:val="13"/>
          <w:color w:val="0E2A35"/>
        </w:rPr>
      </w:pPr>
    </w:p>
    <w:p>
      <w:pPr>
        <w:ind w:left="800" w:right="620" w:hanging="360"/>
        <w:spacing w:after="0" w:line="236" w:lineRule="auto"/>
        <w:tabs>
          <w:tab w:leader="none" w:pos="80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The committee approved the fiscal 2023 OICP and fiscal 2023-2025 LTIP performance share units on October 11, 2022, effective as of the beginning of fiscal 2023.</w:t>
      </w:r>
    </w:p>
    <w:p>
      <w:pPr>
        <w:spacing w:after="0" w:line="29" w:lineRule="exact"/>
        <w:rPr>
          <w:rFonts w:ascii="Arial" w:cs="Arial" w:eastAsia="Arial" w:hAnsi="Arial"/>
          <w:sz w:val="13"/>
          <w:szCs w:val="13"/>
          <w:color w:val="0E2A35"/>
        </w:rPr>
      </w:pPr>
    </w:p>
    <w:p>
      <w:pPr>
        <w:jc w:val="both"/>
        <w:ind w:left="800" w:right="460" w:hanging="360"/>
        <w:spacing w:after="0" w:line="230" w:lineRule="auto"/>
        <w:tabs>
          <w:tab w:leader="none" w:pos="800" w:val="left"/>
        </w:tabs>
        <w:numPr>
          <w:ilvl w:val="0"/>
          <w:numId w:val="47"/>
        </w:numPr>
        <w:rPr>
          <w:rFonts w:ascii="Arial" w:cs="Arial" w:eastAsia="Arial" w:hAnsi="Arial"/>
          <w:sz w:val="13"/>
          <w:szCs w:val="13"/>
          <w:color w:val="0E2A35"/>
        </w:rPr>
      </w:pPr>
      <w:r>
        <w:rPr>
          <w:rFonts w:ascii="Arial" w:cs="Arial" w:eastAsia="Arial" w:hAnsi="Arial"/>
          <w:sz w:val="13"/>
          <w:szCs w:val="13"/>
          <w:color w:val="0E2A35"/>
        </w:rPr>
        <w:t>Mr. Clark is not eligible to participate in the OICP or LTIP; however he remains eligible to participate in the Grand Design MIP. The restricted stock units reported under All Other Stock Awards were issued in October 2023 in respect of the 15% of Mr. Clark’ s total fiscal 2023 Grand Design MIP that was settled in restricted stock units.</w:t>
      </w:r>
    </w:p>
    <w:p>
      <w:pPr>
        <w:spacing w:after="0" w:line="291" w:lineRule="exact"/>
        <w:rPr>
          <w:sz w:val="20"/>
          <w:szCs w:val="20"/>
          <w:color w:val="auto"/>
        </w:rPr>
      </w:pPr>
    </w:p>
    <w:p>
      <w:pPr>
        <w:ind w:left="7000"/>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201930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-80645</wp:posOffset>
            </wp:positionV>
            <wp:extent cx="1465580" cy="939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10160"/>
          </w:cols>
          <w:pgMar w:left="860" w:top="265" w:right="87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ind w:right="160"/>
        <w:spacing w:after="0" w:line="276" w:lineRule="auto"/>
        <w:rPr>
          <w:sz w:val="20"/>
          <w:szCs w:val="20"/>
          <w:color w:val="auto"/>
        </w:rPr>
      </w:pPr>
      <w:r>
        <w:rPr>
          <w:rFonts w:ascii="Arial" w:cs="Arial" w:eastAsia="Arial" w:hAnsi="Arial"/>
          <w:sz w:val="22"/>
          <w:szCs w:val="22"/>
          <w:b w:val="1"/>
          <w:bCs w:val="1"/>
          <w:color w:val="C7D265"/>
        </w:rPr>
        <w:t>Narrative Disclosure to Summary Compensation Table and Grants of Plan-Based Awards Table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Executive Employment Arrangements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6"/>
          <w:szCs w:val="16"/>
          <w:color w:val="0E2A35"/>
        </w:rPr>
        <w:t>None of the current NEOs has an employment agreement except for Mr. Happe and Mr. Clark, as previously discussed. However, all NEOs are party to a CIC Agreement that provides the executive with two-year (or three-year, in the case of Mr. Happe, or capped at $3,000,000 in the case of Mr. Clark) severance benefits in the event he or she ceased to be employed by the Company within two years of a change in control, as defined in the CIC Agreement. Discussion of the payouts provided for under various termination situations is set forth in the section “Potential Payments upon Termination or Change in Control” below.</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Base Salary</w:t>
      </w:r>
    </w:p>
    <w:p>
      <w:pPr>
        <w:spacing w:after="0" w:line="189" w:lineRule="exact"/>
        <w:rPr>
          <w:sz w:val="20"/>
          <w:szCs w:val="20"/>
          <w:color w:val="auto"/>
        </w:rPr>
      </w:pPr>
    </w:p>
    <w:p>
      <w:pPr>
        <w:ind w:right="440"/>
        <w:spacing w:after="0" w:line="276" w:lineRule="auto"/>
        <w:rPr>
          <w:sz w:val="20"/>
          <w:szCs w:val="20"/>
          <w:color w:val="auto"/>
        </w:rPr>
      </w:pPr>
      <w:r>
        <w:rPr>
          <w:rFonts w:ascii="Arial" w:cs="Arial" w:eastAsia="Arial" w:hAnsi="Arial"/>
          <w:sz w:val="16"/>
          <w:szCs w:val="16"/>
          <w:color w:val="0E2A35"/>
        </w:rPr>
        <w:t>In general, the committee annually reviews and adjusts base pay, in keeping with the overall objectives, pay philosophy and relative position with comparable companies, as discussed in more detail in the Compensation Discussion and Analysis.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Stock Awards</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0E2A35"/>
        </w:rPr>
        <w:t>Grants of restricted stock units and stock options, the ASC 718 grant date fair value of which is disclosed in the Summary Compensation Table, begin vesting annually in increments of one-third beginning one year from the date of grant for restricted stock unit and stock option grants. Restricted stock unit grants and stock option awards are subject to earlier vesting in the event of a change in control or certain termination of employment scenarios, as set forth in the section “Potential Payments upon Termination or Change in Control” below.</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Annual Incentive Plan</w:t>
      </w:r>
    </w:p>
    <w:p>
      <w:pPr>
        <w:spacing w:after="0" w:line="202"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0E2A35"/>
        </w:rPr>
        <w:t>In addition to base salary, each NEO (other than Mr. Clark, who is eligible for a bonus as described in the Compensation Discussion and Analysis) is eligible to receive, subject to the Company's achievement of certain financial performance metrics and the NEO's achievement of certain individual goals, a target annual incentive cash award equal to a percentage of his or her annual base salary, which is discussed in the Compensation Discussion and Analysis.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Long-Term Incentive Plans/Performance Share Units</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0E2A35"/>
        </w:rPr>
        <w:t>This element of compensation, including payouts made in fiscal 2021, 2022, and 2023, is described in the Compensation Discussion and Analysis. Additionally, see the Compensation Discussion and Analysis for further information regarding the terms of awards reported in the Summary Compensation Table and the Grants of Plan-Based Awards Table and for discussions regarding incentive compensation awards and allocations between short-term and long-term compensation. See also “Additional Compensation Policies” above for information regarding officer stock ownership guidelines.</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55" w:name="page56"/>
    <w:bookmarkEnd w:id="55"/>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C7D265"/>
        </w:rPr>
        <w:t>Outstanding Equity Awards at Fiscal Year-End Table</w:t>
      </w:r>
    </w:p>
    <w:p>
      <w:pPr>
        <w:spacing w:after="0" w:line="161" w:lineRule="exact"/>
        <w:rPr>
          <w:sz w:val="20"/>
          <w:szCs w:val="20"/>
          <w:color w:val="auto"/>
        </w:rPr>
      </w:pPr>
    </w:p>
    <w:p>
      <w:pPr>
        <w:ind w:left="440" w:right="840"/>
        <w:spacing w:after="0" w:line="276" w:lineRule="auto"/>
        <w:rPr>
          <w:sz w:val="20"/>
          <w:szCs w:val="20"/>
          <w:color w:val="auto"/>
        </w:rPr>
      </w:pPr>
      <w:r>
        <w:rPr>
          <w:rFonts w:ascii="Arial" w:cs="Arial" w:eastAsia="Arial" w:hAnsi="Arial"/>
          <w:sz w:val="16"/>
          <w:szCs w:val="16"/>
          <w:color w:val="0E2A35"/>
        </w:rPr>
        <w:t>The following table provides information regarding the outstanding equity awards held by each of the NEOs as of August 26,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580" w:type="dxa"/>
            <w:vAlign w:val="bottom"/>
            <w:shd w:val="clear" w:color="auto" w:fill="0E2A35"/>
          </w:tcPr>
          <w:p>
            <w:pPr>
              <w:spacing w:after="0"/>
              <w:rPr>
                <w:sz w:val="22"/>
                <w:szCs w:val="22"/>
                <w:color w:val="auto"/>
              </w:rPr>
            </w:pPr>
          </w:p>
        </w:tc>
        <w:tc>
          <w:tcPr>
            <w:tcW w:w="100" w:type="dxa"/>
            <w:vAlign w:val="bottom"/>
            <w:shd w:val="clear" w:color="auto" w:fill="0E2A35"/>
          </w:tcPr>
          <w:p>
            <w:pPr>
              <w:spacing w:after="0"/>
              <w:rPr>
                <w:sz w:val="22"/>
                <w:szCs w:val="22"/>
                <w:color w:val="auto"/>
              </w:rPr>
            </w:pPr>
          </w:p>
        </w:tc>
        <w:tc>
          <w:tcPr>
            <w:tcW w:w="880" w:type="dxa"/>
            <w:vAlign w:val="bottom"/>
            <w:shd w:val="clear" w:color="auto" w:fill="0E2A35"/>
          </w:tcPr>
          <w:p>
            <w:pPr>
              <w:spacing w:after="0"/>
              <w:rPr>
                <w:sz w:val="22"/>
                <w:szCs w:val="22"/>
                <w:color w:val="auto"/>
              </w:rPr>
            </w:pPr>
          </w:p>
        </w:tc>
        <w:tc>
          <w:tcPr>
            <w:tcW w:w="1840" w:type="dxa"/>
            <w:vAlign w:val="bottom"/>
            <w:gridSpan w:val="3"/>
            <w:shd w:val="clear" w:color="auto" w:fill="0E2A35"/>
          </w:tcPr>
          <w:p>
            <w:pPr>
              <w:jc w:val="right"/>
              <w:ind w:right="518"/>
              <w:spacing w:after="0"/>
              <w:rPr>
                <w:sz w:val="20"/>
                <w:szCs w:val="20"/>
                <w:color w:val="auto"/>
              </w:rPr>
            </w:pPr>
            <w:r>
              <w:rPr>
                <w:rFonts w:ascii="Arial" w:cs="Arial" w:eastAsia="Arial" w:hAnsi="Arial"/>
                <w:sz w:val="12"/>
                <w:szCs w:val="12"/>
                <w:b w:val="1"/>
                <w:bCs w:val="1"/>
                <w:color w:val="FFFFFF"/>
              </w:rPr>
              <w:t>Option Awards</w:t>
            </w:r>
          </w:p>
        </w:tc>
        <w:tc>
          <w:tcPr>
            <w:tcW w:w="740" w:type="dxa"/>
            <w:vAlign w:val="bottom"/>
            <w:shd w:val="clear" w:color="auto" w:fill="0E2A35"/>
          </w:tcPr>
          <w:p>
            <w:pPr>
              <w:spacing w:after="0"/>
              <w:rPr>
                <w:sz w:val="22"/>
                <w:szCs w:val="22"/>
                <w:color w:val="auto"/>
              </w:rPr>
            </w:pPr>
          </w:p>
        </w:tc>
        <w:tc>
          <w:tcPr>
            <w:tcW w:w="220" w:type="dxa"/>
            <w:vAlign w:val="bottom"/>
            <w:shd w:val="clear" w:color="auto" w:fill="0E2A35"/>
          </w:tcPr>
          <w:p>
            <w:pPr>
              <w:spacing w:after="0"/>
              <w:rPr>
                <w:sz w:val="22"/>
                <w:szCs w:val="22"/>
                <w:color w:val="auto"/>
              </w:rPr>
            </w:pPr>
          </w:p>
        </w:tc>
        <w:tc>
          <w:tcPr>
            <w:tcW w:w="2000" w:type="dxa"/>
            <w:vAlign w:val="bottom"/>
            <w:gridSpan w:val="3"/>
            <w:shd w:val="clear" w:color="auto" w:fill="0E2A35"/>
          </w:tcPr>
          <w:p>
            <w:pPr>
              <w:jc w:val="right"/>
              <w:ind w:right="559"/>
              <w:spacing w:after="0"/>
              <w:rPr>
                <w:sz w:val="20"/>
                <w:szCs w:val="20"/>
                <w:color w:val="auto"/>
              </w:rPr>
            </w:pPr>
            <w:r>
              <w:rPr>
                <w:rFonts w:ascii="Arial" w:cs="Arial" w:eastAsia="Arial" w:hAnsi="Arial"/>
                <w:sz w:val="12"/>
                <w:szCs w:val="12"/>
                <w:b w:val="1"/>
                <w:bCs w:val="1"/>
                <w:color w:val="FFFFFF"/>
              </w:rPr>
              <w:t>Stock Awards</w:t>
            </w:r>
          </w:p>
        </w:tc>
        <w:tc>
          <w:tcPr>
            <w:tcW w:w="220" w:type="dxa"/>
            <w:vAlign w:val="bottom"/>
            <w:shd w:val="clear" w:color="auto" w:fill="0E2A35"/>
          </w:tcPr>
          <w:p>
            <w:pPr>
              <w:spacing w:after="0"/>
              <w:rPr>
                <w:sz w:val="22"/>
                <w:szCs w:val="22"/>
                <w:color w:val="auto"/>
              </w:rPr>
            </w:pPr>
          </w:p>
        </w:tc>
        <w:tc>
          <w:tcPr>
            <w:tcW w:w="2580" w:type="dxa"/>
            <w:vAlign w:val="bottom"/>
            <w:gridSpan w:val="2"/>
            <w:shd w:val="clear" w:color="auto" w:fill="0E2A35"/>
          </w:tcPr>
          <w:p>
            <w:pPr>
              <w:jc w:val="right"/>
              <w:ind w:right="479"/>
              <w:spacing w:after="0"/>
              <w:rPr>
                <w:sz w:val="20"/>
                <w:szCs w:val="20"/>
                <w:color w:val="auto"/>
              </w:rPr>
            </w:pPr>
            <w:r>
              <w:rPr>
                <w:rFonts w:ascii="Arial" w:cs="Arial" w:eastAsia="Arial" w:hAnsi="Arial"/>
                <w:sz w:val="12"/>
                <w:szCs w:val="12"/>
                <w:b w:val="1"/>
                <w:bCs w:val="1"/>
                <w:color w:val="FFFFFF"/>
              </w:rPr>
              <w:t>LTIP / Performance Shares</w:t>
            </w:r>
          </w:p>
        </w:tc>
        <w:tc>
          <w:tcPr>
            <w:tcW w:w="0" w:type="dxa"/>
            <w:vAlign w:val="bottom"/>
          </w:tcPr>
          <w:p>
            <w:pPr>
              <w:spacing w:after="0"/>
              <w:rPr>
                <w:sz w:val="1"/>
                <w:szCs w:val="1"/>
                <w:color w:val="auto"/>
              </w:rPr>
            </w:pPr>
          </w:p>
        </w:tc>
      </w:tr>
      <w:tr>
        <w:trPr>
          <w:trHeight w:val="203"/>
        </w:trPr>
        <w:tc>
          <w:tcPr>
            <w:tcW w:w="1580" w:type="dxa"/>
            <w:vAlign w:val="bottom"/>
            <w:shd w:val="clear" w:color="auto" w:fill="0E2A35"/>
          </w:tcPr>
          <w:p>
            <w:pPr>
              <w:spacing w:after="0"/>
              <w:rPr>
                <w:sz w:val="17"/>
                <w:szCs w:val="17"/>
                <w:color w:val="auto"/>
              </w:rPr>
            </w:pPr>
          </w:p>
        </w:tc>
        <w:tc>
          <w:tcPr>
            <w:tcW w:w="100" w:type="dxa"/>
            <w:vAlign w:val="bottom"/>
            <w:shd w:val="clear" w:color="auto" w:fill="0E2A35"/>
          </w:tcPr>
          <w:p>
            <w:pPr>
              <w:spacing w:after="0"/>
              <w:rPr>
                <w:sz w:val="17"/>
                <w:szCs w:val="17"/>
                <w:color w:val="auto"/>
              </w:rPr>
            </w:pPr>
          </w:p>
        </w:tc>
        <w:tc>
          <w:tcPr>
            <w:tcW w:w="880" w:type="dxa"/>
            <w:vAlign w:val="bottom"/>
            <w:shd w:val="clear" w:color="auto" w:fill="0E2A35"/>
          </w:tcPr>
          <w:p>
            <w:pPr>
              <w:spacing w:after="0"/>
              <w:rPr>
                <w:sz w:val="17"/>
                <w:szCs w:val="17"/>
                <w:color w:val="auto"/>
              </w:rPr>
            </w:pPr>
          </w:p>
        </w:tc>
        <w:tc>
          <w:tcPr>
            <w:tcW w:w="740" w:type="dxa"/>
            <w:vAlign w:val="bottom"/>
            <w:shd w:val="clear" w:color="auto" w:fill="0E2A35"/>
          </w:tcPr>
          <w:p>
            <w:pPr>
              <w:spacing w:after="0"/>
              <w:rPr>
                <w:sz w:val="17"/>
                <w:szCs w:val="17"/>
                <w:color w:val="auto"/>
              </w:rPr>
            </w:pPr>
          </w:p>
        </w:tc>
        <w:tc>
          <w:tcPr>
            <w:tcW w:w="340" w:type="dxa"/>
            <w:vAlign w:val="bottom"/>
            <w:shd w:val="clear" w:color="auto" w:fill="0E2A35"/>
          </w:tcPr>
          <w:p>
            <w:pPr>
              <w:spacing w:after="0"/>
              <w:rPr>
                <w:sz w:val="17"/>
                <w:szCs w:val="17"/>
                <w:color w:val="auto"/>
              </w:rPr>
            </w:pPr>
          </w:p>
        </w:tc>
        <w:tc>
          <w:tcPr>
            <w:tcW w:w="760" w:type="dxa"/>
            <w:vAlign w:val="bottom"/>
            <w:shd w:val="clear" w:color="auto" w:fill="0E2A35"/>
          </w:tcPr>
          <w:p>
            <w:pPr>
              <w:spacing w:after="0"/>
              <w:rPr>
                <w:sz w:val="17"/>
                <w:szCs w:val="17"/>
                <w:color w:val="auto"/>
              </w:rPr>
            </w:pPr>
          </w:p>
        </w:tc>
        <w:tc>
          <w:tcPr>
            <w:tcW w:w="740" w:type="dxa"/>
            <w:vAlign w:val="bottom"/>
            <w:shd w:val="clear" w:color="auto" w:fill="0E2A35"/>
          </w:tcPr>
          <w:p>
            <w:pPr>
              <w:spacing w:after="0"/>
              <w:rPr>
                <w:sz w:val="17"/>
                <w:szCs w:val="17"/>
                <w:color w:val="auto"/>
              </w:rPr>
            </w:pPr>
          </w:p>
        </w:tc>
        <w:tc>
          <w:tcPr>
            <w:tcW w:w="220" w:type="dxa"/>
            <w:vAlign w:val="bottom"/>
            <w:shd w:val="clear" w:color="auto" w:fill="0E2A35"/>
          </w:tcPr>
          <w:p>
            <w:pPr>
              <w:spacing w:after="0"/>
              <w:rPr>
                <w:sz w:val="17"/>
                <w:szCs w:val="17"/>
                <w:color w:val="auto"/>
              </w:rPr>
            </w:pPr>
          </w:p>
        </w:tc>
        <w:tc>
          <w:tcPr>
            <w:tcW w:w="620" w:type="dxa"/>
            <w:vAlign w:val="bottom"/>
            <w:shd w:val="clear" w:color="auto" w:fill="0E2A35"/>
          </w:tcPr>
          <w:p>
            <w:pPr>
              <w:spacing w:after="0"/>
              <w:rPr>
                <w:sz w:val="17"/>
                <w:szCs w:val="17"/>
                <w:color w:val="auto"/>
              </w:rPr>
            </w:pPr>
          </w:p>
        </w:tc>
        <w:tc>
          <w:tcPr>
            <w:tcW w:w="360" w:type="dxa"/>
            <w:vAlign w:val="bottom"/>
            <w:shd w:val="clear" w:color="auto" w:fill="0E2A35"/>
          </w:tcPr>
          <w:p>
            <w:pPr>
              <w:spacing w:after="0"/>
              <w:rPr>
                <w:sz w:val="17"/>
                <w:szCs w:val="17"/>
                <w:color w:val="auto"/>
              </w:rPr>
            </w:pPr>
          </w:p>
        </w:tc>
        <w:tc>
          <w:tcPr>
            <w:tcW w:w="1020" w:type="dxa"/>
            <w:vAlign w:val="bottom"/>
            <w:shd w:val="clear" w:color="auto" w:fill="0E2A35"/>
          </w:tcPr>
          <w:p>
            <w:pPr>
              <w:spacing w:after="0"/>
              <w:rPr>
                <w:sz w:val="17"/>
                <w:szCs w:val="17"/>
                <w:color w:val="auto"/>
              </w:rPr>
            </w:pPr>
          </w:p>
        </w:tc>
        <w:tc>
          <w:tcPr>
            <w:tcW w:w="220" w:type="dxa"/>
            <w:vAlign w:val="bottom"/>
            <w:shd w:val="clear" w:color="auto" w:fill="0E2A35"/>
          </w:tcPr>
          <w:p>
            <w:pPr>
              <w:spacing w:after="0"/>
              <w:rPr>
                <w:sz w:val="17"/>
                <w:szCs w:val="17"/>
                <w:color w:val="auto"/>
              </w:rPr>
            </w:pPr>
          </w:p>
        </w:tc>
        <w:tc>
          <w:tcPr>
            <w:tcW w:w="1240" w:type="dxa"/>
            <w:vAlign w:val="bottom"/>
            <w:vMerge w:val="restart"/>
            <w:shd w:val="clear" w:color="auto" w:fill="0E2A35"/>
          </w:tcPr>
          <w:p>
            <w:pPr>
              <w:jc w:val="center"/>
              <w:ind w:right="81"/>
              <w:spacing w:after="0"/>
              <w:rPr>
                <w:sz w:val="20"/>
                <w:szCs w:val="20"/>
                <w:color w:val="auto"/>
              </w:rPr>
            </w:pPr>
            <w:r>
              <w:rPr>
                <w:rFonts w:ascii="Arial" w:cs="Arial" w:eastAsia="Arial" w:hAnsi="Arial"/>
                <w:sz w:val="12"/>
                <w:szCs w:val="12"/>
                <w:b w:val="1"/>
                <w:bCs w:val="1"/>
                <w:color w:val="FFFFFF"/>
                <w:w w:val="97"/>
              </w:rPr>
              <w:t>Equity Incentive</w:t>
            </w:r>
          </w:p>
        </w:tc>
        <w:tc>
          <w:tcPr>
            <w:tcW w:w="1340" w:type="dxa"/>
            <w:vAlign w:val="bottom"/>
            <w:shd w:val="clear" w:color="auto" w:fill="0E2A35"/>
          </w:tcPr>
          <w:p>
            <w:pPr>
              <w:jc w:val="center"/>
              <w:ind w:left="19"/>
              <w:spacing w:after="0"/>
              <w:rPr>
                <w:sz w:val="20"/>
                <w:szCs w:val="20"/>
                <w:color w:val="auto"/>
              </w:rPr>
            </w:pPr>
            <w:r>
              <w:rPr>
                <w:rFonts w:ascii="Arial" w:cs="Arial" w:eastAsia="Arial" w:hAnsi="Arial"/>
                <w:sz w:val="12"/>
                <w:szCs w:val="12"/>
                <w:b w:val="1"/>
                <w:bCs w:val="1"/>
                <w:color w:val="FFFFFF"/>
                <w:w w:val="97"/>
              </w:rPr>
              <w:t>Equity Incentive</w:t>
            </w:r>
          </w:p>
        </w:tc>
        <w:tc>
          <w:tcPr>
            <w:tcW w:w="0" w:type="dxa"/>
            <w:vAlign w:val="bottom"/>
          </w:tcPr>
          <w:p>
            <w:pPr>
              <w:spacing w:after="0"/>
              <w:rPr>
                <w:sz w:val="1"/>
                <w:szCs w:val="1"/>
                <w:color w:val="auto"/>
              </w:rPr>
            </w:pPr>
          </w:p>
        </w:tc>
      </w:tr>
      <w:tr>
        <w:trPr>
          <w:trHeight w:val="41"/>
        </w:trPr>
        <w:tc>
          <w:tcPr>
            <w:tcW w:w="1580" w:type="dxa"/>
            <w:vAlign w:val="bottom"/>
            <w:shd w:val="clear" w:color="auto" w:fill="0E2A35"/>
          </w:tcPr>
          <w:p>
            <w:pPr>
              <w:spacing w:after="0"/>
              <w:rPr>
                <w:sz w:val="3"/>
                <w:szCs w:val="3"/>
                <w:color w:val="auto"/>
              </w:rPr>
            </w:pPr>
          </w:p>
        </w:tc>
        <w:tc>
          <w:tcPr>
            <w:tcW w:w="100" w:type="dxa"/>
            <w:vAlign w:val="bottom"/>
            <w:shd w:val="clear" w:color="auto" w:fill="0E2A35"/>
          </w:tcPr>
          <w:p>
            <w:pPr>
              <w:spacing w:after="0"/>
              <w:rPr>
                <w:sz w:val="3"/>
                <w:szCs w:val="3"/>
                <w:color w:val="auto"/>
              </w:rPr>
            </w:pPr>
          </w:p>
        </w:tc>
        <w:tc>
          <w:tcPr>
            <w:tcW w:w="880" w:type="dxa"/>
            <w:vAlign w:val="bottom"/>
            <w:shd w:val="clear" w:color="auto" w:fill="0E2A35"/>
          </w:tcPr>
          <w:p>
            <w:pPr>
              <w:spacing w:after="0"/>
              <w:rPr>
                <w:sz w:val="3"/>
                <w:szCs w:val="3"/>
                <w:color w:val="auto"/>
              </w:rPr>
            </w:pPr>
          </w:p>
        </w:tc>
        <w:tc>
          <w:tcPr>
            <w:tcW w:w="740" w:type="dxa"/>
            <w:vAlign w:val="bottom"/>
            <w:shd w:val="clear" w:color="auto" w:fill="0E2A35"/>
          </w:tcPr>
          <w:p>
            <w:pPr>
              <w:spacing w:after="0"/>
              <w:rPr>
                <w:sz w:val="3"/>
                <w:szCs w:val="3"/>
                <w:color w:val="auto"/>
              </w:rPr>
            </w:pPr>
          </w:p>
        </w:tc>
        <w:tc>
          <w:tcPr>
            <w:tcW w:w="340" w:type="dxa"/>
            <w:vAlign w:val="bottom"/>
            <w:shd w:val="clear" w:color="auto" w:fill="0E2A35"/>
          </w:tcPr>
          <w:p>
            <w:pPr>
              <w:spacing w:after="0"/>
              <w:rPr>
                <w:sz w:val="3"/>
                <w:szCs w:val="3"/>
                <w:color w:val="auto"/>
              </w:rPr>
            </w:pPr>
          </w:p>
        </w:tc>
        <w:tc>
          <w:tcPr>
            <w:tcW w:w="760" w:type="dxa"/>
            <w:vAlign w:val="bottom"/>
            <w:shd w:val="clear" w:color="auto" w:fill="0E2A35"/>
          </w:tcPr>
          <w:p>
            <w:pPr>
              <w:spacing w:after="0"/>
              <w:rPr>
                <w:sz w:val="3"/>
                <w:szCs w:val="3"/>
                <w:color w:val="auto"/>
              </w:rPr>
            </w:pPr>
          </w:p>
        </w:tc>
        <w:tc>
          <w:tcPr>
            <w:tcW w:w="740" w:type="dxa"/>
            <w:vAlign w:val="bottom"/>
            <w:shd w:val="clear" w:color="auto" w:fill="0E2A35"/>
          </w:tcPr>
          <w:p>
            <w:pPr>
              <w:spacing w:after="0"/>
              <w:rPr>
                <w:sz w:val="3"/>
                <w:szCs w:val="3"/>
                <w:color w:val="auto"/>
              </w:rPr>
            </w:pPr>
          </w:p>
        </w:tc>
        <w:tc>
          <w:tcPr>
            <w:tcW w:w="220" w:type="dxa"/>
            <w:vAlign w:val="bottom"/>
            <w:shd w:val="clear" w:color="auto" w:fill="0E2A35"/>
          </w:tcPr>
          <w:p>
            <w:pPr>
              <w:spacing w:after="0"/>
              <w:rPr>
                <w:sz w:val="3"/>
                <w:szCs w:val="3"/>
                <w:color w:val="auto"/>
              </w:rPr>
            </w:pPr>
          </w:p>
        </w:tc>
        <w:tc>
          <w:tcPr>
            <w:tcW w:w="620" w:type="dxa"/>
            <w:vAlign w:val="bottom"/>
            <w:shd w:val="clear" w:color="auto" w:fill="0E2A35"/>
          </w:tcPr>
          <w:p>
            <w:pPr>
              <w:spacing w:after="0"/>
              <w:rPr>
                <w:sz w:val="3"/>
                <w:szCs w:val="3"/>
                <w:color w:val="auto"/>
              </w:rPr>
            </w:pPr>
          </w:p>
        </w:tc>
        <w:tc>
          <w:tcPr>
            <w:tcW w:w="360" w:type="dxa"/>
            <w:vAlign w:val="bottom"/>
            <w:shd w:val="clear" w:color="auto" w:fill="0E2A35"/>
          </w:tcPr>
          <w:p>
            <w:pPr>
              <w:spacing w:after="0"/>
              <w:rPr>
                <w:sz w:val="3"/>
                <w:szCs w:val="3"/>
                <w:color w:val="auto"/>
              </w:rPr>
            </w:pPr>
          </w:p>
        </w:tc>
        <w:tc>
          <w:tcPr>
            <w:tcW w:w="1020" w:type="dxa"/>
            <w:vAlign w:val="bottom"/>
            <w:shd w:val="clear" w:color="auto" w:fill="0E2A35"/>
          </w:tcPr>
          <w:p>
            <w:pPr>
              <w:spacing w:after="0"/>
              <w:rPr>
                <w:sz w:val="3"/>
                <w:szCs w:val="3"/>
                <w:color w:val="auto"/>
              </w:rPr>
            </w:pPr>
          </w:p>
        </w:tc>
        <w:tc>
          <w:tcPr>
            <w:tcW w:w="220" w:type="dxa"/>
            <w:vAlign w:val="bottom"/>
            <w:shd w:val="clear" w:color="auto" w:fill="0E2A35"/>
          </w:tcPr>
          <w:p>
            <w:pPr>
              <w:spacing w:after="0"/>
              <w:rPr>
                <w:sz w:val="3"/>
                <w:szCs w:val="3"/>
                <w:color w:val="auto"/>
              </w:rPr>
            </w:pPr>
          </w:p>
        </w:tc>
        <w:tc>
          <w:tcPr>
            <w:tcW w:w="1240" w:type="dxa"/>
            <w:vAlign w:val="bottom"/>
            <w:vMerge w:val="continue"/>
            <w:shd w:val="clear" w:color="auto" w:fill="0E2A35"/>
          </w:tcPr>
          <w:p>
            <w:pPr>
              <w:spacing w:after="0"/>
              <w:rPr>
                <w:sz w:val="3"/>
                <w:szCs w:val="3"/>
                <w:color w:val="auto"/>
              </w:rPr>
            </w:pPr>
          </w:p>
        </w:tc>
        <w:tc>
          <w:tcPr>
            <w:tcW w:w="1340" w:type="dxa"/>
            <w:vAlign w:val="bottom"/>
            <w:vMerge w:val="restart"/>
            <w:shd w:val="clear" w:color="auto" w:fill="0E2A35"/>
          </w:tcPr>
          <w:p>
            <w:pPr>
              <w:jc w:val="center"/>
              <w:ind w:left="19"/>
              <w:spacing w:after="0" w:line="135" w:lineRule="exact"/>
              <w:rPr>
                <w:sz w:val="20"/>
                <w:szCs w:val="20"/>
                <w:color w:val="auto"/>
              </w:rPr>
            </w:pPr>
            <w:r>
              <w:rPr>
                <w:rFonts w:ascii="Arial" w:cs="Arial" w:eastAsia="Arial" w:hAnsi="Arial"/>
                <w:sz w:val="12"/>
                <w:szCs w:val="12"/>
                <w:b w:val="1"/>
                <w:bCs w:val="1"/>
                <w:color w:val="FFFFFF"/>
                <w:w w:val="97"/>
              </w:rPr>
              <w:t>Plan Awards:</w:t>
            </w:r>
          </w:p>
        </w:tc>
        <w:tc>
          <w:tcPr>
            <w:tcW w:w="0" w:type="dxa"/>
            <w:vAlign w:val="bottom"/>
          </w:tcPr>
          <w:p>
            <w:pPr>
              <w:spacing w:after="0"/>
              <w:rPr>
                <w:sz w:val="1"/>
                <w:szCs w:val="1"/>
                <w:color w:val="auto"/>
              </w:rPr>
            </w:pPr>
          </w:p>
        </w:tc>
      </w:tr>
      <w:tr>
        <w:trPr>
          <w:trHeight w:val="94"/>
        </w:trPr>
        <w:tc>
          <w:tcPr>
            <w:tcW w:w="1580" w:type="dxa"/>
            <w:vAlign w:val="bottom"/>
            <w:shd w:val="clear" w:color="auto" w:fill="0E2A35"/>
          </w:tcPr>
          <w:p>
            <w:pPr>
              <w:spacing w:after="0"/>
              <w:rPr>
                <w:sz w:val="8"/>
                <w:szCs w:val="8"/>
                <w:color w:val="auto"/>
              </w:rPr>
            </w:pPr>
          </w:p>
        </w:tc>
        <w:tc>
          <w:tcPr>
            <w:tcW w:w="100" w:type="dxa"/>
            <w:vAlign w:val="bottom"/>
            <w:shd w:val="clear" w:color="auto" w:fill="0E2A35"/>
          </w:tcPr>
          <w:p>
            <w:pPr>
              <w:spacing w:after="0"/>
              <w:rPr>
                <w:sz w:val="8"/>
                <w:szCs w:val="8"/>
                <w:color w:val="auto"/>
              </w:rPr>
            </w:pPr>
          </w:p>
        </w:tc>
        <w:tc>
          <w:tcPr>
            <w:tcW w:w="880" w:type="dxa"/>
            <w:vAlign w:val="bottom"/>
            <w:vMerge w:val="restart"/>
            <w:shd w:val="clear" w:color="auto" w:fill="0E2A35"/>
          </w:tcPr>
          <w:p>
            <w:pPr>
              <w:jc w:val="center"/>
              <w:ind w:right="79"/>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080" w:type="dxa"/>
            <w:vAlign w:val="bottom"/>
            <w:gridSpan w:val="2"/>
            <w:vMerge w:val="restart"/>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Number of</w:t>
            </w:r>
          </w:p>
        </w:tc>
        <w:tc>
          <w:tcPr>
            <w:tcW w:w="760" w:type="dxa"/>
            <w:vAlign w:val="bottom"/>
            <w:shd w:val="clear" w:color="auto" w:fill="0E2A35"/>
          </w:tcPr>
          <w:p>
            <w:pPr>
              <w:spacing w:after="0"/>
              <w:rPr>
                <w:sz w:val="8"/>
                <w:szCs w:val="8"/>
                <w:color w:val="auto"/>
              </w:rPr>
            </w:pPr>
          </w:p>
        </w:tc>
        <w:tc>
          <w:tcPr>
            <w:tcW w:w="74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620" w:type="dxa"/>
            <w:vAlign w:val="bottom"/>
            <w:shd w:val="clear" w:color="auto" w:fill="0E2A35"/>
          </w:tcPr>
          <w:p>
            <w:pPr>
              <w:spacing w:after="0"/>
              <w:rPr>
                <w:sz w:val="8"/>
                <w:szCs w:val="8"/>
                <w:color w:val="auto"/>
              </w:rPr>
            </w:pPr>
          </w:p>
        </w:tc>
        <w:tc>
          <w:tcPr>
            <w:tcW w:w="360" w:type="dxa"/>
            <w:vAlign w:val="bottom"/>
            <w:shd w:val="clear" w:color="auto" w:fill="0E2A35"/>
          </w:tcPr>
          <w:p>
            <w:pPr>
              <w:spacing w:after="0"/>
              <w:rPr>
                <w:sz w:val="8"/>
                <w:szCs w:val="8"/>
                <w:color w:val="auto"/>
              </w:rPr>
            </w:pPr>
          </w:p>
        </w:tc>
        <w:tc>
          <w:tcPr>
            <w:tcW w:w="102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240" w:type="dxa"/>
            <w:vAlign w:val="bottom"/>
            <w:vMerge w:val="restart"/>
            <w:shd w:val="clear" w:color="auto" w:fill="0E2A35"/>
          </w:tcPr>
          <w:p>
            <w:pPr>
              <w:jc w:val="center"/>
              <w:ind w:right="81"/>
              <w:spacing w:after="0" w:line="135" w:lineRule="exact"/>
              <w:rPr>
                <w:sz w:val="20"/>
                <w:szCs w:val="20"/>
                <w:color w:val="auto"/>
              </w:rPr>
            </w:pPr>
            <w:r>
              <w:rPr>
                <w:rFonts w:ascii="Arial" w:cs="Arial" w:eastAsia="Arial" w:hAnsi="Arial"/>
                <w:sz w:val="12"/>
                <w:szCs w:val="12"/>
                <w:b w:val="1"/>
                <w:bCs w:val="1"/>
                <w:color w:val="FFFFFF"/>
                <w:w w:val="97"/>
              </w:rPr>
              <w:t>Plan Awards:</w:t>
            </w:r>
          </w:p>
        </w:tc>
        <w:tc>
          <w:tcPr>
            <w:tcW w:w="1340" w:type="dxa"/>
            <w:vAlign w:val="bottom"/>
            <w:vMerge w:val="continue"/>
            <w:shd w:val="clear" w:color="auto" w:fill="0E2A35"/>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580" w:type="dxa"/>
            <w:vAlign w:val="bottom"/>
            <w:shd w:val="clear" w:color="auto" w:fill="0E2A35"/>
          </w:tcPr>
          <w:p>
            <w:pPr>
              <w:spacing w:after="0"/>
              <w:rPr>
                <w:sz w:val="3"/>
                <w:szCs w:val="3"/>
                <w:color w:val="auto"/>
              </w:rPr>
            </w:pPr>
          </w:p>
        </w:tc>
        <w:tc>
          <w:tcPr>
            <w:tcW w:w="100" w:type="dxa"/>
            <w:vAlign w:val="bottom"/>
            <w:shd w:val="clear" w:color="auto" w:fill="0E2A35"/>
          </w:tcPr>
          <w:p>
            <w:pPr>
              <w:spacing w:after="0"/>
              <w:rPr>
                <w:sz w:val="3"/>
                <w:szCs w:val="3"/>
                <w:color w:val="auto"/>
              </w:rPr>
            </w:pPr>
          </w:p>
        </w:tc>
        <w:tc>
          <w:tcPr>
            <w:tcW w:w="880" w:type="dxa"/>
            <w:vAlign w:val="bottom"/>
            <w:vMerge w:val="continue"/>
            <w:shd w:val="clear" w:color="auto" w:fill="0E2A35"/>
          </w:tcPr>
          <w:p>
            <w:pPr>
              <w:spacing w:after="0"/>
              <w:rPr>
                <w:sz w:val="3"/>
                <w:szCs w:val="3"/>
                <w:color w:val="auto"/>
              </w:rPr>
            </w:pPr>
          </w:p>
        </w:tc>
        <w:tc>
          <w:tcPr>
            <w:tcW w:w="1080" w:type="dxa"/>
            <w:vAlign w:val="bottom"/>
            <w:gridSpan w:val="2"/>
            <w:vMerge w:val="continue"/>
            <w:shd w:val="clear" w:color="auto" w:fill="0E2A35"/>
          </w:tcPr>
          <w:p>
            <w:pPr>
              <w:spacing w:after="0"/>
              <w:rPr>
                <w:sz w:val="3"/>
                <w:szCs w:val="3"/>
                <w:color w:val="auto"/>
              </w:rPr>
            </w:pPr>
          </w:p>
        </w:tc>
        <w:tc>
          <w:tcPr>
            <w:tcW w:w="760" w:type="dxa"/>
            <w:vAlign w:val="bottom"/>
            <w:shd w:val="clear" w:color="auto" w:fill="0E2A35"/>
          </w:tcPr>
          <w:p>
            <w:pPr>
              <w:spacing w:after="0"/>
              <w:rPr>
                <w:sz w:val="3"/>
                <w:szCs w:val="3"/>
                <w:color w:val="auto"/>
              </w:rPr>
            </w:pPr>
          </w:p>
        </w:tc>
        <w:tc>
          <w:tcPr>
            <w:tcW w:w="740" w:type="dxa"/>
            <w:vAlign w:val="bottom"/>
            <w:shd w:val="clear" w:color="auto" w:fill="0E2A35"/>
          </w:tcPr>
          <w:p>
            <w:pPr>
              <w:spacing w:after="0"/>
              <w:rPr>
                <w:sz w:val="3"/>
                <w:szCs w:val="3"/>
                <w:color w:val="auto"/>
              </w:rPr>
            </w:pPr>
          </w:p>
        </w:tc>
        <w:tc>
          <w:tcPr>
            <w:tcW w:w="220" w:type="dxa"/>
            <w:vAlign w:val="bottom"/>
            <w:shd w:val="clear" w:color="auto" w:fill="0E2A35"/>
          </w:tcPr>
          <w:p>
            <w:pPr>
              <w:spacing w:after="0"/>
              <w:rPr>
                <w:sz w:val="3"/>
                <w:szCs w:val="3"/>
                <w:color w:val="auto"/>
              </w:rPr>
            </w:pPr>
          </w:p>
        </w:tc>
        <w:tc>
          <w:tcPr>
            <w:tcW w:w="620" w:type="dxa"/>
            <w:vAlign w:val="bottom"/>
            <w:shd w:val="clear" w:color="auto" w:fill="0E2A35"/>
          </w:tcPr>
          <w:p>
            <w:pPr>
              <w:spacing w:after="0"/>
              <w:rPr>
                <w:sz w:val="3"/>
                <w:szCs w:val="3"/>
                <w:color w:val="auto"/>
              </w:rPr>
            </w:pPr>
          </w:p>
        </w:tc>
        <w:tc>
          <w:tcPr>
            <w:tcW w:w="360" w:type="dxa"/>
            <w:vAlign w:val="bottom"/>
            <w:shd w:val="clear" w:color="auto" w:fill="0E2A35"/>
          </w:tcPr>
          <w:p>
            <w:pPr>
              <w:spacing w:after="0"/>
              <w:rPr>
                <w:sz w:val="3"/>
                <w:szCs w:val="3"/>
                <w:color w:val="auto"/>
              </w:rPr>
            </w:pPr>
          </w:p>
        </w:tc>
        <w:tc>
          <w:tcPr>
            <w:tcW w:w="1020" w:type="dxa"/>
            <w:vAlign w:val="bottom"/>
            <w:vMerge w:val="restart"/>
            <w:shd w:val="clear" w:color="auto" w:fill="0E2A35"/>
          </w:tcPr>
          <w:p>
            <w:pPr>
              <w:jc w:val="center"/>
              <w:ind w:left="39"/>
              <w:spacing w:after="0" w:line="135" w:lineRule="exact"/>
              <w:rPr>
                <w:sz w:val="20"/>
                <w:szCs w:val="20"/>
                <w:color w:val="auto"/>
              </w:rPr>
            </w:pPr>
            <w:r>
              <w:rPr>
                <w:rFonts w:ascii="Arial" w:cs="Arial" w:eastAsia="Arial" w:hAnsi="Arial"/>
                <w:sz w:val="12"/>
                <w:szCs w:val="12"/>
                <w:b w:val="1"/>
                <w:bCs w:val="1"/>
                <w:color w:val="FFFFFF"/>
                <w:w w:val="97"/>
              </w:rPr>
              <w:t>Market Value</w:t>
            </w:r>
          </w:p>
        </w:tc>
        <w:tc>
          <w:tcPr>
            <w:tcW w:w="220" w:type="dxa"/>
            <w:vAlign w:val="bottom"/>
            <w:shd w:val="clear" w:color="auto" w:fill="0E2A35"/>
          </w:tcPr>
          <w:p>
            <w:pPr>
              <w:spacing w:after="0"/>
              <w:rPr>
                <w:sz w:val="3"/>
                <w:szCs w:val="3"/>
                <w:color w:val="auto"/>
              </w:rPr>
            </w:pPr>
          </w:p>
        </w:tc>
        <w:tc>
          <w:tcPr>
            <w:tcW w:w="1240" w:type="dxa"/>
            <w:vAlign w:val="bottom"/>
            <w:vMerge w:val="continue"/>
            <w:shd w:val="clear" w:color="auto" w:fill="0E2A35"/>
          </w:tcPr>
          <w:p>
            <w:pPr>
              <w:spacing w:after="0"/>
              <w:rPr>
                <w:sz w:val="3"/>
                <w:szCs w:val="3"/>
                <w:color w:val="auto"/>
              </w:rPr>
            </w:pPr>
          </w:p>
        </w:tc>
        <w:tc>
          <w:tcPr>
            <w:tcW w:w="1340" w:type="dxa"/>
            <w:vAlign w:val="bottom"/>
            <w:vMerge w:val="restart"/>
            <w:shd w:val="clear" w:color="auto" w:fill="0E2A35"/>
          </w:tcPr>
          <w:p>
            <w:pPr>
              <w:jc w:val="center"/>
              <w:ind w:left="19"/>
              <w:spacing w:after="0" w:line="135" w:lineRule="exact"/>
              <w:rPr>
                <w:sz w:val="20"/>
                <w:szCs w:val="20"/>
                <w:color w:val="auto"/>
              </w:rPr>
            </w:pPr>
            <w:r>
              <w:rPr>
                <w:rFonts w:ascii="Arial" w:cs="Arial" w:eastAsia="Arial" w:hAnsi="Arial"/>
                <w:sz w:val="12"/>
                <w:szCs w:val="12"/>
                <w:b w:val="1"/>
                <w:bCs w:val="1"/>
                <w:color w:val="FFFFFF"/>
                <w:w w:val="96"/>
              </w:rPr>
              <w:t>Market or Payout</w:t>
            </w:r>
          </w:p>
        </w:tc>
        <w:tc>
          <w:tcPr>
            <w:tcW w:w="0" w:type="dxa"/>
            <w:vAlign w:val="bottom"/>
          </w:tcPr>
          <w:p>
            <w:pPr>
              <w:spacing w:after="0"/>
              <w:rPr>
                <w:sz w:val="1"/>
                <w:szCs w:val="1"/>
                <w:color w:val="auto"/>
              </w:rPr>
            </w:pPr>
          </w:p>
        </w:tc>
      </w:tr>
      <w:tr>
        <w:trPr>
          <w:trHeight w:val="94"/>
        </w:trPr>
        <w:tc>
          <w:tcPr>
            <w:tcW w:w="1580" w:type="dxa"/>
            <w:vAlign w:val="bottom"/>
            <w:shd w:val="clear" w:color="auto" w:fill="0E2A35"/>
          </w:tcPr>
          <w:p>
            <w:pPr>
              <w:spacing w:after="0"/>
              <w:rPr>
                <w:sz w:val="8"/>
                <w:szCs w:val="8"/>
                <w:color w:val="auto"/>
              </w:rPr>
            </w:pPr>
          </w:p>
        </w:tc>
        <w:tc>
          <w:tcPr>
            <w:tcW w:w="100" w:type="dxa"/>
            <w:vAlign w:val="bottom"/>
            <w:shd w:val="clear" w:color="auto" w:fill="0E2A35"/>
          </w:tcPr>
          <w:p>
            <w:pPr>
              <w:spacing w:after="0"/>
              <w:rPr>
                <w:sz w:val="8"/>
                <w:szCs w:val="8"/>
                <w:color w:val="auto"/>
              </w:rPr>
            </w:pPr>
          </w:p>
        </w:tc>
        <w:tc>
          <w:tcPr>
            <w:tcW w:w="880" w:type="dxa"/>
            <w:vAlign w:val="bottom"/>
            <w:vMerge w:val="restart"/>
            <w:shd w:val="clear" w:color="auto" w:fill="0E2A35"/>
          </w:tcPr>
          <w:p>
            <w:pPr>
              <w:jc w:val="center"/>
              <w:ind w:right="79"/>
              <w:spacing w:after="0" w:line="135" w:lineRule="exact"/>
              <w:rPr>
                <w:sz w:val="20"/>
                <w:szCs w:val="20"/>
                <w:color w:val="auto"/>
              </w:rPr>
            </w:pPr>
            <w:r>
              <w:rPr>
                <w:rFonts w:ascii="Arial" w:cs="Arial" w:eastAsia="Arial" w:hAnsi="Arial"/>
                <w:sz w:val="12"/>
                <w:szCs w:val="12"/>
                <w:b w:val="1"/>
                <w:bCs w:val="1"/>
                <w:color w:val="FFFFFF"/>
                <w:w w:val="94"/>
              </w:rPr>
              <w:t>Securities</w:t>
            </w:r>
          </w:p>
        </w:tc>
        <w:tc>
          <w:tcPr>
            <w:tcW w:w="1080" w:type="dxa"/>
            <w:vAlign w:val="bottom"/>
            <w:gridSpan w:val="2"/>
            <w:vMerge w:val="restart"/>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Securities</w:t>
            </w:r>
          </w:p>
        </w:tc>
        <w:tc>
          <w:tcPr>
            <w:tcW w:w="760" w:type="dxa"/>
            <w:vAlign w:val="bottom"/>
            <w:shd w:val="clear" w:color="auto" w:fill="0E2A35"/>
          </w:tcPr>
          <w:p>
            <w:pPr>
              <w:spacing w:after="0"/>
              <w:rPr>
                <w:sz w:val="8"/>
                <w:szCs w:val="8"/>
                <w:color w:val="auto"/>
              </w:rPr>
            </w:pPr>
          </w:p>
        </w:tc>
        <w:tc>
          <w:tcPr>
            <w:tcW w:w="74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980" w:type="dxa"/>
            <w:vAlign w:val="bottom"/>
            <w:gridSpan w:val="2"/>
            <w:vMerge w:val="restart"/>
            <w:shd w:val="clear" w:color="auto" w:fill="0E2A35"/>
          </w:tcPr>
          <w:p>
            <w:pPr>
              <w:jc w:val="center"/>
              <w:ind w:right="68"/>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020" w:type="dxa"/>
            <w:vAlign w:val="bottom"/>
            <w:vMerge w:val="continue"/>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240" w:type="dxa"/>
            <w:vAlign w:val="bottom"/>
            <w:vMerge w:val="restart"/>
            <w:shd w:val="clear" w:color="auto" w:fill="0E2A35"/>
          </w:tcPr>
          <w:p>
            <w:pPr>
              <w:jc w:val="center"/>
              <w:ind w:right="81"/>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340" w:type="dxa"/>
            <w:vAlign w:val="bottom"/>
            <w:vMerge w:val="continue"/>
            <w:shd w:val="clear" w:color="auto" w:fill="0E2A35"/>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580" w:type="dxa"/>
            <w:vAlign w:val="bottom"/>
            <w:shd w:val="clear" w:color="auto" w:fill="0E2A35"/>
          </w:tcPr>
          <w:p>
            <w:pPr>
              <w:spacing w:after="0"/>
              <w:rPr>
                <w:sz w:val="3"/>
                <w:szCs w:val="3"/>
                <w:color w:val="auto"/>
              </w:rPr>
            </w:pPr>
          </w:p>
        </w:tc>
        <w:tc>
          <w:tcPr>
            <w:tcW w:w="100" w:type="dxa"/>
            <w:vAlign w:val="bottom"/>
            <w:shd w:val="clear" w:color="auto" w:fill="0E2A35"/>
          </w:tcPr>
          <w:p>
            <w:pPr>
              <w:spacing w:after="0"/>
              <w:rPr>
                <w:sz w:val="3"/>
                <w:szCs w:val="3"/>
                <w:color w:val="auto"/>
              </w:rPr>
            </w:pPr>
          </w:p>
        </w:tc>
        <w:tc>
          <w:tcPr>
            <w:tcW w:w="880" w:type="dxa"/>
            <w:vAlign w:val="bottom"/>
            <w:vMerge w:val="continue"/>
            <w:shd w:val="clear" w:color="auto" w:fill="0E2A35"/>
          </w:tcPr>
          <w:p>
            <w:pPr>
              <w:spacing w:after="0"/>
              <w:rPr>
                <w:sz w:val="3"/>
                <w:szCs w:val="3"/>
                <w:color w:val="auto"/>
              </w:rPr>
            </w:pPr>
          </w:p>
        </w:tc>
        <w:tc>
          <w:tcPr>
            <w:tcW w:w="1080" w:type="dxa"/>
            <w:vAlign w:val="bottom"/>
            <w:gridSpan w:val="2"/>
            <w:vMerge w:val="continue"/>
            <w:shd w:val="clear" w:color="auto" w:fill="0E2A35"/>
          </w:tcPr>
          <w:p>
            <w:pPr>
              <w:spacing w:after="0"/>
              <w:rPr>
                <w:sz w:val="3"/>
                <w:szCs w:val="3"/>
                <w:color w:val="auto"/>
              </w:rPr>
            </w:pPr>
          </w:p>
        </w:tc>
        <w:tc>
          <w:tcPr>
            <w:tcW w:w="760" w:type="dxa"/>
            <w:vAlign w:val="bottom"/>
            <w:shd w:val="clear" w:color="auto" w:fill="0E2A35"/>
          </w:tcPr>
          <w:p>
            <w:pPr>
              <w:spacing w:after="0"/>
              <w:rPr>
                <w:sz w:val="3"/>
                <w:szCs w:val="3"/>
                <w:color w:val="auto"/>
              </w:rPr>
            </w:pPr>
          </w:p>
        </w:tc>
        <w:tc>
          <w:tcPr>
            <w:tcW w:w="740" w:type="dxa"/>
            <w:vAlign w:val="bottom"/>
            <w:shd w:val="clear" w:color="auto" w:fill="0E2A35"/>
          </w:tcPr>
          <w:p>
            <w:pPr>
              <w:spacing w:after="0"/>
              <w:rPr>
                <w:sz w:val="3"/>
                <w:szCs w:val="3"/>
                <w:color w:val="auto"/>
              </w:rPr>
            </w:pPr>
          </w:p>
        </w:tc>
        <w:tc>
          <w:tcPr>
            <w:tcW w:w="220" w:type="dxa"/>
            <w:vAlign w:val="bottom"/>
            <w:shd w:val="clear" w:color="auto" w:fill="0E2A35"/>
          </w:tcPr>
          <w:p>
            <w:pPr>
              <w:spacing w:after="0"/>
              <w:rPr>
                <w:sz w:val="3"/>
                <w:szCs w:val="3"/>
                <w:color w:val="auto"/>
              </w:rPr>
            </w:pPr>
          </w:p>
        </w:tc>
        <w:tc>
          <w:tcPr>
            <w:tcW w:w="980" w:type="dxa"/>
            <w:vAlign w:val="bottom"/>
            <w:gridSpan w:val="2"/>
            <w:vMerge w:val="continue"/>
            <w:shd w:val="clear" w:color="auto" w:fill="0E2A35"/>
          </w:tcPr>
          <w:p>
            <w:pPr>
              <w:spacing w:after="0"/>
              <w:rPr>
                <w:sz w:val="3"/>
                <w:szCs w:val="3"/>
                <w:color w:val="auto"/>
              </w:rPr>
            </w:pPr>
          </w:p>
        </w:tc>
        <w:tc>
          <w:tcPr>
            <w:tcW w:w="1020" w:type="dxa"/>
            <w:vAlign w:val="bottom"/>
            <w:vMerge w:val="restart"/>
            <w:shd w:val="clear" w:color="auto" w:fill="0E2A35"/>
          </w:tcPr>
          <w:p>
            <w:pPr>
              <w:jc w:val="center"/>
              <w:ind w:left="39"/>
              <w:spacing w:after="0" w:line="135" w:lineRule="exact"/>
              <w:rPr>
                <w:sz w:val="20"/>
                <w:szCs w:val="20"/>
                <w:color w:val="auto"/>
              </w:rPr>
            </w:pPr>
            <w:r>
              <w:rPr>
                <w:rFonts w:ascii="Arial" w:cs="Arial" w:eastAsia="Arial" w:hAnsi="Arial"/>
                <w:sz w:val="12"/>
                <w:szCs w:val="12"/>
                <w:b w:val="1"/>
                <w:bCs w:val="1"/>
                <w:color w:val="FFFFFF"/>
                <w:w w:val="97"/>
              </w:rPr>
              <w:t>of Shares or</w:t>
            </w:r>
          </w:p>
        </w:tc>
        <w:tc>
          <w:tcPr>
            <w:tcW w:w="220" w:type="dxa"/>
            <w:vAlign w:val="bottom"/>
            <w:shd w:val="clear" w:color="auto" w:fill="0E2A35"/>
          </w:tcPr>
          <w:p>
            <w:pPr>
              <w:spacing w:after="0"/>
              <w:rPr>
                <w:sz w:val="3"/>
                <w:szCs w:val="3"/>
                <w:color w:val="auto"/>
              </w:rPr>
            </w:pPr>
          </w:p>
        </w:tc>
        <w:tc>
          <w:tcPr>
            <w:tcW w:w="1240" w:type="dxa"/>
            <w:vAlign w:val="bottom"/>
            <w:vMerge w:val="continue"/>
            <w:shd w:val="clear" w:color="auto" w:fill="0E2A35"/>
          </w:tcPr>
          <w:p>
            <w:pPr>
              <w:spacing w:after="0"/>
              <w:rPr>
                <w:sz w:val="3"/>
                <w:szCs w:val="3"/>
                <w:color w:val="auto"/>
              </w:rPr>
            </w:pPr>
          </w:p>
        </w:tc>
        <w:tc>
          <w:tcPr>
            <w:tcW w:w="1340" w:type="dxa"/>
            <w:vAlign w:val="bottom"/>
            <w:vMerge w:val="restart"/>
            <w:shd w:val="clear" w:color="auto" w:fill="0E2A35"/>
          </w:tcPr>
          <w:p>
            <w:pPr>
              <w:jc w:val="center"/>
              <w:ind w:left="19"/>
              <w:spacing w:after="0" w:line="135" w:lineRule="exact"/>
              <w:rPr>
                <w:sz w:val="20"/>
                <w:szCs w:val="20"/>
                <w:color w:val="auto"/>
              </w:rPr>
            </w:pPr>
            <w:r>
              <w:rPr>
                <w:rFonts w:ascii="Arial" w:cs="Arial" w:eastAsia="Arial" w:hAnsi="Arial"/>
                <w:sz w:val="12"/>
                <w:szCs w:val="12"/>
                <w:b w:val="1"/>
                <w:bCs w:val="1"/>
                <w:color w:val="FFFFFF"/>
                <w:w w:val="96"/>
              </w:rPr>
              <w:t>Value of Unearned</w:t>
            </w:r>
          </w:p>
        </w:tc>
        <w:tc>
          <w:tcPr>
            <w:tcW w:w="0" w:type="dxa"/>
            <w:vAlign w:val="bottom"/>
          </w:tcPr>
          <w:p>
            <w:pPr>
              <w:spacing w:after="0"/>
              <w:rPr>
                <w:sz w:val="1"/>
                <w:szCs w:val="1"/>
                <w:color w:val="auto"/>
              </w:rPr>
            </w:pPr>
          </w:p>
        </w:tc>
      </w:tr>
      <w:tr>
        <w:trPr>
          <w:trHeight w:val="94"/>
        </w:trPr>
        <w:tc>
          <w:tcPr>
            <w:tcW w:w="1580" w:type="dxa"/>
            <w:vAlign w:val="bottom"/>
            <w:shd w:val="clear" w:color="auto" w:fill="0E2A35"/>
          </w:tcPr>
          <w:p>
            <w:pPr>
              <w:spacing w:after="0"/>
              <w:rPr>
                <w:sz w:val="8"/>
                <w:szCs w:val="8"/>
                <w:color w:val="auto"/>
              </w:rPr>
            </w:pPr>
          </w:p>
        </w:tc>
        <w:tc>
          <w:tcPr>
            <w:tcW w:w="100" w:type="dxa"/>
            <w:vAlign w:val="bottom"/>
            <w:shd w:val="clear" w:color="auto" w:fill="0E2A35"/>
          </w:tcPr>
          <w:p>
            <w:pPr>
              <w:spacing w:after="0"/>
              <w:rPr>
                <w:sz w:val="8"/>
                <w:szCs w:val="8"/>
                <w:color w:val="auto"/>
              </w:rPr>
            </w:pPr>
          </w:p>
        </w:tc>
        <w:tc>
          <w:tcPr>
            <w:tcW w:w="880" w:type="dxa"/>
            <w:vAlign w:val="bottom"/>
            <w:vMerge w:val="restart"/>
            <w:shd w:val="clear" w:color="auto" w:fill="0E2A35"/>
          </w:tcPr>
          <w:p>
            <w:pPr>
              <w:jc w:val="center"/>
              <w:ind w:right="79"/>
              <w:spacing w:after="0" w:line="135" w:lineRule="exact"/>
              <w:rPr>
                <w:sz w:val="20"/>
                <w:szCs w:val="20"/>
                <w:color w:val="auto"/>
              </w:rPr>
            </w:pPr>
            <w:r>
              <w:rPr>
                <w:rFonts w:ascii="Arial" w:cs="Arial" w:eastAsia="Arial" w:hAnsi="Arial"/>
                <w:sz w:val="12"/>
                <w:szCs w:val="12"/>
                <w:b w:val="1"/>
                <w:bCs w:val="1"/>
                <w:color w:val="FFFFFF"/>
                <w:w w:val="98"/>
              </w:rPr>
              <w:t>Underlying</w:t>
            </w:r>
          </w:p>
        </w:tc>
        <w:tc>
          <w:tcPr>
            <w:tcW w:w="1080" w:type="dxa"/>
            <w:vAlign w:val="bottom"/>
            <w:gridSpan w:val="2"/>
            <w:vMerge w:val="restart"/>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5"/>
              </w:rPr>
              <w:t>Underlying</w:t>
            </w:r>
          </w:p>
        </w:tc>
        <w:tc>
          <w:tcPr>
            <w:tcW w:w="760" w:type="dxa"/>
            <w:vAlign w:val="bottom"/>
            <w:shd w:val="clear" w:color="auto" w:fill="0E2A35"/>
          </w:tcPr>
          <w:p>
            <w:pPr>
              <w:spacing w:after="0"/>
              <w:rPr>
                <w:sz w:val="8"/>
                <w:szCs w:val="8"/>
                <w:color w:val="auto"/>
              </w:rPr>
            </w:pPr>
          </w:p>
        </w:tc>
        <w:tc>
          <w:tcPr>
            <w:tcW w:w="74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980" w:type="dxa"/>
            <w:vAlign w:val="bottom"/>
            <w:gridSpan w:val="2"/>
            <w:vMerge w:val="restart"/>
            <w:shd w:val="clear" w:color="auto" w:fill="0E2A35"/>
          </w:tcPr>
          <w:p>
            <w:pPr>
              <w:jc w:val="center"/>
              <w:ind w:right="68"/>
              <w:spacing w:after="0" w:line="135" w:lineRule="exact"/>
              <w:rPr>
                <w:sz w:val="20"/>
                <w:szCs w:val="20"/>
                <w:color w:val="auto"/>
              </w:rPr>
            </w:pPr>
            <w:r>
              <w:rPr>
                <w:rFonts w:ascii="Arial" w:cs="Arial" w:eastAsia="Arial" w:hAnsi="Arial"/>
                <w:sz w:val="12"/>
                <w:szCs w:val="12"/>
                <w:b w:val="1"/>
                <w:bCs w:val="1"/>
                <w:color w:val="FFFFFF"/>
                <w:w w:val="97"/>
              </w:rPr>
              <w:t>Shares or</w:t>
            </w:r>
          </w:p>
        </w:tc>
        <w:tc>
          <w:tcPr>
            <w:tcW w:w="1020" w:type="dxa"/>
            <w:vAlign w:val="bottom"/>
            <w:vMerge w:val="continue"/>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240" w:type="dxa"/>
            <w:vAlign w:val="bottom"/>
            <w:vMerge w:val="restart"/>
            <w:shd w:val="clear" w:color="auto" w:fill="0E2A35"/>
          </w:tcPr>
          <w:p>
            <w:pPr>
              <w:jc w:val="center"/>
              <w:ind w:right="81"/>
              <w:spacing w:after="0" w:line="135" w:lineRule="exact"/>
              <w:rPr>
                <w:sz w:val="20"/>
                <w:szCs w:val="20"/>
                <w:color w:val="auto"/>
              </w:rPr>
            </w:pPr>
            <w:r>
              <w:rPr>
                <w:rFonts w:ascii="Arial" w:cs="Arial" w:eastAsia="Arial" w:hAnsi="Arial"/>
                <w:sz w:val="12"/>
                <w:szCs w:val="12"/>
                <w:b w:val="1"/>
                <w:bCs w:val="1"/>
                <w:color w:val="FFFFFF"/>
                <w:w w:val="95"/>
              </w:rPr>
              <w:t>Unearned Shares,</w:t>
            </w:r>
          </w:p>
        </w:tc>
        <w:tc>
          <w:tcPr>
            <w:tcW w:w="1340" w:type="dxa"/>
            <w:vAlign w:val="bottom"/>
            <w:vMerge w:val="continue"/>
            <w:shd w:val="clear" w:color="auto" w:fill="0E2A35"/>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580" w:type="dxa"/>
            <w:vAlign w:val="bottom"/>
            <w:shd w:val="clear" w:color="auto" w:fill="0E2A35"/>
          </w:tcPr>
          <w:p>
            <w:pPr>
              <w:spacing w:after="0"/>
              <w:rPr>
                <w:sz w:val="3"/>
                <w:szCs w:val="3"/>
                <w:color w:val="auto"/>
              </w:rPr>
            </w:pPr>
          </w:p>
        </w:tc>
        <w:tc>
          <w:tcPr>
            <w:tcW w:w="100" w:type="dxa"/>
            <w:vAlign w:val="bottom"/>
            <w:shd w:val="clear" w:color="auto" w:fill="0E2A35"/>
          </w:tcPr>
          <w:p>
            <w:pPr>
              <w:spacing w:after="0"/>
              <w:rPr>
                <w:sz w:val="3"/>
                <w:szCs w:val="3"/>
                <w:color w:val="auto"/>
              </w:rPr>
            </w:pPr>
          </w:p>
        </w:tc>
        <w:tc>
          <w:tcPr>
            <w:tcW w:w="880" w:type="dxa"/>
            <w:vAlign w:val="bottom"/>
            <w:vMerge w:val="continue"/>
            <w:shd w:val="clear" w:color="auto" w:fill="0E2A35"/>
          </w:tcPr>
          <w:p>
            <w:pPr>
              <w:spacing w:after="0"/>
              <w:rPr>
                <w:sz w:val="3"/>
                <w:szCs w:val="3"/>
                <w:color w:val="auto"/>
              </w:rPr>
            </w:pPr>
          </w:p>
        </w:tc>
        <w:tc>
          <w:tcPr>
            <w:tcW w:w="1080" w:type="dxa"/>
            <w:vAlign w:val="bottom"/>
            <w:gridSpan w:val="2"/>
            <w:vMerge w:val="continue"/>
            <w:shd w:val="clear" w:color="auto" w:fill="0E2A35"/>
          </w:tcPr>
          <w:p>
            <w:pPr>
              <w:spacing w:after="0"/>
              <w:rPr>
                <w:sz w:val="3"/>
                <w:szCs w:val="3"/>
                <w:color w:val="auto"/>
              </w:rPr>
            </w:pPr>
          </w:p>
        </w:tc>
        <w:tc>
          <w:tcPr>
            <w:tcW w:w="760" w:type="dxa"/>
            <w:vAlign w:val="bottom"/>
            <w:shd w:val="clear" w:color="auto" w:fill="0E2A35"/>
          </w:tcPr>
          <w:p>
            <w:pPr>
              <w:spacing w:after="0"/>
              <w:rPr>
                <w:sz w:val="3"/>
                <w:szCs w:val="3"/>
                <w:color w:val="auto"/>
              </w:rPr>
            </w:pPr>
          </w:p>
        </w:tc>
        <w:tc>
          <w:tcPr>
            <w:tcW w:w="740" w:type="dxa"/>
            <w:vAlign w:val="bottom"/>
            <w:shd w:val="clear" w:color="auto" w:fill="0E2A35"/>
          </w:tcPr>
          <w:p>
            <w:pPr>
              <w:spacing w:after="0"/>
              <w:rPr>
                <w:sz w:val="3"/>
                <w:szCs w:val="3"/>
                <w:color w:val="auto"/>
              </w:rPr>
            </w:pPr>
          </w:p>
        </w:tc>
        <w:tc>
          <w:tcPr>
            <w:tcW w:w="220" w:type="dxa"/>
            <w:vAlign w:val="bottom"/>
            <w:shd w:val="clear" w:color="auto" w:fill="0E2A35"/>
          </w:tcPr>
          <w:p>
            <w:pPr>
              <w:spacing w:after="0"/>
              <w:rPr>
                <w:sz w:val="3"/>
                <w:szCs w:val="3"/>
                <w:color w:val="auto"/>
              </w:rPr>
            </w:pPr>
          </w:p>
        </w:tc>
        <w:tc>
          <w:tcPr>
            <w:tcW w:w="980" w:type="dxa"/>
            <w:vAlign w:val="bottom"/>
            <w:gridSpan w:val="2"/>
            <w:vMerge w:val="continue"/>
            <w:shd w:val="clear" w:color="auto" w:fill="0E2A35"/>
          </w:tcPr>
          <w:p>
            <w:pPr>
              <w:spacing w:after="0"/>
              <w:rPr>
                <w:sz w:val="3"/>
                <w:szCs w:val="3"/>
                <w:color w:val="auto"/>
              </w:rPr>
            </w:pPr>
          </w:p>
        </w:tc>
        <w:tc>
          <w:tcPr>
            <w:tcW w:w="1020" w:type="dxa"/>
            <w:vAlign w:val="bottom"/>
            <w:vMerge w:val="restart"/>
            <w:shd w:val="clear" w:color="auto" w:fill="0E2A35"/>
          </w:tcPr>
          <w:p>
            <w:pPr>
              <w:jc w:val="center"/>
              <w:ind w:left="19"/>
              <w:spacing w:after="0" w:line="135" w:lineRule="exact"/>
              <w:rPr>
                <w:sz w:val="20"/>
                <w:szCs w:val="20"/>
                <w:color w:val="auto"/>
              </w:rPr>
            </w:pPr>
            <w:r>
              <w:rPr>
                <w:rFonts w:ascii="Arial" w:cs="Arial" w:eastAsia="Arial" w:hAnsi="Arial"/>
                <w:sz w:val="12"/>
                <w:szCs w:val="12"/>
                <w:b w:val="1"/>
                <w:bCs w:val="1"/>
                <w:color w:val="FFFFFF"/>
                <w:w w:val="96"/>
              </w:rPr>
              <w:t>Units of Stock</w:t>
            </w:r>
          </w:p>
        </w:tc>
        <w:tc>
          <w:tcPr>
            <w:tcW w:w="220" w:type="dxa"/>
            <w:vAlign w:val="bottom"/>
            <w:shd w:val="clear" w:color="auto" w:fill="0E2A35"/>
          </w:tcPr>
          <w:p>
            <w:pPr>
              <w:spacing w:after="0"/>
              <w:rPr>
                <w:sz w:val="3"/>
                <w:szCs w:val="3"/>
                <w:color w:val="auto"/>
              </w:rPr>
            </w:pPr>
          </w:p>
        </w:tc>
        <w:tc>
          <w:tcPr>
            <w:tcW w:w="1240" w:type="dxa"/>
            <w:vAlign w:val="bottom"/>
            <w:vMerge w:val="continue"/>
            <w:shd w:val="clear" w:color="auto" w:fill="0E2A35"/>
          </w:tcPr>
          <w:p>
            <w:pPr>
              <w:spacing w:after="0"/>
              <w:rPr>
                <w:sz w:val="3"/>
                <w:szCs w:val="3"/>
                <w:color w:val="auto"/>
              </w:rPr>
            </w:pPr>
          </w:p>
        </w:tc>
        <w:tc>
          <w:tcPr>
            <w:tcW w:w="1340" w:type="dxa"/>
            <w:vAlign w:val="bottom"/>
            <w:vMerge w:val="restart"/>
            <w:shd w:val="clear" w:color="auto" w:fill="0E2A35"/>
          </w:tcPr>
          <w:p>
            <w:pPr>
              <w:jc w:val="center"/>
              <w:ind w:left="19"/>
              <w:spacing w:after="0" w:line="135" w:lineRule="exact"/>
              <w:rPr>
                <w:sz w:val="20"/>
                <w:szCs w:val="20"/>
                <w:color w:val="auto"/>
              </w:rPr>
            </w:pPr>
            <w:r>
              <w:rPr>
                <w:rFonts w:ascii="Arial" w:cs="Arial" w:eastAsia="Arial" w:hAnsi="Arial"/>
                <w:sz w:val="12"/>
                <w:szCs w:val="12"/>
                <w:b w:val="1"/>
                <w:bCs w:val="1"/>
                <w:color w:val="FFFFFF"/>
                <w:w w:val="97"/>
              </w:rPr>
              <w:t>Shares, Units or</w:t>
            </w:r>
          </w:p>
        </w:tc>
        <w:tc>
          <w:tcPr>
            <w:tcW w:w="0" w:type="dxa"/>
            <w:vAlign w:val="bottom"/>
          </w:tcPr>
          <w:p>
            <w:pPr>
              <w:spacing w:after="0"/>
              <w:rPr>
                <w:sz w:val="1"/>
                <w:szCs w:val="1"/>
                <w:color w:val="auto"/>
              </w:rPr>
            </w:pPr>
          </w:p>
        </w:tc>
      </w:tr>
      <w:tr>
        <w:trPr>
          <w:trHeight w:val="94"/>
        </w:trPr>
        <w:tc>
          <w:tcPr>
            <w:tcW w:w="1580" w:type="dxa"/>
            <w:vAlign w:val="bottom"/>
            <w:shd w:val="clear" w:color="auto" w:fill="0E2A35"/>
          </w:tcPr>
          <w:p>
            <w:pPr>
              <w:spacing w:after="0"/>
              <w:rPr>
                <w:sz w:val="8"/>
                <w:szCs w:val="8"/>
                <w:color w:val="auto"/>
              </w:rPr>
            </w:pPr>
          </w:p>
        </w:tc>
        <w:tc>
          <w:tcPr>
            <w:tcW w:w="100" w:type="dxa"/>
            <w:vAlign w:val="bottom"/>
            <w:shd w:val="clear" w:color="auto" w:fill="0E2A35"/>
          </w:tcPr>
          <w:p>
            <w:pPr>
              <w:spacing w:after="0"/>
              <w:rPr>
                <w:sz w:val="8"/>
                <w:szCs w:val="8"/>
                <w:color w:val="auto"/>
              </w:rPr>
            </w:pPr>
          </w:p>
        </w:tc>
        <w:tc>
          <w:tcPr>
            <w:tcW w:w="880" w:type="dxa"/>
            <w:vAlign w:val="bottom"/>
            <w:vMerge w:val="restart"/>
            <w:shd w:val="clear" w:color="auto" w:fill="0E2A35"/>
          </w:tcPr>
          <w:p>
            <w:pPr>
              <w:jc w:val="center"/>
              <w:ind w:right="79"/>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1080" w:type="dxa"/>
            <w:vAlign w:val="bottom"/>
            <w:gridSpan w:val="2"/>
            <w:vMerge w:val="restart"/>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760" w:type="dxa"/>
            <w:vAlign w:val="bottom"/>
            <w:vMerge w:val="restart"/>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8"/>
              </w:rPr>
              <w:t>Option</w:t>
            </w:r>
          </w:p>
        </w:tc>
        <w:tc>
          <w:tcPr>
            <w:tcW w:w="740" w:type="dxa"/>
            <w:vAlign w:val="bottom"/>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980" w:type="dxa"/>
            <w:vAlign w:val="bottom"/>
            <w:gridSpan w:val="2"/>
            <w:vMerge w:val="restart"/>
            <w:shd w:val="clear" w:color="auto" w:fill="0E2A35"/>
          </w:tcPr>
          <w:p>
            <w:pPr>
              <w:jc w:val="center"/>
              <w:ind w:right="68"/>
              <w:spacing w:after="0" w:line="135" w:lineRule="exact"/>
              <w:rPr>
                <w:sz w:val="20"/>
                <w:szCs w:val="20"/>
                <w:color w:val="auto"/>
              </w:rPr>
            </w:pPr>
            <w:r>
              <w:rPr>
                <w:rFonts w:ascii="Arial" w:cs="Arial" w:eastAsia="Arial" w:hAnsi="Arial"/>
                <w:sz w:val="12"/>
                <w:szCs w:val="12"/>
                <w:b w:val="1"/>
                <w:bCs w:val="1"/>
                <w:color w:val="FFFFFF"/>
                <w:w w:val="96"/>
              </w:rPr>
              <w:t>Units of Stock</w:t>
            </w:r>
          </w:p>
        </w:tc>
        <w:tc>
          <w:tcPr>
            <w:tcW w:w="1020" w:type="dxa"/>
            <w:vAlign w:val="bottom"/>
            <w:vMerge w:val="continue"/>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240" w:type="dxa"/>
            <w:vAlign w:val="bottom"/>
            <w:vMerge w:val="restart"/>
            <w:shd w:val="clear" w:color="auto" w:fill="0E2A35"/>
          </w:tcPr>
          <w:p>
            <w:pPr>
              <w:jc w:val="center"/>
              <w:ind w:right="81"/>
              <w:spacing w:after="0" w:line="135" w:lineRule="exact"/>
              <w:rPr>
                <w:sz w:val="20"/>
                <w:szCs w:val="20"/>
                <w:color w:val="auto"/>
              </w:rPr>
            </w:pPr>
            <w:r>
              <w:rPr>
                <w:rFonts w:ascii="Arial" w:cs="Arial" w:eastAsia="Arial" w:hAnsi="Arial"/>
                <w:sz w:val="12"/>
                <w:szCs w:val="12"/>
                <w:b w:val="1"/>
                <w:bCs w:val="1"/>
                <w:color w:val="FFFFFF"/>
                <w:w w:val="96"/>
              </w:rPr>
              <w:t>Units or Other</w:t>
            </w:r>
          </w:p>
        </w:tc>
        <w:tc>
          <w:tcPr>
            <w:tcW w:w="1340" w:type="dxa"/>
            <w:vAlign w:val="bottom"/>
            <w:vMerge w:val="continue"/>
            <w:shd w:val="clear" w:color="auto" w:fill="0E2A35"/>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580" w:type="dxa"/>
            <w:vAlign w:val="bottom"/>
            <w:shd w:val="clear" w:color="auto" w:fill="0E2A35"/>
          </w:tcPr>
          <w:p>
            <w:pPr>
              <w:spacing w:after="0"/>
              <w:rPr>
                <w:sz w:val="3"/>
                <w:szCs w:val="3"/>
                <w:color w:val="auto"/>
              </w:rPr>
            </w:pPr>
          </w:p>
        </w:tc>
        <w:tc>
          <w:tcPr>
            <w:tcW w:w="100" w:type="dxa"/>
            <w:vAlign w:val="bottom"/>
            <w:shd w:val="clear" w:color="auto" w:fill="0E2A35"/>
          </w:tcPr>
          <w:p>
            <w:pPr>
              <w:spacing w:after="0"/>
              <w:rPr>
                <w:sz w:val="3"/>
                <w:szCs w:val="3"/>
                <w:color w:val="auto"/>
              </w:rPr>
            </w:pPr>
          </w:p>
        </w:tc>
        <w:tc>
          <w:tcPr>
            <w:tcW w:w="880" w:type="dxa"/>
            <w:vAlign w:val="bottom"/>
            <w:vMerge w:val="continue"/>
            <w:shd w:val="clear" w:color="auto" w:fill="0E2A35"/>
          </w:tcPr>
          <w:p>
            <w:pPr>
              <w:spacing w:after="0"/>
              <w:rPr>
                <w:sz w:val="3"/>
                <w:szCs w:val="3"/>
                <w:color w:val="auto"/>
              </w:rPr>
            </w:pPr>
          </w:p>
        </w:tc>
        <w:tc>
          <w:tcPr>
            <w:tcW w:w="1080" w:type="dxa"/>
            <w:vAlign w:val="bottom"/>
            <w:gridSpan w:val="2"/>
            <w:vMerge w:val="continue"/>
            <w:shd w:val="clear" w:color="auto" w:fill="0E2A35"/>
          </w:tcPr>
          <w:p>
            <w:pPr>
              <w:spacing w:after="0"/>
              <w:rPr>
                <w:sz w:val="3"/>
                <w:szCs w:val="3"/>
                <w:color w:val="auto"/>
              </w:rPr>
            </w:pPr>
          </w:p>
        </w:tc>
        <w:tc>
          <w:tcPr>
            <w:tcW w:w="760" w:type="dxa"/>
            <w:vAlign w:val="bottom"/>
            <w:vMerge w:val="continue"/>
            <w:shd w:val="clear" w:color="auto" w:fill="0E2A35"/>
          </w:tcPr>
          <w:p>
            <w:pPr>
              <w:spacing w:after="0"/>
              <w:rPr>
                <w:sz w:val="3"/>
                <w:szCs w:val="3"/>
                <w:color w:val="auto"/>
              </w:rPr>
            </w:pPr>
          </w:p>
        </w:tc>
        <w:tc>
          <w:tcPr>
            <w:tcW w:w="740" w:type="dxa"/>
            <w:vAlign w:val="bottom"/>
            <w:shd w:val="clear" w:color="auto" w:fill="0E2A35"/>
          </w:tcPr>
          <w:p>
            <w:pPr>
              <w:spacing w:after="0"/>
              <w:rPr>
                <w:sz w:val="3"/>
                <w:szCs w:val="3"/>
                <w:color w:val="auto"/>
              </w:rPr>
            </w:pPr>
          </w:p>
        </w:tc>
        <w:tc>
          <w:tcPr>
            <w:tcW w:w="220" w:type="dxa"/>
            <w:vAlign w:val="bottom"/>
            <w:shd w:val="clear" w:color="auto" w:fill="0E2A35"/>
          </w:tcPr>
          <w:p>
            <w:pPr>
              <w:spacing w:after="0"/>
              <w:rPr>
                <w:sz w:val="3"/>
                <w:szCs w:val="3"/>
                <w:color w:val="auto"/>
              </w:rPr>
            </w:pPr>
          </w:p>
        </w:tc>
        <w:tc>
          <w:tcPr>
            <w:tcW w:w="980" w:type="dxa"/>
            <w:vAlign w:val="bottom"/>
            <w:gridSpan w:val="2"/>
            <w:vMerge w:val="continue"/>
            <w:shd w:val="clear" w:color="auto" w:fill="0E2A35"/>
          </w:tcPr>
          <w:p>
            <w:pPr>
              <w:spacing w:after="0"/>
              <w:rPr>
                <w:sz w:val="3"/>
                <w:szCs w:val="3"/>
                <w:color w:val="auto"/>
              </w:rPr>
            </w:pPr>
          </w:p>
        </w:tc>
        <w:tc>
          <w:tcPr>
            <w:tcW w:w="1020" w:type="dxa"/>
            <w:vAlign w:val="bottom"/>
            <w:vMerge w:val="restart"/>
            <w:shd w:val="clear" w:color="auto" w:fill="0E2A35"/>
          </w:tcPr>
          <w:p>
            <w:pPr>
              <w:jc w:val="center"/>
              <w:ind w:left="39"/>
              <w:spacing w:after="0" w:line="135" w:lineRule="exact"/>
              <w:rPr>
                <w:sz w:val="20"/>
                <w:szCs w:val="20"/>
                <w:color w:val="auto"/>
              </w:rPr>
            </w:pPr>
            <w:r>
              <w:rPr>
                <w:rFonts w:ascii="Arial" w:cs="Arial" w:eastAsia="Arial" w:hAnsi="Arial"/>
                <w:sz w:val="12"/>
                <w:szCs w:val="12"/>
                <w:b w:val="1"/>
                <w:bCs w:val="1"/>
                <w:color w:val="FFFFFF"/>
                <w:w w:val="99"/>
              </w:rPr>
              <w:t>That Have Not</w:t>
            </w:r>
          </w:p>
        </w:tc>
        <w:tc>
          <w:tcPr>
            <w:tcW w:w="220" w:type="dxa"/>
            <w:vAlign w:val="bottom"/>
            <w:shd w:val="clear" w:color="auto" w:fill="0E2A35"/>
          </w:tcPr>
          <w:p>
            <w:pPr>
              <w:spacing w:after="0"/>
              <w:rPr>
                <w:sz w:val="3"/>
                <w:szCs w:val="3"/>
                <w:color w:val="auto"/>
              </w:rPr>
            </w:pPr>
          </w:p>
        </w:tc>
        <w:tc>
          <w:tcPr>
            <w:tcW w:w="1240" w:type="dxa"/>
            <w:vAlign w:val="bottom"/>
            <w:vMerge w:val="continue"/>
            <w:shd w:val="clear" w:color="auto" w:fill="0E2A35"/>
          </w:tcPr>
          <w:p>
            <w:pPr>
              <w:spacing w:after="0"/>
              <w:rPr>
                <w:sz w:val="3"/>
                <w:szCs w:val="3"/>
                <w:color w:val="auto"/>
              </w:rPr>
            </w:pPr>
          </w:p>
        </w:tc>
        <w:tc>
          <w:tcPr>
            <w:tcW w:w="1340" w:type="dxa"/>
            <w:vAlign w:val="bottom"/>
            <w:vMerge w:val="restart"/>
            <w:shd w:val="clear" w:color="auto" w:fill="0E2A35"/>
          </w:tcPr>
          <w:p>
            <w:pPr>
              <w:jc w:val="center"/>
              <w:ind w:left="19"/>
              <w:spacing w:after="0" w:line="135" w:lineRule="exact"/>
              <w:rPr>
                <w:sz w:val="20"/>
                <w:szCs w:val="20"/>
                <w:color w:val="auto"/>
              </w:rPr>
            </w:pPr>
            <w:r>
              <w:rPr>
                <w:rFonts w:ascii="Arial" w:cs="Arial" w:eastAsia="Arial" w:hAnsi="Arial"/>
                <w:sz w:val="12"/>
                <w:szCs w:val="12"/>
                <w:b w:val="1"/>
                <w:bCs w:val="1"/>
                <w:color w:val="FFFFFF"/>
                <w:w w:val="96"/>
              </w:rPr>
              <w:t>Other Rights That</w:t>
            </w:r>
          </w:p>
        </w:tc>
        <w:tc>
          <w:tcPr>
            <w:tcW w:w="0" w:type="dxa"/>
            <w:vAlign w:val="bottom"/>
          </w:tcPr>
          <w:p>
            <w:pPr>
              <w:spacing w:after="0"/>
              <w:rPr>
                <w:sz w:val="1"/>
                <w:szCs w:val="1"/>
                <w:color w:val="auto"/>
              </w:rPr>
            </w:pPr>
          </w:p>
        </w:tc>
      </w:tr>
      <w:tr>
        <w:trPr>
          <w:trHeight w:val="94"/>
        </w:trPr>
        <w:tc>
          <w:tcPr>
            <w:tcW w:w="1580" w:type="dxa"/>
            <w:vAlign w:val="bottom"/>
            <w:shd w:val="clear" w:color="auto" w:fill="0E2A35"/>
          </w:tcPr>
          <w:p>
            <w:pPr>
              <w:spacing w:after="0"/>
              <w:rPr>
                <w:sz w:val="8"/>
                <w:szCs w:val="8"/>
                <w:color w:val="auto"/>
              </w:rPr>
            </w:pPr>
          </w:p>
        </w:tc>
        <w:tc>
          <w:tcPr>
            <w:tcW w:w="100" w:type="dxa"/>
            <w:vAlign w:val="bottom"/>
            <w:shd w:val="clear" w:color="auto" w:fill="0E2A35"/>
          </w:tcPr>
          <w:p>
            <w:pPr>
              <w:spacing w:after="0"/>
              <w:rPr>
                <w:sz w:val="8"/>
                <w:szCs w:val="8"/>
                <w:color w:val="auto"/>
              </w:rPr>
            </w:pPr>
          </w:p>
        </w:tc>
        <w:tc>
          <w:tcPr>
            <w:tcW w:w="880" w:type="dxa"/>
            <w:vAlign w:val="bottom"/>
            <w:vMerge w:val="restart"/>
            <w:shd w:val="clear" w:color="auto" w:fill="0E2A35"/>
          </w:tcPr>
          <w:p>
            <w:pPr>
              <w:jc w:val="center"/>
              <w:ind w:right="79"/>
              <w:spacing w:after="0" w:line="135" w:lineRule="exact"/>
              <w:rPr>
                <w:sz w:val="20"/>
                <w:szCs w:val="20"/>
                <w:color w:val="auto"/>
              </w:rPr>
            </w:pPr>
            <w:r>
              <w:rPr>
                <w:rFonts w:ascii="Arial" w:cs="Arial" w:eastAsia="Arial" w:hAnsi="Arial"/>
                <w:sz w:val="12"/>
                <w:szCs w:val="12"/>
                <w:b w:val="1"/>
                <w:bCs w:val="1"/>
                <w:color w:val="FFFFFF"/>
              </w:rPr>
              <w:t>Options</w:t>
            </w:r>
          </w:p>
        </w:tc>
        <w:tc>
          <w:tcPr>
            <w:tcW w:w="1080" w:type="dxa"/>
            <w:vAlign w:val="bottom"/>
            <w:gridSpan w:val="2"/>
            <w:vMerge w:val="restart"/>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6"/>
              </w:rPr>
              <w:t>Options</w:t>
            </w:r>
          </w:p>
        </w:tc>
        <w:tc>
          <w:tcPr>
            <w:tcW w:w="760" w:type="dxa"/>
            <w:vAlign w:val="bottom"/>
            <w:vMerge w:val="restart"/>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7"/>
              </w:rPr>
              <w:t>Exercise</w:t>
            </w:r>
          </w:p>
        </w:tc>
        <w:tc>
          <w:tcPr>
            <w:tcW w:w="740" w:type="dxa"/>
            <w:vAlign w:val="bottom"/>
            <w:vMerge w:val="restart"/>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8"/>
              </w:rPr>
              <w:t>Option</w:t>
            </w:r>
          </w:p>
        </w:tc>
        <w:tc>
          <w:tcPr>
            <w:tcW w:w="220" w:type="dxa"/>
            <w:vAlign w:val="bottom"/>
            <w:shd w:val="clear" w:color="auto" w:fill="0E2A35"/>
          </w:tcPr>
          <w:p>
            <w:pPr>
              <w:spacing w:after="0"/>
              <w:rPr>
                <w:sz w:val="8"/>
                <w:szCs w:val="8"/>
                <w:color w:val="auto"/>
              </w:rPr>
            </w:pPr>
          </w:p>
        </w:tc>
        <w:tc>
          <w:tcPr>
            <w:tcW w:w="980" w:type="dxa"/>
            <w:vAlign w:val="bottom"/>
            <w:gridSpan w:val="2"/>
            <w:vMerge w:val="restart"/>
            <w:shd w:val="clear" w:color="auto" w:fill="0E2A35"/>
          </w:tcPr>
          <w:p>
            <w:pPr>
              <w:jc w:val="center"/>
              <w:ind w:right="68"/>
              <w:spacing w:after="0" w:line="135" w:lineRule="exact"/>
              <w:rPr>
                <w:sz w:val="20"/>
                <w:szCs w:val="20"/>
                <w:color w:val="auto"/>
              </w:rPr>
            </w:pPr>
            <w:r>
              <w:rPr>
                <w:rFonts w:ascii="Arial" w:cs="Arial" w:eastAsia="Arial" w:hAnsi="Arial"/>
                <w:sz w:val="12"/>
                <w:szCs w:val="12"/>
                <w:b w:val="1"/>
                <w:bCs w:val="1"/>
                <w:color w:val="FFFFFF"/>
                <w:w w:val="96"/>
              </w:rPr>
              <w:t>That Have Not</w:t>
            </w:r>
          </w:p>
        </w:tc>
        <w:tc>
          <w:tcPr>
            <w:tcW w:w="1020" w:type="dxa"/>
            <w:vAlign w:val="bottom"/>
            <w:vMerge w:val="continue"/>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240" w:type="dxa"/>
            <w:vAlign w:val="bottom"/>
            <w:vMerge w:val="restart"/>
            <w:shd w:val="clear" w:color="auto" w:fill="0E2A35"/>
          </w:tcPr>
          <w:p>
            <w:pPr>
              <w:jc w:val="center"/>
              <w:ind w:right="81"/>
              <w:spacing w:after="0" w:line="135" w:lineRule="exact"/>
              <w:rPr>
                <w:sz w:val="20"/>
                <w:szCs w:val="20"/>
                <w:color w:val="auto"/>
              </w:rPr>
            </w:pPr>
            <w:r>
              <w:rPr>
                <w:rFonts w:ascii="Arial" w:cs="Arial" w:eastAsia="Arial" w:hAnsi="Arial"/>
                <w:sz w:val="12"/>
                <w:szCs w:val="12"/>
                <w:b w:val="1"/>
                <w:bCs w:val="1"/>
                <w:color w:val="FFFFFF"/>
                <w:w w:val="95"/>
              </w:rPr>
              <w:t>Rights That Have</w:t>
            </w:r>
          </w:p>
        </w:tc>
        <w:tc>
          <w:tcPr>
            <w:tcW w:w="1340" w:type="dxa"/>
            <w:vAlign w:val="bottom"/>
            <w:vMerge w:val="continue"/>
            <w:shd w:val="clear" w:color="auto" w:fill="0E2A35"/>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580" w:type="dxa"/>
            <w:vAlign w:val="bottom"/>
            <w:shd w:val="clear" w:color="auto" w:fill="0E2A35"/>
          </w:tcPr>
          <w:p>
            <w:pPr>
              <w:spacing w:after="0"/>
              <w:rPr>
                <w:sz w:val="3"/>
                <w:szCs w:val="3"/>
                <w:color w:val="auto"/>
              </w:rPr>
            </w:pPr>
          </w:p>
        </w:tc>
        <w:tc>
          <w:tcPr>
            <w:tcW w:w="100" w:type="dxa"/>
            <w:vAlign w:val="bottom"/>
            <w:shd w:val="clear" w:color="auto" w:fill="0E2A35"/>
          </w:tcPr>
          <w:p>
            <w:pPr>
              <w:spacing w:after="0"/>
              <w:rPr>
                <w:sz w:val="3"/>
                <w:szCs w:val="3"/>
                <w:color w:val="auto"/>
              </w:rPr>
            </w:pPr>
          </w:p>
        </w:tc>
        <w:tc>
          <w:tcPr>
            <w:tcW w:w="880" w:type="dxa"/>
            <w:vAlign w:val="bottom"/>
            <w:vMerge w:val="continue"/>
            <w:shd w:val="clear" w:color="auto" w:fill="0E2A35"/>
          </w:tcPr>
          <w:p>
            <w:pPr>
              <w:spacing w:after="0"/>
              <w:rPr>
                <w:sz w:val="3"/>
                <w:szCs w:val="3"/>
                <w:color w:val="auto"/>
              </w:rPr>
            </w:pPr>
          </w:p>
        </w:tc>
        <w:tc>
          <w:tcPr>
            <w:tcW w:w="1080" w:type="dxa"/>
            <w:vAlign w:val="bottom"/>
            <w:gridSpan w:val="2"/>
            <w:vMerge w:val="continue"/>
            <w:shd w:val="clear" w:color="auto" w:fill="0E2A35"/>
          </w:tcPr>
          <w:p>
            <w:pPr>
              <w:spacing w:after="0"/>
              <w:rPr>
                <w:sz w:val="3"/>
                <w:szCs w:val="3"/>
                <w:color w:val="auto"/>
              </w:rPr>
            </w:pPr>
          </w:p>
        </w:tc>
        <w:tc>
          <w:tcPr>
            <w:tcW w:w="760" w:type="dxa"/>
            <w:vAlign w:val="bottom"/>
            <w:vMerge w:val="continue"/>
            <w:shd w:val="clear" w:color="auto" w:fill="0E2A35"/>
          </w:tcPr>
          <w:p>
            <w:pPr>
              <w:spacing w:after="0"/>
              <w:rPr>
                <w:sz w:val="3"/>
                <w:szCs w:val="3"/>
                <w:color w:val="auto"/>
              </w:rPr>
            </w:pPr>
          </w:p>
        </w:tc>
        <w:tc>
          <w:tcPr>
            <w:tcW w:w="740" w:type="dxa"/>
            <w:vAlign w:val="bottom"/>
            <w:vMerge w:val="continue"/>
            <w:shd w:val="clear" w:color="auto" w:fill="0E2A35"/>
          </w:tcPr>
          <w:p>
            <w:pPr>
              <w:spacing w:after="0"/>
              <w:rPr>
                <w:sz w:val="3"/>
                <w:szCs w:val="3"/>
                <w:color w:val="auto"/>
              </w:rPr>
            </w:pPr>
          </w:p>
        </w:tc>
        <w:tc>
          <w:tcPr>
            <w:tcW w:w="220" w:type="dxa"/>
            <w:vAlign w:val="bottom"/>
            <w:shd w:val="clear" w:color="auto" w:fill="0E2A35"/>
          </w:tcPr>
          <w:p>
            <w:pPr>
              <w:spacing w:after="0"/>
              <w:rPr>
                <w:sz w:val="3"/>
                <w:szCs w:val="3"/>
                <w:color w:val="auto"/>
              </w:rPr>
            </w:pPr>
          </w:p>
        </w:tc>
        <w:tc>
          <w:tcPr>
            <w:tcW w:w="980" w:type="dxa"/>
            <w:vAlign w:val="bottom"/>
            <w:gridSpan w:val="2"/>
            <w:vMerge w:val="continue"/>
            <w:shd w:val="clear" w:color="auto" w:fill="0E2A35"/>
          </w:tcPr>
          <w:p>
            <w:pPr>
              <w:spacing w:after="0"/>
              <w:rPr>
                <w:sz w:val="3"/>
                <w:szCs w:val="3"/>
                <w:color w:val="auto"/>
              </w:rPr>
            </w:pPr>
          </w:p>
        </w:tc>
        <w:tc>
          <w:tcPr>
            <w:tcW w:w="1020" w:type="dxa"/>
            <w:vAlign w:val="bottom"/>
            <w:vMerge w:val="restart"/>
            <w:shd w:val="clear" w:color="auto" w:fill="0E2A35"/>
          </w:tcPr>
          <w:p>
            <w:pPr>
              <w:jc w:val="center"/>
              <w:ind w:left="19"/>
              <w:spacing w:after="0"/>
              <w:rPr>
                <w:sz w:val="20"/>
                <w:szCs w:val="20"/>
                <w:color w:val="auto"/>
              </w:rPr>
            </w:pPr>
            <w:r>
              <w:rPr>
                <w:rFonts w:ascii="Arial" w:cs="Arial" w:eastAsia="Arial" w:hAnsi="Arial"/>
                <w:sz w:val="12"/>
                <w:szCs w:val="12"/>
                <w:b w:val="1"/>
                <w:bCs w:val="1"/>
                <w:color w:val="FFFFFF"/>
                <w:w w:val="96"/>
              </w:rPr>
              <w:t>Vested</w:t>
            </w:r>
          </w:p>
        </w:tc>
        <w:tc>
          <w:tcPr>
            <w:tcW w:w="220" w:type="dxa"/>
            <w:vAlign w:val="bottom"/>
            <w:shd w:val="clear" w:color="auto" w:fill="0E2A35"/>
          </w:tcPr>
          <w:p>
            <w:pPr>
              <w:spacing w:after="0"/>
              <w:rPr>
                <w:sz w:val="3"/>
                <w:szCs w:val="3"/>
                <w:color w:val="auto"/>
              </w:rPr>
            </w:pPr>
          </w:p>
        </w:tc>
        <w:tc>
          <w:tcPr>
            <w:tcW w:w="1240" w:type="dxa"/>
            <w:vAlign w:val="bottom"/>
            <w:vMerge w:val="continue"/>
            <w:shd w:val="clear" w:color="auto" w:fill="0E2A35"/>
          </w:tcPr>
          <w:p>
            <w:pPr>
              <w:spacing w:after="0"/>
              <w:rPr>
                <w:sz w:val="3"/>
                <w:szCs w:val="3"/>
                <w:color w:val="auto"/>
              </w:rPr>
            </w:pPr>
          </w:p>
        </w:tc>
        <w:tc>
          <w:tcPr>
            <w:tcW w:w="1340" w:type="dxa"/>
            <w:vAlign w:val="bottom"/>
            <w:vMerge w:val="restart"/>
            <w:shd w:val="clear" w:color="auto" w:fill="0E2A35"/>
          </w:tcPr>
          <w:p>
            <w:pPr>
              <w:jc w:val="center"/>
              <w:ind w:left="19"/>
              <w:spacing w:after="0"/>
              <w:rPr>
                <w:sz w:val="20"/>
                <w:szCs w:val="20"/>
                <w:color w:val="auto"/>
              </w:rPr>
            </w:pPr>
            <w:r>
              <w:rPr>
                <w:rFonts w:ascii="Arial" w:cs="Arial" w:eastAsia="Arial" w:hAnsi="Arial"/>
                <w:sz w:val="12"/>
                <w:szCs w:val="12"/>
                <w:b w:val="1"/>
                <w:bCs w:val="1"/>
                <w:color w:val="FFFFFF"/>
                <w:w w:val="94"/>
              </w:rPr>
              <w:t>Have Not Vested</w:t>
            </w:r>
          </w:p>
        </w:tc>
        <w:tc>
          <w:tcPr>
            <w:tcW w:w="0" w:type="dxa"/>
            <w:vAlign w:val="bottom"/>
          </w:tcPr>
          <w:p>
            <w:pPr>
              <w:spacing w:after="0"/>
              <w:rPr>
                <w:sz w:val="1"/>
                <w:szCs w:val="1"/>
                <w:color w:val="auto"/>
              </w:rPr>
            </w:pPr>
          </w:p>
        </w:tc>
      </w:tr>
      <w:tr>
        <w:trPr>
          <w:trHeight w:val="101"/>
        </w:trPr>
        <w:tc>
          <w:tcPr>
            <w:tcW w:w="1580" w:type="dxa"/>
            <w:vAlign w:val="bottom"/>
            <w:shd w:val="clear" w:color="auto" w:fill="0E2A35"/>
          </w:tcPr>
          <w:p>
            <w:pPr>
              <w:spacing w:after="0"/>
              <w:rPr>
                <w:sz w:val="8"/>
                <w:szCs w:val="8"/>
                <w:color w:val="auto"/>
              </w:rPr>
            </w:pPr>
          </w:p>
        </w:tc>
        <w:tc>
          <w:tcPr>
            <w:tcW w:w="100" w:type="dxa"/>
            <w:vAlign w:val="bottom"/>
            <w:shd w:val="clear" w:color="auto" w:fill="0E2A35"/>
          </w:tcPr>
          <w:p>
            <w:pPr>
              <w:spacing w:after="0"/>
              <w:rPr>
                <w:sz w:val="8"/>
                <w:szCs w:val="8"/>
                <w:color w:val="auto"/>
              </w:rPr>
            </w:pPr>
          </w:p>
        </w:tc>
        <w:tc>
          <w:tcPr>
            <w:tcW w:w="880" w:type="dxa"/>
            <w:vAlign w:val="bottom"/>
            <w:vMerge w:val="restart"/>
            <w:shd w:val="clear" w:color="auto" w:fill="0E2A35"/>
          </w:tcPr>
          <w:p>
            <w:pPr>
              <w:jc w:val="center"/>
              <w:ind w:right="79"/>
              <w:spacing w:after="0" w:line="135" w:lineRule="exact"/>
              <w:rPr>
                <w:sz w:val="20"/>
                <w:szCs w:val="20"/>
                <w:color w:val="auto"/>
              </w:rPr>
            </w:pPr>
            <w:r>
              <w:rPr>
                <w:rFonts w:ascii="Arial" w:cs="Arial" w:eastAsia="Arial" w:hAnsi="Arial"/>
                <w:sz w:val="12"/>
                <w:szCs w:val="12"/>
                <w:b w:val="1"/>
                <w:bCs w:val="1"/>
                <w:color w:val="FFFFFF"/>
                <w:w w:val="95"/>
              </w:rPr>
              <w:t>(#)</w:t>
            </w:r>
          </w:p>
        </w:tc>
        <w:tc>
          <w:tcPr>
            <w:tcW w:w="740" w:type="dxa"/>
            <w:vAlign w:val="bottom"/>
            <w:vMerge w:val="restart"/>
            <w:shd w:val="clear" w:color="auto" w:fill="0E2A35"/>
          </w:tcPr>
          <w:p>
            <w:pPr>
              <w:jc w:val="center"/>
              <w:ind w:left="258"/>
              <w:spacing w:after="0" w:line="135" w:lineRule="exact"/>
              <w:rPr>
                <w:sz w:val="20"/>
                <w:szCs w:val="20"/>
                <w:color w:val="auto"/>
              </w:rPr>
            </w:pPr>
            <w:r>
              <w:rPr>
                <w:rFonts w:ascii="Arial" w:cs="Arial" w:eastAsia="Arial" w:hAnsi="Arial"/>
                <w:sz w:val="12"/>
                <w:szCs w:val="12"/>
                <w:b w:val="1"/>
                <w:bCs w:val="1"/>
                <w:color w:val="FFFFFF"/>
                <w:w w:val="95"/>
              </w:rPr>
              <w:t>(#)</w:t>
            </w:r>
          </w:p>
        </w:tc>
        <w:tc>
          <w:tcPr>
            <w:tcW w:w="340" w:type="dxa"/>
            <w:vAlign w:val="bottom"/>
            <w:shd w:val="clear" w:color="auto" w:fill="0E2A35"/>
          </w:tcPr>
          <w:p>
            <w:pPr>
              <w:spacing w:after="0"/>
              <w:rPr>
                <w:sz w:val="8"/>
                <w:szCs w:val="8"/>
                <w:color w:val="auto"/>
              </w:rPr>
            </w:pPr>
          </w:p>
        </w:tc>
        <w:tc>
          <w:tcPr>
            <w:tcW w:w="760" w:type="dxa"/>
            <w:vAlign w:val="bottom"/>
            <w:vMerge w:val="restart"/>
            <w:shd w:val="clear" w:color="auto" w:fill="0E2A35"/>
          </w:tcPr>
          <w:p>
            <w:pPr>
              <w:jc w:val="center"/>
              <w:spacing w:after="0" w:line="135" w:lineRule="exact"/>
              <w:rPr>
                <w:sz w:val="20"/>
                <w:szCs w:val="20"/>
                <w:color w:val="auto"/>
              </w:rPr>
            </w:pPr>
            <w:r>
              <w:rPr>
                <w:rFonts w:ascii="Arial" w:cs="Arial" w:eastAsia="Arial" w:hAnsi="Arial"/>
                <w:sz w:val="12"/>
                <w:szCs w:val="12"/>
                <w:b w:val="1"/>
                <w:bCs w:val="1"/>
                <w:color w:val="FFFFFF"/>
                <w:w w:val="95"/>
              </w:rPr>
              <w:t>Price</w:t>
            </w:r>
          </w:p>
        </w:tc>
        <w:tc>
          <w:tcPr>
            <w:tcW w:w="740" w:type="dxa"/>
            <w:vAlign w:val="bottom"/>
            <w:vMerge w:val="restart"/>
            <w:shd w:val="clear" w:color="auto" w:fill="0E2A35"/>
          </w:tcPr>
          <w:p>
            <w:pPr>
              <w:jc w:val="center"/>
              <w:ind w:left="18"/>
              <w:spacing w:after="0" w:line="135" w:lineRule="exact"/>
              <w:rPr>
                <w:sz w:val="20"/>
                <w:szCs w:val="20"/>
                <w:color w:val="auto"/>
              </w:rPr>
            </w:pPr>
            <w:r>
              <w:rPr>
                <w:rFonts w:ascii="Arial" w:cs="Arial" w:eastAsia="Arial" w:hAnsi="Arial"/>
                <w:sz w:val="12"/>
                <w:szCs w:val="12"/>
                <w:b w:val="1"/>
                <w:bCs w:val="1"/>
                <w:color w:val="FFFFFF"/>
                <w:w w:val="98"/>
              </w:rPr>
              <w:t>Expiration</w:t>
            </w:r>
          </w:p>
        </w:tc>
        <w:tc>
          <w:tcPr>
            <w:tcW w:w="220" w:type="dxa"/>
            <w:vAlign w:val="bottom"/>
            <w:shd w:val="clear" w:color="auto" w:fill="0E2A35"/>
          </w:tcPr>
          <w:p>
            <w:pPr>
              <w:spacing w:after="0"/>
              <w:rPr>
                <w:sz w:val="8"/>
                <w:szCs w:val="8"/>
                <w:color w:val="auto"/>
              </w:rPr>
            </w:pPr>
          </w:p>
        </w:tc>
        <w:tc>
          <w:tcPr>
            <w:tcW w:w="620" w:type="dxa"/>
            <w:vAlign w:val="bottom"/>
            <w:vMerge w:val="restart"/>
            <w:shd w:val="clear" w:color="auto" w:fill="0E2A35"/>
          </w:tcPr>
          <w:p>
            <w:pPr>
              <w:jc w:val="center"/>
              <w:ind w:left="182"/>
              <w:spacing w:after="0" w:line="135" w:lineRule="exact"/>
              <w:rPr>
                <w:sz w:val="20"/>
                <w:szCs w:val="20"/>
                <w:color w:val="auto"/>
              </w:rPr>
            </w:pPr>
            <w:r>
              <w:rPr>
                <w:rFonts w:ascii="Arial" w:cs="Arial" w:eastAsia="Arial" w:hAnsi="Arial"/>
                <w:sz w:val="12"/>
                <w:szCs w:val="12"/>
                <w:b w:val="1"/>
                <w:bCs w:val="1"/>
                <w:color w:val="FFFFFF"/>
                <w:w w:val="96"/>
              </w:rPr>
              <w:t>Vested</w:t>
            </w:r>
          </w:p>
        </w:tc>
        <w:tc>
          <w:tcPr>
            <w:tcW w:w="360" w:type="dxa"/>
            <w:vAlign w:val="bottom"/>
            <w:shd w:val="clear" w:color="auto" w:fill="0E2A35"/>
          </w:tcPr>
          <w:p>
            <w:pPr>
              <w:spacing w:after="0"/>
              <w:rPr>
                <w:sz w:val="8"/>
                <w:szCs w:val="8"/>
                <w:color w:val="auto"/>
              </w:rPr>
            </w:pPr>
          </w:p>
        </w:tc>
        <w:tc>
          <w:tcPr>
            <w:tcW w:w="1020" w:type="dxa"/>
            <w:vAlign w:val="bottom"/>
            <w:vMerge w:val="continue"/>
            <w:shd w:val="clear" w:color="auto" w:fill="0E2A35"/>
          </w:tcPr>
          <w:p>
            <w:pPr>
              <w:spacing w:after="0"/>
              <w:rPr>
                <w:sz w:val="8"/>
                <w:szCs w:val="8"/>
                <w:color w:val="auto"/>
              </w:rPr>
            </w:pPr>
          </w:p>
        </w:tc>
        <w:tc>
          <w:tcPr>
            <w:tcW w:w="220" w:type="dxa"/>
            <w:vAlign w:val="bottom"/>
            <w:shd w:val="clear" w:color="auto" w:fill="0E2A35"/>
          </w:tcPr>
          <w:p>
            <w:pPr>
              <w:spacing w:after="0"/>
              <w:rPr>
                <w:sz w:val="8"/>
                <w:szCs w:val="8"/>
                <w:color w:val="auto"/>
              </w:rPr>
            </w:pPr>
          </w:p>
        </w:tc>
        <w:tc>
          <w:tcPr>
            <w:tcW w:w="1240" w:type="dxa"/>
            <w:vAlign w:val="bottom"/>
            <w:vMerge w:val="restart"/>
            <w:shd w:val="clear" w:color="auto" w:fill="0E2A35"/>
          </w:tcPr>
          <w:p>
            <w:pPr>
              <w:jc w:val="center"/>
              <w:ind w:right="81"/>
              <w:spacing w:after="0" w:line="135" w:lineRule="exact"/>
              <w:rPr>
                <w:sz w:val="20"/>
                <w:szCs w:val="20"/>
                <w:color w:val="auto"/>
              </w:rPr>
            </w:pPr>
            <w:r>
              <w:rPr>
                <w:rFonts w:ascii="Arial" w:cs="Arial" w:eastAsia="Arial" w:hAnsi="Arial"/>
                <w:sz w:val="12"/>
                <w:szCs w:val="12"/>
                <w:b w:val="1"/>
                <w:bCs w:val="1"/>
                <w:color w:val="FFFFFF"/>
                <w:w w:val="96"/>
              </w:rPr>
              <w:t>Not Yet Vested</w:t>
            </w:r>
          </w:p>
        </w:tc>
        <w:tc>
          <w:tcPr>
            <w:tcW w:w="1340" w:type="dxa"/>
            <w:vAlign w:val="bottom"/>
            <w:vMerge w:val="continue"/>
            <w:shd w:val="clear" w:color="auto" w:fill="0E2A35"/>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580" w:type="dxa"/>
            <w:vAlign w:val="bottom"/>
            <w:shd w:val="clear" w:color="auto" w:fill="0E2A35"/>
          </w:tcPr>
          <w:p>
            <w:pPr>
              <w:spacing w:after="0"/>
              <w:rPr>
                <w:sz w:val="2"/>
                <w:szCs w:val="2"/>
                <w:color w:val="auto"/>
              </w:rPr>
            </w:pPr>
          </w:p>
        </w:tc>
        <w:tc>
          <w:tcPr>
            <w:tcW w:w="100" w:type="dxa"/>
            <w:vAlign w:val="bottom"/>
            <w:shd w:val="clear" w:color="auto" w:fill="0E2A35"/>
          </w:tcPr>
          <w:p>
            <w:pPr>
              <w:spacing w:after="0"/>
              <w:rPr>
                <w:sz w:val="2"/>
                <w:szCs w:val="2"/>
                <w:color w:val="auto"/>
              </w:rPr>
            </w:pPr>
          </w:p>
        </w:tc>
        <w:tc>
          <w:tcPr>
            <w:tcW w:w="880" w:type="dxa"/>
            <w:vAlign w:val="bottom"/>
            <w:vMerge w:val="continue"/>
            <w:shd w:val="clear" w:color="auto" w:fill="0E2A35"/>
          </w:tcPr>
          <w:p>
            <w:pPr>
              <w:spacing w:after="0"/>
              <w:rPr>
                <w:sz w:val="2"/>
                <w:szCs w:val="2"/>
                <w:color w:val="auto"/>
              </w:rPr>
            </w:pPr>
          </w:p>
        </w:tc>
        <w:tc>
          <w:tcPr>
            <w:tcW w:w="740" w:type="dxa"/>
            <w:vAlign w:val="bottom"/>
            <w:vMerge w:val="continue"/>
            <w:shd w:val="clear" w:color="auto" w:fill="0E2A35"/>
          </w:tcPr>
          <w:p>
            <w:pPr>
              <w:spacing w:after="0"/>
              <w:rPr>
                <w:sz w:val="2"/>
                <w:szCs w:val="2"/>
                <w:color w:val="auto"/>
              </w:rPr>
            </w:pPr>
          </w:p>
        </w:tc>
        <w:tc>
          <w:tcPr>
            <w:tcW w:w="340" w:type="dxa"/>
            <w:vAlign w:val="bottom"/>
            <w:shd w:val="clear" w:color="auto" w:fill="0E2A35"/>
          </w:tcPr>
          <w:p>
            <w:pPr>
              <w:spacing w:after="0"/>
              <w:rPr>
                <w:sz w:val="2"/>
                <w:szCs w:val="2"/>
                <w:color w:val="auto"/>
              </w:rPr>
            </w:pPr>
          </w:p>
        </w:tc>
        <w:tc>
          <w:tcPr>
            <w:tcW w:w="760" w:type="dxa"/>
            <w:vAlign w:val="bottom"/>
            <w:vMerge w:val="continue"/>
            <w:shd w:val="clear" w:color="auto" w:fill="0E2A35"/>
          </w:tcPr>
          <w:p>
            <w:pPr>
              <w:spacing w:after="0"/>
              <w:rPr>
                <w:sz w:val="2"/>
                <w:szCs w:val="2"/>
                <w:color w:val="auto"/>
              </w:rPr>
            </w:pPr>
          </w:p>
        </w:tc>
        <w:tc>
          <w:tcPr>
            <w:tcW w:w="740" w:type="dxa"/>
            <w:vAlign w:val="bottom"/>
            <w:vMerge w:val="continue"/>
            <w:shd w:val="clear" w:color="auto" w:fill="0E2A35"/>
          </w:tcPr>
          <w:p>
            <w:pPr>
              <w:spacing w:after="0"/>
              <w:rPr>
                <w:sz w:val="2"/>
                <w:szCs w:val="2"/>
                <w:color w:val="auto"/>
              </w:rPr>
            </w:pPr>
          </w:p>
        </w:tc>
        <w:tc>
          <w:tcPr>
            <w:tcW w:w="220" w:type="dxa"/>
            <w:vAlign w:val="bottom"/>
            <w:shd w:val="clear" w:color="auto" w:fill="0E2A35"/>
          </w:tcPr>
          <w:p>
            <w:pPr>
              <w:spacing w:after="0"/>
              <w:rPr>
                <w:sz w:val="2"/>
                <w:szCs w:val="2"/>
                <w:color w:val="auto"/>
              </w:rPr>
            </w:pPr>
          </w:p>
        </w:tc>
        <w:tc>
          <w:tcPr>
            <w:tcW w:w="620" w:type="dxa"/>
            <w:vAlign w:val="bottom"/>
            <w:vMerge w:val="continue"/>
            <w:shd w:val="clear" w:color="auto" w:fill="0E2A35"/>
          </w:tcPr>
          <w:p>
            <w:pPr>
              <w:spacing w:after="0"/>
              <w:rPr>
                <w:sz w:val="2"/>
                <w:szCs w:val="2"/>
                <w:color w:val="auto"/>
              </w:rPr>
            </w:pPr>
          </w:p>
        </w:tc>
        <w:tc>
          <w:tcPr>
            <w:tcW w:w="360" w:type="dxa"/>
            <w:vAlign w:val="bottom"/>
            <w:shd w:val="clear" w:color="auto" w:fill="0E2A35"/>
          </w:tcPr>
          <w:p>
            <w:pPr>
              <w:spacing w:after="0"/>
              <w:rPr>
                <w:sz w:val="2"/>
                <w:szCs w:val="2"/>
                <w:color w:val="auto"/>
              </w:rPr>
            </w:pPr>
          </w:p>
        </w:tc>
        <w:tc>
          <w:tcPr>
            <w:tcW w:w="1020" w:type="dxa"/>
            <w:vAlign w:val="bottom"/>
            <w:vMerge w:val="restart"/>
            <w:shd w:val="clear" w:color="auto" w:fill="0E2A35"/>
          </w:tcPr>
          <w:p>
            <w:pPr>
              <w:jc w:val="center"/>
              <w:ind w:left="79"/>
              <w:spacing w:after="0" w:line="222" w:lineRule="exact"/>
              <w:rPr>
                <w:sz w:val="20"/>
                <w:szCs w:val="20"/>
                <w:color w:val="auto"/>
              </w:rPr>
            </w:pPr>
            <w:r>
              <w:rPr>
                <w:rFonts w:ascii="Arial" w:cs="Arial" w:eastAsia="Arial" w:hAnsi="Arial"/>
                <w:sz w:val="23"/>
                <w:szCs w:val="23"/>
                <w:b w:val="1"/>
                <w:bCs w:val="1"/>
                <w:color w:val="FFFFFF"/>
                <w:w w:val="87"/>
                <w:vertAlign w:val="subscript"/>
              </w:rPr>
              <w:t>($)</w:t>
            </w:r>
            <w:r>
              <w:rPr>
                <w:rFonts w:ascii="Arial" w:cs="Arial" w:eastAsia="Arial" w:hAnsi="Arial"/>
                <w:sz w:val="10"/>
                <w:szCs w:val="10"/>
                <w:b w:val="1"/>
                <w:bCs w:val="1"/>
                <w:color w:val="FFFFFF"/>
                <w:w w:val="87"/>
              </w:rPr>
              <w:t>(14)</w:t>
            </w:r>
          </w:p>
        </w:tc>
        <w:tc>
          <w:tcPr>
            <w:tcW w:w="220" w:type="dxa"/>
            <w:vAlign w:val="bottom"/>
            <w:shd w:val="clear" w:color="auto" w:fill="0E2A35"/>
          </w:tcPr>
          <w:p>
            <w:pPr>
              <w:spacing w:after="0"/>
              <w:rPr>
                <w:sz w:val="2"/>
                <w:szCs w:val="2"/>
                <w:color w:val="auto"/>
              </w:rPr>
            </w:pPr>
          </w:p>
        </w:tc>
        <w:tc>
          <w:tcPr>
            <w:tcW w:w="1240" w:type="dxa"/>
            <w:vAlign w:val="bottom"/>
            <w:vMerge w:val="continue"/>
            <w:shd w:val="clear" w:color="auto" w:fill="0E2A35"/>
          </w:tcPr>
          <w:p>
            <w:pPr>
              <w:spacing w:after="0"/>
              <w:rPr>
                <w:sz w:val="2"/>
                <w:szCs w:val="2"/>
                <w:color w:val="auto"/>
              </w:rPr>
            </w:pPr>
          </w:p>
        </w:tc>
        <w:tc>
          <w:tcPr>
            <w:tcW w:w="1340" w:type="dxa"/>
            <w:vAlign w:val="bottom"/>
            <w:vMerge w:val="restart"/>
            <w:shd w:val="clear" w:color="auto" w:fill="0E2A35"/>
          </w:tcPr>
          <w:p>
            <w:pPr>
              <w:jc w:val="center"/>
              <w:ind w:left="39"/>
              <w:spacing w:after="0" w:line="222" w:lineRule="exact"/>
              <w:rPr>
                <w:sz w:val="20"/>
                <w:szCs w:val="20"/>
                <w:color w:val="auto"/>
              </w:rPr>
            </w:pPr>
            <w:r>
              <w:rPr>
                <w:rFonts w:ascii="Arial" w:cs="Arial" w:eastAsia="Arial" w:hAnsi="Arial"/>
                <w:sz w:val="23"/>
                <w:szCs w:val="23"/>
                <w:b w:val="1"/>
                <w:bCs w:val="1"/>
                <w:color w:val="FFFFFF"/>
                <w:w w:val="87"/>
                <w:vertAlign w:val="subscript"/>
              </w:rPr>
              <w:t>($)</w:t>
            </w:r>
            <w:r>
              <w:rPr>
                <w:rFonts w:ascii="Arial" w:cs="Arial" w:eastAsia="Arial" w:hAnsi="Arial"/>
                <w:sz w:val="10"/>
                <w:szCs w:val="10"/>
                <w:b w:val="1"/>
                <w:bCs w:val="1"/>
                <w:color w:val="FFFFFF"/>
                <w:w w:val="87"/>
              </w:rPr>
              <w:t>(15)</w:t>
            </w:r>
          </w:p>
        </w:tc>
        <w:tc>
          <w:tcPr>
            <w:tcW w:w="0" w:type="dxa"/>
            <w:vAlign w:val="bottom"/>
          </w:tcPr>
          <w:p>
            <w:pPr>
              <w:spacing w:after="0" w:line="20" w:lineRule="exact"/>
              <w:rPr>
                <w:sz w:val="1"/>
                <w:szCs w:val="1"/>
                <w:color w:val="auto"/>
              </w:rPr>
            </w:pPr>
          </w:p>
        </w:tc>
      </w:tr>
      <w:tr>
        <w:trPr>
          <w:trHeight w:val="187"/>
        </w:trPr>
        <w:tc>
          <w:tcPr>
            <w:tcW w:w="1580" w:type="dxa"/>
            <w:vAlign w:val="bottom"/>
            <w:shd w:val="clear" w:color="auto" w:fill="0E2A35"/>
          </w:tcPr>
          <w:p>
            <w:pPr>
              <w:ind w:left="60"/>
              <w:spacing w:after="0"/>
              <w:rPr>
                <w:sz w:val="20"/>
                <w:szCs w:val="20"/>
                <w:color w:val="auto"/>
              </w:rPr>
            </w:pPr>
            <w:r>
              <w:rPr>
                <w:rFonts w:ascii="Arial" w:cs="Arial" w:eastAsia="Arial" w:hAnsi="Arial"/>
                <w:sz w:val="12"/>
                <w:szCs w:val="12"/>
                <w:b w:val="1"/>
                <w:bCs w:val="1"/>
                <w:color w:val="FFFFFF"/>
              </w:rPr>
              <w:t>Name</w:t>
            </w:r>
          </w:p>
        </w:tc>
        <w:tc>
          <w:tcPr>
            <w:tcW w:w="100" w:type="dxa"/>
            <w:vAlign w:val="bottom"/>
            <w:shd w:val="clear" w:color="auto" w:fill="0E2A35"/>
          </w:tcPr>
          <w:p>
            <w:pPr>
              <w:spacing w:after="0"/>
              <w:rPr>
                <w:sz w:val="16"/>
                <w:szCs w:val="16"/>
                <w:color w:val="auto"/>
              </w:rPr>
            </w:pPr>
          </w:p>
        </w:tc>
        <w:tc>
          <w:tcPr>
            <w:tcW w:w="880" w:type="dxa"/>
            <w:vAlign w:val="bottom"/>
            <w:shd w:val="clear" w:color="auto" w:fill="0E2A35"/>
          </w:tcPr>
          <w:p>
            <w:pPr>
              <w:jc w:val="center"/>
              <w:ind w:right="39"/>
              <w:spacing w:after="0"/>
              <w:rPr>
                <w:sz w:val="20"/>
                <w:szCs w:val="20"/>
                <w:color w:val="auto"/>
              </w:rPr>
            </w:pPr>
            <w:r>
              <w:rPr>
                <w:rFonts w:ascii="Arial" w:cs="Arial" w:eastAsia="Arial" w:hAnsi="Arial"/>
                <w:sz w:val="12"/>
                <w:szCs w:val="12"/>
                <w:b w:val="1"/>
                <w:bCs w:val="1"/>
                <w:color w:val="FFFFFF"/>
                <w:w w:val="98"/>
              </w:rPr>
              <w:t>Exercisable</w:t>
            </w:r>
          </w:p>
        </w:tc>
        <w:tc>
          <w:tcPr>
            <w:tcW w:w="1080" w:type="dxa"/>
            <w:vAlign w:val="bottom"/>
            <w:gridSpan w:val="2"/>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Unexercisable</w:t>
            </w:r>
          </w:p>
        </w:tc>
        <w:tc>
          <w:tcPr>
            <w:tcW w:w="760" w:type="dxa"/>
            <w:vAlign w:val="bottom"/>
            <w:shd w:val="clear" w:color="auto" w:fill="0E2A35"/>
          </w:tcPr>
          <w:p>
            <w:pPr>
              <w:jc w:val="center"/>
              <w:spacing w:after="0"/>
              <w:rPr>
                <w:sz w:val="20"/>
                <w:szCs w:val="20"/>
                <w:color w:val="auto"/>
              </w:rPr>
            </w:pPr>
            <w:r>
              <w:rPr>
                <w:rFonts w:ascii="Arial" w:cs="Arial" w:eastAsia="Arial" w:hAnsi="Arial"/>
                <w:sz w:val="12"/>
                <w:szCs w:val="12"/>
                <w:b w:val="1"/>
                <w:bCs w:val="1"/>
                <w:color w:val="FFFFFF"/>
                <w:w w:val="95"/>
              </w:rPr>
              <w:t>($)</w:t>
            </w:r>
          </w:p>
        </w:tc>
        <w:tc>
          <w:tcPr>
            <w:tcW w:w="740" w:type="dxa"/>
            <w:vAlign w:val="bottom"/>
            <w:shd w:val="clear" w:color="auto" w:fill="0E2A35"/>
          </w:tcPr>
          <w:p>
            <w:pPr>
              <w:jc w:val="center"/>
              <w:ind w:left="38"/>
              <w:spacing w:after="0"/>
              <w:rPr>
                <w:sz w:val="20"/>
                <w:szCs w:val="20"/>
                <w:color w:val="auto"/>
              </w:rPr>
            </w:pPr>
            <w:r>
              <w:rPr>
                <w:rFonts w:ascii="Arial" w:cs="Arial" w:eastAsia="Arial" w:hAnsi="Arial"/>
                <w:sz w:val="12"/>
                <w:szCs w:val="12"/>
                <w:b w:val="1"/>
                <w:bCs w:val="1"/>
                <w:color w:val="FFFFFF"/>
                <w:w w:val="92"/>
              </w:rPr>
              <w:t>Date</w:t>
            </w:r>
          </w:p>
        </w:tc>
        <w:tc>
          <w:tcPr>
            <w:tcW w:w="840" w:type="dxa"/>
            <w:vAlign w:val="bottom"/>
            <w:gridSpan w:val="2"/>
            <w:shd w:val="clear" w:color="auto" w:fill="0E2A35"/>
          </w:tcPr>
          <w:p>
            <w:pPr>
              <w:jc w:val="center"/>
              <w:ind w:left="424"/>
              <w:spacing w:after="0"/>
              <w:rPr>
                <w:sz w:val="20"/>
                <w:szCs w:val="20"/>
                <w:color w:val="auto"/>
              </w:rPr>
            </w:pPr>
            <w:r>
              <w:rPr>
                <w:rFonts w:ascii="Arial" w:cs="Arial" w:eastAsia="Arial" w:hAnsi="Arial"/>
                <w:sz w:val="12"/>
                <w:szCs w:val="12"/>
                <w:b w:val="1"/>
                <w:bCs w:val="1"/>
                <w:color w:val="FFFFFF"/>
              </w:rPr>
              <w:t>(#)</w:t>
            </w:r>
          </w:p>
        </w:tc>
        <w:tc>
          <w:tcPr>
            <w:tcW w:w="360" w:type="dxa"/>
            <w:vAlign w:val="bottom"/>
            <w:shd w:val="clear" w:color="auto" w:fill="0E2A35"/>
          </w:tcPr>
          <w:p>
            <w:pPr>
              <w:spacing w:after="0"/>
              <w:rPr>
                <w:sz w:val="16"/>
                <w:szCs w:val="16"/>
                <w:color w:val="auto"/>
              </w:rPr>
            </w:pPr>
          </w:p>
        </w:tc>
        <w:tc>
          <w:tcPr>
            <w:tcW w:w="1020" w:type="dxa"/>
            <w:vAlign w:val="bottom"/>
            <w:vMerge w:val="continue"/>
            <w:shd w:val="clear" w:color="auto" w:fill="0E2A35"/>
          </w:tcPr>
          <w:p>
            <w:pPr>
              <w:spacing w:after="0"/>
              <w:rPr>
                <w:sz w:val="16"/>
                <w:szCs w:val="16"/>
                <w:color w:val="auto"/>
              </w:rPr>
            </w:pPr>
          </w:p>
        </w:tc>
        <w:tc>
          <w:tcPr>
            <w:tcW w:w="1460" w:type="dxa"/>
            <w:vAlign w:val="bottom"/>
            <w:gridSpan w:val="2"/>
            <w:shd w:val="clear" w:color="auto" w:fill="0E2A35"/>
          </w:tcPr>
          <w:p>
            <w:pPr>
              <w:jc w:val="center"/>
              <w:ind w:left="65"/>
              <w:spacing w:after="0"/>
              <w:rPr>
                <w:sz w:val="20"/>
                <w:szCs w:val="20"/>
                <w:color w:val="auto"/>
              </w:rPr>
            </w:pPr>
            <w:r>
              <w:rPr>
                <w:rFonts w:ascii="Arial" w:cs="Arial" w:eastAsia="Arial" w:hAnsi="Arial"/>
                <w:sz w:val="12"/>
                <w:szCs w:val="12"/>
                <w:b w:val="1"/>
                <w:bCs w:val="1"/>
                <w:color w:val="FFFFFF"/>
                <w:w w:val="95"/>
              </w:rPr>
              <w:t>(#)</w:t>
            </w:r>
          </w:p>
        </w:tc>
        <w:tc>
          <w:tcPr>
            <w:tcW w:w="1340" w:type="dxa"/>
            <w:vAlign w:val="bottom"/>
            <w:vMerge w:val="continue"/>
            <w:shd w:val="clear" w:color="auto" w:fill="0E2A3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80" w:type="dxa"/>
            <w:vAlign w:val="bottom"/>
          </w:tcPr>
          <w:p>
            <w:pPr>
              <w:ind w:left="60"/>
              <w:spacing w:after="0"/>
              <w:rPr>
                <w:sz w:val="20"/>
                <w:szCs w:val="20"/>
                <w:color w:val="auto"/>
              </w:rPr>
            </w:pPr>
            <w:r>
              <w:rPr>
                <w:rFonts w:ascii="Arial" w:cs="Arial" w:eastAsia="Arial" w:hAnsi="Arial"/>
                <w:sz w:val="13"/>
                <w:szCs w:val="13"/>
                <w:color w:val="0E2A35"/>
              </w:rPr>
              <w:t>Michael J. Happe</w:t>
            </w:r>
          </w:p>
        </w:tc>
        <w:tc>
          <w:tcPr>
            <w:tcW w:w="980" w:type="dxa"/>
            <w:vAlign w:val="bottom"/>
            <w:gridSpan w:val="2"/>
          </w:tcPr>
          <w:p>
            <w:pPr>
              <w:jc w:val="right"/>
              <w:ind w:right="259"/>
              <w:spacing w:after="0"/>
              <w:rPr>
                <w:sz w:val="20"/>
                <w:szCs w:val="20"/>
                <w:color w:val="auto"/>
              </w:rPr>
            </w:pPr>
            <w:r>
              <w:rPr>
                <w:rFonts w:ascii="Arial" w:cs="Arial" w:eastAsia="Arial" w:hAnsi="Arial"/>
                <w:sz w:val="13"/>
                <w:szCs w:val="13"/>
                <w:color w:val="0E2A35"/>
              </w:rPr>
              <w:t>10,000</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(1)</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16.67</w:t>
            </w:r>
          </w:p>
        </w:tc>
        <w:tc>
          <w:tcPr>
            <w:tcW w:w="740" w:type="dxa"/>
            <w:vAlign w:val="bottom"/>
          </w:tcPr>
          <w:p>
            <w:pPr>
              <w:ind w:left="180"/>
              <w:spacing w:after="0"/>
              <w:rPr>
                <w:sz w:val="20"/>
                <w:szCs w:val="20"/>
                <w:color w:val="auto"/>
              </w:rPr>
            </w:pPr>
            <w:r>
              <w:rPr>
                <w:rFonts w:ascii="Arial" w:cs="Arial" w:eastAsia="Arial" w:hAnsi="Arial"/>
                <w:sz w:val="13"/>
                <w:szCs w:val="13"/>
                <w:color w:val="0E2A35"/>
              </w:rPr>
              <w:t>01/18/26</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980" w:type="dxa"/>
            <w:vAlign w:val="bottom"/>
            <w:tcBorders>
              <w:bottom w:val="single" w:sz="8" w:color="0E2A35"/>
            </w:tcBorders>
            <w:gridSpan w:val="2"/>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980" w:type="dxa"/>
            <w:vAlign w:val="bottom"/>
            <w:gridSpan w:val="2"/>
          </w:tcPr>
          <w:p>
            <w:pPr>
              <w:jc w:val="right"/>
              <w:ind w:right="259"/>
              <w:spacing w:after="0"/>
              <w:rPr>
                <w:sz w:val="20"/>
                <w:szCs w:val="20"/>
                <w:color w:val="auto"/>
              </w:rPr>
            </w:pPr>
            <w:r>
              <w:rPr>
                <w:rFonts w:ascii="Arial" w:cs="Arial" w:eastAsia="Arial" w:hAnsi="Arial"/>
                <w:sz w:val="13"/>
                <w:szCs w:val="13"/>
                <w:color w:val="0E2A35"/>
              </w:rPr>
              <w:t>13,300</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(2)</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27.89</w:t>
            </w:r>
          </w:p>
        </w:tc>
        <w:tc>
          <w:tcPr>
            <w:tcW w:w="740" w:type="dxa"/>
            <w:vAlign w:val="bottom"/>
          </w:tcPr>
          <w:p>
            <w:pPr>
              <w:ind w:left="180"/>
              <w:spacing w:after="0"/>
              <w:rPr>
                <w:sz w:val="20"/>
                <w:szCs w:val="20"/>
                <w:color w:val="auto"/>
              </w:rPr>
            </w:pPr>
            <w:r>
              <w:rPr>
                <w:rFonts w:ascii="Arial" w:cs="Arial" w:eastAsia="Arial" w:hAnsi="Arial"/>
                <w:sz w:val="13"/>
                <w:szCs w:val="13"/>
                <w:color w:val="0E2A35"/>
              </w:rPr>
              <w:t>10/11/26</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980" w:type="dxa"/>
            <w:vAlign w:val="bottom"/>
            <w:tcBorders>
              <w:bottom w:val="single" w:sz="8" w:color="0E2A35"/>
            </w:tcBorders>
            <w:gridSpan w:val="2"/>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980" w:type="dxa"/>
            <w:vAlign w:val="bottom"/>
            <w:gridSpan w:val="2"/>
          </w:tcPr>
          <w:p>
            <w:pPr>
              <w:jc w:val="right"/>
              <w:ind w:right="259"/>
              <w:spacing w:after="0"/>
              <w:rPr>
                <w:sz w:val="20"/>
                <w:szCs w:val="20"/>
                <w:color w:val="auto"/>
              </w:rPr>
            </w:pPr>
            <w:r>
              <w:rPr>
                <w:rFonts w:ascii="Arial" w:cs="Arial" w:eastAsia="Arial" w:hAnsi="Arial"/>
                <w:sz w:val="13"/>
                <w:szCs w:val="13"/>
                <w:color w:val="0E2A35"/>
              </w:rPr>
              <w:t>17,000</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(3)</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35.50</w:t>
            </w:r>
          </w:p>
        </w:tc>
        <w:tc>
          <w:tcPr>
            <w:tcW w:w="740" w:type="dxa"/>
            <w:vAlign w:val="bottom"/>
          </w:tcPr>
          <w:p>
            <w:pPr>
              <w:ind w:left="180"/>
              <w:spacing w:after="0"/>
              <w:rPr>
                <w:sz w:val="20"/>
                <w:szCs w:val="20"/>
                <w:color w:val="auto"/>
              </w:rPr>
            </w:pPr>
            <w:r>
              <w:rPr>
                <w:rFonts w:ascii="Arial" w:cs="Arial" w:eastAsia="Arial" w:hAnsi="Arial"/>
                <w:sz w:val="13"/>
                <w:szCs w:val="13"/>
                <w:color w:val="0E2A35"/>
              </w:rPr>
              <w:t>12/13/26</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9"/>
              <w:spacing w:after="0"/>
              <w:rPr>
                <w:sz w:val="20"/>
                <w:szCs w:val="20"/>
                <w:color w:val="auto"/>
              </w:rPr>
            </w:pPr>
            <w:r>
              <w:rPr>
                <w:rFonts w:ascii="Arial" w:cs="Arial" w:eastAsia="Arial" w:hAnsi="Arial"/>
                <w:sz w:val="13"/>
                <w:szCs w:val="13"/>
                <w:color w:val="0E2A35"/>
              </w:rPr>
              <w:t>28,015​</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(4)</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44.40</w:t>
            </w:r>
          </w:p>
        </w:tc>
        <w:tc>
          <w:tcPr>
            <w:tcW w:w="740" w:type="dxa"/>
            <w:vAlign w:val="bottom"/>
          </w:tcPr>
          <w:p>
            <w:pPr>
              <w:ind w:left="180"/>
              <w:spacing w:after="0"/>
              <w:rPr>
                <w:sz w:val="20"/>
                <w:szCs w:val="20"/>
                <w:color w:val="auto"/>
              </w:rPr>
            </w:pPr>
            <w:r>
              <w:rPr>
                <w:rFonts w:ascii="Arial" w:cs="Arial" w:eastAsia="Arial" w:hAnsi="Arial"/>
                <w:sz w:val="13"/>
                <w:szCs w:val="13"/>
                <w:color w:val="0E2A35"/>
              </w:rPr>
              <w:t>10/18/27</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980" w:type="dxa"/>
            <w:vAlign w:val="bottom"/>
            <w:tcBorders>
              <w:bottom w:val="single" w:sz="8" w:color="0E2A35"/>
            </w:tcBorders>
            <w:gridSpan w:val="2"/>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980" w:type="dxa"/>
            <w:vAlign w:val="bottom"/>
            <w:gridSpan w:val="2"/>
          </w:tcPr>
          <w:p>
            <w:pPr>
              <w:jc w:val="right"/>
              <w:ind w:right="259"/>
              <w:spacing w:after="0"/>
              <w:rPr>
                <w:sz w:val="20"/>
                <w:szCs w:val="20"/>
                <w:color w:val="auto"/>
              </w:rPr>
            </w:pPr>
            <w:r>
              <w:rPr>
                <w:rFonts w:ascii="Arial" w:cs="Arial" w:eastAsia="Arial" w:hAnsi="Arial"/>
                <w:sz w:val="13"/>
                <w:szCs w:val="13"/>
                <w:color w:val="0E2A35"/>
              </w:rPr>
              <w:t>42,831</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(5)</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31.70</w:t>
            </w:r>
          </w:p>
        </w:tc>
        <w:tc>
          <w:tcPr>
            <w:tcW w:w="740" w:type="dxa"/>
            <w:vAlign w:val="bottom"/>
          </w:tcPr>
          <w:p>
            <w:pPr>
              <w:ind w:left="180"/>
              <w:spacing w:after="0"/>
              <w:rPr>
                <w:sz w:val="20"/>
                <w:szCs w:val="20"/>
                <w:color w:val="auto"/>
              </w:rPr>
            </w:pPr>
            <w:r>
              <w:rPr>
                <w:rFonts w:ascii="Arial" w:cs="Arial" w:eastAsia="Arial" w:hAnsi="Arial"/>
                <w:sz w:val="13"/>
                <w:szCs w:val="13"/>
                <w:color w:val="0E2A35"/>
              </w:rPr>
              <w:t>10/15/28</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9"/>
              <w:spacing w:after="0"/>
              <w:rPr>
                <w:sz w:val="20"/>
                <w:szCs w:val="20"/>
                <w:color w:val="auto"/>
              </w:rPr>
            </w:pPr>
            <w:r>
              <w:rPr>
                <w:rFonts w:ascii="Arial" w:cs="Arial" w:eastAsia="Arial" w:hAnsi="Arial"/>
                <w:sz w:val="13"/>
                <w:szCs w:val="13"/>
                <w:color w:val="0E2A35"/>
              </w:rPr>
              <w:t>27,417​</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(6)</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47.93</w:t>
            </w:r>
          </w:p>
        </w:tc>
        <w:tc>
          <w:tcPr>
            <w:tcW w:w="740" w:type="dxa"/>
            <w:vAlign w:val="bottom"/>
          </w:tcPr>
          <w:p>
            <w:pPr>
              <w:ind w:left="180"/>
              <w:spacing w:after="0"/>
              <w:rPr>
                <w:sz w:val="20"/>
                <w:szCs w:val="20"/>
                <w:color w:val="auto"/>
              </w:rPr>
            </w:pPr>
            <w:r>
              <w:rPr>
                <w:rFonts w:ascii="Arial" w:cs="Arial" w:eastAsia="Arial" w:hAnsi="Arial"/>
                <w:sz w:val="13"/>
                <w:szCs w:val="13"/>
                <w:color w:val="0E2A35"/>
              </w:rPr>
              <w:t>12/17/29</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9"/>
              <w:spacing w:after="0"/>
              <w:rPr>
                <w:sz w:val="20"/>
                <w:szCs w:val="20"/>
                <w:color w:val="auto"/>
              </w:rPr>
            </w:pPr>
            <w:r>
              <w:rPr>
                <w:rFonts w:ascii="Arial" w:cs="Arial" w:eastAsia="Arial" w:hAnsi="Arial"/>
                <w:sz w:val="13"/>
                <w:szCs w:val="13"/>
                <w:color w:val="0E2A35"/>
              </w:rPr>
              <w:t>17,104​</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8,556</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(7)</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54.49</w:t>
            </w:r>
          </w:p>
        </w:tc>
        <w:tc>
          <w:tcPr>
            <w:tcW w:w="740" w:type="dxa"/>
            <w:vAlign w:val="bottom"/>
          </w:tcPr>
          <w:p>
            <w:pPr>
              <w:ind w:left="180"/>
              <w:spacing w:after="0"/>
              <w:rPr>
                <w:sz w:val="20"/>
                <w:szCs w:val="20"/>
                <w:color w:val="auto"/>
              </w:rPr>
            </w:pPr>
            <w:r>
              <w:rPr>
                <w:rFonts w:ascii="Arial" w:cs="Arial" w:eastAsia="Arial" w:hAnsi="Arial"/>
                <w:sz w:val="13"/>
                <w:szCs w:val="13"/>
                <w:color w:val="0E2A35"/>
              </w:rPr>
              <w:t>10/13/30</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980" w:type="dxa"/>
            <w:vAlign w:val="bottom"/>
            <w:tcBorders>
              <w:bottom w:val="single" w:sz="8" w:color="0E2A35"/>
            </w:tcBorders>
            <w:gridSpan w:val="2"/>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980" w:type="dxa"/>
            <w:vAlign w:val="bottom"/>
            <w:gridSpan w:val="2"/>
          </w:tcPr>
          <w:p>
            <w:pPr>
              <w:jc w:val="right"/>
              <w:ind w:right="259"/>
              <w:spacing w:after="0" w:line="142" w:lineRule="exact"/>
              <w:rPr>
                <w:sz w:val="20"/>
                <w:szCs w:val="20"/>
                <w:color w:val="auto"/>
              </w:rPr>
            </w:pPr>
            <w:r>
              <w:rPr>
                <w:rFonts w:ascii="Arial" w:cs="Arial" w:eastAsia="Arial" w:hAnsi="Arial"/>
                <w:sz w:val="13"/>
                <w:szCs w:val="13"/>
                <w:color w:val="0E2A35"/>
              </w:rPr>
              <w:t>6,890</w:t>
            </w:r>
          </w:p>
        </w:tc>
        <w:tc>
          <w:tcPr>
            <w:tcW w:w="740" w:type="dxa"/>
            <w:vAlign w:val="bottom"/>
          </w:tcPr>
          <w:p>
            <w:pPr>
              <w:spacing w:after="0"/>
              <w:rPr>
                <w:sz w:val="12"/>
                <w:szCs w:val="12"/>
                <w:color w:val="auto"/>
              </w:rPr>
            </w:pP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(8)</w:t>
            </w:r>
          </w:p>
        </w:tc>
        <w:tc>
          <w:tcPr>
            <w:tcW w:w="760" w:type="dxa"/>
            <w:vAlign w:val="bottom"/>
          </w:tcPr>
          <w:p>
            <w:pPr>
              <w:jc w:val="right"/>
              <w:ind w:right="178"/>
              <w:spacing w:after="0" w:line="142" w:lineRule="exact"/>
              <w:rPr>
                <w:sz w:val="20"/>
                <w:szCs w:val="20"/>
                <w:color w:val="auto"/>
              </w:rPr>
            </w:pPr>
            <w:r>
              <w:rPr>
                <w:rFonts w:ascii="Arial" w:cs="Arial" w:eastAsia="Arial" w:hAnsi="Arial"/>
                <w:sz w:val="13"/>
                <w:szCs w:val="13"/>
                <w:color w:val="0E2A35"/>
              </w:rPr>
              <w:t>75.59</w:t>
            </w:r>
          </w:p>
        </w:tc>
        <w:tc>
          <w:tcPr>
            <w:tcW w:w="740" w:type="dxa"/>
            <w:vAlign w:val="bottom"/>
          </w:tcPr>
          <w:p>
            <w:pPr>
              <w:ind w:left="180"/>
              <w:spacing w:after="0" w:line="142" w:lineRule="exact"/>
              <w:rPr>
                <w:sz w:val="20"/>
                <w:szCs w:val="20"/>
                <w:color w:val="auto"/>
              </w:rPr>
            </w:pPr>
            <w:r>
              <w:rPr>
                <w:rFonts w:ascii="Arial" w:cs="Arial" w:eastAsia="Arial" w:hAnsi="Arial"/>
                <w:sz w:val="13"/>
                <w:szCs w:val="13"/>
                <w:color w:val="0E2A35"/>
              </w:rPr>
              <w:t>10/12/31</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1080" w:type="dxa"/>
            <w:vAlign w:val="bottom"/>
            <w:tcBorders>
              <w:bottom w:val="single" w:sz="8" w:color="0E2A35"/>
            </w:tcBorders>
            <w:gridSpan w:val="2"/>
          </w:tcPr>
          <w:p>
            <w:pPr>
              <w:jc w:val="right"/>
              <w:ind w:right="288"/>
              <w:spacing w:after="0" w:line="108" w:lineRule="exact"/>
              <w:rPr>
                <w:sz w:val="20"/>
                <w:szCs w:val="20"/>
                <w:color w:val="auto"/>
              </w:rPr>
            </w:pPr>
            <w:r>
              <w:rPr>
                <w:rFonts w:ascii="Arial" w:cs="Arial" w:eastAsia="Arial" w:hAnsi="Arial"/>
                <w:sz w:val="12"/>
                <w:szCs w:val="12"/>
                <w:color w:val="0E2A35"/>
              </w:rPr>
              <w:t>13,779</w:t>
            </w: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59"/>
              <w:spacing w:after="0" w:line="142" w:lineRule="exact"/>
              <w:rPr>
                <w:sz w:val="20"/>
                <w:szCs w:val="20"/>
                <w:color w:val="auto"/>
              </w:rPr>
            </w:pPr>
            <w:r>
              <w:rPr>
                <w:rFonts w:ascii="Arial" w:cs="Arial" w:eastAsia="Arial" w:hAnsi="Arial"/>
                <w:sz w:val="13"/>
                <w:szCs w:val="13"/>
                <w:color w:val="0E2A35"/>
              </w:rPr>
              <w:t>—​</w:t>
            </w:r>
          </w:p>
        </w:tc>
        <w:tc>
          <w:tcPr>
            <w:tcW w:w="740" w:type="dxa"/>
            <w:vAlign w:val="bottom"/>
          </w:tcPr>
          <w:p>
            <w:pPr>
              <w:spacing w:after="0"/>
              <w:rPr>
                <w:sz w:val="12"/>
                <w:szCs w:val="12"/>
                <w:color w:val="auto"/>
              </w:rPr>
            </w:pP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(9)</w:t>
            </w:r>
          </w:p>
        </w:tc>
        <w:tc>
          <w:tcPr>
            <w:tcW w:w="760" w:type="dxa"/>
            <w:vAlign w:val="bottom"/>
          </w:tcPr>
          <w:p>
            <w:pPr>
              <w:jc w:val="right"/>
              <w:ind w:right="178"/>
              <w:spacing w:after="0" w:line="142" w:lineRule="exact"/>
              <w:rPr>
                <w:sz w:val="20"/>
                <w:szCs w:val="20"/>
                <w:color w:val="auto"/>
              </w:rPr>
            </w:pPr>
            <w:r>
              <w:rPr>
                <w:rFonts w:ascii="Arial" w:cs="Arial" w:eastAsia="Arial" w:hAnsi="Arial"/>
                <w:sz w:val="13"/>
                <w:szCs w:val="13"/>
                <w:color w:val="0E2A35"/>
              </w:rPr>
              <w:t>56.09</w:t>
            </w:r>
          </w:p>
        </w:tc>
        <w:tc>
          <w:tcPr>
            <w:tcW w:w="740" w:type="dxa"/>
            <w:vAlign w:val="bottom"/>
          </w:tcPr>
          <w:p>
            <w:pPr>
              <w:ind w:left="180"/>
              <w:spacing w:after="0" w:line="142" w:lineRule="exact"/>
              <w:rPr>
                <w:sz w:val="20"/>
                <w:szCs w:val="20"/>
                <w:color w:val="auto"/>
              </w:rPr>
            </w:pPr>
            <w:r>
              <w:rPr>
                <w:rFonts w:ascii="Arial" w:cs="Arial" w:eastAsia="Arial" w:hAnsi="Arial"/>
                <w:sz w:val="13"/>
                <w:szCs w:val="13"/>
                <w:color w:val="0E2A35"/>
              </w:rPr>
              <w:t>10/11/32</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1080" w:type="dxa"/>
            <w:vAlign w:val="bottom"/>
            <w:tcBorders>
              <w:bottom w:val="single" w:sz="8" w:color="0E2A35"/>
            </w:tcBorders>
            <w:gridSpan w:val="2"/>
          </w:tcPr>
          <w:p>
            <w:pPr>
              <w:jc w:val="right"/>
              <w:ind w:right="288"/>
              <w:spacing w:after="0" w:line="108" w:lineRule="exact"/>
              <w:rPr>
                <w:sz w:val="20"/>
                <w:szCs w:val="20"/>
                <w:color w:val="auto"/>
              </w:rPr>
            </w:pPr>
            <w:r>
              <w:rPr>
                <w:rFonts w:ascii="Arial" w:cs="Arial" w:eastAsia="Arial" w:hAnsi="Arial"/>
                <w:sz w:val="12"/>
                <w:szCs w:val="12"/>
                <w:color w:val="0E2A35"/>
              </w:rPr>
              <w:t>31,328</w:t>
            </w: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jc w:val="right"/>
              <w:ind w:right="281"/>
              <w:spacing w:after="0"/>
              <w:rPr>
                <w:sz w:val="20"/>
                <w:szCs w:val="20"/>
                <w:color w:val="auto"/>
              </w:rPr>
            </w:pPr>
            <w:r>
              <w:rPr>
                <w:rFonts w:ascii="Arial" w:cs="Arial" w:eastAsia="Arial" w:hAnsi="Arial"/>
                <w:sz w:val="10"/>
                <w:szCs w:val="10"/>
                <w:color w:val="0E2A35"/>
              </w:rPr>
              <w:t>(10)</w:t>
            </w:r>
          </w:p>
        </w:tc>
        <w:tc>
          <w:tcPr>
            <w:tcW w:w="1340" w:type="dxa"/>
            <w:vAlign w:val="bottom"/>
          </w:tcPr>
          <w:p>
            <w:pPr>
              <w:jc w:val="right"/>
              <w:ind w:right="339"/>
              <w:spacing w:after="0" w:line="142" w:lineRule="exact"/>
              <w:rPr>
                <w:sz w:val="20"/>
                <w:szCs w:val="20"/>
                <w:color w:val="auto"/>
              </w:rPr>
            </w:pPr>
            <w:r>
              <w:rPr>
                <w:rFonts w:ascii="Arial" w:cs="Arial" w:eastAsia="Arial" w:hAnsi="Arial"/>
                <w:sz w:val="13"/>
                <w:szCs w:val="13"/>
                <w:color w:val="0E2A35"/>
              </w:rPr>
              <w:t>2,044,183</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1460" w:type="dxa"/>
            <w:vAlign w:val="bottom"/>
            <w:tcBorders>
              <w:bottom w:val="single" w:sz="8" w:color="0E2A35"/>
            </w:tcBorders>
            <w:gridSpan w:val="2"/>
          </w:tcPr>
          <w:p>
            <w:pPr>
              <w:jc w:val="right"/>
              <w:ind w:right="461"/>
              <w:spacing w:after="0" w:line="108" w:lineRule="exact"/>
              <w:rPr>
                <w:sz w:val="20"/>
                <w:szCs w:val="20"/>
                <w:color w:val="auto"/>
              </w:rPr>
            </w:pPr>
            <w:r>
              <w:rPr>
                <w:rFonts w:ascii="Arial" w:cs="Arial" w:eastAsia="Arial" w:hAnsi="Arial"/>
                <w:sz w:val="12"/>
                <w:szCs w:val="12"/>
                <w:color w:val="0E2A35"/>
              </w:rPr>
              <w:t>32,116</w:t>
            </w: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ind w:left="960"/>
              <w:spacing w:after="0"/>
              <w:rPr>
                <w:sz w:val="20"/>
                <w:szCs w:val="20"/>
                <w:color w:val="auto"/>
              </w:rPr>
            </w:pPr>
            <w:r>
              <w:rPr>
                <w:rFonts w:ascii="Arial" w:cs="Arial" w:eastAsia="Arial" w:hAnsi="Arial"/>
                <w:sz w:val="10"/>
                <w:szCs w:val="10"/>
                <w:color w:val="0E2A35"/>
              </w:rPr>
              <w:t>(11)</w:t>
            </w:r>
          </w:p>
        </w:tc>
        <w:tc>
          <w:tcPr>
            <w:tcW w:w="1340" w:type="dxa"/>
            <w:vAlign w:val="bottom"/>
          </w:tcPr>
          <w:p>
            <w:pPr>
              <w:jc w:val="right"/>
              <w:ind w:right="339"/>
              <w:spacing w:after="0" w:line="142" w:lineRule="exact"/>
              <w:rPr>
                <w:sz w:val="20"/>
                <w:szCs w:val="20"/>
                <w:color w:val="auto"/>
              </w:rPr>
            </w:pPr>
            <w:r>
              <w:rPr>
                <w:rFonts w:ascii="Arial" w:cs="Arial" w:eastAsia="Arial" w:hAnsi="Arial"/>
                <w:sz w:val="13"/>
                <w:szCs w:val="13"/>
                <w:color w:val="0E2A35"/>
              </w:rPr>
              <w:t>1,768,261</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1460" w:type="dxa"/>
            <w:vAlign w:val="bottom"/>
            <w:tcBorders>
              <w:bottom w:val="single" w:sz="8" w:color="0E2A35"/>
            </w:tcBorders>
            <w:gridSpan w:val="2"/>
          </w:tcPr>
          <w:p>
            <w:pPr>
              <w:jc w:val="right"/>
              <w:ind w:right="441"/>
              <w:spacing w:after="0" w:line="108" w:lineRule="exact"/>
              <w:rPr>
                <w:sz w:val="20"/>
                <w:szCs w:val="20"/>
                <w:color w:val="auto"/>
              </w:rPr>
            </w:pPr>
            <w:r>
              <w:rPr>
                <w:rFonts w:ascii="Arial" w:cs="Arial" w:eastAsia="Arial" w:hAnsi="Arial"/>
                <w:sz w:val="12"/>
                <w:szCs w:val="12"/>
                <w:color w:val="0E2A35"/>
              </w:rPr>
              <w:t>27,781</w:t>
            </w: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ind w:left="960"/>
              <w:spacing w:after="0"/>
              <w:rPr>
                <w:sz w:val="20"/>
                <w:szCs w:val="20"/>
                <w:color w:val="auto"/>
              </w:rPr>
            </w:pPr>
            <w:r>
              <w:rPr>
                <w:rFonts w:ascii="Arial" w:cs="Arial" w:eastAsia="Arial" w:hAnsi="Arial"/>
                <w:sz w:val="10"/>
                <w:szCs w:val="10"/>
                <w:color w:val="0E2A35"/>
              </w:rPr>
              <w:t>(12)</w:t>
            </w:r>
          </w:p>
        </w:tc>
        <w:tc>
          <w:tcPr>
            <w:tcW w:w="1340" w:type="dxa"/>
            <w:vAlign w:val="bottom"/>
          </w:tcPr>
          <w:p>
            <w:pPr>
              <w:jc w:val="right"/>
              <w:ind w:right="339"/>
              <w:spacing w:after="0" w:line="142" w:lineRule="exact"/>
              <w:rPr>
                <w:sz w:val="20"/>
                <w:szCs w:val="20"/>
                <w:color w:val="auto"/>
              </w:rPr>
            </w:pPr>
            <w:r>
              <w:rPr>
                <w:rFonts w:ascii="Arial" w:cs="Arial" w:eastAsia="Arial" w:hAnsi="Arial"/>
                <w:sz w:val="13"/>
                <w:szCs w:val="13"/>
                <w:color w:val="0E2A35"/>
              </w:rPr>
              <w:t>2,836,944</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1460" w:type="dxa"/>
            <w:vAlign w:val="bottom"/>
            <w:tcBorders>
              <w:bottom w:val="single" w:sz="8" w:color="0E2A35"/>
            </w:tcBorders>
            <w:gridSpan w:val="2"/>
          </w:tcPr>
          <w:p>
            <w:pPr>
              <w:jc w:val="right"/>
              <w:ind w:right="441"/>
              <w:spacing w:after="0" w:line="108" w:lineRule="exact"/>
              <w:rPr>
                <w:sz w:val="20"/>
                <w:szCs w:val="20"/>
                <w:color w:val="auto"/>
              </w:rPr>
            </w:pPr>
            <w:r>
              <w:rPr>
                <w:rFonts w:ascii="Arial" w:cs="Arial" w:eastAsia="Arial" w:hAnsi="Arial"/>
                <w:sz w:val="12"/>
                <w:szCs w:val="12"/>
                <w:color w:val="0E2A35"/>
              </w:rPr>
              <w:t>44,571</w:t>
            </w: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3"/>
          </w:tcPr>
          <w:p>
            <w:pPr>
              <w:ind w:left="840"/>
              <w:spacing w:after="0"/>
              <w:rPr>
                <w:sz w:val="20"/>
                <w:szCs w:val="20"/>
                <w:color w:val="auto"/>
              </w:rPr>
            </w:pPr>
            <w:r>
              <w:rPr>
                <w:rFonts w:ascii="Arial" w:cs="Arial" w:eastAsia="Arial" w:hAnsi="Arial"/>
                <w:sz w:val="10"/>
                <w:szCs w:val="10"/>
                <w:color w:val="0E2A35"/>
              </w:rPr>
              <w:t>(7)</w:t>
            </w:r>
          </w:p>
        </w:tc>
        <w:tc>
          <w:tcPr>
            <w:tcW w:w="1020" w:type="dxa"/>
            <w:vAlign w:val="bottom"/>
          </w:tcPr>
          <w:p>
            <w:pPr>
              <w:jc w:val="right"/>
              <w:ind w:right="139"/>
              <w:spacing w:after="0" w:line="142" w:lineRule="exact"/>
              <w:rPr>
                <w:sz w:val="20"/>
                <w:szCs w:val="20"/>
                <w:color w:val="auto"/>
              </w:rPr>
            </w:pPr>
            <w:r>
              <w:rPr>
                <w:rFonts w:ascii="Arial" w:cs="Arial" w:eastAsia="Arial" w:hAnsi="Arial"/>
                <w:sz w:val="13"/>
                <w:szCs w:val="13"/>
                <w:color w:val="0E2A35"/>
              </w:rPr>
              <w:t>477,120</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gridSpan w:val="2"/>
          </w:tcPr>
          <w:p>
            <w:pPr>
              <w:jc w:val="right"/>
              <w:spacing w:after="0" w:line="108" w:lineRule="exact"/>
              <w:rPr>
                <w:sz w:val="20"/>
                <w:szCs w:val="20"/>
                <w:color w:val="auto"/>
              </w:rPr>
            </w:pPr>
            <w:r>
              <w:rPr>
                <w:rFonts w:ascii="Arial" w:cs="Arial" w:eastAsia="Arial" w:hAnsi="Arial"/>
                <w:sz w:val="12"/>
                <w:szCs w:val="12"/>
                <w:color w:val="0E2A35"/>
              </w:rPr>
              <w:t>7,496</w:t>
            </w: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0E2A35"/>
              </w:rPr>
              <w:t>12,965</w:t>
            </w:r>
          </w:p>
        </w:tc>
        <w:tc>
          <w:tcPr>
            <w:tcW w:w="360" w:type="dxa"/>
            <w:vAlign w:val="bottom"/>
          </w:tcPr>
          <w:p>
            <w:pPr>
              <w:spacing w:after="0"/>
              <w:rPr>
                <w:sz w:val="20"/>
                <w:szCs w:val="20"/>
                <w:color w:val="auto"/>
              </w:rPr>
            </w:pPr>
            <w:r>
              <w:rPr>
                <w:rFonts w:ascii="Arial" w:cs="Arial" w:eastAsia="Arial" w:hAnsi="Arial"/>
                <w:sz w:val="10"/>
                <w:szCs w:val="10"/>
                <w:color w:val="0E2A35"/>
              </w:rPr>
              <w:t>(8)</w:t>
            </w:r>
          </w:p>
        </w:tc>
        <w:tc>
          <w:tcPr>
            <w:tcW w:w="1020" w:type="dxa"/>
            <w:vAlign w:val="bottom"/>
          </w:tcPr>
          <w:p>
            <w:pPr>
              <w:jc w:val="right"/>
              <w:ind w:right="139"/>
              <w:spacing w:after="0"/>
              <w:rPr>
                <w:sz w:val="20"/>
                <w:szCs w:val="20"/>
                <w:color w:val="auto"/>
              </w:rPr>
            </w:pPr>
            <w:r>
              <w:rPr>
                <w:rFonts w:ascii="Arial" w:cs="Arial" w:eastAsia="Arial" w:hAnsi="Arial"/>
                <w:sz w:val="13"/>
                <w:szCs w:val="13"/>
                <w:color w:val="0E2A35"/>
              </w:rPr>
              <w:t>825,222</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0E2A35"/>
              </w:rPr>
              <w:t>31,200</w:t>
            </w:r>
          </w:p>
        </w:tc>
        <w:tc>
          <w:tcPr>
            <w:tcW w:w="360" w:type="dxa"/>
            <w:vAlign w:val="bottom"/>
          </w:tcPr>
          <w:p>
            <w:pPr>
              <w:spacing w:after="0"/>
              <w:rPr>
                <w:sz w:val="20"/>
                <w:szCs w:val="20"/>
                <w:color w:val="auto"/>
              </w:rPr>
            </w:pPr>
            <w:r>
              <w:rPr>
                <w:rFonts w:ascii="Arial" w:cs="Arial" w:eastAsia="Arial" w:hAnsi="Arial"/>
                <w:sz w:val="10"/>
                <w:szCs w:val="10"/>
                <w:color w:val="0E2A35"/>
              </w:rPr>
              <w:t>(9)</w:t>
            </w:r>
          </w:p>
        </w:tc>
        <w:tc>
          <w:tcPr>
            <w:tcW w:w="1020" w:type="dxa"/>
            <w:vAlign w:val="bottom"/>
          </w:tcPr>
          <w:p>
            <w:pPr>
              <w:jc w:val="right"/>
              <w:ind w:right="119"/>
              <w:spacing w:after="0"/>
              <w:rPr>
                <w:sz w:val="20"/>
                <w:szCs w:val="20"/>
                <w:color w:val="auto"/>
              </w:rPr>
            </w:pPr>
            <w:r>
              <w:rPr>
                <w:rFonts w:ascii="Arial" w:cs="Arial" w:eastAsia="Arial" w:hAnsi="Arial"/>
                <w:sz w:val="13"/>
                <w:szCs w:val="13"/>
                <w:color w:val="0E2A35"/>
              </w:rPr>
              <w:t>1,985,880</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Borders>
              <w:bottom w:val="single" w:sz="8" w:color="0E2A35"/>
            </w:tcBorders>
          </w:tcPr>
          <w:p>
            <w:pPr>
              <w:spacing w:after="0"/>
              <w:rPr>
                <w:sz w:val="2"/>
                <w:szCs w:val="2"/>
                <w:color w:val="auto"/>
              </w:rPr>
            </w:pPr>
          </w:p>
        </w:tc>
        <w:tc>
          <w:tcPr>
            <w:tcW w:w="980" w:type="dxa"/>
            <w:vAlign w:val="bottom"/>
            <w:tcBorders>
              <w:bottom w:val="single" w:sz="8" w:color="0E2A35"/>
            </w:tcBorders>
            <w:gridSpan w:val="2"/>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ind w:left="60"/>
              <w:spacing w:after="0"/>
              <w:rPr>
                <w:sz w:val="20"/>
                <w:szCs w:val="20"/>
                <w:color w:val="auto"/>
              </w:rPr>
            </w:pPr>
            <w:r>
              <w:rPr>
                <w:rFonts w:ascii="Arial" w:cs="Arial" w:eastAsia="Arial" w:hAnsi="Arial"/>
                <w:sz w:val="13"/>
                <w:szCs w:val="13"/>
                <w:color w:val="0E2A35"/>
              </w:rPr>
              <w:t>Bryan L. Hughes</w:t>
            </w:r>
          </w:p>
        </w:tc>
        <w:tc>
          <w:tcPr>
            <w:tcW w:w="980" w:type="dxa"/>
            <w:vAlign w:val="bottom"/>
            <w:gridSpan w:val="2"/>
          </w:tcPr>
          <w:p>
            <w:pPr>
              <w:jc w:val="right"/>
              <w:ind w:right="259"/>
              <w:spacing w:after="0"/>
              <w:rPr>
                <w:sz w:val="20"/>
                <w:szCs w:val="20"/>
                <w:color w:val="auto"/>
              </w:rPr>
            </w:pPr>
            <w:r>
              <w:rPr>
                <w:rFonts w:ascii="Arial" w:cs="Arial" w:eastAsia="Arial" w:hAnsi="Arial"/>
                <w:sz w:val="13"/>
                <w:szCs w:val="13"/>
                <w:color w:val="0E2A35"/>
              </w:rPr>
              <w:t>8,373</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(4)</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44.40</w:t>
            </w:r>
          </w:p>
        </w:tc>
        <w:tc>
          <w:tcPr>
            <w:tcW w:w="740" w:type="dxa"/>
            <w:vAlign w:val="bottom"/>
          </w:tcPr>
          <w:p>
            <w:pPr>
              <w:ind w:left="180"/>
              <w:spacing w:after="0"/>
              <w:rPr>
                <w:sz w:val="20"/>
                <w:szCs w:val="20"/>
                <w:color w:val="auto"/>
              </w:rPr>
            </w:pPr>
            <w:r>
              <w:rPr>
                <w:rFonts w:ascii="Arial" w:cs="Arial" w:eastAsia="Arial" w:hAnsi="Arial"/>
                <w:sz w:val="13"/>
                <w:szCs w:val="13"/>
                <w:color w:val="0E2A35"/>
              </w:rPr>
              <w:t>10/18/27</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79"/>
              <w:spacing w:after="0"/>
              <w:rPr>
                <w:sz w:val="20"/>
                <w:szCs w:val="20"/>
                <w:color w:val="auto"/>
              </w:rPr>
            </w:pPr>
            <w:r>
              <w:rPr>
                <w:rFonts w:ascii="Arial" w:cs="Arial" w:eastAsia="Arial" w:hAnsi="Arial"/>
                <w:sz w:val="13"/>
                <w:szCs w:val="13"/>
                <w:color w:val="0E2A35"/>
                <w:w w:val="95"/>
              </w:rPr>
              <w:t>11,438​</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(5)</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31.70</w:t>
            </w:r>
          </w:p>
        </w:tc>
        <w:tc>
          <w:tcPr>
            <w:tcW w:w="740" w:type="dxa"/>
            <w:vAlign w:val="bottom"/>
          </w:tcPr>
          <w:p>
            <w:pPr>
              <w:ind w:left="180"/>
              <w:spacing w:after="0"/>
              <w:rPr>
                <w:sz w:val="20"/>
                <w:szCs w:val="20"/>
                <w:color w:val="auto"/>
              </w:rPr>
            </w:pPr>
            <w:r>
              <w:rPr>
                <w:rFonts w:ascii="Arial" w:cs="Arial" w:eastAsia="Arial" w:hAnsi="Arial"/>
                <w:sz w:val="13"/>
                <w:szCs w:val="13"/>
                <w:color w:val="0E2A35"/>
              </w:rPr>
              <w:t>10/15/28</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9"/>
              <w:spacing w:after="0"/>
              <w:rPr>
                <w:sz w:val="20"/>
                <w:szCs w:val="20"/>
                <w:color w:val="auto"/>
              </w:rPr>
            </w:pPr>
            <w:r>
              <w:rPr>
                <w:rFonts w:ascii="Arial" w:cs="Arial" w:eastAsia="Arial" w:hAnsi="Arial"/>
                <w:sz w:val="13"/>
                <w:szCs w:val="13"/>
                <w:color w:val="0E2A35"/>
              </w:rPr>
              <w:t>4,932​</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(6)</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47.93</w:t>
            </w:r>
          </w:p>
        </w:tc>
        <w:tc>
          <w:tcPr>
            <w:tcW w:w="740" w:type="dxa"/>
            <w:vAlign w:val="bottom"/>
          </w:tcPr>
          <w:p>
            <w:pPr>
              <w:ind w:left="180"/>
              <w:spacing w:after="0"/>
              <w:rPr>
                <w:sz w:val="20"/>
                <w:szCs w:val="20"/>
                <w:color w:val="auto"/>
              </w:rPr>
            </w:pPr>
            <w:r>
              <w:rPr>
                <w:rFonts w:ascii="Arial" w:cs="Arial" w:eastAsia="Arial" w:hAnsi="Arial"/>
                <w:sz w:val="13"/>
                <w:szCs w:val="13"/>
                <w:color w:val="0E2A35"/>
              </w:rPr>
              <w:t>12/17/29</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980" w:type="dxa"/>
            <w:vAlign w:val="bottom"/>
            <w:tcBorders>
              <w:bottom w:val="single" w:sz="8" w:color="0E2A35"/>
            </w:tcBorders>
            <w:gridSpan w:val="2"/>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980" w:type="dxa"/>
            <w:vAlign w:val="bottom"/>
            <w:gridSpan w:val="2"/>
          </w:tcPr>
          <w:p>
            <w:pPr>
              <w:jc w:val="right"/>
              <w:ind w:right="259"/>
              <w:spacing w:after="0"/>
              <w:rPr>
                <w:sz w:val="20"/>
                <w:szCs w:val="20"/>
                <w:color w:val="auto"/>
              </w:rPr>
            </w:pPr>
            <w:r>
              <w:rPr>
                <w:rFonts w:ascii="Arial" w:cs="Arial" w:eastAsia="Arial" w:hAnsi="Arial"/>
                <w:sz w:val="13"/>
                <w:szCs w:val="13"/>
                <w:color w:val="0E2A35"/>
              </w:rPr>
              <w:t>3,207</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1,604</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(7)</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54.49</w:t>
            </w:r>
          </w:p>
        </w:tc>
        <w:tc>
          <w:tcPr>
            <w:tcW w:w="740" w:type="dxa"/>
            <w:vAlign w:val="bottom"/>
          </w:tcPr>
          <w:p>
            <w:pPr>
              <w:ind w:left="180"/>
              <w:spacing w:after="0"/>
              <w:rPr>
                <w:sz w:val="20"/>
                <w:szCs w:val="20"/>
                <w:color w:val="auto"/>
              </w:rPr>
            </w:pPr>
            <w:r>
              <w:rPr>
                <w:rFonts w:ascii="Arial" w:cs="Arial" w:eastAsia="Arial" w:hAnsi="Arial"/>
                <w:sz w:val="13"/>
                <w:szCs w:val="13"/>
                <w:color w:val="0E2A35"/>
              </w:rPr>
              <w:t>10/13/30</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980" w:type="dxa"/>
            <w:vAlign w:val="bottom"/>
            <w:tcBorders>
              <w:bottom w:val="single" w:sz="8" w:color="0E2A35"/>
            </w:tcBorders>
            <w:gridSpan w:val="2"/>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980" w:type="dxa"/>
            <w:vAlign w:val="bottom"/>
            <w:gridSpan w:val="2"/>
          </w:tcPr>
          <w:p>
            <w:pPr>
              <w:jc w:val="right"/>
              <w:ind w:right="259"/>
              <w:spacing w:after="0"/>
              <w:rPr>
                <w:sz w:val="20"/>
                <w:szCs w:val="20"/>
                <w:color w:val="auto"/>
              </w:rPr>
            </w:pPr>
            <w:r>
              <w:rPr>
                <w:rFonts w:ascii="Arial" w:cs="Arial" w:eastAsia="Arial" w:hAnsi="Arial"/>
                <w:sz w:val="13"/>
                <w:szCs w:val="13"/>
                <w:color w:val="0E2A35"/>
              </w:rPr>
              <w:t>1,353</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2,707</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(8)</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75.59</w:t>
            </w:r>
          </w:p>
        </w:tc>
        <w:tc>
          <w:tcPr>
            <w:tcW w:w="740" w:type="dxa"/>
            <w:vAlign w:val="bottom"/>
          </w:tcPr>
          <w:p>
            <w:pPr>
              <w:ind w:left="180"/>
              <w:spacing w:after="0"/>
              <w:rPr>
                <w:sz w:val="20"/>
                <w:szCs w:val="20"/>
                <w:color w:val="auto"/>
              </w:rPr>
            </w:pPr>
            <w:r>
              <w:rPr>
                <w:rFonts w:ascii="Arial" w:cs="Arial" w:eastAsia="Arial" w:hAnsi="Arial"/>
                <w:sz w:val="13"/>
                <w:szCs w:val="13"/>
                <w:color w:val="0E2A35"/>
              </w:rPr>
              <w:t>10/12/31</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9"/>
              <w:spacing w:after="0"/>
              <w:rPr>
                <w:sz w:val="20"/>
                <w:szCs w:val="20"/>
                <w:color w:val="auto"/>
              </w:rPr>
            </w:pPr>
            <w:r>
              <w:rPr>
                <w:rFonts w:ascii="Arial" w:cs="Arial" w:eastAsia="Arial" w:hAnsi="Arial"/>
                <w:sz w:val="13"/>
                <w:szCs w:val="13"/>
                <w:color w:val="0E2A35"/>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6,305</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(9)</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56.09</w:t>
            </w:r>
          </w:p>
        </w:tc>
        <w:tc>
          <w:tcPr>
            <w:tcW w:w="740" w:type="dxa"/>
            <w:vAlign w:val="bottom"/>
          </w:tcPr>
          <w:p>
            <w:pPr>
              <w:ind w:left="180"/>
              <w:spacing w:after="0"/>
              <w:rPr>
                <w:sz w:val="20"/>
                <w:szCs w:val="20"/>
                <w:color w:val="auto"/>
              </w:rPr>
            </w:pPr>
            <w:r>
              <w:rPr>
                <w:rFonts w:ascii="Arial" w:cs="Arial" w:eastAsia="Arial" w:hAnsi="Arial"/>
                <w:sz w:val="13"/>
                <w:szCs w:val="13"/>
                <w:color w:val="0E2A35"/>
              </w:rPr>
              <w:t>10/11/32</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ind w:left="940"/>
              <w:spacing w:after="0"/>
              <w:rPr>
                <w:sz w:val="20"/>
                <w:szCs w:val="20"/>
                <w:color w:val="auto"/>
              </w:rPr>
            </w:pPr>
            <w:r>
              <w:rPr>
                <w:rFonts w:ascii="Arial" w:cs="Arial" w:eastAsia="Arial" w:hAnsi="Arial"/>
                <w:sz w:val="10"/>
                <w:szCs w:val="10"/>
                <w:color w:val="0E2A35"/>
              </w:rPr>
              <w:t>(10)</w:t>
            </w:r>
          </w:p>
        </w:tc>
        <w:tc>
          <w:tcPr>
            <w:tcW w:w="1340" w:type="dxa"/>
            <w:vAlign w:val="bottom"/>
          </w:tcPr>
          <w:p>
            <w:pPr>
              <w:jc w:val="right"/>
              <w:ind w:right="359"/>
              <w:spacing w:after="0" w:line="142" w:lineRule="exact"/>
              <w:rPr>
                <w:sz w:val="20"/>
                <w:szCs w:val="20"/>
                <w:color w:val="auto"/>
              </w:rPr>
            </w:pPr>
            <w:r>
              <w:rPr>
                <w:rFonts w:ascii="Arial" w:cs="Arial" w:eastAsia="Arial" w:hAnsi="Arial"/>
                <w:sz w:val="13"/>
                <w:szCs w:val="13"/>
                <w:color w:val="0E2A35"/>
              </w:rPr>
              <w:t>383,300</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1460" w:type="dxa"/>
            <w:vAlign w:val="bottom"/>
            <w:tcBorders>
              <w:bottom w:val="single" w:sz="8" w:color="0E2A35"/>
            </w:tcBorders>
            <w:gridSpan w:val="2"/>
          </w:tcPr>
          <w:p>
            <w:pPr>
              <w:jc w:val="right"/>
              <w:ind w:right="461"/>
              <w:spacing w:after="0" w:line="108" w:lineRule="exact"/>
              <w:rPr>
                <w:sz w:val="20"/>
                <w:szCs w:val="20"/>
                <w:color w:val="auto"/>
              </w:rPr>
            </w:pPr>
            <w:r>
              <w:rPr>
                <w:rFonts w:ascii="Arial" w:cs="Arial" w:eastAsia="Arial" w:hAnsi="Arial"/>
                <w:sz w:val="12"/>
                <w:szCs w:val="12"/>
                <w:color w:val="0E2A35"/>
              </w:rPr>
              <w:t>6,022</w:t>
            </w: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ind w:left="940"/>
              <w:spacing w:after="0"/>
              <w:rPr>
                <w:sz w:val="20"/>
                <w:szCs w:val="20"/>
                <w:color w:val="auto"/>
              </w:rPr>
            </w:pPr>
            <w:r>
              <w:rPr>
                <w:rFonts w:ascii="Arial" w:cs="Arial" w:eastAsia="Arial" w:hAnsi="Arial"/>
                <w:sz w:val="10"/>
                <w:szCs w:val="10"/>
                <w:color w:val="0E2A35"/>
              </w:rPr>
              <w:t>(11)</w:t>
            </w:r>
          </w:p>
        </w:tc>
        <w:tc>
          <w:tcPr>
            <w:tcW w:w="1340" w:type="dxa"/>
            <w:vAlign w:val="bottom"/>
          </w:tcPr>
          <w:p>
            <w:pPr>
              <w:jc w:val="right"/>
              <w:ind w:right="359"/>
              <w:spacing w:after="0" w:line="142" w:lineRule="exact"/>
              <w:rPr>
                <w:sz w:val="20"/>
                <w:szCs w:val="20"/>
                <w:color w:val="auto"/>
              </w:rPr>
            </w:pPr>
            <w:r>
              <w:rPr>
                <w:rFonts w:ascii="Arial" w:cs="Arial" w:eastAsia="Arial" w:hAnsi="Arial"/>
                <w:sz w:val="13"/>
                <w:szCs w:val="13"/>
                <w:color w:val="0E2A35"/>
              </w:rPr>
              <w:t>347,338</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1460" w:type="dxa"/>
            <w:vAlign w:val="bottom"/>
            <w:tcBorders>
              <w:bottom w:val="single" w:sz="8" w:color="0E2A35"/>
            </w:tcBorders>
            <w:gridSpan w:val="2"/>
          </w:tcPr>
          <w:p>
            <w:pPr>
              <w:jc w:val="right"/>
              <w:ind w:right="461"/>
              <w:spacing w:after="0" w:line="108" w:lineRule="exact"/>
              <w:rPr>
                <w:sz w:val="20"/>
                <w:szCs w:val="20"/>
                <w:color w:val="auto"/>
              </w:rPr>
            </w:pPr>
            <w:r>
              <w:rPr>
                <w:rFonts w:ascii="Arial" w:cs="Arial" w:eastAsia="Arial" w:hAnsi="Arial"/>
                <w:sz w:val="12"/>
                <w:szCs w:val="12"/>
                <w:color w:val="0E2A35"/>
              </w:rPr>
              <w:t>5,457</w:t>
            </w: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ind w:left="940"/>
              <w:spacing w:after="0"/>
              <w:rPr>
                <w:sz w:val="20"/>
                <w:szCs w:val="20"/>
                <w:color w:val="auto"/>
              </w:rPr>
            </w:pPr>
            <w:r>
              <w:rPr>
                <w:rFonts w:ascii="Arial" w:cs="Arial" w:eastAsia="Arial" w:hAnsi="Arial"/>
                <w:sz w:val="10"/>
                <w:szCs w:val="10"/>
                <w:color w:val="0E2A35"/>
              </w:rPr>
              <w:t>(12)</w:t>
            </w:r>
          </w:p>
        </w:tc>
        <w:tc>
          <w:tcPr>
            <w:tcW w:w="1340" w:type="dxa"/>
            <w:vAlign w:val="bottom"/>
          </w:tcPr>
          <w:p>
            <w:pPr>
              <w:jc w:val="right"/>
              <w:ind w:right="359"/>
              <w:spacing w:after="0" w:line="142" w:lineRule="exact"/>
              <w:rPr>
                <w:sz w:val="20"/>
                <w:szCs w:val="20"/>
                <w:color w:val="auto"/>
              </w:rPr>
            </w:pPr>
            <w:r>
              <w:rPr>
                <w:rFonts w:ascii="Arial" w:cs="Arial" w:eastAsia="Arial" w:hAnsi="Arial"/>
                <w:sz w:val="13"/>
                <w:szCs w:val="13"/>
                <w:color w:val="0E2A35"/>
              </w:rPr>
              <w:t>570,941</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1460" w:type="dxa"/>
            <w:vAlign w:val="bottom"/>
            <w:tcBorders>
              <w:bottom w:val="single" w:sz="8" w:color="0E2A35"/>
            </w:tcBorders>
            <w:gridSpan w:val="2"/>
          </w:tcPr>
          <w:p>
            <w:pPr>
              <w:jc w:val="right"/>
              <w:ind w:right="461"/>
              <w:spacing w:after="0" w:line="108" w:lineRule="exact"/>
              <w:rPr>
                <w:sz w:val="20"/>
                <w:szCs w:val="20"/>
                <w:color w:val="auto"/>
              </w:rPr>
            </w:pPr>
            <w:r>
              <w:rPr>
                <w:rFonts w:ascii="Arial" w:cs="Arial" w:eastAsia="Arial" w:hAnsi="Arial"/>
                <w:sz w:val="12"/>
                <w:szCs w:val="12"/>
                <w:color w:val="0E2A35"/>
              </w:rPr>
              <w:t>8,970</w:t>
            </w: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3"/>
          </w:tcPr>
          <w:p>
            <w:pPr>
              <w:ind w:left="840"/>
              <w:spacing w:after="0"/>
              <w:rPr>
                <w:sz w:val="20"/>
                <w:szCs w:val="20"/>
                <w:color w:val="auto"/>
              </w:rPr>
            </w:pPr>
            <w:r>
              <w:rPr>
                <w:rFonts w:ascii="Arial" w:cs="Arial" w:eastAsia="Arial" w:hAnsi="Arial"/>
                <w:sz w:val="10"/>
                <w:szCs w:val="10"/>
                <w:color w:val="0E2A35"/>
              </w:rPr>
              <w:t>(7)</w:t>
            </w:r>
          </w:p>
        </w:tc>
        <w:tc>
          <w:tcPr>
            <w:tcW w:w="1020" w:type="dxa"/>
            <w:vAlign w:val="bottom"/>
          </w:tcPr>
          <w:p>
            <w:pPr>
              <w:jc w:val="right"/>
              <w:ind w:right="119"/>
              <w:spacing w:after="0" w:line="142" w:lineRule="exact"/>
              <w:rPr>
                <w:sz w:val="20"/>
                <w:szCs w:val="20"/>
                <w:color w:val="auto"/>
              </w:rPr>
            </w:pPr>
            <w:r>
              <w:rPr>
                <w:rFonts w:ascii="Arial" w:cs="Arial" w:eastAsia="Arial" w:hAnsi="Arial"/>
                <w:sz w:val="13"/>
                <w:szCs w:val="13"/>
                <w:color w:val="0E2A35"/>
              </w:rPr>
              <w:t>89,492</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gridSpan w:val="2"/>
          </w:tcPr>
          <w:p>
            <w:pPr>
              <w:jc w:val="right"/>
              <w:spacing w:after="0" w:line="108" w:lineRule="exact"/>
              <w:rPr>
                <w:sz w:val="20"/>
                <w:szCs w:val="20"/>
                <w:color w:val="auto"/>
              </w:rPr>
            </w:pPr>
            <w:r>
              <w:rPr>
                <w:rFonts w:ascii="Arial" w:cs="Arial" w:eastAsia="Arial" w:hAnsi="Arial"/>
                <w:sz w:val="12"/>
                <w:szCs w:val="12"/>
                <w:color w:val="0E2A35"/>
              </w:rPr>
              <w:t>1,406</w:t>
            </w: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0E2A35"/>
              </w:rPr>
              <w:t>485</w:t>
            </w:r>
          </w:p>
        </w:tc>
        <w:tc>
          <w:tcPr>
            <w:tcW w:w="360" w:type="dxa"/>
            <w:vAlign w:val="bottom"/>
          </w:tcPr>
          <w:p>
            <w:pPr>
              <w:spacing w:after="0"/>
              <w:rPr>
                <w:sz w:val="20"/>
                <w:szCs w:val="20"/>
                <w:color w:val="auto"/>
              </w:rPr>
            </w:pPr>
            <w:r>
              <w:rPr>
                <w:rFonts w:ascii="Arial" w:cs="Arial" w:eastAsia="Arial" w:hAnsi="Arial"/>
                <w:sz w:val="10"/>
                <w:szCs w:val="10"/>
                <w:color w:val="0E2A35"/>
              </w:rPr>
              <w:t>(13)</w:t>
            </w:r>
          </w:p>
        </w:tc>
        <w:tc>
          <w:tcPr>
            <w:tcW w:w="1020" w:type="dxa"/>
            <w:vAlign w:val="bottom"/>
          </w:tcPr>
          <w:p>
            <w:pPr>
              <w:jc w:val="right"/>
              <w:ind w:right="119"/>
              <w:spacing w:after="0"/>
              <w:rPr>
                <w:sz w:val="20"/>
                <w:szCs w:val="20"/>
                <w:color w:val="auto"/>
              </w:rPr>
            </w:pPr>
            <w:r>
              <w:rPr>
                <w:rFonts w:ascii="Arial" w:cs="Arial" w:eastAsia="Arial" w:hAnsi="Arial"/>
                <w:sz w:val="13"/>
                <w:szCs w:val="13"/>
                <w:color w:val="0E2A35"/>
              </w:rPr>
              <w:t>30,870</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980" w:type="dxa"/>
            <w:vAlign w:val="bottom"/>
            <w:tcBorders>
              <w:bottom w:val="single" w:sz="8" w:color="0E2A35"/>
            </w:tcBorders>
            <w:gridSpan w:val="2"/>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3"/>
          </w:tcPr>
          <w:p>
            <w:pPr>
              <w:ind w:left="840"/>
              <w:spacing w:after="0"/>
              <w:rPr>
                <w:sz w:val="20"/>
                <w:szCs w:val="20"/>
                <w:color w:val="auto"/>
              </w:rPr>
            </w:pPr>
            <w:r>
              <w:rPr>
                <w:rFonts w:ascii="Arial" w:cs="Arial" w:eastAsia="Arial" w:hAnsi="Arial"/>
                <w:sz w:val="10"/>
                <w:szCs w:val="10"/>
                <w:color w:val="0E2A35"/>
              </w:rPr>
              <w:t>(8)</w:t>
            </w:r>
          </w:p>
        </w:tc>
        <w:tc>
          <w:tcPr>
            <w:tcW w:w="1020" w:type="dxa"/>
            <w:vAlign w:val="bottom"/>
          </w:tcPr>
          <w:p>
            <w:pPr>
              <w:jc w:val="right"/>
              <w:ind w:right="139"/>
              <w:spacing w:after="0" w:line="142" w:lineRule="exact"/>
              <w:rPr>
                <w:sz w:val="20"/>
                <w:szCs w:val="20"/>
                <w:color w:val="auto"/>
              </w:rPr>
            </w:pPr>
            <w:r>
              <w:rPr>
                <w:rFonts w:ascii="Arial" w:cs="Arial" w:eastAsia="Arial" w:hAnsi="Arial"/>
                <w:sz w:val="13"/>
                <w:szCs w:val="13"/>
                <w:color w:val="0E2A35"/>
              </w:rPr>
              <w:t>162,117</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gridSpan w:val="2"/>
          </w:tcPr>
          <w:p>
            <w:pPr>
              <w:jc w:val="right"/>
              <w:spacing w:after="0" w:line="108" w:lineRule="exact"/>
              <w:rPr>
                <w:sz w:val="20"/>
                <w:szCs w:val="20"/>
                <w:color w:val="auto"/>
              </w:rPr>
            </w:pPr>
            <w:r>
              <w:rPr>
                <w:rFonts w:ascii="Arial" w:cs="Arial" w:eastAsia="Arial" w:hAnsi="Arial"/>
                <w:sz w:val="12"/>
                <w:szCs w:val="12"/>
                <w:color w:val="0E2A35"/>
              </w:rPr>
              <w:t>2,547</w:t>
            </w: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3"/>
          </w:tcPr>
          <w:p>
            <w:pPr>
              <w:ind w:left="840"/>
              <w:spacing w:after="0"/>
              <w:rPr>
                <w:sz w:val="20"/>
                <w:szCs w:val="20"/>
                <w:color w:val="auto"/>
              </w:rPr>
            </w:pPr>
            <w:r>
              <w:rPr>
                <w:rFonts w:ascii="Arial" w:cs="Arial" w:eastAsia="Arial" w:hAnsi="Arial"/>
                <w:sz w:val="10"/>
                <w:szCs w:val="10"/>
                <w:color w:val="0E2A35"/>
              </w:rPr>
              <w:t>(9)</w:t>
            </w:r>
          </w:p>
        </w:tc>
        <w:tc>
          <w:tcPr>
            <w:tcW w:w="1020" w:type="dxa"/>
            <w:vAlign w:val="bottom"/>
          </w:tcPr>
          <w:p>
            <w:pPr>
              <w:jc w:val="right"/>
              <w:ind w:right="139"/>
              <w:spacing w:after="0" w:line="142" w:lineRule="exact"/>
              <w:rPr>
                <w:sz w:val="20"/>
                <w:szCs w:val="20"/>
                <w:color w:val="auto"/>
              </w:rPr>
            </w:pPr>
            <w:r>
              <w:rPr>
                <w:rFonts w:ascii="Arial" w:cs="Arial" w:eastAsia="Arial" w:hAnsi="Arial"/>
                <w:sz w:val="13"/>
                <w:szCs w:val="13"/>
                <w:color w:val="0E2A35"/>
              </w:rPr>
              <w:t>399,658</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gridSpan w:val="2"/>
          </w:tcPr>
          <w:p>
            <w:pPr>
              <w:jc w:val="right"/>
              <w:spacing w:after="0" w:line="108" w:lineRule="exact"/>
              <w:rPr>
                <w:sz w:val="20"/>
                <w:szCs w:val="20"/>
                <w:color w:val="auto"/>
              </w:rPr>
            </w:pPr>
            <w:r>
              <w:rPr>
                <w:rFonts w:ascii="Arial" w:cs="Arial" w:eastAsia="Arial" w:hAnsi="Arial"/>
                <w:sz w:val="12"/>
                <w:szCs w:val="12"/>
                <w:color w:val="0E2A35"/>
              </w:rPr>
              <w:t>6,279</w:t>
            </w: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580" w:type="dxa"/>
            <w:vAlign w:val="bottom"/>
          </w:tcPr>
          <w:p>
            <w:pPr>
              <w:ind w:left="60"/>
              <w:spacing w:after="0"/>
              <w:rPr>
                <w:sz w:val="20"/>
                <w:szCs w:val="20"/>
                <w:color w:val="auto"/>
              </w:rPr>
            </w:pPr>
            <w:r>
              <w:rPr>
                <w:rFonts w:ascii="Arial" w:cs="Arial" w:eastAsia="Arial" w:hAnsi="Arial"/>
                <w:sz w:val="13"/>
                <w:szCs w:val="13"/>
                <w:color w:val="0E2A35"/>
              </w:rPr>
              <w:t>Stacy L. Bogart</w:t>
            </w:r>
          </w:p>
        </w:tc>
        <w:tc>
          <w:tcPr>
            <w:tcW w:w="980" w:type="dxa"/>
            <w:vAlign w:val="bottom"/>
            <w:gridSpan w:val="2"/>
          </w:tcPr>
          <w:p>
            <w:pPr>
              <w:jc w:val="right"/>
              <w:ind w:right="259"/>
              <w:spacing w:after="0"/>
              <w:rPr>
                <w:sz w:val="20"/>
                <w:szCs w:val="20"/>
                <w:color w:val="auto"/>
              </w:rPr>
            </w:pPr>
            <w:r>
              <w:rPr>
                <w:rFonts w:ascii="Arial" w:cs="Arial" w:eastAsia="Arial" w:hAnsi="Arial"/>
                <w:sz w:val="13"/>
                <w:szCs w:val="13"/>
                <w:color w:val="0E2A35"/>
              </w:rPr>
              <w:t>9,823</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(5)</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31.70</w:t>
            </w:r>
          </w:p>
        </w:tc>
        <w:tc>
          <w:tcPr>
            <w:tcW w:w="740" w:type="dxa"/>
            <w:vAlign w:val="bottom"/>
          </w:tcPr>
          <w:p>
            <w:pPr>
              <w:ind w:left="180"/>
              <w:spacing w:after="0"/>
              <w:rPr>
                <w:sz w:val="20"/>
                <w:szCs w:val="20"/>
                <w:color w:val="auto"/>
              </w:rPr>
            </w:pPr>
            <w:r>
              <w:rPr>
                <w:rFonts w:ascii="Arial" w:cs="Arial" w:eastAsia="Arial" w:hAnsi="Arial"/>
                <w:sz w:val="13"/>
                <w:szCs w:val="13"/>
                <w:color w:val="0E2A35"/>
              </w:rPr>
              <w:t>10/15/28</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9"/>
              <w:spacing w:after="0"/>
              <w:rPr>
                <w:sz w:val="20"/>
                <w:szCs w:val="20"/>
                <w:color w:val="auto"/>
              </w:rPr>
            </w:pPr>
            <w:r>
              <w:rPr>
                <w:rFonts w:ascii="Arial" w:cs="Arial" w:eastAsia="Arial" w:hAnsi="Arial"/>
                <w:sz w:val="13"/>
                <w:szCs w:val="13"/>
                <w:color w:val="0E2A35"/>
              </w:rPr>
              <w:t>4,091​</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(6)</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47.93</w:t>
            </w:r>
          </w:p>
        </w:tc>
        <w:tc>
          <w:tcPr>
            <w:tcW w:w="740" w:type="dxa"/>
            <w:vAlign w:val="bottom"/>
          </w:tcPr>
          <w:p>
            <w:pPr>
              <w:ind w:left="180"/>
              <w:spacing w:after="0"/>
              <w:rPr>
                <w:sz w:val="20"/>
                <w:szCs w:val="20"/>
                <w:color w:val="auto"/>
              </w:rPr>
            </w:pPr>
            <w:r>
              <w:rPr>
                <w:rFonts w:ascii="Arial" w:cs="Arial" w:eastAsia="Arial" w:hAnsi="Arial"/>
                <w:sz w:val="13"/>
                <w:szCs w:val="13"/>
                <w:color w:val="0E2A35"/>
              </w:rPr>
              <w:t>12/17/29</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980" w:type="dxa"/>
            <w:vAlign w:val="bottom"/>
            <w:tcBorders>
              <w:bottom w:val="single" w:sz="8" w:color="0E2A35"/>
            </w:tcBorders>
            <w:gridSpan w:val="2"/>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980" w:type="dxa"/>
            <w:vAlign w:val="bottom"/>
            <w:gridSpan w:val="2"/>
          </w:tcPr>
          <w:p>
            <w:pPr>
              <w:jc w:val="right"/>
              <w:ind w:right="259"/>
              <w:spacing w:after="0"/>
              <w:rPr>
                <w:sz w:val="20"/>
                <w:szCs w:val="20"/>
                <w:color w:val="auto"/>
              </w:rPr>
            </w:pPr>
            <w:r>
              <w:rPr>
                <w:rFonts w:ascii="Arial" w:cs="Arial" w:eastAsia="Arial" w:hAnsi="Arial"/>
                <w:sz w:val="13"/>
                <w:szCs w:val="13"/>
                <w:color w:val="0E2A35"/>
              </w:rPr>
              <w:t>2,473</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1,237</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(7)</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54.49</w:t>
            </w:r>
          </w:p>
        </w:tc>
        <w:tc>
          <w:tcPr>
            <w:tcW w:w="740" w:type="dxa"/>
            <w:vAlign w:val="bottom"/>
          </w:tcPr>
          <w:p>
            <w:pPr>
              <w:ind w:left="180"/>
              <w:spacing w:after="0"/>
              <w:rPr>
                <w:sz w:val="20"/>
                <w:szCs w:val="20"/>
                <w:color w:val="auto"/>
              </w:rPr>
            </w:pPr>
            <w:r>
              <w:rPr>
                <w:rFonts w:ascii="Arial" w:cs="Arial" w:eastAsia="Arial" w:hAnsi="Arial"/>
                <w:sz w:val="13"/>
                <w:szCs w:val="13"/>
                <w:color w:val="0E2A35"/>
              </w:rPr>
              <w:t>10/13/30</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980" w:type="dxa"/>
            <w:vAlign w:val="bottom"/>
            <w:tcBorders>
              <w:bottom w:val="single" w:sz="8" w:color="0E2A35"/>
            </w:tcBorders>
            <w:gridSpan w:val="2"/>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980" w:type="dxa"/>
            <w:vAlign w:val="bottom"/>
            <w:gridSpan w:val="2"/>
          </w:tcPr>
          <w:p>
            <w:pPr>
              <w:jc w:val="right"/>
              <w:ind w:right="259"/>
              <w:spacing w:after="0"/>
              <w:rPr>
                <w:sz w:val="20"/>
                <w:szCs w:val="20"/>
                <w:color w:val="auto"/>
              </w:rPr>
            </w:pPr>
            <w:r>
              <w:rPr>
                <w:rFonts w:ascii="Arial" w:cs="Arial" w:eastAsia="Arial" w:hAnsi="Arial"/>
                <w:sz w:val="13"/>
                <w:szCs w:val="13"/>
                <w:color w:val="0E2A35"/>
              </w:rPr>
              <w:t>1,085</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2,170</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(8)</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75.59</w:t>
            </w:r>
          </w:p>
        </w:tc>
        <w:tc>
          <w:tcPr>
            <w:tcW w:w="740" w:type="dxa"/>
            <w:vAlign w:val="bottom"/>
          </w:tcPr>
          <w:p>
            <w:pPr>
              <w:ind w:left="180"/>
              <w:spacing w:after="0"/>
              <w:rPr>
                <w:sz w:val="20"/>
                <w:szCs w:val="20"/>
                <w:color w:val="auto"/>
              </w:rPr>
            </w:pPr>
            <w:r>
              <w:rPr>
                <w:rFonts w:ascii="Arial" w:cs="Arial" w:eastAsia="Arial" w:hAnsi="Arial"/>
                <w:sz w:val="13"/>
                <w:szCs w:val="13"/>
                <w:color w:val="0E2A35"/>
              </w:rPr>
              <w:t>10/12/31</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9"/>
              <w:spacing w:after="0"/>
              <w:rPr>
                <w:sz w:val="20"/>
                <w:szCs w:val="20"/>
                <w:color w:val="auto"/>
              </w:rPr>
            </w:pPr>
            <w:r>
              <w:rPr>
                <w:rFonts w:ascii="Arial" w:cs="Arial" w:eastAsia="Arial" w:hAnsi="Arial"/>
                <w:sz w:val="13"/>
                <w:szCs w:val="13"/>
                <w:color w:val="0E2A35"/>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4,812</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(9)</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56.09</w:t>
            </w:r>
          </w:p>
        </w:tc>
        <w:tc>
          <w:tcPr>
            <w:tcW w:w="740" w:type="dxa"/>
            <w:vAlign w:val="bottom"/>
          </w:tcPr>
          <w:p>
            <w:pPr>
              <w:ind w:left="180"/>
              <w:spacing w:after="0"/>
              <w:rPr>
                <w:sz w:val="20"/>
                <w:szCs w:val="20"/>
                <w:color w:val="auto"/>
              </w:rPr>
            </w:pPr>
            <w:r>
              <w:rPr>
                <w:rFonts w:ascii="Arial" w:cs="Arial" w:eastAsia="Arial" w:hAnsi="Arial"/>
                <w:sz w:val="13"/>
                <w:szCs w:val="13"/>
                <w:color w:val="0E2A35"/>
              </w:rPr>
              <w:t>10/11/32</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ind w:left="940"/>
              <w:spacing w:after="0"/>
              <w:rPr>
                <w:sz w:val="20"/>
                <w:szCs w:val="20"/>
                <w:color w:val="auto"/>
              </w:rPr>
            </w:pPr>
            <w:r>
              <w:rPr>
                <w:rFonts w:ascii="Arial" w:cs="Arial" w:eastAsia="Arial" w:hAnsi="Arial"/>
                <w:sz w:val="10"/>
                <w:szCs w:val="10"/>
                <w:color w:val="0E2A35"/>
              </w:rPr>
              <w:t>(10)</w:t>
            </w:r>
          </w:p>
        </w:tc>
        <w:tc>
          <w:tcPr>
            <w:tcW w:w="1340" w:type="dxa"/>
            <w:vAlign w:val="bottom"/>
          </w:tcPr>
          <w:p>
            <w:pPr>
              <w:jc w:val="right"/>
              <w:ind w:right="359"/>
              <w:spacing w:after="0" w:line="142" w:lineRule="exact"/>
              <w:rPr>
                <w:sz w:val="20"/>
                <w:szCs w:val="20"/>
                <w:color w:val="auto"/>
              </w:rPr>
            </w:pPr>
            <w:r>
              <w:rPr>
                <w:rFonts w:ascii="Arial" w:cs="Arial" w:eastAsia="Arial" w:hAnsi="Arial"/>
                <w:sz w:val="13"/>
                <w:szCs w:val="13"/>
                <w:color w:val="0E2A35"/>
              </w:rPr>
              <w:t>295,527</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1460" w:type="dxa"/>
            <w:vAlign w:val="bottom"/>
            <w:tcBorders>
              <w:bottom w:val="single" w:sz="8" w:color="0E2A35"/>
            </w:tcBorders>
            <w:gridSpan w:val="2"/>
          </w:tcPr>
          <w:p>
            <w:pPr>
              <w:jc w:val="right"/>
              <w:ind w:right="461"/>
              <w:spacing w:after="0" w:line="108" w:lineRule="exact"/>
              <w:rPr>
                <w:sz w:val="20"/>
                <w:szCs w:val="20"/>
                <w:color w:val="auto"/>
              </w:rPr>
            </w:pPr>
            <w:r>
              <w:rPr>
                <w:rFonts w:ascii="Arial" w:cs="Arial" w:eastAsia="Arial" w:hAnsi="Arial"/>
                <w:sz w:val="12"/>
                <w:szCs w:val="12"/>
                <w:color w:val="0E2A35"/>
              </w:rPr>
              <w:t>4,643</w:t>
            </w: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ind w:left="940"/>
              <w:spacing w:after="0"/>
              <w:rPr>
                <w:sz w:val="20"/>
                <w:szCs w:val="20"/>
                <w:color w:val="auto"/>
              </w:rPr>
            </w:pPr>
            <w:r>
              <w:rPr>
                <w:rFonts w:ascii="Arial" w:cs="Arial" w:eastAsia="Arial" w:hAnsi="Arial"/>
                <w:sz w:val="10"/>
                <w:szCs w:val="10"/>
                <w:color w:val="0E2A35"/>
              </w:rPr>
              <w:t>(11)</w:t>
            </w:r>
          </w:p>
        </w:tc>
        <w:tc>
          <w:tcPr>
            <w:tcW w:w="1340" w:type="dxa"/>
            <w:vAlign w:val="bottom"/>
          </w:tcPr>
          <w:p>
            <w:pPr>
              <w:jc w:val="right"/>
              <w:ind w:right="359"/>
              <w:spacing w:after="0" w:line="142" w:lineRule="exact"/>
              <w:rPr>
                <w:sz w:val="20"/>
                <w:szCs w:val="20"/>
                <w:color w:val="auto"/>
              </w:rPr>
            </w:pPr>
            <w:r>
              <w:rPr>
                <w:rFonts w:ascii="Arial" w:cs="Arial" w:eastAsia="Arial" w:hAnsi="Arial"/>
                <w:sz w:val="13"/>
                <w:szCs w:val="13"/>
                <w:color w:val="0E2A35"/>
              </w:rPr>
              <w:t>278,532</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1460" w:type="dxa"/>
            <w:vAlign w:val="bottom"/>
            <w:tcBorders>
              <w:bottom w:val="single" w:sz="8" w:color="0E2A35"/>
            </w:tcBorders>
            <w:gridSpan w:val="2"/>
          </w:tcPr>
          <w:p>
            <w:pPr>
              <w:jc w:val="right"/>
              <w:ind w:right="461"/>
              <w:spacing w:after="0" w:line="108" w:lineRule="exact"/>
              <w:rPr>
                <w:sz w:val="20"/>
                <w:szCs w:val="20"/>
                <w:color w:val="auto"/>
              </w:rPr>
            </w:pPr>
            <w:r>
              <w:rPr>
                <w:rFonts w:ascii="Arial" w:cs="Arial" w:eastAsia="Arial" w:hAnsi="Arial"/>
                <w:sz w:val="12"/>
                <w:szCs w:val="12"/>
                <w:color w:val="0E2A35"/>
              </w:rPr>
              <w:t>4,376</w:t>
            </w: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ind w:left="940"/>
              <w:spacing w:after="0"/>
              <w:rPr>
                <w:sz w:val="20"/>
                <w:szCs w:val="20"/>
                <w:color w:val="auto"/>
              </w:rPr>
            </w:pPr>
            <w:r>
              <w:rPr>
                <w:rFonts w:ascii="Arial" w:cs="Arial" w:eastAsia="Arial" w:hAnsi="Arial"/>
                <w:sz w:val="10"/>
                <w:szCs w:val="10"/>
                <w:color w:val="0E2A35"/>
              </w:rPr>
              <w:t>(12)</w:t>
            </w:r>
          </w:p>
        </w:tc>
        <w:tc>
          <w:tcPr>
            <w:tcW w:w="1340" w:type="dxa"/>
            <w:vAlign w:val="bottom"/>
          </w:tcPr>
          <w:p>
            <w:pPr>
              <w:jc w:val="right"/>
              <w:ind w:right="359"/>
              <w:spacing w:after="0" w:line="142" w:lineRule="exact"/>
              <w:rPr>
                <w:sz w:val="20"/>
                <w:szCs w:val="20"/>
                <w:color w:val="auto"/>
              </w:rPr>
            </w:pPr>
            <w:r>
              <w:rPr>
                <w:rFonts w:ascii="Arial" w:cs="Arial" w:eastAsia="Arial" w:hAnsi="Arial"/>
                <w:sz w:val="13"/>
                <w:szCs w:val="13"/>
                <w:color w:val="0E2A35"/>
              </w:rPr>
              <w:t>435,748</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1460" w:type="dxa"/>
            <w:vAlign w:val="bottom"/>
            <w:tcBorders>
              <w:bottom w:val="single" w:sz="8" w:color="0E2A35"/>
            </w:tcBorders>
            <w:gridSpan w:val="2"/>
          </w:tcPr>
          <w:p>
            <w:pPr>
              <w:jc w:val="right"/>
              <w:ind w:right="461"/>
              <w:spacing w:after="0" w:line="108" w:lineRule="exact"/>
              <w:rPr>
                <w:sz w:val="20"/>
                <w:szCs w:val="20"/>
                <w:color w:val="auto"/>
              </w:rPr>
            </w:pPr>
            <w:r>
              <w:rPr>
                <w:rFonts w:ascii="Arial" w:cs="Arial" w:eastAsia="Arial" w:hAnsi="Arial"/>
                <w:sz w:val="12"/>
                <w:szCs w:val="12"/>
                <w:color w:val="0E2A35"/>
              </w:rPr>
              <w:t>6,846</w:t>
            </w: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3"/>
          </w:tcPr>
          <w:p>
            <w:pPr>
              <w:ind w:left="840"/>
              <w:spacing w:after="0"/>
              <w:rPr>
                <w:sz w:val="20"/>
                <w:szCs w:val="20"/>
                <w:color w:val="auto"/>
              </w:rPr>
            </w:pPr>
            <w:r>
              <w:rPr>
                <w:rFonts w:ascii="Arial" w:cs="Arial" w:eastAsia="Arial" w:hAnsi="Arial"/>
                <w:sz w:val="10"/>
                <w:szCs w:val="10"/>
                <w:color w:val="0E2A35"/>
              </w:rPr>
              <w:t>(7)</w:t>
            </w:r>
          </w:p>
        </w:tc>
        <w:tc>
          <w:tcPr>
            <w:tcW w:w="1020" w:type="dxa"/>
            <w:vAlign w:val="bottom"/>
          </w:tcPr>
          <w:p>
            <w:pPr>
              <w:jc w:val="right"/>
              <w:ind w:right="119"/>
              <w:spacing w:after="0" w:line="142" w:lineRule="exact"/>
              <w:rPr>
                <w:sz w:val="20"/>
                <w:szCs w:val="20"/>
                <w:color w:val="auto"/>
              </w:rPr>
            </w:pPr>
            <w:r>
              <w:rPr>
                <w:rFonts w:ascii="Arial" w:cs="Arial" w:eastAsia="Arial" w:hAnsi="Arial"/>
                <w:sz w:val="13"/>
                <w:szCs w:val="13"/>
                <w:color w:val="0E2A35"/>
              </w:rPr>
              <w:t>68,997</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gridSpan w:val="2"/>
          </w:tcPr>
          <w:p>
            <w:pPr>
              <w:jc w:val="right"/>
              <w:spacing w:after="0" w:line="108" w:lineRule="exact"/>
              <w:rPr>
                <w:sz w:val="20"/>
                <w:szCs w:val="20"/>
                <w:color w:val="auto"/>
              </w:rPr>
            </w:pPr>
            <w:r>
              <w:rPr>
                <w:rFonts w:ascii="Arial" w:cs="Arial" w:eastAsia="Arial" w:hAnsi="Arial"/>
                <w:sz w:val="12"/>
                <w:szCs w:val="12"/>
                <w:color w:val="0E2A35"/>
              </w:rPr>
              <w:t>1,084</w:t>
            </w: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0E2A35"/>
              </w:rPr>
              <w:t>432</w:t>
            </w:r>
          </w:p>
        </w:tc>
        <w:tc>
          <w:tcPr>
            <w:tcW w:w="360" w:type="dxa"/>
            <w:vAlign w:val="bottom"/>
          </w:tcPr>
          <w:p>
            <w:pPr>
              <w:spacing w:after="0"/>
              <w:rPr>
                <w:sz w:val="20"/>
                <w:szCs w:val="20"/>
                <w:color w:val="auto"/>
              </w:rPr>
            </w:pPr>
            <w:r>
              <w:rPr>
                <w:rFonts w:ascii="Arial" w:cs="Arial" w:eastAsia="Arial" w:hAnsi="Arial"/>
                <w:sz w:val="10"/>
                <w:szCs w:val="10"/>
                <w:color w:val="0E2A35"/>
              </w:rPr>
              <w:t>(13)</w:t>
            </w:r>
          </w:p>
        </w:tc>
        <w:tc>
          <w:tcPr>
            <w:tcW w:w="1020" w:type="dxa"/>
            <w:vAlign w:val="bottom"/>
          </w:tcPr>
          <w:p>
            <w:pPr>
              <w:jc w:val="right"/>
              <w:ind w:right="119"/>
              <w:spacing w:after="0"/>
              <w:rPr>
                <w:sz w:val="20"/>
                <w:szCs w:val="20"/>
                <w:color w:val="auto"/>
              </w:rPr>
            </w:pPr>
            <w:r>
              <w:rPr>
                <w:rFonts w:ascii="Arial" w:cs="Arial" w:eastAsia="Arial" w:hAnsi="Arial"/>
                <w:sz w:val="13"/>
                <w:szCs w:val="13"/>
                <w:color w:val="0E2A35"/>
              </w:rPr>
              <w:t>27,497</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980" w:type="dxa"/>
            <w:vAlign w:val="bottom"/>
            <w:tcBorders>
              <w:bottom w:val="single" w:sz="8" w:color="0E2A35"/>
            </w:tcBorders>
            <w:gridSpan w:val="2"/>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3"/>
          </w:tcPr>
          <w:p>
            <w:pPr>
              <w:ind w:left="840"/>
              <w:spacing w:after="0"/>
              <w:rPr>
                <w:sz w:val="20"/>
                <w:szCs w:val="20"/>
                <w:color w:val="auto"/>
              </w:rPr>
            </w:pPr>
            <w:r>
              <w:rPr>
                <w:rFonts w:ascii="Arial" w:cs="Arial" w:eastAsia="Arial" w:hAnsi="Arial"/>
                <w:sz w:val="10"/>
                <w:szCs w:val="10"/>
                <w:color w:val="0E2A35"/>
              </w:rPr>
              <w:t>(8)</w:t>
            </w:r>
          </w:p>
        </w:tc>
        <w:tc>
          <w:tcPr>
            <w:tcW w:w="1020" w:type="dxa"/>
            <w:vAlign w:val="bottom"/>
          </w:tcPr>
          <w:p>
            <w:pPr>
              <w:jc w:val="right"/>
              <w:ind w:right="139"/>
              <w:spacing w:after="0" w:line="142" w:lineRule="exact"/>
              <w:rPr>
                <w:sz w:val="20"/>
                <w:szCs w:val="20"/>
                <w:color w:val="auto"/>
              </w:rPr>
            </w:pPr>
            <w:r>
              <w:rPr>
                <w:rFonts w:ascii="Arial" w:cs="Arial" w:eastAsia="Arial" w:hAnsi="Arial"/>
                <w:sz w:val="13"/>
                <w:szCs w:val="13"/>
                <w:color w:val="0E2A35"/>
              </w:rPr>
              <w:t>129,973</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gridSpan w:val="2"/>
          </w:tcPr>
          <w:p>
            <w:pPr>
              <w:jc w:val="right"/>
              <w:spacing w:after="0" w:line="108" w:lineRule="exact"/>
              <w:rPr>
                <w:sz w:val="20"/>
                <w:szCs w:val="20"/>
                <w:color w:val="auto"/>
              </w:rPr>
            </w:pPr>
            <w:r>
              <w:rPr>
                <w:rFonts w:ascii="Arial" w:cs="Arial" w:eastAsia="Arial" w:hAnsi="Arial"/>
                <w:sz w:val="12"/>
                <w:szCs w:val="12"/>
                <w:color w:val="0E2A35"/>
              </w:rPr>
              <w:t>2,042</w:t>
            </w: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3"/>
          </w:tcPr>
          <w:p>
            <w:pPr>
              <w:ind w:left="840"/>
              <w:spacing w:after="0"/>
              <w:rPr>
                <w:sz w:val="20"/>
                <w:szCs w:val="20"/>
                <w:color w:val="auto"/>
              </w:rPr>
            </w:pPr>
            <w:r>
              <w:rPr>
                <w:rFonts w:ascii="Arial" w:cs="Arial" w:eastAsia="Arial" w:hAnsi="Arial"/>
                <w:sz w:val="10"/>
                <w:szCs w:val="10"/>
                <w:color w:val="0E2A35"/>
              </w:rPr>
              <w:t>(9)</w:t>
            </w:r>
          </w:p>
        </w:tc>
        <w:tc>
          <w:tcPr>
            <w:tcW w:w="1020" w:type="dxa"/>
            <w:vAlign w:val="bottom"/>
          </w:tcPr>
          <w:p>
            <w:pPr>
              <w:jc w:val="right"/>
              <w:ind w:right="139"/>
              <w:spacing w:after="0" w:line="142" w:lineRule="exact"/>
              <w:rPr>
                <w:sz w:val="20"/>
                <w:szCs w:val="20"/>
                <w:color w:val="auto"/>
              </w:rPr>
            </w:pPr>
            <w:r>
              <w:rPr>
                <w:rFonts w:ascii="Arial" w:cs="Arial" w:eastAsia="Arial" w:hAnsi="Arial"/>
                <w:sz w:val="13"/>
                <w:szCs w:val="13"/>
                <w:color w:val="0E2A35"/>
              </w:rPr>
              <w:t>305,011</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gridSpan w:val="2"/>
          </w:tcPr>
          <w:p>
            <w:pPr>
              <w:jc w:val="right"/>
              <w:spacing w:after="0" w:line="108" w:lineRule="exact"/>
              <w:rPr>
                <w:sz w:val="20"/>
                <w:szCs w:val="20"/>
                <w:color w:val="auto"/>
              </w:rPr>
            </w:pPr>
            <w:r>
              <w:rPr>
                <w:rFonts w:ascii="Arial" w:cs="Arial" w:eastAsia="Arial" w:hAnsi="Arial"/>
                <w:sz w:val="12"/>
                <w:szCs w:val="12"/>
                <w:color w:val="0E2A35"/>
              </w:rPr>
              <w:t>4,792</w:t>
            </w: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580" w:type="dxa"/>
            <w:vAlign w:val="bottom"/>
          </w:tcPr>
          <w:p>
            <w:pPr>
              <w:ind w:left="60"/>
              <w:spacing w:after="0"/>
              <w:rPr>
                <w:sz w:val="20"/>
                <w:szCs w:val="20"/>
                <w:color w:val="auto"/>
              </w:rPr>
            </w:pPr>
            <w:r>
              <w:rPr>
                <w:rFonts w:ascii="Arial" w:cs="Arial" w:eastAsia="Arial" w:hAnsi="Arial"/>
                <w:sz w:val="13"/>
                <w:szCs w:val="13"/>
                <w:color w:val="0E2A35"/>
              </w:rPr>
              <w:t>Huw S. Bower</w:t>
            </w:r>
          </w:p>
        </w:tc>
        <w:tc>
          <w:tcPr>
            <w:tcW w:w="980" w:type="dxa"/>
            <w:vAlign w:val="bottom"/>
            <w:gridSpan w:val="2"/>
          </w:tcPr>
          <w:p>
            <w:pPr>
              <w:jc w:val="right"/>
              <w:ind w:right="259"/>
              <w:spacing w:after="0"/>
              <w:rPr>
                <w:sz w:val="20"/>
                <w:szCs w:val="20"/>
                <w:color w:val="auto"/>
              </w:rPr>
            </w:pPr>
            <w:r>
              <w:rPr>
                <w:rFonts w:ascii="Arial" w:cs="Arial" w:eastAsia="Arial" w:hAnsi="Arial"/>
                <w:sz w:val="13"/>
                <w:szCs w:val="13"/>
                <w:color w:val="0E2A35"/>
              </w:rPr>
              <w:t>4,838</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2,420</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(7)</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54.49</w:t>
            </w:r>
          </w:p>
        </w:tc>
        <w:tc>
          <w:tcPr>
            <w:tcW w:w="740" w:type="dxa"/>
            <w:vAlign w:val="bottom"/>
          </w:tcPr>
          <w:p>
            <w:pPr>
              <w:ind w:left="180"/>
              <w:spacing w:after="0"/>
              <w:rPr>
                <w:sz w:val="20"/>
                <w:szCs w:val="20"/>
                <w:color w:val="auto"/>
              </w:rPr>
            </w:pPr>
            <w:r>
              <w:rPr>
                <w:rFonts w:ascii="Arial" w:cs="Arial" w:eastAsia="Arial" w:hAnsi="Arial"/>
                <w:sz w:val="13"/>
                <w:szCs w:val="13"/>
                <w:color w:val="0E2A35"/>
              </w:rPr>
              <w:t>10/13/30</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980" w:type="dxa"/>
            <w:vAlign w:val="bottom"/>
            <w:tcBorders>
              <w:bottom w:val="single" w:sz="8" w:color="0E2A35"/>
            </w:tcBorders>
            <w:gridSpan w:val="2"/>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980" w:type="dxa"/>
            <w:vAlign w:val="bottom"/>
            <w:gridSpan w:val="2"/>
          </w:tcPr>
          <w:p>
            <w:pPr>
              <w:jc w:val="right"/>
              <w:ind w:right="259"/>
              <w:spacing w:after="0"/>
              <w:rPr>
                <w:sz w:val="20"/>
                <w:szCs w:val="20"/>
                <w:color w:val="auto"/>
              </w:rPr>
            </w:pPr>
            <w:r>
              <w:rPr>
                <w:rFonts w:ascii="Arial" w:cs="Arial" w:eastAsia="Arial" w:hAnsi="Arial"/>
                <w:sz w:val="13"/>
                <w:szCs w:val="13"/>
                <w:color w:val="0E2A35"/>
              </w:rPr>
              <w:t>1,672</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3,345</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(8)</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75.59</w:t>
            </w:r>
          </w:p>
        </w:tc>
        <w:tc>
          <w:tcPr>
            <w:tcW w:w="740" w:type="dxa"/>
            <w:vAlign w:val="bottom"/>
          </w:tcPr>
          <w:p>
            <w:pPr>
              <w:ind w:left="180"/>
              <w:spacing w:after="0"/>
              <w:rPr>
                <w:sz w:val="20"/>
                <w:szCs w:val="20"/>
                <w:color w:val="auto"/>
              </w:rPr>
            </w:pPr>
            <w:r>
              <w:rPr>
                <w:rFonts w:ascii="Arial" w:cs="Arial" w:eastAsia="Arial" w:hAnsi="Arial"/>
                <w:sz w:val="13"/>
                <w:szCs w:val="13"/>
                <w:color w:val="0E2A35"/>
              </w:rPr>
              <w:t>10/12/31</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9"/>
              <w:spacing w:after="0"/>
              <w:rPr>
                <w:sz w:val="20"/>
                <w:szCs w:val="20"/>
                <w:color w:val="auto"/>
              </w:rPr>
            </w:pPr>
            <w:r>
              <w:rPr>
                <w:rFonts w:ascii="Arial" w:cs="Arial" w:eastAsia="Arial" w:hAnsi="Arial"/>
                <w:sz w:val="13"/>
                <w:szCs w:val="13"/>
                <w:color w:val="0E2A35"/>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0E2A35"/>
              </w:rPr>
              <w:t>6,677</w:t>
            </w:r>
          </w:p>
        </w:tc>
        <w:tc>
          <w:tcPr>
            <w:tcW w:w="340" w:type="dxa"/>
            <w:vAlign w:val="bottom"/>
          </w:tcPr>
          <w:p>
            <w:pPr>
              <w:jc w:val="right"/>
              <w:ind w:right="168"/>
              <w:spacing w:after="0"/>
              <w:rPr>
                <w:sz w:val="20"/>
                <w:szCs w:val="20"/>
                <w:color w:val="auto"/>
              </w:rPr>
            </w:pPr>
            <w:r>
              <w:rPr>
                <w:rFonts w:ascii="Arial" w:cs="Arial" w:eastAsia="Arial" w:hAnsi="Arial"/>
                <w:sz w:val="10"/>
                <w:szCs w:val="10"/>
                <w:color w:val="0E2A35"/>
                <w:w w:val="81"/>
              </w:rPr>
              <w:t>(9)</w:t>
            </w:r>
          </w:p>
        </w:tc>
        <w:tc>
          <w:tcPr>
            <w:tcW w:w="760" w:type="dxa"/>
            <w:vAlign w:val="bottom"/>
          </w:tcPr>
          <w:p>
            <w:pPr>
              <w:jc w:val="right"/>
              <w:ind w:right="178"/>
              <w:spacing w:after="0"/>
              <w:rPr>
                <w:sz w:val="20"/>
                <w:szCs w:val="20"/>
                <w:color w:val="auto"/>
              </w:rPr>
            </w:pPr>
            <w:r>
              <w:rPr>
                <w:rFonts w:ascii="Arial" w:cs="Arial" w:eastAsia="Arial" w:hAnsi="Arial"/>
                <w:sz w:val="13"/>
                <w:szCs w:val="13"/>
                <w:color w:val="0E2A35"/>
              </w:rPr>
              <w:t>56.09</w:t>
            </w:r>
          </w:p>
        </w:tc>
        <w:tc>
          <w:tcPr>
            <w:tcW w:w="740" w:type="dxa"/>
            <w:vAlign w:val="bottom"/>
          </w:tcPr>
          <w:p>
            <w:pPr>
              <w:ind w:left="180"/>
              <w:spacing w:after="0"/>
              <w:rPr>
                <w:sz w:val="20"/>
                <w:szCs w:val="20"/>
                <w:color w:val="auto"/>
              </w:rPr>
            </w:pPr>
            <w:r>
              <w:rPr>
                <w:rFonts w:ascii="Arial" w:cs="Arial" w:eastAsia="Arial" w:hAnsi="Arial"/>
                <w:sz w:val="13"/>
                <w:szCs w:val="13"/>
                <w:color w:val="0E2A35"/>
              </w:rPr>
              <w:t>10/11/32</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1580" w:type="dxa"/>
            <w:vAlign w:val="bottom"/>
          </w:tcPr>
          <w:p>
            <w:pPr>
              <w:spacing w:after="0"/>
              <w:rPr>
                <w:sz w:val="2"/>
                <w:szCs w:val="2"/>
                <w:color w:val="auto"/>
              </w:rPr>
            </w:pPr>
          </w:p>
        </w:tc>
        <w:tc>
          <w:tcPr>
            <w:tcW w:w="100" w:type="dxa"/>
            <w:vAlign w:val="bottom"/>
            <w:tcBorders>
              <w:bottom w:val="single" w:sz="8" w:color="0E2A35"/>
            </w:tcBorders>
          </w:tcPr>
          <w:p>
            <w:pPr>
              <w:spacing w:after="0"/>
              <w:rPr>
                <w:sz w:val="2"/>
                <w:szCs w:val="2"/>
                <w:color w:val="auto"/>
              </w:rPr>
            </w:pPr>
          </w:p>
        </w:tc>
        <w:tc>
          <w:tcPr>
            <w:tcW w:w="88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340" w:type="dxa"/>
            <w:vAlign w:val="bottom"/>
            <w:tcBorders>
              <w:bottom w:val="single" w:sz="8" w:color="0E2A35"/>
            </w:tcBorders>
          </w:tcPr>
          <w:p>
            <w:pPr>
              <w:spacing w:after="0"/>
              <w:rPr>
                <w:sz w:val="2"/>
                <w:szCs w:val="2"/>
                <w:color w:val="auto"/>
              </w:rPr>
            </w:pPr>
          </w:p>
        </w:tc>
        <w:tc>
          <w:tcPr>
            <w:tcW w:w="760" w:type="dxa"/>
            <w:vAlign w:val="bottom"/>
            <w:tcBorders>
              <w:bottom w:val="single" w:sz="8" w:color="0E2A35"/>
            </w:tcBorders>
          </w:tcPr>
          <w:p>
            <w:pPr>
              <w:spacing w:after="0"/>
              <w:rPr>
                <w:sz w:val="2"/>
                <w:szCs w:val="2"/>
                <w:color w:val="auto"/>
              </w:rPr>
            </w:pPr>
          </w:p>
        </w:tc>
        <w:tc>
          <w:tcPr>
            <w:tcW w:w="74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620" w:type="dxa"/>
            <w:vAlign w:val="bottom"/>
            <w:tcBorders>
              <w:bottom w:val="single" w:sz="8" w:color="0E2A35"/>
            </w:tcBorders>
          </w:tcPr>
          <w:p>
            <w:pPr>
              <w:spacing w:after="0"/>
              <w:rPr>
                <w:sz w:val="2"/>
                <w:szCs w:val="2"/>
                <w:color w:val="auto"/>
              </w:rPr>
            </w:pPr>
          </w:p>
        </w:tc>
        <w:tc>
          <w:tcPr>
            <w:tcW w:w="360" w:type="dxa"/>
            <w:vAlign w:val="bottom"/>
            <w:tcBorders>
              <w:bottom w:val="single" w:sz="8" w:color="0E2A35"/>
            </w:tcBorders>
          </w:tcPr>
          <w:p>
            <w:pPr>
              <w:spacing w:after="0"/>
              <w:rPr>
                <w:sz w:val="2"/>
                <w:szCs w:val="2"/>
                <w:color w:val="auto"/>
              </w:rPr>
            </w:pPr>
          </w:p>
        </w:tc>
        <w:tc>
          <w:tcPr>
            <w:tcW w:w="1020" w:type="dxa"/>
            <w:vAlign w:val="bottom"/>
            <w:tcBorders>
              <w:bottom w:val="single" w:sz="8" w:color="0E2A35"/>
            </w:tcBorders>
          </w:tcPr>
          <w:p>
            <w:pPr>
              <w:spacing w:after="0"/>
              <w:rPr>
                <w:sz w:val="2"/>
                <w:szCs w:val="2"/>
                <w:color w:val="auto"/>
              </w:rPr>
            </w:pPr>
          </w:p>
        </w:tc>
        <w:tc>
          <w:tcPr>
            <w:tcW w:w="220" w:type="dxa"/>
            <w:vAlign w:val="bottom"/>
            <w:tcBorders>
              <w:bottom w:val="single" w:sz="8" w:color="0E2A35"/>
            </w:tcBorders>
          </w:tcPr>
          <w:p>
            <w:pPr>
              <w:spacing w:after="0"/>
              <w:rPr>
                <w:sz w:val="2"/>
                <w:szCs w:val="2"/>
                <w:color w:val="auto"/>
              </w:rPr>
            </w:pPr>
          </w:p>
        </w:tc>
        <w:tc>
          <w:tcPr>
            <w:tcW w:w="1240" w:type="dxa"/>
            <w:vAlign w:val="bottom"/>
            <w:tcBorders>
              <w:bottom w:val="single" w:sz="8" w:color="0E2A35"/>
            </w:tcBorders>
          </w:tcPr>
          <w:p>
            <w:pPr>
              <w:spacing w:after="0"/>
              <w:rPr>
                <w:sz w:val="2"/>
                <w:szCs w:val="2"/>
                <w:color w:val="auto"/>
              </w:rPr>
            </w:pPr>
          </w:p>
        </w:tc>
        <w:tc>
          <w:tcPr>
            <w:tcW w:w="1340" w:type="dxa"/>
            <w:vAlign w:val="bottom"/>
            <w:tcBorders>
              <w:bottom w:val="single" w:sz="8" w:color="0E2A35"/>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ind w:left="940"/>
              <w:spacing w:after="0"/>
              <w:rPr>
                <w:sz w:val="20"/>
                <w:szCs w:val="20"/>
                <w:color w:val="auto"/>
              </w:rPr>
            </w:pPr>
            <w:r>
              <w:rPr>
                <w:rFonts w:ascii="Arial" w:cs="Arial" w:eastAsia="Arial" w:hAnsi="Arial"/>
                <w:sz w:val="10"/>
                <w:szCs w:val="10"/>
                <w:color w:val="0E2A35"/>
              </w:rPr>
              <w:t>(10)</w:t>
            </w:r>
          </w:p>
        </w:tc>
        <w:tc>
          <w:tcPr>
            <w:tcW w:w="1340" w:type="dxa"/>
            <w:vAlign w:val="bottom"/>
          </w:tcPr>
          <w:p>
            <w:pPr>
              <w:jc w:val="right"/>
              <w:ind w:right="359"/>
              <w:spacing w:after="0" w:line="142" w:lineRule="exact"/>
              <w:rPr>
                <w:sz w:val="20"/>
                <w:szCs w:val="20"/>
                <w:color w:val="auto"/>
              </w:rPr>
            </w:pPr>
            <w:r>
              <w:rPr>
                <w:rFonts w:ascii="Arial" w:cs="Arial" w:eastAsia="Arial" w:hAnsi="Arial"/>
                <w:sz w:val="13"/>
                <w:szCs w:val="13"/>
                <w:color w:val="0E2A35"/>
              </w:rPr>
              <w:t>578,197</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1460" w:type="dxa"/>
            <w:vAlign w:val="bottom"/>
            <w:tcBorders>
              <w:bottom w:val="single" w:sz="8" w:color="0E2A35"/>
            </w:tcBorders>
            <w:gridSpan w:val="2"/>
          </w:tcPr>
          <w:p>
            <w:pPr>
              <w:jc w:val="right"/>
              <w:ind w:right="461"/>
              <w:spacing w:after="0" w:line="108" w:lineRule="exact"/>
              <w:rPr>
                <w:sz w:val="20"/>
                <w:szCs w:val="20"/>
                <w:color w:val="auto"/>
              </w:rPr>
            </w:pPr>
            <w:r>
              <w:rPr>
                <w:rFonts w:ascii="Arial" w:cs="Arial" w:eastAsia="Arial" w:hAnsi="Arial"/>
                <w:sz w:val="12"/>
                <w:szCs w:val="12"/>
                <w:color w:val="0E2A35"/>
              </w:rPr>
              <w:t>9,084</w:t>
            </w: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ind w:left="940"/>
              <w:spacing w:after="0"/>
              <w:rPr>
                <w:sz w:val="20"/>
                <w:szCs w:val="20"/>
                <w:color w:val="auto"/>
              </w:rPr>
            </w:pPr>
            <w:r>
              <w:rPr>
                <w:rFonts w:ascii="Arial" w:cs="Arial" w:eastAsia="Arial" w:hAnsi="Arial"/>
                <w:sz w:val="10"/>
                <w:szCs w:val="10"/>
                <w:color w:val="0E2A35"/>
              </w:rPr>
              <w:t>(11)</w:t>
            </w:r>
          </w:p>
        </w:tc>
        <w:tc>
          <w:tcPr>
            <w:tcW w:w="1340" w:type="dxa"/>
            <w:vAlign w:val="bottom"/>
          </w:tcPr>
          <w:p>
            <w:pPr>
              <w:jc w:val="right"/>
              <w:ind w:right="359"/>
              <w:spacing w:after="0" w:line="142" w:lineRule="exact"/>
              <w:rPr>
                <w:sz w:val="20"/>
                <w:szCs w:val="20"/>
                <w:color w:val="auto"/>
              </w:rPr>
            </w:pPr>
            <w:r>
              <w:rPr>
                <w:rFonts w:ascii="Arial" w:cs="Arial" w:eastAsia="Arial" w:hAnsi="Arial"/>
                <w:sz w:val="13"/>
                <w:szCs w:val="13"/>
                <w:color w:val="0E2A35"/>
              </w:rPr>
              <w:t>429,256</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1460" w:type="dxa"/>
            <w:vAlign w:val="bottom"/>
            <w:tcBorders>
              <w:bottom w:val="single" w:sz="8" w:color="0E2A35"/>
            </w:tcBorders>
            <w:gridSpan w:val="2"/>
          </w:tcPr>
          <w:p>
            <w:pPr>
              <w:jc w:val="right"/>
              <w:ind w:right="461"/>
              <w:spacing w:after="0" w:line="108" w:lineRule="exact"/>
              <w:rPr>
                <w:sz w:val="20"/>
                <w:szCs w:val="20"/>
                <w:color w:val="auto"/>
              </w:rPr>
            </w:pPr>
            <w:r>
              <w:rPr>
                <w:rFonts w:ascii="Arial" w:cs="Arial" w:eastAsia="Arial" w:hAnsi="Arial"/>
                <w:sz w:val="12"/>
                <w:szCs w:val="12"/>
                <w:color w:val="0E2A35"/>
              </w:rPr>
              <w:t>6,744</w:t>
            </w: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60" w:type="dxa"/>
            <w:vAlign w:val="bottom"/>
            <w:gridSpan w:val="2"/>
          </w:tcPr>
          <w:p>
            <w:pPr>
              <w:ind w:left="940"/>
              <w:spacing w:after="0"/>
              <w:rPr>
                <w:sz w:val="20"/>
                <w:szCs w:val="20"/>
                <w:color w:val="auto"/>
              </w:rPr>
            </w:pPr>
            <w:r>
              <w:rPr>
                <w:rFonts w:ascii="Arial" w:cs="Arial" w:eastAsia="Arial" w:hAnsi="Arial"/>
                <w:sz w:val="10"/>
                <w:szCs w:val="10"/>
                <w:color w:val="0E2A35"/>
              </w:rPr>
              <w:t>(12)</w:t>
            </w:r>
          </w:p>
        </w:tc>
        <w:tc>
          <w:tcPr>
            <w:tcW w:w="1340" w:type="dxa"/>
            <w:vAlign w:val="bottom"/>
          </w:tcPr>
          <w:p>
            <w:pPr>
              <w:jc w:val="right"/>
              <w:ind w:right="339"/>
              <w:spacing w:after="0" w:line="142" w:lineRule="exact"/>
              <w:rPr>
                <w:sz w:val="20"/>
                <w:szCs w:val="20"/>
                <w:color w:val="auto"/>
              </w:rPr>
            </w:pPr>
            <w:r>
              <w:rPr>
                <w:rFonts w:ascii="Arial" w:cs="Arial" w:eastAsia="Arial" w:hAnsi="Arial"/>
                <w:sz w:val="13"/>
                <w:szCs w:val="13"/>
                <w:color w:val="0E2A35"/>
              </w:rPr>
              <w:t>604,611</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620" w:type="dxa"/>
            <w:vAlign w:val="bottom"/>
            <w:tcBorders>
              <w:bottom w:val="single" w:sz="8" w:color="0E2A35"/>
            </w:tcBorders>
          </w:tcPr>
          <w:p>
            <w:pPr>
              <w:spacing w:after="0"/>
              <w:rPr>
                <w:sz w:val="9"/>
                <w:szCs w:val="9"/>
                <w:color w:val="auto"/>
              </w:rPr>
            </w:pP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1460" w:type="dxa"/>
            <w:vAlign w:val="bottom"/>
            <w:tcBorders>
              <w:bottom w:val="single" w:sz="8" w:color="0E2A35"/>
            </w:tcBorders>
            <w:gridSpan w:val="2"/>
          </w:tcPr>
          <w:p>
            <w:pPr>
              <w:jc w:val="right"/>
              <w:ind w:right="461"/>
              <w:spacing w:after="0" w:line="108" w:lineRule="exact"/>
              <w:rPr>
                <w:sz w:val="20"/>
                <w:szCs w:val="20"/>
                <w:color w:val="auto"/>
              </w:rPr>
            </w:pPr>
            <w:r>
              <w:rPr>
                <w:rFonts w:ascii="Arial" w:cs="Arial" w:eastAsia="Arial" w:hAnsi="Arial"/>
                <w:sz w:val="12"/>
                <w:szCs w:val="12"/>
                <w:color w:val="0E2A35"/>
              </w:rPr>
              <w:t>9,499</w:t>
            </w: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3"/>
          </w:tcPr>
          <w:p>
            <w:pPr>
              <w:ind w:left="840"/>
              <w:spacing w:after="0"/>
              <w:rPr>
                <w:sz w:val="20"/>
                <w:szCs w:val="20"/>
                <w:color w:val="auto"/>
              </w:rPr>
            </w:pPr>
            <w:r>
              <w:rPr>
                <w:rFonts w:ascii="Arial" w:cs="Arial" w:eastAsia="Arial" w:hAnsi="Arial"/>
                <w:sz w:val="10"/>
                <w:szCs w:val="10"/>
                <w:color w:val="0E2A35"/>
              </w:rPr>
              <w:t>(7)</w:t>
            </w:r>
          </w:p>
        </w:tc>
        <w:tc>
          <w:tcPr>
            <w:tcW w:w="1020" w:type="dxa"/>
            <w:vAlign w:val="bottom"/>
          </w:tcPr>
          <w:p>
            <w:pPr>
              <w:jc w:val="right"/>
              <w:ind w:right="139"/>
              <w:spacing w:after="0" w:line="142" w:lineRule="exact"/>
              <w:rPr>
                <w:sz w:val="20"/>
                <w:szCs w:val="20"/>
                <w:color w:val="auto"/>
              </w:rPr>
            </w:pPr>
            <w:r>
              <w:rPr>
                <w:rFonts w:ascii="Arial" w:cs="Arial" w:eastAsia="Arial" w:hAnsi="Arial"/>
                <w:sz w:val="13"/>
                <w:szCs w:val="13"/>
                <w:color w:val="0E2A35"/>
              </w:rPr>
              <w:t>135,002</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gridSpan w:val="2"/>
          </w:tcPr>
          <w:p>
            <w:pPr>
              <w:jc w:val="right"/>
              <w:spacing w:after="0" w:line="108" w:lineRule="exact"/>
              <w:rPr>
                <w:sz w:val="20"/>
                <w:szCs w:val="20"/>
                <w:color w:val="auto"/>
              </w:rPr>
            </w:pPr>
            <w:r>
              <w:rPr>
                <w:rFonts w:ascii="Arial" w:cs="Arial" w:eastAsia="Arial" w:hAnsi="Arial"/>
                <w:sz w:val="12"/>
                <w:szCs w:val="12"/>
                <w:color w:val="0E2A35"/>
              </w:rPr>
              <w:t>2,121</w:t>
            </w: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3"/>
          </w:tcPr>
          <w:p>
            <w:pPr>
              <w:ind w:left="840"/>
              <w:spacing w:after="0"/>
              <w:rPr>
                <w:sz w:val="20"/>
                <w:szCs w:val="20"/>
                <w:color w:val="auto"/>
              </w:rPr>
            </w:pPr>
            <w:r>
              <w:rPr>
                <w:rFonts w:ascii="Arial" w:cs="Arial" w:eastAsia="Arial" w:hAnsi="Arial"/>
                <w:sz w:val="10"/>
                <w:szCs w:val="10"/>
                <w:color w:val="0E2A35"/>
              </w:rPr>
              <w:t>(8)</w:t>
            </w:r>
          </w:p>
        </w:tc>
        <w:tc>
          <w:tcPr>
            <w:tcW w:w="1020" w:type="dxa"/>
            <w:vAlign w:val="bottom"/>
          </w:tcPr>
          <w:p>
            <w:pPr>
              <w:jc w:val="right"/>
              <w:ind w:right="139"/>
              <w:spacing w:after="0" w:line="142" w:lineRule="exact"/>
              <w:rPr>
                <w:sz w:val="20"/>
                <w:szCs w:val="20"/>
                <w:color w:val="auto"/>
              </w:rPr>
            </w:pPr>
            <w:r>
              <w:rPr>
                <w:rFonts w:ascii="Arial" w:cs="Arial" w:eastAsia="Arial" w:hAnsi="Arial"/>
                <w:sz w:val="13"/>
                <w:szCs w:val="13"/>
                <w:color w:val="0E2A35"/>
              </w:rPr>
              <w:t>200,307</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gridSpan w:val="2"/>
          </w:tcPr>
          <w:p>
            <w:pPr>
              <w:jc w:val="right"/>
              <w:spacing w:after="0" w:line="108" w:lineRule="exact"/>
              <w:rPr>
                <w:sz w:val="20"/>
                <w:szCs w:val="20"/>
                <w:color w:val="auto"/>
              </w:rPr>
            </w:pPr>
            <w:r>
              <w:rPr>
                <w:rFonts w:ascii="Arial" w:cs="Arial" w:eastAsia="Arial" w:hAnsi="Arial"/>
                <w:sz w:val="12"/>
                <w:szCs w:val="12"/>
                <w:color w:val="0E2A35"/>
              </w:rPr>
              <w:t>3,147</w:t>
            </w: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3"/>
          </w:tcPr>
          <w:p>
            <w:pPr>
              <w:ind w:left="840"/>
              <w:spacing w:after="0"/>
              <w:rPr>
                <w:sz w:val="20"/>
                <w:szCs w:val="20"/>
                <w:color w:val="auto"/>
              </w:rPr>
            </w:pPr>
            <w:r>
              <w:rPr>
                <w:rFonts w:ascii="Arial" w:cs="Arial" w:eastAsia="Arial" w:hAnsi="Arial"/>
                <w:sz w:val="10"/>
                <w:szCs w:val="10"/>
                <w:color w:val="0E2A35"/>
              </w:rPr>
              <w:t>(9)</w:t>
            </w:r>
          </w:p>
        </w:tc>
        <w:tc>
          <w:tcPr>
            <w:tcW w:w="1020" w:type="dxa"/>
            <w:vAlign w:val="bottom"/>
          </w:tcPr>
          <w:p>
            <w:pPr>
              <w:jc w:val="right"/>
              <w:ind w:right="139"/>
              <w:spacing w:after="0" w:line="142" w:lineRule="exact"/>
              <w:rPr>
                <w:sz w:val="20"/>
                <w:szCs w:val="20"/>
                <w:color w:val="auto"/>
              </w:rPr>
            </w:pPr>
            <w:r>
              <w:rPr>
                <w:rFonts w:ascii="Arial" w:cs="Arial" w:eastAsia="Arial" w:hAnsi="Arial"/>
                <w:sz w:val="13"/>
                <w:szCs w:val="13"/>
                <w:color w:val="0E2A35"/>
              </w:rPr>
              <w:t>423,209</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580" w:type="dxa"/>
            <w:vAlign w:val="bottom"/>
            <w:tcBorders>
              <w:bottom w:val="single" w:sz="8" w:color="0E2A35"/>
            </w:tcBorders>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gridSpan w:val="2"/>
          </w:tcPr>
          <w:p>
            <w:pPr>
              <w:jc w:val="right"/>
              <w:spacing w:after="0" w:line="108" w:lineRule="exact"/>
              <w:rPr>
                <w:sz w:val="20"/>
                <w:szCs w:val="20"/>
                <w:color w:val="auto"/>
              </w:rPr>
            </w:pPr>
            <w:r>
              <w:rPr>
                <w:rFonts w:ascii="Arial" w:cs="Arial" w:eastAsia="Arial" w:hAnsi="Arial"/>
                <w:sz w:val="12"/>
                <w:szCs w:val="12"/>
                <w:color w:val="0E2A35"/>
              </w:rPr>
              <w:t>6,649</w:t>
            </w: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ind w:left="60"/>
              <w:spacing w:after="0" w:line="142" w:lineRule="exact"/>
              <w:rPr>
                <w:sz w:val="20"/>
                <w:szCs w:val="20"/>
                <w:color w:val="auto"/>
              </w:rPr>
            </w:pPr>
            <w:r>
              <w:rPr>
                <w:rFonts w:ascii="Arial" w:cs="Arial" w:eastAsia="Arial" w:hAnsi="Arial"/>
                <w:sz w:val="13"/>
                <w:szCs w:val="13"/>
                <w:color w:val="0E2A35"/>
              </w:rPr>
              <w:t>Donald J. Clark</w:t>
            </w:r>
          </w:p>
        </w:tc>
        <w:tc>
          <w:tcPr>
            <w:tcW w:w="100" w:type="dxa"/>
            <w:vAlign w:val="bottom"/>
          </w:tcPr>
          <w:p>
            <w:pPr>
              <w:spacing w:after="0"/>
              <w:rPr>
                <w:sz w:val="12"/>
                <w:szCs w:val="12"/>
                <w:color w:val="auto"/>
              </w:rPr>
            </w:pPr>
          </w:p>
        </w:tc>
        <w:tc>
          <w:tcPr>
            <w:tcW w:w="880" w:type="dxa"/>
            <w:vAlign w:val="bottom"/>
          </w:tcPr>
          <w:p>
            <w:pPr>
              <w:jc w:val="right"/>
              <w:ind w:right="259"/>
              <w:spacing w:after="0" w:line="142" w:lineRule="exact"/>
              <w:rPr>
                <w:sz w:val="20"/>
                <w:szCs w:val="20"/>
                <w:color w:val="auto"/>
              </w:rPr>
            </w:pPr>
            <w:r>
              <w:rPr>
                <w:rFonts w:ascii="Arial" w:cs="Arial" w:eastAsia="Arial" w:hAnsi="Arial"/>
                <w:sz w:val="13"/>
                <w:szCs w:val="13"/>
                <w:color w:val="0E2A35"/>
              </w:rPr>
              <w:t>—</w:t>
            </w: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0E2A35"/>
              </w:rPr>
              <w:t>—</w:t>
            </w:r>
          </w:p>
        </w:tc>
        <w:tc>
          <w:tcPr>
            <w:tcW w:w="340" w:type="dxa"/>
            <w:vAlign w:val="bottom"/>
          </w:tcPr>
          <w:p>
            <w:pPr>
              <w:spacing w:after="0"/>
              <w:rPr>
                <w:sz w:val="12"/>
                <w:szCs w:val="12"/>
                <w:color w:val="auto"/>
              </w:rPr>
            </w:pPr>
          </w:p>
        </w:tc>
        <w:tc>
          <w:tcPr>
            <w:tcW w:w="760" w:type="dxa"/>
            <w:vAlign w:val="bottom"/>
          </w:tcPr>
          <w:p>
            <w:pPr>
              <w:jc w:val="right"/>
              <w:ind w:right="178"/>
              <w:spacing w:after="0" w:line="142" w:lineRule="exact"/>
              <w:rPr>
                <w:sz w:val="20"/>
                <w:szCs w:val="20"/>
                <w:color w:val="auto"/>
              </w:rPr>
            </w:pPr>
            <w:r>
              <w:rPr>
                <w:rFonts w:ascii="Arial" w:cs="Arial" w:eastAsia="Arial" w:hAnsi="Arial"/>
                <w:sz w:val="13"/>
                <w:szCs w:val="13"/>
                <w:color w:val="0E2A35"/>
              </w:rPr>
              <w:t>—</w:t>
            </w:r>
          </w:p>
        </w:tc>
        <w:tc>
          <w:tcPr>
            <w:tcW w:w="740" w:type="dxa"/>
            <w:vAlign w:val="bottom"/>
          </w:tcPr>
          <w:p>
            <w:pPr>
              <w:ind w:left="540"/>
              <w:spacing w:after="0" w:line="142" w:lineRule="exact"/>
              <w:rPr>
                <w:sz w:val="20"/>
                <w:szCs w:val="20"/>
                <w:color w:val="auto"/>
              </w:rPr>
            </w:pPr>
            <w:r>
              <w:rPr>
                <w:rFonts w:ascii="Arial" w:cs="Arial" w:eastAsia="Arial" w:hAnsi="Arial"/>
                <w:sz w:val="13"/>
                <w:szCs w:val="13"/>
                <w:color w:val="0E2A35"/>
              </w:rPr>
              <w:t>—</w:t>
            </w:r>
          </w:p>
        </w:tc>
        <w:tc>
          <w:tcPr>
            <w:tcW w:w="1200" w:type="dxa"/>
            <w:vAlign w:val="bottom"/>
            <w:gridSpan w:val="3"/>
          </w:tcPr>
          <w:p>
            <w:pPr>
              <w:ind w:left="840"/>
              <w:spacing w:after="0"/>
              <w:rPr>
                <w:sz w:val="20"/>
                <w:szCs w:val="20"/>
                <w:color w:val="auto"/>
              </w:rPr>
            </w:pPr>
            <w:r>
              <w:rPr>
                <w:rFonts w:ascii="Arial" w:cs="Arial" w:eastAsia="Arial" w:hAnsi="Arial"/>
                <w:sz w:val="10"/>
                <w:szCs w:val="10"/>
                <w:color w:val="0E2A35"/>
              </w:rPr>
              <w:t>(7)</w:t>
            </w:r>
          </w:p>
        </w:tc>
        <w:tc>
          <w:tcPr>
            <w:tcW w:w="1020" w:type="dxa"/>
            <w:vAlign w:val="bottom"/>
          </w:tcPr>
          <w:p>
            <w:pPr>
              <w:jc w:val="right"/>
              <w:ind w:right="139"/>
              <w:spacing w:after="0" w:line="142" w:lineRule="exact"/>
              <w:rPr>
                <w:sz w:val="20"/>
                <w:szCs w:val="20"/>
                <w:color w:val="auto"/>
              </w:rPr>
            </w:pPr>
            <w:r>
              <w:rPr>
                <w:rFonts w:ascii="Arial" w:cs="Arial" w:eastAsia="Arial" w:hAnsi="Arial"/>
                <w:sz w:val="13"/>
                <w:szCs w:val="13"/>
                <w:color w:val="0E2A35"/>
              </w:rPr>
              <w:t>107,441</w:t>
            </w:r>
          </w:p>
        </w:tc>
        <w:tc>
          <w:tcPr>
            <w:tcW w:w="220" w:type="dxa"/>
            <w:vAlign w:val="bottom"/>
          </w:tcPr>
          <w:p>
            <w:pPr>
              <w:spacing w:after="0"/>
              <w:rPr>
                <w:sz w:val="12"/>
                <w:szCs w:val="12"/>
                <w:color w:val="auto"/>
              </w:rPr>
            </w:pPr>
          </w:p>
        </w:tc>
        <w:tc>
          <w:tcPr>
            <w:tcW w:w="1240" w:type="dxa"/>
            <w:vAlign w:val="bottom"/>
          </w:tcPr>
          <w:p>
            <w:pPr>
              <w:jc w:val="right"/>
              <w:ind w:right="461"/>
              <w:spacing w:after="0" w:line="142" w:lineRule="exact"/>
              <w:rPr>
                <w:sz w:val="20"/>
                <w:szCs w:val="20"/>
                <w:color w:val="auto"/>
              </w:rPr>
            </w:pPr>
            <w:r>
              <w:rPr>
                <w:rFonts w:ascii="Arial" w:cs="Arial" w:eastAsia="Arial" w:hAnsi="Arial"/>
                <w:sz w:val="13"/>
                <w:szCs w:val="13"/>
                <w:color w:val="0E2A35"/>
              </w:rPr>
              <w:t>—</w:t>
            </w:r>
          </w:p>
        </w:tc>
        <w:tc>
          <w:tcPr>
            <w:tcW w:w="1340" w:type="dxa"/>
            <w:vAlign w:val="bottom"/>
          </w:tcPr>
          <w:p>
            <w:pPr>
              <w:jc w:val="right"/>
              <w:ind w:right="339"/>
              <w:spacing w:after="0" w:line="142" w:lineRule="exact"/>
              <w:rPr>
                <w:sz w:val="20"/>
                <w:szCs w:val="20"/>
                <w:color w:val="auto"/>
              </w:rPr>
            </w:pPr>
            <w:r>
              <w:rPr>
                <w:rFonts w:ascii="Arial" w:cs="Arial" w:eastAsia="Arial" w:hAnsi="Arial"/>
                <w:sz w:val="13"/>
                <w:szCs w:val="13"/>
                <w:color w:val="0E2A35"/>
              </w:rPr>
              <w:t>—</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00" w:type="dxa"/>
            <w:vAlign w:val="bottom"/>
            <w:tcBorders>
              <w:bottom w:val="single" w:sz="8" w:color="0E2A35"/>
            </w:tcBorders>
          </w:tcPr>
          <w:p>
            <w:pPr>
              <w:spacing w:after="0"/>
              <w:rPr>
                <w:sz w:val="9"/>
                <w:szCs w:val="9"/>
                <w:color w:val="auto"/>
              </w:rPr>
            </w:pPr>
          </w:p>
        </w:tc>
        <w:tc>
          <w:tcPr>
            <w:tcW w:w="88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340" w:type="dxa"/>
            <w:vAlign w:val="bottom"/>
            <w:tcBorders>
              <w:bottom w:val="single" w:sz="8" w:color="0E2A35"/>
            </w:tcBorders>
          </w:tcPr>
          <w:p>
            <w:pPr>
              <w:spacing w:after="0"/>
              <w:rPr>
                <w:sz w:val="9"/>
                <w:szCs w:val="9"/>
                <w:color w:val="auto"/>
              </w:rPr>
            </w:pPr>
          </w:p>
        </w:tc>
        <w:tc>
          <w:tcPr>
            <w:tcW w:w="760" w:type="dxa"/>
            <w:vAlign w:val="bottom"/>
            <w:tcBorders>
              <w:bottom w:val="single" w:sz="8" w:color="0E2A35"/>
            </w:tcBorders>
          </w:tcPr>
          <w:p>
            <w:pPr>
              <w:spacing w:after="0"/>
              <w:rPr>
                <w:sz w:val="9"/>
                <w:szCs w:val="9"/>
                <w:color w:val="auto"/>
              </w:rPr>
            </w:pPr>
          </w:p>
        </w:tc>
        <w:tc>
          <w:tcPr>
            <w:tcW w:w="740" w:type="dxa"/>
            <w:vAlign w:val="bottom"/>
            <w:tcBorders>
              <w:bottom w:val="single" w:sz="8" w:color="0E2A35"/>
            </w:tcBorders>
          </w:tcPr>
          <w:p>
            <w:pPr>
              <w:spacing w:after="0"/>
              <w:rPr>
                <w:sz w:val="9"/>
                <w:szCs w:val="9"/>
                <w:color w:val="auto"/>
              </w:rPr>
            </w:pPr>
          </w:p>
        </w:tc>
        <w:tc>
          <w:tcPr>
            <w:tcW w:w="840" w:type="dxa"/>
            <w:vAlign w:val="bottom"/>
            <w:tcBorders>
              <w:bottom w:val="single" w:sz="8" w:color="0E2A35"/>
            </w:tcBorders>
            <w:gridSpan w:val="2"/>
          </w:tcPr>
          <w:p>
            <w:pPr>
              <w:jc w:val="right"/>
              <w:spacing w:after="0" w:line="108" w:lineRule="exact"/>
              <w:rPr>
                <w:sz w:val="20"/>
                <w:szCs w:val="20"/>
                <w:color w:val="auto"/>
              </w:rPr>
            </w:pPr>
            <w:r>
              <w:rPr>
                <w:rFonts w:ascii="Arial" w:cs="Arial" w:eastAsia="Arial" w:hAnsi="Arial"/>
                <w:sz w:val="12"/>
                <w:szCs w:val="12"/>
                <w:color w:val="0E2A35"/>
              </w:rPr>
              <w:t>1,688</w:t>
            </w:r>
          </w:p>
        </w:tc>
        <w:tc>
          <w:tcPr>
            <w:tcW w:w="360" w:type="dxa"/>
            <w:vAlign w:val="bottom"/>
            <w:tcBorders>
              <w:bottom w:val="single" w:sz="8" w:color="0E2A35"/>
            </w:tcBorders>
          </w:tcPr>
          <w:p>
            <w:pPr>
              <w:spacing w:after="0"/>
              <w:rPr>
                <w:sz w:val="9"/>
                <w:szCs w:val="9"/>
                <w:color w:val="auto"/>
              </w:rPr>
            </w:pPr>
          </w:p>
        </w:tc>
        <w:tc>
          <w:tcPr>
            <w:tcW w:w="1020" w:type="dxa"/>
            <w:vAlign w:val="bottom"/>
            <w:tcBorders>
              <w:bottom w:val="single" w:sz="8" w:color="0E2A35"/>
            </w:tcBorders>
          </w:tcPr>
          <w:p>
            <w:pPr>
              <w:spacing w:after="0"/>
              <w:rPr>
                <w:sz w:val="9"/>
                <w:szCs w:val="9"/>
                <w:color w:val="auto"/>
              </w:rPr>
            </w:pPr>
          </w:p>
        </w:tc>
        <w:tc>
          <w:tcPr>
            <w:tcW w:w="220" w:type="dxa"/>
            <w:vAlign w:val="bottom"/>
            <w:tcBorders>
              <w:bottom w:val="single" w:sz="8" w:color="0E2A35"/>
            </w:tcBorders>
          </w:tcPr>
          <w:p>
            <w:pPr>
              <w:spacing w:after="0"/>
              <w:rPr>
                <w:sz w:val="9"/>
                <w:szCs w:val="9"/>
                <w:color w:val="auto"/>
              </w:rPr>
            </w:pPr>
          </w:p>
        </w:tc>
        <w:tc>
          <w:tcPr>
            <w:tcW w:w="1240" w:type="dxa"/>
            <w:vAlign w:val="bottom"/>
            <w:tcBorders>
              <w:bottom w:val="single" w:sz="8" w:color="0E2A35"/>
            </w:tcBorders>
          </w:tcPr>
          <w:p>
            <w:pPr>
              <w:spacing w:after="0"/>
              <w:rPr>
                <w:sz w:val="9"/>
                <w:szCs w:val="9"/>
                <w:color w:val="auto"/>
              </w:rPr>
            </w:pPr>
          </w:p>
        </w:tc>
        <w:tc>
          <w:tcPr>
            <w:tcW w:w="1340" w:type="dxa"/>
            <w:vAlign w:val="bottom"/>
            <w:tcBorders>
              <w:bottom w:val="single" w:sz="8" w:color="0E2A35"/>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gridSpan w:val="3"/>
          </w:tcPr>
          <w:p>
            <w:pPr>
              <w:ind w:left="840"/>
              <w:spacing w:after="0"/>
              <w:rPr>
                <w:sz w:val="20"/>
                <w:szCs w:val="20"/>
                <w:color w:val="auto"/>
              </w:rPr>
            </w:pPr>
            <w:r>
              <w:rPr>
                <w:rFonts w:ascii="Arial" w:cs="Arial" w:eastAsia="Arial" w:hAnsi="Arial"/>
                <w:sz w:val="10"/>
                <w:szCs w:val="10"/>
                <w:color w:val="0E2A35"/>
              </w:rPr>
              <w:t>(8)</w:t>
            </w:r>
          </w:p>
        </w:tc>
        <w:tc>
          <w:tcPr>
            <w:tcW w:w="1020" w:type="dxa"/>
            <w:vAlign w:val="bottom"/>
          </w:tcPr>
          <w:p>
            <w:pPr>
              <w:jc w:val="right"/>
              <w:ind w:right="139"/>
              <w:spacing w:after="0" w:line="142" w:lineRule="exact"/>
              <w:rPr>
                <w:sz w:val="20"/>
                <w:szCs w:val="20"/>
                <w:color w:val="auto"/>
              </w:rPr>
            </w:pPr>
            <w:r>
              <w:rPr>
                <w:rFonts w:ascii="Arial" w:cs="Arial" w:eastAsia="Arial" w:hAnsi="Arial"/>
                <w:sz w:val="13"/>
                <w:szCs w:val="13"/>
                <w:color w:val="0E2A35"/>
              </w:rPr>
              <w:t>568,076</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0E2A35"/>
              </w:rPr>
              <w:t>8,925</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-9538970</wp:posOffset>
            </wp:positionV>
            <wp:extent cx="53835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ectPr>
          <w:pgSz w:w="11900" w:h="16957" w:orient="portrait"/>
          <w:cols w:equalWidth="0" w:num="1">
            <w:col w:w="10160"/>
          </w:cols>
          <w:pgMar w:left="860" w:top="265" w:right="879" w:bottom="0" w:gutter="0" w:footer="0" w:header="0"/>
        </w:sectPr>
      </w:pPr>
    </w:p>
    <w:bookmarkStart w:id="56" w:name="page57"/>
    <w:bookmarkEnd w:id="56"/>
    <w:p>
      <w:pPr>
        <w:ind w:left="5160"/>
        <w:spacing w:after="0"/>
        <w:tabs>
          <w:tab w:leader="none" w:pos="6160" w:val="left"/>
        </w:tabs>
        <w:rPr>
          <w:sz w:val="20"/>
          <w:szCs w:val="20"/>
          <w:color w:val="auto"/>
        </w:rPr>
      </w:pPr>
      <w:r>
        <w:rPr>
          <w:rFonts w:ascii="Arial" w:cs="Arial" w:eastAsia="Arial" w:hAnsi="Arial"/>
          <w:sz w:val="25"/>
          <w:szCs w:val="25"/>
          <w:color w:val="0E2A35"/>
          <w:vertAlign w:val="subscript"/>
        </w:rPr>
        <w:t>34,919</w:t>
      </w:r>
      <w:r>
        <w:rPr>
          <w:rFonts w:ascii="Arial" w:cs="Arial" w:eastAsia="Arial" w:hAnsi="Arial"/>
          <w:sz w:val="10"/>
          <w:szCs w:val="10"/>
          <w:color w:val="0E2A35"/>
        </w:rPr>
        <w:t>(9)</w:t>
      </w:r>
      <w:r>
        <w:rPr>
          <w:sz w:val="20"/>
          <w:szCs w:val="20"/>
          <w:color w:val="auto"/>
        </w:rPr>
        <w:tab/>
      </w:r>
      <w:r>
        <w:rPr>
          <w:rFonts w:ascii="Arial" w:cs="Arial" w:eastAsia="Arial" w:hAnsi="Arial"/>
          <w:sz w:val="12"/>
          <w:szCs w:val="12"/>
          <w:color w:val="0E2A35"/>
        </w:rPr>
        <w:t>2,222,594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89535</wp:posOffset>
            </wp:positionV>
            <wp:extent cx="64465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01" w:lineRule="exact"/>
        <w:rPr>
          <w:sz w:val="20"/>
          <w:szCs w:val="20"/>
          <w:color w:val="auto"/>
        </w:rPr>
      </w:pPr>
    </w:p>
    <w:p>
      <w:pPr>
        <w:ind w:left="360" w:right="400" w:hanging="360"/>
        <w:spacing w:after="0" w:line="273" w:lineRule="auto"/>
        <w:tabs>
          <w:tab w:leader="none" w:pos="360" w:val="left"/>
        </w:tabs>
        <w:numPr>
          <w:ilvl w:val="0"/>
          <w:numId w:val="48"/>
        </w:numPr>
        <w:rPr>
          <w:rFonts w:ascii="Arial" w:cs="Arial" w:eastAsia="Arial" w:hAnsi="Arial"/>
          <w:sz w:val="12"/>
          <w:szCs w:val="12"/>
          <w:color w:val="0E2A35"/>
        </w:rPr>
      </w:pPr>
      <w:r>
        <w:rPr>
          <w:rFonts w:ascii="Arial" w:cs="Arial" w:eastAsia="Arial" w:hAnsi="Arial"/>
          <w:sz w:val="12"/>
          <w:szCs w:val="12"/>
          <w:color w:val="0E2A35"/>
        </w:rPr>
        <w:t>Represents stock option granted on January 18, 2016 as a new hire grant under the Company's 2014 Omnibus Equity, Performance Award and Incentive Compensation Plan (the 2014 Plan), which vested with respect to 33% of the shares on each of the first three anniversaries of the grant date.</w:t>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36" w:right="1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60" w:right="160" w:hanging="360"/>
        <w:spacing w:after="0" w:line="236" w:lineRule="auto"/>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Represents stock option granted on October 11, 2016 as an annual grant under the 2014 Plan, which vested with respect to 33% of the shares on each of the first three anniversaries of the grant date.</w:t>
      </w:r>
    </w:p>
    <w:p>
      <w:pPr>
        <w:spacing w:after="0" w:line="29" w:lineRule="exact"/>
        <w:rPr>
          <w:rFonts w:ascii="Arial" w:cs="Arial" w:eastAsia="Arial" w:hAnsi="Arial"/>
          <w:sz w:val="13"/>
          <w:szCs w:val="13"/>
          <w:color w:val="0E2A35"/>
        </w:rPr>
      </w:pPr>
    </w:p>
    <w:p>
      <w:pPr>
        <w:ind w:left="360" w:right="40" w:hanging="360"/>
        <w:spacing w:after="0" w:line="236" w:lineRule="auto"/>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Represents award granted on December 13, 2016 as a grant for the purchase of Grand Design RV, LLC under the 2014 Plan, which vested with respect to 33% of the shares on each of the first three anniversaries of the grant date.</w:t>
      </w:r>
    </w:p>
    <w:p>
      <w:pPr>
        <w:spacing w:after="0" w:line="29" w:lineRule="exact"/>
        <w:rPr>
          <w:rFonts w:ascii="Arial" w:cs="Arial" w:eastAsia="Arial" w:hAnsi="Arial"/>
          <w:sz w:val="13"/>
          <w:szCs w:val="13"/>
          <w:color w:val="0E2A35"/>
        </w:rPr>
      </w:pPr>
    </w:p>
    <w:p>
      <w:pPr>
        <w:ind w:left="360" w:right="300" w:hanging="360"/>
        <w:spacing w:after="0" w:line="236" w:lineRule="auto"/>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Represents award granted on October 18, 2017 as an annual stock or option grant under the 2014 Plan, which vested with respect to 33% of the shares on each of the first three anniversaries of the grant date.</w:t>
      </w:r>
    </w:p>
    <w:p>
      <w:pPr>
        <w:spacing w:after="0" w:line="29" w:lineRule="exact"/>
        <w:rPr>
          <w:rFonts w:ascii="Arial" w:cs="Arial" w:eastAsia="Arial" w:hAnsi="Arial"/>
          <w:sz w:val="13"/>
          <w:szCs w:val="13"/>
          <w:color w:val="0E2A35"/>
        </w:rPr>
      </w:pPr>
    </w:p>
    <w:p>
      <w:pPr>
        <w:ind w:left="360" w:right="80" w:hanging="360"/>
        <w:spacing w:after="0" w:line="236" w:lineRule="auto"/>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Represents award granted on October 15, 2018 as an annual stock or option grant under the 2014 Plan, which vested with respect to 33% of the shares on the first three anniversaries of the date of grant.</w:t>
      </w:r>
    </w:p>
    <w:p>
      <w:pPr>
        <w:spacing w:after="0" w:line="29" w:lineRule="exact"/>
        <w:rPr>
          <w:rFonts w:ascii="Arial" w:cs="Arial" w:eastAsia="Arial" w:hAnsi="Arial"/>
          <w:sz w:val="13"/>
          <w:szCs w:val="13"/>
          <w:color w:val="0E2A35"/>
        </w:rPr>
      </w:pPr>
    </w:p>
    <w:p>
      <w:pPr>
        <w:ind w:left="360" w:right="160" w:hanging="360"/>
        <w:spacing w:after="0" w:line="236" w:lineRule="auto"/>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Represents award granted on December 17, 2019 as an annual stock or option grant under the 2019 Plan, which vested with respect to 33% of the shares on the first three anniversaries of the date of grant.</w:t>
      </w:r>
    </w:p>
    <w:p>
      <w:pPr>
        <w:spacing w:after="0" w:line="29" w:lineRule="exact"/>
        <w:rPr>
          <w:rFonts w:ascii="Arial" w:cs="Arial" w:eastAsia="Arial" w:hAnsi="Arial"/>
          <w:sz w:val="13"/>
          <w:szCs w:val="13"/>
          <w:color w:val="0E2A35"/>
        </w:rPr>
      </w:pPr>
    </w:p>
    <w:p>
      <w:pPr>
        <w:ind w:left="360" w:right="220" w:hanging="360"/>
        <w:spacing w:after="0" w:line="236" w:lineRule="auto"/>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Represents award granted on October 13, 2020 as an annual stock or option grant under the 2019 Plan, which will vest with respect to 33% of the shares on each of the first three anniversaries of the date of grant.</w:t>
      </w:r>
    </w:p>
    <w:p>
      <w:pPr>
        <w:spacing w:after="0" w:line="29" w:lineRule="exact"/>
        <w:rPr>
          <w:rFonts w:ascii="Arial" w:cs="Arial" w:eastAsia="Arial" w:hAnsi="Arial"/>
          <w:sz w:val="13"/>
          <w:szCs w:val="13"/>
          <w:color w:val="0E2A35"/>
        </w:rPr>
      </w:pPr>
    </w:p>
    <w:p>
      <w:pPr>
        <w:ind w:left="360" w:right="220" w:hanging="360"/>
        <w:spacing w:after="0" w:line="236" w:lineRule="auto"/>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Represents award granted on October 12, 2021 as an annual stock or option grant under the 2019 Plan, which will vest with respect to 33% of the shares on each of the first three anniversaries of the date of grant.</w:t>
      </w:r>
    </w:p>
    <w:p>
      <w:pPr>
        <w:spacing w:after="0" w:line="29" w:lineRule="exact"/>
        <w:rPr>
          <w:rFonts w:ascii="Arial" w:cs="Arial" w:eastAsia="Arial" w:hAnsi="Arial"/>
          <w:sz w:val="13"/>
          <w:szCs w:val="13"/>
          <w:color w:val="0E2A35"/>
        </w:rPr>
      </w:pPr>
    </w:p>
    <w:p>
      <w:pPr>
        <w:ind w:left="360" w:right="240" w:hanging="360"/>
        <w:spacing w:after="0" w:line="236" w:lineRule="auto"/>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Represents award granted on October 11, 2022 as an annual stock or option grant under the 2019 Plan, which will vest with respect to 33% of the shares on each of the first three anniversaries of the date of grant.</w:t>
      </w:r>
    </w:p>
    <w:p>
      <w:pPr>
        <w:spacing w:after="0" w:line="29" w:lineRule="exact"/>
        <w:rPr>
          <w:rFonts w:ascii="Arial" w:cs="Arial" w:eastAsia="Arial" w:hAnsi="Arial"/>
          <w:sz w:val="13"/>
          <w:szCs w:val="13"/>
          <w:color w:val="0E2A35"/>
        </w:rPr>
      </w:pPr>
    </w:p>
    <w:p>
      <w:pPr>
        <w:ind w:left="360" w:right="220" w:hanging="360"/>
        <w:spacing w:after="0" w:line="236" w:lineRule="auto"/>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Represents fiscal 2021-2023 LTIP at target, under the 2019 Plan for the three-year performance period beginning September 1, 2020 and ending August 26, 2023.</w:t>
      </w:r>
    </w:p>
    <w:p>
      <w:pPr>
        <w:spacing w:after="0" w:line="29" w:lineRule="exact"/>
        <w:rPr>
          <w:rFonts w:ascii="Arial" w:cs="Arial" w:eastAsia="Arial" w:hAnsi="Arial"/>
          <w:sz w:val="13"/>
          <w:szCs w:val="13"/>
          <w:color w:val="0E2A35"/>
        </w:rPr>
      </w:pPr>
    </w:p>
    <w:p>
      <w:pPr>
        <w:ind w:left="360" w:hanging="360"/>
        <w:spacing w:after="0"/>
        <w:tabs>
          <w:tab w:leader="none" w:pos="360" w:val="left"/>
        </w:tabs>
        <w:numPr>
          <w:ilvl w:val="0"/>
          <w:numId w:val="49"/>
        </w:numPr>
        <w:rPr>
          <w:rFonts w:ascii="Arial" w:cs="Arial" w:eastAsia="Arial" w:hAnsi="Arial"/>
          <w:sz w:val="12"/>
          <w:szCs w:val="12"/>
          <w:color w:val="0E2A35"/>
        </w:rPr>
      </w:pPr>
      <w:r>
        <w:rPr>
          <w:rFonts w:ascii="Arial" w:cs="Arial" w:eastAsia="Arial" w:hAnsi="Arial"/>
          <w:sz w:val="12"/>
          <w:szCs w:val="12"/>
          <w:color w:val="0E2A35"/>
        </w:rPr>
        <w:t>Represents fiscal 2022-2024 LTIP at target, under the 2019 Plan for the three-year performance period beginning August 29, 2021 through August 31, 2024.</w:t>
      </w:r>
    </w:p>
    <w:p>
      <w:pPr>
        <w:spacing w:after="0" w:line="51" w:lineRule="exact"/>
        <w:rPr>
          <w:rFonts w:ascii="Arial" w:cs="Arial" w:eastAsia="Arial" w:hAnsi="Arial"/>
          <w:sz w:val="12"/>
          <w:szCs w:val="12"/>
          <w:color w:val="0E2A35"/>
        </w:rPr>
      </w:pPr>
    </w:p>
    <w:p>
      <w:pPr>
        <w:ind w:left="360" w:hanging="360"/>
        <w:spacing w:after="0"/>
        <w:tabs>
          <w:tab w:leader="none" w:pos="360" w:val="left"/>
        </w:tabs>
        <w:numPr>
          <w:ilvl w:val="0"/>
          <w:numId w:val="49"/>
        </w:numPr>
        <w:rPr>
          <w:rFonts w:ascii="Arial" w:cs="Arial" w:eastAsia="Arial" w:hAnsi="Arial"/>
          <w:sz w:val="12"/>
          <w:szCs w:val="12"/>
          <w:color w:val="0E2A35"/>
        </w:rPr>
      </w:pPr>
      <w:r>
        <w:rPr>
          <w:rFonts w:ascii="Arial" w:cs="Arial" w:eastAsia="Arial" w:hAnsi="Arial"/>
          <w:sz w:val="12"/>
          <w:szCs w:val="12"/>
          <w:color w:val="0E2A35"/>
        </w:rPr>
        <w:t>Represents fiscal 2023-2025 LTIP at target, under the 2019 Plan for the three-year performance period beginning August 28, 2023 and ending August 30, 2025.</w:t>
      </w:r>
    </w:p>
    <w:p>
      <w:pPr>
        <w:spacing w:after="0" w:line="51" w:lineRule="exact"/>
        <w:rPr>
          <w:rFonts w:ascii="Arial" w:cs="Arial" w:eastAsia="Arial" w:hAnsi="Arial"/>
          <w:sz w:val="12"/>
          <w:szCs w:val="12"/>
          <w:color w:val="0E2A35"/>
        </w:rPr>
      </w:pPr>
    </w:p>
    <w:p>
      <w:pPr>
        <w:ind w:left="360" w:right="120" w:hanging="360"/>
        <w:spacing w:after="0" w:line="236" w:lineRule="auto"/>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Represents award granted on October 12, 2021, for work associated with the acquisition of Barletta Boats, under the 2019 Plan, which will vest with respect to 33% of the shares on each of the first three anniversaries of the date of the grant.</w:t>
      </w:r>
    </w:p>
    <w:p>
      <w:pPr>
        <w:spacing w:after="0" w:line="29" w:lineRule="exact"/>
        <w:rPr>
          <w:rFonts w:ascii="Arial" w:cs="Arial" w:eastAsia="Arial" w:hAnsi="Arial"/>
          <w:sz w:val="13"/>
          <w:szCs w:val="13"/>
          <w:color w:val="0E2A35"/>
        </w:rPr>
      </w:pPr>
    </w:p>
    <w:p>
      <w:pPr>
        <w:ind w:left="360" w:hanging="360"/>
        <w:spacing w:after="0"/>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Represents the value of unvested stock based on the closing stock price as of August 25, 2023 of $63.65.</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49"/>
        </w:numPr>
        <w:rPr>
          <w:rFonts w:ascii="Arial" w:cs="Arial" w:eastAsia="Arial" w:hAnsi="Arial"/>
          <w:sz w:val="13"/>
          <w:szCs w:val="13"/>
          <w:color w:val="0E2A35"/>
        </w:rPr>
      </w:pPr>
      <w:r>
        <w:rPr>
          <w:rFonts w:ascii="Arial" w:cs="Arial" w:eastAsia="Arial" w:hAnsi="Arial"/>
          <w:sz w:val="13"/>
          <w:szCs w:val="13"/>
          <w:color w:val="0E2A35"/>
        </w:rPr>
        <w:t>Represents the value of unearned performance share units at target based on the closing stock price as of August 25, 2023 of $63.65.</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Option Exercises and Stock Vested Table</w:t>
      </w:r>
    </w:p>
    <w:p>
      <w:pPr>
        <w:spacing w:after="0" w:line="188" w:lineRule="exact"/>
        <w:rPr>
          <w:sz w:val="20"/>
          <w:szCs w:val="20"/>
          <w:color w:val="auto"/>
        </w:rPr>
      </w:pPr>
    </w:p>
    <w:p>
      <w:pPr>
        <w:ind w:right="600"/>
        <w:spacing w:after="0" w:line="276" w:lineRule="auto"/>
        <w:rPr>
          <w:sz w:val="20"/>
          <w:szCs w:val="20"/>
          <w:color w:val="auto"/>
        </w:rPr>
      </w:pPr>
      <w:r>
        <w:rPr>
          <w:rFonts w:ascii="Arial" w:cs="Arial" w:eastAsia="Arial" w:hAnsi="Arial"/>
          <w:sz w:val="16"/>
          <w:szCs w:val="16"/>
          <w:color w:val="0E2A35"/>
        </w:rPr>
        <w:t>The following table provides the amounts received before payroll withholding taxes upon the exercise of options or similar instruments or the vesting of stock or similar instruments during fiscal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680" w:type="dxa"/>
            <w:vAlign w:val="bottom"/>
            <w:shd w:val="clear" w:color="auto" w:fill="0E2A35"/>
          </w:tcPr>
          <w:p>
            <w:pPr>
              <w:spacing w:after="0"/>
              <w:rPr>
                <w:sz w:val="22"/>
                <w:szCs w:val="22"/>
                <w:color w:val="auto"/>
              </w:rPr>
            </w:pPr>
          </w:p>
        </w:tc>
        <w:tc>
          <w:tcPr>
            <w:tcW w:w="3280" w:type="dxa"/>
            <w:vAlign w:val="bottom"/>
            <w:gridSpan w:val="2"/>
            <w:shd w:val="clear" w:color="auto" w:fill="0E2A35"/>
          </w:tcPr>
          <w:p>
            <w:pPr>
              <w:ind w:left="1240"/>
              <w:spacing w:after="0"/>
              <w:rPr>
                <w:sz w:val="20"/>
                <w:szCs w:val="20"/>
                <w:color w:val="auto"/>
              </w:rPr>
            </w:pPr>
            <w:r>
              <w:rPr>
                <w:rFonts w:ascii="Arial" w:cs="Arial" w:eastAsia="Arial" w:hAnsi="Arial"/>
                <w:sz w:val="13"/>
                <w:szCs w:val="13"/>
                <w:b w:val="1"/>
                <w:bCs w:val="1"/>
                <w:color w:val="FFFFFF"/>
              </w:rPr>
              <w:t>Option Awards</w:t>
            </w:r>
          </w:p>
        </w:tc>
        <w:tc>
          <w:tcPr>
            <w:tcW w:w="3320" w:type="dxa"/>
            <w:vAlign w:val="bottom"/>
            <w:gridSpan w:val="2"/>
            <w:shd w:val="clear" w:color="auto" w:fill="0E2A35"/>
          </w:tcPr>
          <w:p>
            <w:pPr>
              <w:jc w:val="right"/>
              <w:ind w:right="1133"/>
              <w:spacing w:after="0"/>
              <w:rPr>
                <w:sz w:val="20"/>
                <w:szCs w:val="20"/>
                <w:color w:val="auto"/>
              </w:rPr>
            </w:pPr>
            <w:r>
              <w:rPr>
                <w:rFonts w:ascii="Arial" w:cs="Arial" w:eastAsia="Arial" w:hAnsi="Arial"/>
                <w:sz w:val="13"/>
                <w:szCs w:val="13"/>
                <w:b w:val="1"/>
                <w:bCs w:val="1"/>
                <w:color w:val="FFFFFF"/>
              </w:rPr>
              <w:t>Stock Awards</w:t>
            </w:r>
          </w:p>
        </w:tc>
        <w:tc>
          <w:tcPr>
            <w:tcW w:w="0" w:type="dxa"/>
            <w:vAlign w:val="bottom"/>
          </w:tcPr>
          <w:p>
            <w:pPr>
              <w:spacing w:after="0"/>
              <w:rPr>
                <w:sz w:val="1"/>
                <w:szCs w:val="1"/>
                <w:color w:val="auto"/>
              </w:rPr>
            </w:pPr>
          </w:p>
        </w:tc>
      </w:tr>
      <w:tr>
        <w:trPr>
          <w:trHeight w:val="324"/>
        </w:trPr>
        <w:tc>
          <w:tcPr>
            <w:tcW w:w="2680" w:type="dxa"/>
            <w:vAlign w:val="bottom"/>
            <w:shd w:val="clear" w:color="auto" w:fill="0E2A35"/>
          </w:tcPr>
          <w:p>
            <w:pPr>
              <w:spacing w:after="0"/>
              <w:rPr>
                <w:sz w:val="24"/>
                <w:szCs w:val="24"/>
                <w:color w:val="auto"/>
              </w:rPr>
            </w:pPr>
          </w:p>
        </w:tc>
        <w:tc>
          <w:tcPr>
            <w:tcW w:w="17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58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Value Realized</w:t>
            </w:r>
          </w:p>
        </w:tc>
        <w:tc>
          <w:tcPr>
            <w:tcW w:w="17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60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Value Realized</w:t>
            </w:r>
          </w:p>
        </w:tc>
        <w:tc>
          <w:tcPr>
            <w:tcW w:w="0" w:type="dxa"/>
            <w:vAlign w:val="bottom"/>
          </w:tcPr>
          <w:p>
            <w:pPr>
              <w:spacing w:after="0"/>
              <w:rPr>
                <w:sz w:val="1"/>
                <w:szCs w:val="1"/>
                <w:color w:val="auto"/>
              </w:rPr>
            </w:pPr>
          </w:p>
        </w:tc>
      </w:tr>
      <w:tr>
        <w:trPr>
          <w:trHeight w:val="130"/>
        </w:trPr>
        <w:tc>
          <w:tcPr>
            <w:tcW w:w="2680" w:type="dxa"/>
            <w:vAlign w:val="bottom"/>
            <w:shd w:val="clear" w:color="auto" w:fill="0E2A35"/>
          </w:tcPr>
          <w:p>
            <w:pPr>
              <w:spacing w:after="0"/>
              <w:rPr>
                <w:sz w:val="11"/>
                <w:szCs w:val="11"/>
                <w:color w:val="auto"/>
              </w:rPr>
            </w:pPr>
          </w:p>
        </w:tc>
        <w:tc>
          <w:tcPr>
            <w:tcW w:w="1700" w:type="dxa"/>
            <w:vAlign w:val="bottom"/>
            <w:shd w:val="clear" w:color="auto" w:fill="0E2A35"/>
          </w:tcPr>
          <w:p>
            <w:pPr>
              <w:jc w:val="center"/>
              <w:spacing w:after="0" w:line="130" w:lineRule="exact"/>
              <w:rPr>
                <w:sz w:val="20"/>
                <w:szCs w:val="20"/>
                <w:color w:val="auto"/>
              </w:rPr>
            </w:pPr>
            <w:r>
              <w:rPr>
                <w:rFonts w:ascii="Arial" w:cs="Arial" w:eastAsia="Arial" w:hAnsi="Arial"/>
                <w:sz w:val="13"/>
                <w:szCs w:val="13"/>
                <w:b w:val="1"/>
                <w:bCs w:val="1"/>
                <w:color w:val="FFFFFF"/>
                <w:w w:val="96"/>
              </w:rPr>
              <w:t>Shares Acquired</w:t>
            </w:r>
          </w:p>
        </w:tc>
        <w:tc>
          <w:tcPr>
            <w:tcW w:w="1580" w:type="dxa"/>
            <w:vAlign w:val="bottom"/>
            <w:vMerge w:val="continue"/>
            <w:shd w:val="clear" w:color="auto" w:fill="0E2A35"/>
          </w:tcPr>
          <w:p>
            <w:pPr>
              <w:spacing w:after="0"/>
              <w:rPr>
                <w:sz w:val="11"/>
                <w:szCs w:val="11"/>
                <w:color w:val="auto"/>
              </w:rPr>
            </w:pPr>
          </w:p>
        </w:tc>
        <w:tc>
          <w:tcPr>
            <w:tcW w:w="1720" w:type="dxa"/>
            <w:vAlign w:val="bottom"/>
            <w:shd w:val="clear" w:color="auto" w:fill="0E2A35"/>
          </w:tcPr>
          <w:p>
            <w:pPr>
              <w:jc w:val="center"/>
              <w:spacing w:after="0" w:line="130" w:lineRule="exact"/>
              <w:rPr>
                <w:sz w:val="20"/>
                <w:szCs w:val="20"/>
                <w:color w:val="auto"/>
              </w:rPr>
            </w:pPr>
            <w:r>
              <w:rPr>
                <w:rFonts w:ascii="Arial" w:cs="Arial" w:eastAsia="Arial" w:hAnsi="Arial"/>
                <w:sz w:val="13"/>
                <w:szCs w:val="13"/>
                <w:b w:val="1"/>
                <w:bCs w:val="1"/>
                <w:color w:val="FFFFFF"/>
                <w:w w:val="96"/>
              </w:rPr>
              <w:t>Shares Acquired</w:t>
            </w:r>
          </w:p>
        </w:tc>
        <w:tc>
          <w:tcPr>
            <w:tcW w:w="1600" w:type="dxa"/>
            <w:vAlign w:val="bottom"/>
            <w:vMerge w:val="continue"/>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7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on Exercise</w:t>
            </w:r>
          </w:p>
        </w:tc>
        <w:tc>
          <w:tcPr>
            <w:tcW w:w="15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on Exercise</w:t>
            </w:r>
          </w:p>
        </w:tc>
        <w:tc>
          <w:tcPr>
            <w:tcW w:w="17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on Vesting</w:t>
            </w:r>
          </w:p>
        </w:tc>
        <w:tc>
          <w:tcPr>
            <w:tcW w:w="16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on Vesting</w:t>
            </w:r>
          </w:p>
        </w:tc>
        <w:tc>
          <w:tcPr>
            <w:tcW w:w="0" w:type="dxa"/>
            <w:vAlign w:val="bottom"/>
          </w:tcPr>
          <w:p>
            <w:pPr>
              <w:spacing w:after="0"/>
              <w:rPr>
                <w:sz w:val="1"/>
                <w:szCs w:val="1"/>
                <w:color w:val="auto"/>
              </w:rPr>
            </w:pPr>
          </w:p>
        </w:tc>
      </w:tr>
      <w:tr>
        <w:trPr>
          <w:trHeight w:val="270"/>
        </w:trPr>
        <w:tc>
          <w:tcPr>
            <w:tcW w:w="2680" w:type="dxa"/>
            <w:vAlign w:val="bottom"/>
            <w:vMerge w:val="continue"/>
            <w:shd w:val="clear" w:color="auto" w:fill="0E2A35"/>
          </w:tcPr>
          <w:p>
            <w:pPr>
              <w:spacing w:after="0"/>
              <w:rPr>
                <w:sz w:val="23"/>
                <w:szCs w:val="23"/>
                <w:color w:val="auto"/>
              </w:rPr>
            </w:pPr>
          </w:p>
        </w:tc>
        <w:tc>
          <w:tcPr>
            <w:tcW w:w="17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5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7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600" w:type="dxa"/>
            <w:vAlign w:val="bottom"/>
            <w:shd w:val="clear" w:color="auto" w:fill="0E2A35"/>
          </w:tcPr>
          <w:p>
            <w:pPr>
              <w:jc w:val="center"/>
              <w:spacing w:after="0" w:line="270" w:lineRule="exact"/>
              <w:rPr>
                <w:sz w:val="20"/>
                <w:szCs w:val="20"/>
                <w:color w:val="auto"/>
              </w:rPr>
            </w:pPr>
            <w:r>
              <w:rPr>
                <w:rFonts w:ascii="Arial" w:cs="Arial" w:eastAsia="Arial" w:hAnsi="Arial"/>
                <w:sz w:val="25"/>
                <w:szCs w:val="25"/>
                <w:b w:val="1"/>
                <w:bCs w:val="1"/>
                <w:color w:val="FFFFFF"/>
                <w:w w:val="85"/>
                <w:vertAlign w:val="subscript"/>
              </w:rPr>
              <w:t>($)</w:t>
            </w:r>
            <w:r>
              <w:rPr>
                <w:rFonts w:ascii="Arial" w:cs="Arial" w:eastAsia="Arial" w:hAnsi="Arial"/>
                <w:sz w:val="10"/>
                <w:szCs w:val="10"/>
                <w:b w:val="1"/>
                <w:bCs w:val="1"/>
                <w:color w:val="FFFFFF"/>
                <w:w w:val="85"/>
              </w:rPr>
              <w:t>(1)</w:t>
            </w:r>
          </w:p>
        </w:tc>
        <w:tc>
          <w:tcPr>
            <w:tcW w:w="0" w:type="dxa"/>
            <w:vAlign w:val="bottom"/>
          </w:tcPr>
          <w:p>
            <w:pPr>
              <w:spacing w:after="0"/>
              <w:rPr>
                <w:sz w:val="1"/>
                <w:szCs w:val="1"/>
                <w:color w:val="auto"/>
              </w:rPr>
            </w:pPr>
          </w:p>
        </w:tc>
      </w:tr>
      <w:tr>
        <w:trPr>
          <w:trHeight w:val="285"/>
        </w:trPr>
        <w:tc>
          <w:tcPr>
            <w:tcW w:w="2680" w:type="dxa"/>
            <w:vAlign w:val="bottom"/>
          </w:tcPr>
          <w:p>
            <w:pPr>
              <w:ind w:left="60"/>
              <w:spacing w:after="0"/>
              <w:rPr>
                <w:sz w:val="20"/>
                <w:szCs w:val="20"/>
                <w:color w:val="auto"/>
              </w:rPr>
            </w:pPr>
            <w:r>
              <w:rPr>
                <w:rFonts w:ascii="Arial" w:cs="Arial" w:eastAsia="Arial" w:hAnsi="Arial"/>
                <w:sz w:val="14"/>
                <w:szCs w:val="14"/>
                <w:color w:val="0E2A35"/>
              </w:rPr>
              <w:t>Michael J. Happe</w:t>
            </w:r>
          </w:p>
        </w:tc>
        <w:tc>
          <w:tcPr>
            <w:tcW w:w="170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20" w:type="dxa"/>
            <w:vAlign w:val="bottom"/>
          </w:tcPr>
          <w:p>
            <w:pPr>
              <w:jc w:val="right"/>
              <w:ind w:right="593"/>
              <w:spacing w:after="0"/>
              <w:rPr>
                <w:sz w:val="20"/>
                <w:szCs w:val="20"/>
                <w:color w:val="auto"/>
              </w:rPr>
            </w:pPr>
            <w:r>
              <w:rPr>
                <w:rFonts w:ascii="Arial" w:cs="Arial" w:eastAsia="Arial" w:hAnsi="Arial"/>
                <w:sz w:val="14"/>
                <w:szCs w:val="14"/>
                <w:color w:val="0E2A35"/>
              </w:rPr>
              <w:t>97,209</w:t>
            </w:r>
          </w:p>
        </w:tc>
        <w:tc>
          <w:tcPr>
            <w:tcW w:w="1600" w:type="dxa"/>
            <w:vAlign w:val="bottom"/>
          </w:tcPr>
          <w:p>
            <w:pPr>
              <w:jc w:val="right"/>
              <w:ind w:right="433"/>
              <w:spacing w:after="0"/>
              <w:rPr>
                <w:sz w:val="20"/>
                <w:szCs w:val="20"/>
                <w:color w:val="auto"/>
              </w:rPr>
            </w:pPr>
            <w:r>
              <w:rPr>
                <w:rFonts w:ascii="Arial" w:cs="Arial" w:eastAsia="Arial" w:hAnsi="Arial"/>
                <w:sz w:val="14"/>
                <w:szCs w:val="14"/>
                <w:color w:val="0E2A35"/>
              </w:rPr>
              <w:t>5,451,707</w:t>
            </w:r>
          </w:p>
        </w:tc>
        <w:tc>
          <w:tcPr>
            <w:tcW w:w="0" w:type="dxa"/>
            <w:vAlign w:val="bottom"/>
          </w:tcPr>
          <w:p>
            <w:pPr>
              <w:spacing w:after="0"/>
              <w:rPr>
                <w:sz w:val="1"/>
                <w:szCs w:val="1"/>
                <w:color w:val="auto"/>
              </w:rPr>
            </w:pPr>
          </w:p>
        </w:tc>
      </w:tr>
      <w:tr>
        <w:trPr>
          <w:trHeight w:val="93"/>
        </w:trPr>
        <w:tc>
          <w:tcPr>
            <w:tcW w:w="2680" w:type="dxa"/>
            <w:vAlign w:val="bottom"/>
            <w:tcBorders>
              <w:bottom w:val="single" w:sz="8" w:color="0E2A35"/>
            </w:tcBorders>
          </w:tcPr>
          <w:p>
            <w:pPr>
              <w:spacing w:after="0"/>
              <w:rPr>
                <w:sz w:val="8"/>
                <w:szCs w:val="8"/>
                <w:color w:val="auto"/>
              </w:rPr>
            </w:pPr>
          </w:p>
        </w:tc>
        <w:tc>
          <w:tcPr>
            <w:tcW w:w="1700" w:type="dxa"/>
            <w:vAlign w:val="bottom"/>
            <w:tcBorders>
              <w:bottom w:val="single" w:sz="8" w:color="0E2A35"/>
            </w:tcBorders>
          </w:tcPr>
          <w:p>
            <w:pPr>
              <w:spacing w:after="0"/>
              <w:rPr>
                <w:sz w:val="8"/>
                <w:szCs w:val="8"/>
                <w:color w:val="auto"/>
              </w:rPr>
            </w:pPr>
          </w:p>
        </w:tc>
        <w:tc>
          <w:tcPr>
            <w:tcW w:w="1580" w:type="dxa"/>
            <w:vAlign w:val="bottom"/>
            <w:tcBorders>
              <w:bottom w:val="single" w:sz="8" w:color="0E2A35"/>
            </w:tcBorders>
          </w:tcPr>
          <w:p>
            <w:pPr>
              <w:spacing w:after="0"/>
              <w:rPr>
                <w:sz w:val="8"/>
                <w:szCs w:val="8"/>
                <w:color w:val="auto"/>
              </w:rPr>
            </w:pPr>
          </w:p>
        </w:tc>
        <w:tc>
          <w:tcPr>
            <w:tcW w:w="172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680" w:type="dxa"/>
            <w:vAlign w:val="bottom"/>
          </w:tcPr>
          <w:p>
            <w:pPr>
              <w:ind w:left="60"/>
              <w:spacing w:after="0"/>
              <w:rPr>
                <w:sz w:val="20"/>
                <w:szCs w:val="20"/>
                <w:color w:val="auto"/>
              </w:rPr>
            </w:pPr>
            <w:r>
              <w:rPr>
                <w:rFonts w:ascii="Arial" w:cs="Arial" w:eastAsia="Arial" w:hAnsi="Arial"/>
                <w:sz w:val="14"/>
                <w:szCs w:val="14"/>
                <w:color w:val="0E2A35"/>
              </w:rPr>
              <w:t>Bryan L. Hughes</w:t>
            </w:r>
          </w:p>
        </w:tc>
        <w:tc>
          <w:tcPr>
            <w:tcW w:w="170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20" w:type="dxa"/>
            <w:vAlign w:val="bottom"/>
          </w:tcPr>
          <w:p>
            <w:pPr>
              <w:jc w:val="right"/>
              <w:ind w:right="593"/>
              <w:spacing w:after="0"/>
              <w:rPr>
                <w:sz w:val="20"/>
                <w:szCs w:val="20"/>
                <w:color w:val="auto"/>
              </w:rPr>
            </w:pPr>
            <w:r>
              <w:rPr>
                <w:rFonts w:ascii="Arial" w:cs="Arial" w:eastAsia="Arial" w:hAnsi="Arial"/>
                <w:sz w:val="14"/>
                <w:szCs w:val="14"/>
                <w:color w:val="0E2A35"/>
              </w:rPr>
              <w:t>​20,120</w:t>
            </w:r>
          </w:p>
        </w:tc>
        <w:tc>
          <w:tcPr>
            <w:tcW w:w="1600" w:type="dxa"/>
            <w:vAlign w:val="bottom"/>
          </w:tcPr>
          <w:p>
            <w:pPr>
              <w:jc w:val="right"/>
              <w:ind w:right="433"/>
              <w:spacing w:after="0"/>
              <w:rPr>
                <w:sz w:val="20"/>
                <w:szCs w:val="20"/>
                <w:color w:val="auto"/>
              </w:rPr>
            </w:pPr>
            <w:r>
              <w:rPr>
                <w:rFonts w:ascii="Arial" w:cs="Arial" w:eastAsia="Arial" w:hAnsi="Arial"/>
                <w:sz w:val="14"/>
                <w:szCs w:val="14"/>
                <w:color w:val="0E2A35"/>
              </w:rPr>
              <w:t>1,129,332</w:t>
            </w:r>
          </w:p>
        </w:tc>
        <w:tc>
          <w:tcPr>
            <w:tcW w:w="0" w:type="dxa"/>
            <w:vAlign w:val="bottom"/>
          </w:tcPr>
          <w:p>
            <w:pPr>
              <w:spacing w:after="0"/>
              <w:rPr>
                <w:sz w:val="1"/>
                <w:szCs w:val="1"/>
                <w:color w:val="auto"/>
              </w:rPr>
            </w:pPr>
          </w:p>
        </w:tc>
      </w:tr>
      <w:tr>
        <w:trPr>
          <w:trHeight w:val="93"/>
        </w:trPr>
        <w:tc>
          <w:tcPr>
            <w:tcW w:w="2680" w:type="dxa"/>
            <w:vAlign w:val="bottom"/>
            <w:tcBorders>
              <w:bottom w:val="single" w:sz="8" w:color="0E2A35"/>
            </w:tcBorders>
          </w:tcPr>
          <w:p>
            <w:pPr>
              <w:spacing w:after="0"/>
              <w:rPr>
                <w:sz w:val="8"/>
                <w:szCs w:val="8"/>
                <w:color w:val="auto"/>
              </w:rPr>
            </w:pPr>
          </w:p>
        </w:tc>
        <w:tc>
          <w:tcPr>
            <w:tcW w:w="1700" w:type="dxa"/>
            <w:vAlign w:val="bottom"/>
            <w:tcBorders>
              <w:bottom w:val="single" w:sz="8" w:color="0E2A35"/>
            </w:tcBorders>
          </w:tcPr>
          <w:p>
            <w:pPr>
              <w:spacing w:after="0"/>
              <w:rPr>
                <w:sz w:val="8"/>
                <w:szCs w:val="8"/>
                <w:color w:val="auto"/>
              </w:rPr>
            </w:pPr>
          </w:p>
        </w:tc>
        <w:tc>
          <w:tcPr>
            <w:tcW w:w="1580" w:type="dxa"/>
            <w:vAlign w:val="bottom"/>
            <w:tcBorders>
              <w:bottom w:val="single" w:sz="8" w:color="0E2A35"/>
            </w:tcBorders>
          </w:tcPr>
          <w:p>
            <w:pPr>
              <w:spacing w:after="0"/>
              <w:rPr>
                <w:sz w:val="8"/>
                <w:szCs w:val="8"/>
                <w:color w:val="auto"/>
              </w:rPr>
            </w:pPr>
          </w:p>
        </w:tc>
        <w:tc>
          <w:tcPr>
            <w:tcW w:w="172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2680" w:type="dxa"/>
            <w:vAlign w:val="bottom"/>
          </w:tcPr>
          <w:p>
            <w:pPr>
              <w:ind w:left="60"/>
              <w:spacing w:after="0"/>
              <w:rPr>
                <w:sz w:val="20"/>
                <w:szCs w:val="20"/>
                <w:color w:val="auto"/>
              </w:rPr>
            </w:pPr>
            <w:r>
              <w:rPr>
                <w:rFonts w:ascii="Arial" w:cs="Arial" w:eastAsia="Arial" w:hAnsi="Arial"/>
                <w:sz w:val="14"/>
                <w:szCs w:val="14"/>
                <w:color w:val="0E2A35"/>
              </w:rPr>
              <w:t>Stacy L. Bogart</w:t>
            </w:r>
          </w:p>
        </w:tc>
        <w:tc>
          <w:tcPr>
            <w:tcW w:w="170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20" w:type="dxa"/>
            <w:vAlign w:val="bottom"/>
          </w:tcPr>
          <w:p>
            <w:pPr>
              <w:jc w:val="right"/>
              <w:ind w:right="593"/>
              <w:spacing w:after="0"/>
              <w:rPr>
                <w:sz w:val="20"/>
                <w:szCs w:val="20"/>
                <w:color w:val="auto"/>
              </w:rPr>
            </w:pPr>
            <w:r>
              <w:rPr>
                <w:rFonts w:ascii="Arial" w:cs="Arial" w:eastAsia="Arial" w:hAnsi="Arial"/>
                <w:sz w:val="14"/>
                <w:szCs w:val="14"/>
                <w:color w:val="0E2A35"/>
              </w:rPr>
              <w:t>16,338</w:t>
            </w:r>
          </w:p>
        </w:tc>
        <w:tc>
          <w:tcPr>
            <w:tcW w:w="1600" w:type="dxa"/>
            <w:vAlign w:val="bottom"/>
          </w:tcPr>
          <w:p>
            <w:pPr>
              <w:jc w:val="right"/>
              <w:ind w:right="433"/>
              <w:spacing w:after="0"/>
              <w:rPr>
                <w:sz w:val="20"/>
                <w:szCs w:val="20"/>
                <w:color w:val="auto"/>
              </w:rPr>
            </w:pPr>
            <w:r>
              <w:rPr>
                <w:rFonts w:ascii="Arial" w:cs="Arial" w:eastAsia="Arial" w:hAnsi="Arial"/>
                <w:sz w:val="14"/>
                <w:szCs w:val="14"/>
                <w:color w:val="0E2A35"/>
              </w:rPr>
              <w:t>916,704</w:t>
            </w:r>
          </w:p>
        </w:tc>
        <w:tc>
          <w:tcPr>
            <w:tcW w:w="0" w:type="dxa"/>
            <w:vAlign w:val="bottom"/>
          </w:tcPr>
          <w:p>
            <w:pPr>
              <w:spacing w:after="0"/>
              <w:rPr>
                <w:sz w:val="1"/>
                <w:szCs w:val="1"/>
                <w:color w:val="auto"/>
              </w:rPr>
            </w:pPr>
          </w:p>
        </w:tc>
      </w:tr>
      <w:tr>
        <w:trPr>
          <w:trHeight w:val="93"/>
        </w:trPr>
        <w:tc>
          <w:tcPr>
            <w:tcW w:w="2680" w:type="dxa"/>
            <w:vAlign w:val="bottom"/>
            <w:tcBorders>
              <w:bottom w:val="single" w:sz="8" w:color="0E2A35"/>
            </w:tcBorders>
          </w:tcPr>
          <w:p>
            <w:pPr>
              <w:spacing w:after="0"/>
              <w:rPr>
                <w:sz w:val="8"/>
                <w:szCs w:val="8"/>
                <w:color w:val="auto"/>
              </w:rPr>
            </w:pPr>
          </w:p>
        </w:tc>
        <w:tc>
          <w:tcPr>
            <w:tcW w:w="1700" w:type="dxa"/>
            <w:vAlign w:val="bottom"/>
            <w:tcBorders>
              <w:bottom w:val="single" w:sz="8" w:color="0E2A35"/>
            </w:tcBorders>
          </w:tcPr>
          <w:p>
            <w:pPr>
              <w:spacing w:after="0"/>
              <w:rPr>
                <w:sz w:val="8"/>
                <w:szCs w:val="8"/>
                <w:color w:val="auto"/>
              </w:rPr>
            </w:pPr>
          </w:p>
        </w:tc>
        <w:tc>
          <w:tcPr>
            <w:tcW w:w="1580" w:type="dxa"/>
            <w:vAlign w:val="bottom"/>
            <w:tcBorders>
              <w:bottom w:val="single" w:sz="8" w:color="0E2A35"/>
            </w:tcBorders>
          </w:tcPr>
          <w:p>
            <w:pPr>
              <w:spacing w:after="0"/>
              <w:rPr>
                <w:sz w:val="8"/>
                <w:szCs w:val="8"/>
                <w:color w:val="auto"/>
              </w:rPr>
            </w:pPr>
          </w:p>
        </w:tc>
        <w:tc>
          <w:tcPr>
            <w:tcW w:w="172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680" w:type="dxa"/>
            <w:vAlign w:val="bottom"/>
          </w:tcPr>
          <w:p>
            <w:pPr>
              <w:ind w:left="60"/>
              <w:spacing w:after="0"/>
              <w:rPr>
                <w:sz w:val="20"/>
                <w:szCs w:val="20"/>
                <w:color w:val="auto"/>
              </w:rPr>
            </w:pPr>
            <w:r>
              <w:rPr>
                <w:rFonts w:ascii="Arial" w:cs="Arial" w:eastAsia="Arial" w:hAnsi="Arial"/>
                <w:sz w:val="14"/>
                <w:szCs w:val="14"/>
                <w:color w:val="0E2A35"/>
              </w:rPr>
              <w:t>Huw S. Bower</w:t>
            </w:r>
          </w:p>
        </w:tc>
        <w:tc>
          <w:tcPr>
            <w:tcW w:w="170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20" w:type="dxa"/>
            <w:vAlign w:val="bottom"/>
          </w:tcPr>
          <w:p>
            <w:pPr>
              <w:jc w:val="right"/>
              <w:ind w:right="593"/>
              <w:spacing w:after="0"/>
              <w:rPr>
                <w:sz w:val="20"/>
                <w:szCs w:val="20"/>
                <w:color w:val="auto"/>
              </w:rPr>
            </w:pPr>
            <w:r>
              <w:rPr>
                <w:rFonts w:ascii="Arial" w:cs="Arial" w:eastAsia="Arial" w:hAnsi="Arial"/>
                <w:sz w:val="14"/>
                <w:szCs w:val="14"/>
                <w:color w:val="0E2A35"/>
              </w:rPr>
              <w:t>14,571</w:t>
            </w:r>
          </w:p>
        </w:tc>
        <w:tc>
          <w:tcPr>
            <w:tcW w:w="1600" w:type="dxa"/>
            <w:vAlign w:val="bottom"/>
          </w:tcPr>
          <w:p>
            <w:pPr>
              <w:jc w:val="right"/>
              <w:ind w:right="433"/>
              <w:spacing w:after="0"/>
              <w:rPr>
                <w:sz w:val="20"/>
                <w:szCs w:val="20"/>
                <w:color w:val="auto"/>
              </w:rPr>
            </w:pPr>
            <w:r>
              <w:rPr>
                <w:rFonts w:ascii="Arial" w:cs="Arial" w:eastAsia="Arial" w:hAnsi="Arial"/>
                <w:sz w:val="14"/>
                <w:szCs w:val="14"/>
                <w:color w:val="0E2A35"/>
              </w:rPr>
              <w:t>829,964</w:t>
            </w:r>
          </w:p>
        </w:tc>
        <w:tc>
          <w:tcPr>
            <w:tcW w:w="0" w:type="dxa"/>
            <w:vAlign w:val="bottom"/>
          </w:tcPr>
          <w:p>
            <w:pPr>
              <w:spacing w:after="0"/>
              <w:rPr>
                <w:sz w:val="1"/>
                <w:szCs w:val="1"/>
                <w:color w:val="auto"/>
              </w:rPr>
            </w:pPr>
          </w:p>
        </w:tc>
      </w:tr>
      <w:tr>
        <w:trPr>
          <w:trHeight w:val="93"/>
        </w:trPr>
        <w:tc>
          <w:tcPr>
            <w:tcW w:w="2680" w:type="dxa"/>
            <w:vAlign w:val="bottom"/>
            <w:tcBorders>
              <w:bottom w:val="single" w:sz="8" w:color="0E2A35"/>
            </w:tcBorders>
          </w:tcPr>
          <w:p>
            <w:pPr>
              <w:spacing w:after="0"/>
              <w:rPr>
                <w:sz w:val="8"/>
                <w:szCs w:val="8"/>
                <w:color w:val="auto"/>
              </w:rPr>
            </w:pPr>
          </w:p>
        </w:tc>
        <w:tc>
          <w:tcPr>
            <w:tcW w:w="1700" w:type="dxa"/>
            <w:vAlign w:val="bottom"/>
            <w:tcBorders>
              <w:bottom w:val="single" w:sz="8" w:color="0E2A35"/>
            </w:tcBorders>
          </w:tcPr>
          <w:p>
            <w:pPr>
              <w:spacing w:after="0"/>
              <w:rPr>
                <w:sz w:val="8"/>
                <w:szCs w:val="8"/>
                <w:color w:val="auto"/>
              </w:rPr>
            </w:pPr>
          </w:p>
        </w:tc>
        <w:tc>
          <w:tcPr>
            <w:tcW w:w="1580" w:type="dxa"/>
            <w:vAlign w:val="bottom"/>
            <w:tcBorders>
              <w:bottom w:val="single" w:sz="8" w:color="0E2A35"/>
            </w:tcBorders>
          </w:tcPr>
          <w:p>
            <w:pPr>
              <w:spacing w:after="0"/>
              <w:rPr>
                <w:sz w:val="8"/>
                <w:szCs w:val="8"/>
                <w:color w:val="auto"/>
              </w:rPr>
            </w:pPr>
          </w:p>
        </w:tc>
        <w:tc>
          <w:tcPr>
            <w:tcW w:w="1720" w:type="dxa"/>
            <w:vAlign w:val="bottom"/>
            <w:tcBorders>
              <w:bottom w:val="single" w:sz="8" w:color="0E2A35"/>
            </w:tcBorders>
          </w:tcPr>
          <w:p>
            <w:pPr>
              <w:spacing w:after="0"/>
              <w:rPr>
                <w:sz w:val="8"/>
                <w:szCs w:val="8"/>
                <w:color w:val="auto"/>
              </w:rPr>
            </w:pPr>
          </w:p>
        </w:tc>
        <w:tc>
          <w:tcPr>
            <w:tcW w:w="160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2680" w:type="dxa"/>
            <w:vAlign w:val="bottom"/>
          </w:tcPr>
          <w:p>
            <w:pPr>
              <w:ind w:left="60"/>
              <w:spacing w:after="0"/>
              <w:rPr>
                <w:sz w:val="20"/>
                <w:szCs w:val="20"/>
                <w:color w:val="auto"/>
              </w:rPr>
            </w:pPr>
            <w:r>
              <w:rPr>
                <w:rFonts w:ascii="Arial" w:cs="Arial" w:eastAsia="Arial" w:hAnsi="Arial"/>
                <w:sz w:val="14"/>
                <w:szCs w:val="14"/>
                <w:color w:val="0E2A35"/>
              </w:rPr>
              <w:t>Donald J. Clark</w:t>
            </w:r>
          </w:p>
        </w:tc>
        <w:tc>
          <w:tcPr>
            <w:tcW w:w="170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58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720" w:type="dxa"/>
            <w:vAlign w:val="bottom"/>
          </w:tcPr>
          <w:p>
            <w:pPr>
              <w:jc w:val="right"/>
              <w:ind w:right="593"/>
              <w:spacing w:after="0"/>
              <w:rPr>
                <w:sz w:val="20"/>
                <w:szCs w:val="20"/>
                <w:color w:val="auto"/>
              </w:rPr>
            </w:pPr>
            <w:r>
              <w:rPr>
                <w:rFonts w:ascii="Arial" w:cs="Arial" w:eastAsia="Arial" w:hAnsi="Arial"/>
                <w:sz w:val="14"/>
                <w:szCs w:val="14"/>
                <w:color w:val="0E2A35"/>
              </w:rPr>
              <w:t>​ 6,149</w:t>
            </w:r>
          </w:p>
        </w:tc>
        <w:tc>
          <w:tcPr>
            <w:tcW w:w="1600" w:type="dxa"/>
            <w:vAlign w:val="bottom"/>
          </w:tcPr>
          <w:p>
            <w:pPr>
              <w:jc w:val="right"/>
              <w:ind w:right="433"/>
              <w:spacing w:after="0"/>
              <w:rPr>
                <w:sz w:val="20"/>
                <w:szCs w:val="20"/>
                <w:color w:val="auto"/>
              </w:rPr>
            </w:pPr>
            <w:r>
              <w:rPr>
                <w:rFonts w:ascii="Arial" w:cs="Arial" w:eastAsia="Arial" w:hAnsi="Arial"/>
                <w:sz w:val="14"/>
                <w:szCs w:val="14"/>
                <w:color w:val="0E2A35"/>
              </w:rPr>
              <w:t>​ 350,247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58978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1722755</wp:posOffset>
            </wp:positionH>
            <wp:positionV relativeFrom="paragraph">
              <wp:posOffset>-1663065</wp:posOffset>
            </wp:positionV>
            <wp:extent cx="41744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181" w:lineRule="exact"/>
        <w:rPr>
          <w:sz w:val="20"/>
          <w:szCs w:val="20"/>
          <w:color w:val="auto"/>
        </w:rPr>
      </w:pPr>
    </w:p>
    <w:p>
      <w:pPr>
        <w:ind w:left="360" w:right="160" w:hanging="360"/>
        <w:spacing w:after="0" w:line="236" w:lineRule="auto"/>
        <w:tabs>
          <w:tab w:leader="none" w:pos="360" w:val="left"/>
        </w:tabs>
        <w:numPr>
          <w:ilvl w:val="0"/>
          <w:numId w:val="50"/>
        </w:numPr>
        <w:rPr>
          <w:rFonts w:ascii="Arial" w:cs="Arial" w:eastAsia="Arial" w:hAnsi="Arial"/>
          <w:sz w:val="13"/>
          <w:szCs w:val="13"/>
          <w:color w:val="0E2A35"/>
        </w:rPr>
      </w:pPr>
      <w:r>
        <w:rPr>
          <w:rFonts w:ascii="Arial" w:cs="Arial" w:eastAsia="Arial" w:hAnsi="Arial"/>
          <w:sz w:val="13"/>
          <w:szCs w:val="13"/>
          <w:color w:val="0E2A35"/>
        </w:rPr>
        <w:t>Valued at the closing market price of the Company's common stock of $56.09 (October 11, 2022), $56.96 (October 12, 2022), $56.96 (October 13, 2022), and $53.11 (December 19, 2022) as quoted on the NYSE on the vesting dates.</w:t>
      </w:r>
    </w:p>
    <w:p>
      <w:pPr>
        <w:spacing w:after="0" w:line="292"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208915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46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Nonqualified Deferred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0E2A35"/>
        </w:rPr>
        <w:t>The following table summarizes non-qualified deferred compensation by NEOs during fiscal 2023.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320" w:type="dxa"/>
            <w:vAlign w:val="bottom"/>
            <w:shd w:val="clear" w:color="auto" w:fill="0E2A35"/>
          </w:tcPr>
          <w:p>
            <w:pPr>
              <w:spacing w:after="0"/>
              <w:rPr>
                <w:sz w:val="19"/>
                <w:szCs w:val="19"/>
                <w:color w:val="auto"/>
              </w:rPr>
            </w:pPr>
          </w:p>
        </w:tc>
        <w:tc>
          <w:tcPr>
            <w:tcW w:w="2260" w:type="dxa"/>
            <w:vAlign w:val="bottom"/>
            <w:shd w:val="clear" w:color="auto" w:fill="0E2A35"/>
          </w:tcPr>
          <w:p>
            <w:pPr>
              <w:jc w:val="center"/>
              <w:ind w:left="894"/>
              <w:spacing w:after="0"/>
              <w:rPr>
                <w:sz w:val="20"/>
                <w:szCs w:val="20"/>
                <w:color w:val="auto"/>
              </w:rPr>
            </w:pPr>
            <w:r>
              <w:rPr>
                <w:rFonts w:ascii="Arial" w:cs="Arial" w:eastAsia="Arial" w:hAnsi="Arial"/>
                <w:sz w:val="13"/>
                <w:szCs w:val="13"/>
                <w:b w:val="1"/>
                <w:bCs w:val="1"/>
                <w:color w:val="FFFFFF"/>
                <w:w w:val="95"/>
              </w:rPr>
              <w:t>Executive</w:t>
            </w:r>
          </w:p>
        </w:tc>
        <w:tc>
          <w:tcPr>
            <w:tcW w:w="12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9"/>
              </w:rPr>
              <w:t>Registrant</w:t>
            </w:r>
          </w:p>
        </w:tc>
        <w:tc>
          <w:tcPr>
            <w:tcW w:w="11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Aggregate</w:t>
            </w:r>
          </w:p>
        </w:tc>
        <w:tc>
          <w:tcPr>
            <w:tcW w:w="12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Aggregate</w:t>
            </w:r>
          </w:p>
        </w:tc>
        <w:tc>
          <w:tcPr>
            <w:tcW w:w="1020" w:type="dxa"/>
            <w:vAlign w:val="bottom"/>
            <w:shd w:val="clear" w:color="auto" w:fill="0E2A35"/>
          </w:tcPr>
          <w:p>
            <w:pPr>
              <w:jc w:val="center"/>
              <w:ind w:left="94"/>
              <w:spacing w:after="0"/>
              <w:rPr>
                <w:sz w:val="20"/>
                <w:szCs w:val="20"/>
                <w:color w:val="auto"/>
              </w:rPr>
            </w:pPr>
            <w:r>
              <w:rPr>
                <w:rFonts w:ascii="Arial" w:cs="Arial" w:eastAsia="Arial" w:hAnsi="Arial"/>
                <w:sz w:val="13"/>
                <w:szCs w:val="13"/>
                <w:b w:val="1"/>
                <w:bCs w:val="1"/>
                <w:color w:val="FFFFFF"/>
                <w:w w:val="96"/>
              </w:rPr>
              <w:t>Aggregate</w:t>
            </w:r>
          </w:p>
        </w:tc>
        <w:tc>
          <w:tcPr>
            <w:tcW w:w="0" w:type="dxa"/>
            <w:vAlign w:val="bottom"/>
          </w:tcPr>
          <w:p>
            <w:pPr>
              <w:spacing w:after="0"/>
              <w:rPr>
                <w:sz w:val="1"/>
                <w:szCs w:val="1"/>
                <w:color w:val="auto"/>
              </w:rPr>
            </w:pPr>
          </w:p>
        </w:tc>
      </w:tr>
      <w:tr>
        <w:trPr>
          <w:trHeight w:val="135"/>
        </w:trPr>
        <w:tc>
          <w:tcPr>
            <w:tcW w:w="2320" w:type="dxa"/>
            <w:vAlign w:val="bottom"/>
            <w:shd w:val="clear" w:color="auto" w:fill="0E2A35"/>
          </w:tcPr>
          <w:p>
            <w:pPr>
              <w:spacing w:after="0"/>
              <w:rPr>
                <w:sz w:val="11"/>
                <w:szCs w:val="11"/>
                <w:color w:val="auto"/>
              </w:rPr>
            </w:pPr>
          </w:p>
        </w:tc>
        <w:tc>
          <w:tcPr>
            <w:tcW w:w="2260" w:type="dxa"/>
            <w:vAlign w:val="bottom"/>
            <w:shd w:val="clear" w:color="auto" w:fill="0E2A35"/>
          </w:tcPr>
          <w:p>
            <w:pPr>
              <w:jc w:val="center"/>
              <w:ind w:left="894"/>
              <w:spacing w:after="0" w:line="135" w:lineRule="exact"/>
              <w:rPr>
                <w:sz w:val="20"/>
                <w:szCs w:val="20"/>
                <w:color w:val="auto"/>
              </w:rPr>
            </w:pPr>
            <w:r>
              <w:rPr>
                <w:rFonts w:ascii="Arial" w:cs="Arial" w:eastAsia="Arial" w:hAnsi="Arial"/>
                <w:sz w:val="13"/>
                <w:szCs w:val="13"/>
                <w:b w:val="1"/>
                <w:bCs w:val="1"/>
                <w:color w:val="FFFFFF"/>
                <w:w w:val="96"/>
              </w:rPr>
              <w:t>Contributions</w:t>
            </w:r>
          </w:p>
        </w:tc>
        <w:tc>
          <w:tcPr>
            <w:tcW w:w="12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Contributions</w:t>
            </w:r>
          </w:p>
        </w:tc>
        <w:tc>
          <w:tcPr>
            <w:tcW w:w="11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Earnings</w:t>
            </w:r>
          </w:p>
        </w:tc>
        <w:tc>
          <w:tcPr>
            <w:tcW w:w="12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Withdrawals/</w:t>
            </w:r>
          </w:p>
        </w:tc>
        <w:tc>
          <w:tcPr>
            <w:tcW w:w="1020" w:type="dxa"/>
            <w:vAlign w:val="bottom"/>
            <w:shd w:val="clear" w:color="auto" w:fill="0E2A35"/>
          </w:tcPr>
          <w:p>
            <w:pPr>
              <w:jc w:val="center"/>
              <w:ind w:left="114"/>
              <w:spacing w:after="0" w:line="135" w:lineRule="exact"/>
              <w:rPr>
                <w:sz w:val="20"/>
                <w:szCs w:val="20"/>
                <w:color w:val="auto"/>
              </w:rPr>
            </w:pPr>
            <w:r>
              <w:rPr>
                <w:rFonts w:ascii="Arial" w:cs="Arial" w:eastAsia="Arial" w:hAnsi="Arial"/>
                <w:sz w:val="13"/>
                <w:szCs w:val="13"/>
                <w:b w:val="1"/>
                <w:bCs w:val="1"/>
                <w:color w:val="FFFFFF"/>
                <w:w w:val="96"/>
              </w:rPr>
              <w:t>Balance</w:t>
            </w:r>
          </w:p>
        </w:tc>
        <w:tc>
          <w:tcPr>
            <w:tcW w:w="0" w:type="dxa"/>
            <w:vAlign w:val="bottom"/>
          </w:tcPr>
          <w:p>
            <w:pPr>
              <w:spacing w:after="0"/>
              <w:rPr>
                <w:sz w:val="1"/>
                <w:szCs w:val="1"/>
                <w:color w:val="auto"/>
              </w:rPr>
            </w:pPr>
          </w:p>
        </w:tc>
      </w:tr>
      <w:tr>
        <w:trPr>
          <w:trHeight w:val="135"/>
        </w:trPr>
        <w:tc>
          <w:tcPr>
            <w:tcW w:w="232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2260" w:type="dxa"/>
            <w:vAlign w:val="bottom"/>
            <w:shd w:val="clear" w:color="auto" w:fill="0E2A35"/>
          </w:tcPr>
          <w:p>
            <w:pPr>
              <w:jc w:val="center"/>
              <w:ind w:left="874"/>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2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1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2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Distributions</w:t>
            </w:r>
          </w:p>
        </w:tc>
        <w:tc>
          <w:tcPr>
            <w:tcW w:w="1020" w:type="dxa"/>
            <w:vAlign w:val="bottom"/>
            <w:shd w:val="clear" w:color="auto" w:fill="0E2A35"/>
          </w:tcPr>
          <w:p>
            <w:pPr>
              <w:jc w:val="center"/>
              <w:ind w:left="94"/>
              <w:spacing w:after="0" w:line="135" w:lineRule="exact"/>
              <w:rPr>
                <w:sz w:val="20"/>
                <w:szCs w:val="20"/>
                <w:color w:val="auto"/>
              </w:rPr>
            </w:pPr>
            <w:r>
              <w:rPr>
                <w:rFonts w:ascii="Arial" w:cs="Arial" w:eastAsia="Arial" w:hAnsi="Arial"/>
                <w:sz w:val="13"/>
                <w:szCs w:val="13"/>
                <w:b w:val="1"/>
                <w:bCs w:val="1"/>
                <w:color w:val="FFFFFF"/>
                <w:w w:val="98"/>
              </w:rPr>
              <w:t>at Last FYE</w:t>
            </w:r>
          </w:p>
        </w:tc>
        <w:tc>
          <w:tcPr>
            <w:tcW w:w="0" w:type="dxa"/>
            <w:vAlign w:val="bottom"/>
          </w:tcPr>
          <w:p>
            <w:pPr>
              <w:spacing w:after="0"/>
              <w:rPr>
                <w:sz w:val="1"/>
                <w:szCs w:val="1"/>
                <w:color w:val="auto"/>
              </w:rPr>
            </w:pPr>
          </w:p>
        </w:tc>
      </w:tr>
      <w:tr>
        <w:trPr>
          <w:trHeight w:val="176"/>
        </w:trPr>
        <w:tc>
          <w:tcPr>
            <w:tcW w:w="2320" w:type="dxa"/>
            <w:vAlign w:val="bottom"/>
            <w:vMerge w:val="continue"/>
            <w:shd w:val="clear" w:color="auto" w:fill="0E2A35"/>
          </w:tcPr>
          <w:p>
            <w:pPr>
              <w:spacing w:after="0"/>
              <w:rPr>
                <w:sz w:val="15"/>
                <w:szCs w:val="15"/>
                <w:color w:val="auto"/>
              </w:rPr>
            </w:pPr>
          </w:p>
        </w:tc>
        <w:tc>
          <w:tcPr>
            <w:tcW w:w="2260" w:type="dxa"/>
            <w:vAlign w:val="bottom"/>
            <w:shd w:val="clear" w:color="auto" w:fill="0E2A35"/>
          </w:tcPr>
          <w:p>
            <w:pPr>
              <w:jc w:val="center"/>
              <w:ind w:left="914"/>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0E2A35"/>
          </w:tcPr>
          <w:p>
            <w:pPr>
              <w:ind w:left="580"/>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2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0E2A35"/>
          </w:tcPr>
          <w:p>
            <w:pPr>
              <w:jc w:val="center"/>
              <w:ind w:left="134"/>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89"/>
        </w:trPr>
        <w:tc>
          <w:tcPr>
            <w:tcW w:w="2320" w:type="dxa"/>
            <w:vAlign w:val="bottom"/>
            <w:shd w:val="clear" w:color="auto" w:fill="0E2A35"/>
          </w:tcPr>
          <w:p>
            <w:pPr>
              <w:spacing w:after="0"/>
              <w:rPr>
                <w:sz w:val="7"/>
                <w:szCs w:val="7"/>
                <w:color w:val="auto"/>
              </w:rPr>
            </w:pPr>
          </w:p>
        </w:tc>
        <w:tc>
          <w:tcPr>
            <w:tcW w:w="2260" w:type="dxa"/>
            <w:vAlign w:val="bottom"/>
            <w:shd w:val="clear" w:color="auto" w:fill="0E2A35"/>
          </w:tcPr>
          <w:p>
            <w:pPr>
              <w:spacing w:after="0"/>
              <w:rPr>
                <w:sz w:val="7"/>
                <w:szCs w:val="7"/>
                <w:color w:val="auto"/>
              </w:rPr>
            </w:pPr>
          </w:p>
        </w:tc>
        <w:tc>
          <w:tcPr>
            <w:tcW w:w="1280" w:type="dxa"/>
            <w:vAlign w:val="bottom"/>
            <w:shd w:val="clear" w:color="auto" w:fill="0E2A35"/>
          </w:tcPr>
          <w:p>
            <w:pPr>
              <w:spacing w:after="0"/>
              <w:rPr>
                <w:sz w:val="7"/>
                <w:szCs w:val="7"/>
                <w:color w:val="auto"/>
              </w:rPr>
            </w:pPr>
          </w:p>
        </w:tc>
        <w:tc>
          <w:tcPr>
            <w:tcW w:w="1120" w:type="dxa"/>
            <w:vAlign w:val="bottom"/>
            <w:shd w:val="clear" w:color="auto" w:fill="0E2A35"/>
          </w:tcPr>
          <w:p>
            <w:pPr>
              <w:spacing w:after="0"/>
              <w:rPr>
                <w:sz w:val="7"/>
                <w:szCs w:val="7"/>
                <w:color w:val="auto"/>
              </w:rPr>
            </w:pPr>
          </w:p>
        </w:tc>
        <w:tc>
          <w:tcPr>
            <w:tcW w:w="1280" w:type="dxa"/>
            <w:vAlign w:val="bottom"/>
            <w:shd w:val="clear" w:color="auto" w:fill="0E2A35"/>
          </w:tcPr>
          <w:p>
            <w:pPr>
              <w:spacing w:after="0"/>
              <w:rPr>
                <w:sz w:val="7"/>
                <w:szCs w:val="7"/>
                <w:color w:val="auto"/>
              </w:rPr>
            </w:pPr>
          </w:p>
        </w:tc>
        <w:tc>
          <w:tcPr>
            <w:tcW w:w="102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232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Huw S. Bower</w:t>
            </w:r>
          </w:p>
        </w:tc>
        <w:tc>
          <w:tcPr>
            <w:tcW w:w="2260" w:type="dxa"/>
            <w:vAlign w:val="bottom"/>
            <w:tcBorders>
              <w:bottom w:val="single" w:sz="8" w:color="0E2A35"/>
            </w:tcBorders>
          </w:tcPr>
          <w:p>
            <w:pPr>
              <w:jc w:val="right"/>
              <w:ind w:right="214"/>
              <w:spacing w:after="0"/>
              <w:rPr>
                <w:sz w:val="20"/>
                <w:szCs w:val="20"/>
                <w:color w:val="auto"/>
              </w:rPr>
            </w:pPr>
            <w:r>
              <w:rPr>
                <w:rFonts w:ascii="Arial" w:cs="Arial" w:eastAsia="Arial" w:hAnsi="Arial"/>
                <w:sz w:val="14"/>
                <w:szCs w:val="14"/>
                <w:color w:val="0E2A35"/>
              </w:rPr>
              <w:t>10,569</w:t>
            </w:r>
            <w:r>
              <w:rPr>
                <w:rFonts w:ascii="Arial" w:cs="Arial" w:eastAsia="Arial" w:hAnsi="Arial"/>
                <w:sz w:val="23"/>
                <w:szCs w:val="23"/>
                <w:color w:val="0E2A35"/>
                <w:vertAlign w:val="superscript"/>
              </w:rPr>
              <w:t>(1)</w:t>
            </w:r>
          </w:p>
        </w:tc>
        <w:tc>
          <w:tcPr>
            <w:tcW w:w="1280" w:type="dxa"/>
            <w:vAlign w:val="bottom"/>
            <w:tcBorders>
              <w:bottom w:val="single" w:sz="8" w:color="0E2A35"/>
            </w:tcBorders>
          </w:tcPr>
          <w:p>
            <w:pPr>
              <w:ind w:left="580"/>
              <w:spacing w:after="0"/>
              <w:rPr>
                <w:sz w:val="20"/>
                <w:szCs w:val="20"/>
                <w:color w:val="auto"/>
              </w:rPr>
            </w:pPr>
            <w:r>
              <w:rPr>
                <w:rFonts w:ascii="Arial" w:cs="Arial" w:eastAsia="Arial" w:hAnsi="Arial"/>
                <w:sz w:val="14"/>
                <w:szCs w:val="14"/>
                <w:color w:val="0E2A35"/>
              </w:rPr>
              <w:t>—</w:t>
            </w:r>
          </w:p>
        </w:tc>
        <w:tc>
          <w:tcPr>
            <w:tcW w:w="112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rPr>
              <w:t>10,038</w:t>
            </w:r>
          </w:p>
        </w:tc>
        <w:tc>
          <w:tcPr>
            <w:tcW w:w="1280" w:type="dxa"/>
            <w:vAlign w:val="bottom"/>
            <w:tcBorders>
              <w:bottom w:val="single" w:sz="8" w:color="0E2A35"/>
            </w:tcBorders>
          </w:tcPr>
          <w:p>
            <w:pPr>
              <w:jc w:val="center"/>
              <w:spacing w:after="0"/>
              <w:rPr>
                <w:sz w:val="20"/>
                <w:szCs w:val="20"/>
                <w:color w:val="auto"/>
              </w:rPr>
            </w:pPr>
            <w:r>
              <w:rPr>
                <w:rFonts w:ascii="Arial" w:cs="Arial" w:eastAsia="Arial" w:hAnsi="Arial"/>
                <w:sz w:val="14"/>
                <w:szCs w:val="14"/>
                <w:color w:val="0E2A35"/>
                <w:w w:val="99"/>
              </w:rPr>
              <w:t>—</w:t>
            </w:r>
          </w:p>
        </w:tc>
        <w:tc>
          <w:tcPr>
            <w:tcW w:w="102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101,134</w:t>
            </w:r>
            <w:r>
              <w:rPr>
                <w:rFonts w:ascii="Arial" w:cs="Arial" w:eastAsia="Arial" w:hAnsi="Arial"/>
                <w:sz w:val="23"/>
                <w:szCs w:val="23"/>
                <w:color w:val="0E2A35"/>
                <w:vertAlign w:val="superscript"/>
              </w:rPr>
              <w:t>(3)</w:t>
            </w:r>
          </w:p>
        </w:tc>
        <w:tc>
          <w:tcPr>
            <w:tcW w:w="0" w:type="dxa"/>
            <w:vAlign w:val="bottom"/>
          </w:tcPr>
          <w:p>
            <w:pPr>
              <w:spacing w:after="0"/>
              <w:rPr>
                <w:sz w:val="1"/>
                <w:szCs w:val="1"/>
                <w:color w:val="auto"/>
              </w:rPr>
            </w:pPr>
          </w:p>
        </w:tc>
      </w:tr>
      <w:tr>
        <w:trPr>
          <w:trHeight w:val="408"/>
        </w:trPr>
        <w:tc>
          <w:tcPr>
            <w:tcW w:w="2320" w:type="dxa"/>
            <w:vAlign w:val="bottom"/>
          </w:tcPr>
          <w:p>
            <w:pPr>
              <w:ind w:left="60"/>
              <w:spacing w:after="0"/>
              <w:rPr>
                <w:sz w:val="20"/>
                <w:szCs w:val="20"/>
                <w:color w:val="auto"/>
              </w:rPr>
            </w:pPr>
            <w:r>
              <w:rPr>
                <w:rFonts w:ascii="Arial" w:cs="Arial" w:eastAsia="Arial" w:hAnsi="Arial"/>
                <w:sz w:val="14"/>
                <w:szCs w:val="14"/>
                <w:color w:val="0E2A35"/>
              </w:rPr>
              <w:t>Bryan L. Hughes</w:t>
            </w:r>
          </w:p>
        </w:tc>
        <w:tc>
          <w:tcPr>
            <w:tcW w:w="2260" w:type="dxa"/>
            <w:vAlign w:val="bottom"/>
          </w:tcPr>
          <w:p>
            <w:pPr>
              <w:jc w:val="right"/>
              <w:ind w:right="214"/>
              <w:spacing w:after="0"/>
              <w:rPr>
                <w:sz w:val="20"/>
                <w:szCs w:val="20"/>
                <w:color w:val="auto"/>
              </w:rPr>
            </w:pPr>
            <w:r>
              <w:rPr>
                <w:rFonts w:ascii="Arial" w:cs="Arial" w:eastAsia="Arial" w:hAnsi="Arial"/>
                <w:sz w:val="14"/>
                <w:szCs w:val="14"/>
                <w:color w:val="0E2A35"/>
              </w:rPr>
              <w:t>20,529</w:t>
            </w:r>
            <w:r>
              <w:rPr>
                <w:rFonts w:ascii="Arial" w:cs="Arial" w:eastAsia="Arial" w:hAnsi="Arial"/>
                <w:sz w:val="23"/>
                <w:szCs w:val="23"/>
                <w:color w:val="0E2A35"/>
                <w:vertAlign w:val="superscript"/>
              </w:rPr>
              <w:t>(2)</w:t>
            </w:r>
          </w:p>
        </w:tc>
        <w:tc>
          <w:tcPr>
            <w:tcW w:w="1280" w:type="dxa"/>
            <w:vAlign w:val="bottom"/>
          </w:tcPr>
          <w:p>
            <w:pPr>
              <w:ind w:left="580"/>
              <w:spacing w:after="0"/>
              <w:rPr>
                <w:sz w:val="20"/>
                <w:szCs w:val="20"/>
                <w:color w:val="auto"/>
              </w:rPr>
            </w:pPr>
            <w:r>
              <w:rPr>
                <w:rFonts w:ascii="Arial" w:cs="Arial" w:eastAsia="Arial" w:hAnsi="Arial"/>
                <w:sz w:val="14"/>
                <w:szCs w:val="14"/>
                <w:color w:val="0E2A35"/>
              </w:rPr>
              <w:t>—</w:t>
            </w:r>
          </w:p>
        </w:tc>
        <w:tc>
          <w:tcPr>
            <w:tcW w:w="1120" w:type="dxa"/>
            <w:vAlign w:val="bottom"/>
          </w:tcPr>
          <w:p>
            <w:pPr>
              <w:jc w:val="center"/>
              <w:spacing w:after="0"/>
              <w:rPr>
                <w:sz w:val="20"/>
                <w:szCs w:val="20"/>
                <w:color w:val="auto"/>
              </w:rPr>
            </w:pPr>
            <w:r>
              <w:rPr>
                <w:rFonts w:ascii="Arial" w:cs="Arial" w:eastAsia="Arial" w:hAnsi="Arial"/>
                <w:sz w:val="14"/>
                <w:szCs w:val="14"/>
                <w:color w:val="0E2A35"/>
              </w:rPr>
              <w:t>58,089</w:t>
            </w:r>
          </w:p>
        </w:tc>
        <w:tc>
          <w:tcPr>
            <w:tcW w:w="1280" w:type="dxa"/>
            <w:vAlign w:val="bottom"/>
          </w:tcPr>
          <w:p>
            <w:pPr>
              <w:jc w:val="center"/>
              <w:spacing w:after="0"/>
              <w:rPr>
                <w:sz w:val="20"/>
                <w:szCs w:val="20"/>
                <w:color w:val="auto"/>
              </w:rPr>
            </w:pPr>
            <w:r>
              <w:rPr>
                <w:rFonts w:ascii="Arial" w:cs="Arial" w:eastAsia="Arial" w:hAnsi="Arial"/>
                <w:sz w:val="14"/>
                <w:szCs w:val="14"/>
                <w:color w:val="0E2A35"/>
                <w:w w:val="99"/>
              </w:rPr>
              <w:t>—</w:t>
            </w:r>
          </w:p>
        </w:tc>
        <w:tc>
          <w:tcPr>
            <w:tcW w:w="1020" w:type="dxa"/>
            <w:vAlign w:val="bottom"/>
          </w:tcPr>
          <w:p>
            <w:pPr>
              <w:jc w:val="right"/>
              <w:spacing w:after="0"/>
              <w:rPr>
                <w:sz w:val="20"/>
                <w:szCs w:val="20"/>
                <w:color w:val="auto"/>
              </w:rPr>
            </w:pPr>
            <w:r>
              <w:rPr>
                <w:rFonts w:ascii="Arial" w:cs="Arial" w:eastAsia="Arial" w:hAnsi="Arial"/>
                <w:sz w:val="14"/>
                <w:szCs w:val="14"/>
                <w:color w:val="0E2A35"/>
              </w:rPr>
              <w:t>847,131</w:t>
            </w:r>
            <w:r>
              <w:rPr>
                <w:rFonts w:ascii="Arial" w:cs="Arial" w:eastAsia="Arial" w:hAnsi="Arial"/>
                <w:sz w:val="23"/>
                <w:szCs w:val="23"/>
                <w:color w:val="0E2A35"/>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978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78" w:lineRule="exact"/>
        <w:rPr>
          <w:sz w:val="20"/>
          <w:szCs w:val="20"/>
          <w:color w:val="auto"/>
        </w:rPr>
      </w:pPr>
    </w:p>
    <w:p>
      <w:pPr>
        <w:ind w:left="360" w:right="160" w:hanging="360"/>
        <w:spacing w:after="0" w:line="236" w:lineRule="auto"/>
        <w:tabs>
          <w:tab w:leader="none" w:pos="36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Mr. Bower’s base salary deferral of 5% during the 2022 calendar year (which includes the first four months of fiscal 2023), which is included in the Salary column of the Summary Compensation Table.</w:t>
      </w:r>
    </w:p>
    <w:p>
      <w:pPr>
        <w:spacing w:after="0" w:line="29" w:lineRule="exact"/>
        <w:rPr>
          <w:rFonts w:ascii="Arial" w:cs="Arial" w:eastAsia="Arial" w:hAnsi="Arial"/>
          <w:sz w:val="13"/>
          <w:szCs w:val="13"/>
          <w:color w:val="0E2A35"/>
        </w:rPr>
      </w:pPr>
    </w:p>
    <w:p>
      <w:pPr>
        <w:ind w:left="360" w:right="80" w:hanging="360"/>
        <w:spacing w:after="0" w:line="236" w:lineRule="auto"/>
        <w:tabs>
          <w:tab w:leader="none" w:pos="36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Represents Mr. Hughes’ base salary deferral of 10% during the 2022 calendar year (which includes the first four months of fiscal 2023), which is included in the Salary column of the Summary Compensation Table.</w:t>
      </w:r>
    </w:p>
    <w:p>
      <w:pPr>
        <w:spacing w:after="0" w:line="29" w:lineRule="exact"/>
        <w:rPr>
          <w:rFonts w:ascii="Arial" w:cs="Arial" w:eastAsia="Arial" w:hAnsi="Arial"/>
          <w:sz w:val="13"/>
          <w:szCs w:val="13"/>
          <w:color w:val="0E2A35"/>
        </w:rPr>
      </w:pPr>
    </w:p>
    <w:p>
      <w:pPr>
        <w:ind w:left="360" w:right="440" w:hanging="360"/>
        <w:spacing w:after="0" w:line="236" w:lineRule="auto"/>
        <w:tabs>
          <w:tab w:leader="none" w:pos="36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Balance includes (i) $70,675 of Mr. Bowers’ annual incentive payout for fiscal 2021 previously reported as Non-Equity Incentive Plan Compensation, and (ii) $17,972 of Mr. Bower’s base salary for fiscal 2022 that was previously reported as Salary.</w:t>
      </w:r>
    </w:p>
    <w:p>
      <w:pPr>
        <w:spacing w:after="0" w:line="29" w:lineRule="exact"/>
        <w:rPr>
          <w:rFonts w:ascii="Arial" w:cs="Arial" w:eastAsia="Arial" w:hAnsi="Arial"/>
          <w:sz w:val="13"/>
          <w:szCs w:val="13"/>
          <w:color w:val="0E2A35"/>
        </w:rPr>
      </w:pPr>
    </w:p>
    <w:p>
      <w:pPr>
        <w:ind w:left="360" w:right="120" w:hanging="360"/>
        <w:spacing w:after="0" w:line="230" w:lineRule="auto"/>
        <w:tabs>
          <w:tab w:leader="none" w:pos="360" w:val="left"/>
        </w:tabs>
        <w:numPr>
          <w:ilvl w:val="0"/>
          <w:numId w:val="51"/>
        </w:numPr>
        <w:rPr>
          <w:rFonts w:ascii="Arial" w:cs="Arial" w:eastAsia="Arial" w:hAnsi="Arial"/>
          <w:sz w:val="13"/>
          <w:szCs w:val="13"/>
          <w:color w:val="0E2A35"/>
        </w:rPr>
      </w:pPr>
      <w:r>
        <w:rPr>
          <w:rFonts w:ascii="Arial" w:cs="Arial" w:eastAsia="Arial" w:hAnsi="Arial"/>
          <w:sz w:val="13"/>
          <w:szCs w:val="13"/>
          <w:color w:val="0E2A35"/>
        </w:rPr>
        <w:t>Balance includes (i) amounts from Mr. Hughes’ annual incentive payouts that were previously reported as Non-Equity Incentive Plan Compensation as follows: fiscal 2018 - $60,792, fiscal 2019 - $17,744, fiscal 2020 - $54,027, fiscal 2021 - $363,867, and fiscal 2022 - $228,853 and (ii) amounts from Mr. Hughes’ base salary that were previously reported as Salary as follows: fiscal 2021 - $52,500, and fiscal 2022 - $54,904.</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Potential Payments upon Termination or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Executive Officer Severance Plan</w:t>
      </w:r>
    </w:p>
    <w:p>
      <w:pPr>
        <w:spacing w:after="0" w:line="18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0E2A35"/>
        </w:rPr>
        <w:t>In December 2021, the committee completed a review of benchmarking data and market practices regarding executive officer severance outside of a change in control. Following such review, the committee approved the Executive Officer Severance Plan (the Executive Severance Plan) that applies to all executive officers other than Mr. Happe and Mr. Clark. The Executive Severance Plan provides that, if an eligible executive is terminated by the Company (or an affiliate) without cause or terminates employment with the Company (and affiliates) for good reason (as such terms are defined in the Executive Severance Plan), the eligible executive would be entitled to receive: (a) severance pay equal to one times the executive’s annualized base salary as of the executive’s employment termination date, payable in substantially equal installments over the 12 months after the executive’s employment with the Company (or an affiliate) ends, and (b) an amount equal to one times the sum of (i) the executive’s annual target bonus, as in effect on the executive’s employment termination date, plus (ii) the annual COBRA premium cost for continuation of the executive’s then-current group medical, dental and vision insurance coverage, payable in a lump sum with the initial installment of severance pay. To receive benefits, the executive must sign a release agreement and otherwise comply with the terms of the Executive Severance Plan.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Executive Change in Control Agreements</w:t>
      </w:r>
    </w:p>
    <w:p>
      <w:pPr>
        <w:spacing w:after="0" w:line="189"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0E2A35"/>
        </w:rPr>
        <w:t>In October 2018, the committee approved new CIC Agreements for certain executive officers including our NEOs (excluding Mr. Clark), in order to align the Company's practices with market standard practices among the Company's peers. These agreements became effective in November and December of 2018. Due to the unique nature of Mr. Clark's employment and compensation arrangements with the Company, we initially entered into a CIC Agreement with Mr. Clark in connection with the Grand Design acquisition and an amended and restated CIC Agreement, having the same terms as the prior agreement, was entered into on October 17, 2023 in connection with his amended and restated employment agreement.</w:t>
      </w:r>
    </w:p>
    <w:p>
      <w:pPr>
        <w:spacing w:after="0" w:line="150"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0E2A35"/>
        </w:rPr>
        <w:t>The purpose of the CIC Agreements is to reinforce and encourage executives to remain with the Company, to maintain objectivity and a high level of attention to their duties without distraction from the possibility of a change in control of the Company. The CIC Agreements provide that in the event of a change of control of the Company, as that term is defined in the CIC Agreements, the executive (provided such change in control occurs when the executive is employed by the Company) would receive, in the event he or she ceases to be employed by the Company within two years following a change in control of the Company (for a reason other than death, disability, termination for cause or, under certain circumstances, a voluntary termination of employment by the executive), a lump-sum equal to two (or three, in the case of Mr. Happe) times the annual salary and target annual incentives (as well as annual COBRA premium cost). In the case of Mr. Clark, the total severance benefit would be capped at $3,000,000. This multiple was arrived at by the committee after an analysis of certain compensation peers’ change in control agreements at the time these CIC Agreements were initially developed.</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0E2A35"/>
        </w:rPr>
        <w:t>Under the CIC Agreements, a “change in control” generally refers to the acquisition by a person or group of beneficial ownership of 30% or more of the combined voting power of the Company’s voting securities, the Company's continuing directors ceasing to constitute a majority of its Board of Directors, or the consummation of a corporate transaction as defined below (unless immediately following such corporate transaction all or substantially all of the Company’s previous holders of voting securities beneficially own 50% or more of the combined voting power of the resulting entity in substantially the same proportions). A “corporate transaction” generally means (i) a sale or other disposition of all or substantially all of the assets of the Company, or (ii) a merger, consolidation, share exchange or similar transaction involving the Company.</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E2A35"/>
        </w:rPr>
        <w:t>The CIC Agreements also include a “net best” provision providing that the amount of any severance payments and benefits that the NEO otherwise would be entitled to receive would be reduced to the extent necessary to avoid the excise tax under the Code, but only if such reduction would result in the executive retaining a greater amount of such payments and benefits on an after-tax basis than had no reduction been made. The calculations in the table below do not reflect any reduction that may apply as a result of this provision.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Annual Incentive Plan Payments</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0E2A35"/>
        </w:rPr>
        <w:t>A participant must be employed by the Company as of the bonus payment date to be eligible for annual incentive payments, except for a change in control as described below or as otherwise determined by the committee in its discretion upon retirement, disability and death.</w:t>
      </w:r>
    </w:p>
    <w:p>
      <w:pPr>
        <w:spacing w:after="0" w:line="15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In the event of a change in control (as defined in the applicable OICP), participants are entitled to receive payouts of awards within 15 days of the effective date of the change in control in an amount equal to the greater of the actual level of performance (if determinable) and target if the participant's employment is terminated and the award is not assumed by the successor or is otherwise discontinued.</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2014 and 2019 Incentive Compensation Plan Payments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Long-Term Incentive Program and Performance Share Units</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0E2A35"/>
        </w:rPr>
        <w:t>A participant must be employed by the Company at the end of the three-year fiscal period to be eligible for any long-term incentive award, except in cases of: death and termination due to disability (which, in each case would result in a payment at target or, in the discretion of the committee, based on actual results), or a change in control, as described below, or as waived by the committee. In addition, for awards granted in fiscal 2022 and later, if, due to retirement (as defined in the applicable plan or award agreement), a participant’s employment terminates at least 12 months after the grant date but before the end of the performance period, the participant’s award will remain outstanding and eligible to vest based on actual performance results, as if her or she had not retired.</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6"/>
          <w:szCs w:val="16"/>
          <w:color w:val="0E2A35"/>
        </w:rPr>
        <w:t>In the event of a change of control (as defined in the plan or other agreement), the performance goals under a long-term incentive award will be deemed to be achieved at the greater of the target or actual level of performance (if determinable) and will continue to vest over the service period of the award. In the event of the participant's involuntary termination of employment for reasons other than Cause (as defined in the applicable plan or agreement) or if the committee so provides, the participant’s termination of employment for Good Reason (as defined in an applicable agreement), in either cause, within 24 months following a change in control, the award will vest in full.</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Restricted Stock Units</w:t>
      </w:r>
    </w:p>
    <w:p>
      <w:pPr>
        <w:spacing w:after="0" w:line="189"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0E2A35"/>
        </w:rPr>
        <w:t>Pursuant to award agreements entered into by each NEO, unvested awards of restricted stock units will immediately vest to NEOs if the NEO's termination of employment is due to his or her death or disability (as defined in the applicable plan) or, beginning in fiscal 2022 and later, his or her retirement (as defined in the applicable plan); provided such retirement occurs at least 12 months after the grant date.</w:t>
      </w:r>
    </w:p>
    <w:p>
      <w:pPr>
        <w:spacing w:after="0" w:line="14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0E2A35"/>
        </w:rPr>
        <w:t>In addition, any unvested restricted stock units vest upon the occurrence of a participant’s involuntary termination following a change in control (as defined in the applicable plan or award agreement) for reasons other than Cause (as defined in the applicable plan or award agreement) or participant’s termination of employment for Good Reason (as defined in the applicable plan or award agreement), in either case, within 24 months following a change in control. In all other circumstances, in the event that a NEO ceases to be employed by the Company or any subsidiary, any unvested awards held by such grantee will terminate and thereafter be null and void.</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Stock Options</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0E2A35"/>
        </w:rPr>
        <w:t>Pursuant to the stock option agreements entered into by certain of our NEOs, unvested options awarded beginning in fiscal 2019 under the 2014 Plan or the 2019 Plan, as applicable, vest after a participant's involuntary termination for reasons other than Cause (as defined in the applicable plan or award agreement) or participant’s termination of employment for Good Reason (as defined in the applicable plan or award agreement), in either cause, within 24 months following a change in control (as defined in the applicable plan or award agreement). In the event that a NEO ceases to be employed by the Company, stock options held by such NEO will vest as follows:</w:t>
      </w:r>
    </w:p>
    <w:p>
      <w:pPr>
        <w:spacing w:after="0" w:line="150" w:lineRule="exact"/>
        <w:rPr>
          <w:sz w:val="20"/>
          <w:szCs w:val="20"/>
          <w:color w:val="auto"/>
        </w:rPr>
      </w:pPr>
    </w:p>
    <w:p>
      <w:pPr>
        <w:ind w:left="720" w:right="220" w:hanging="360"/>
        <w:spacing w:after="0" w:line="276" w:lineRule="auto"/>
        <w:tabs>
          <w:tab w:leader="none" w:pos="720" w:val="left"/>
        </w:tabs>
        <w:numPr>
          <w:ilvl w:val="0"/>
          <w:numId w:val="52"/>
        </w:numPr>
        <w:rPr>
          <w:rFonts w:ascii="Arial" w:cs="Arial" w:eastAsia="Arial" w:hAnsi="Arial"/>
          <w:sz w:val="16"/>
          <w:szCs w:val="16"/>
          <w:color w:val="C7D265"/>
        </w:rPr>
      </w:pPr>
      <w:r>
        <w:rPr>
          <w:rFonts w:ascii="Arial" w:cs="Arial" w:eastAsia="Arial" w:hAnsi="Arial"/>
          <w:sz w:val="16"/>
          <w:szCs w:val="16"/>
          <w:color w:val="0E2A35"/>
        </w:rPr>
        <w:t>if the NEO's termination of employment is due to his or her death or disability, the stock options become vested in full and immediately exercisable for a period of one year after termination;</w:t>
      </w:r>
    </w:p>
    <w:p>
      <w:pPr>
        <w:spacing w:after="0" w:line="130" w:lineRule="exact"/>
        <w:rPr>
          <w:rFonts w:ascii="Arial" w:cs="Arial" w:eastAsia="Arial" w:hAnsi="Arial"/>
          <w:sz w:val="16"/>
          <w:szCs w:val="16"/>
          <w:color w:val="C7D265"/>
        </w:rPr>
      </w:pPr>
    </w:p>
    <w:p>
      <w:pPr>
        <w:ind w:left="720" w:hanging="360"/>
        <w:spacing w:after="0" w:line="256" w:lineRule="auto"/>
        <w:tabs>
          <w:tab w:leader="none" w:pos="720" w:val="left"/>
        </w:tabs>
        <w:numPr>
          <w:ilvl w:val="0"/>
          <w:numId w:val="52"/>
        </w:numPr>
        <w:rPr>
          <w:rFonts w:ascii="Arial" w:cs="Arial" w:eastAsia="Arial" w:hAnsi="Arial"/>
          <w:sz w:val="16"/>
          <w:szCs w:val="16"/>
          <w:color w:val="C7D265"/>
        </w:rPr>
      </w:pPr>
      <w:r>
        <w:rPr>
          <w:rFonts w:ascii="Arial" w:cs="Arial" w:eastAsia="Arial" w:hAnsi="Arial"/>
          <w:sz w:val="16"/>
          <w:szCs w:val="16"/>
          <w:color w:val="0E2A35"/>
        </w:rPr>
        <w:t>if the NEO's termination of employment is due to his or her death, the options will become vested in full and immediately exercisable by the NEO's estate or legal representative for a period of 10 years after any stock option grant date for non-qualified stock options (or in the case of options granted beginning fiscal 2019 or thereafter, for a period of one year after death); and</w:t>
      </w:r>
    </w:p>
    <w:p>
      <w:pPr>
        <w:spacing w:after="0" w:line="159" w:lineRule="exact"/>
        <w:rPr>
          <w:rFonts w:ascii="Arial" w:cs="Arial" w:eastAsia="Arial" w:hAnsi="Arial"/>
          <w:sz w:val="16"/>
          <w:szCs w:val="16"/>
          <w:color w:val="C7D265"/>
        </w:rPr>
      </w:pPr>
    </w:p>
    <w:p>
      <w:pPr>
        <w:ind w:left="720" w:right="40" w:hanging="360"/>
        <w:spacing w:after="0" w:line="256" w:lineRule="auto"/>
        <w:tabs>
          <w:tab w:leader="none" w:pos="720" w:val="left"/>
        </w:tabs>
        <w:numPr>
          <w:ilvl w:val="0"/>
          <w:numId w:val="52"/>
        </w:numPr>
        <w:rPr>
          <w:rFonts w:ascii="Arial" w:cs="Arial" w:eastAsia="Arial" w:hAnsi="Arial"/>
          <w:sz w:val="16"/>
          <w:szCs w:val="16"/>
          <w:color w:val="C7D265"/>
        </w:rPr>
      </w:pPr>
      <w:r>
        <w:rPr>
          <w:rFonts w:ascii="Arial" w:cs="Arial" w:eastAsia="Arial" w:hAnsi="Arial"/>
          <w:sz w:val="16"/>
          <w:szCs w:val="16"/>
          <w:color w:val="0E2A35"/>
        </w:rPr>
        <w:t>in the case of options granted beginning fiscal 2022 or after, if the NEO’s termination of employment is due to his or her retirement (as defined in the applicable plan or award agreement) and such retirement occurs at least 12 months after the grant date, the options will become vested in full and immediately exercisable by the NEO for a period of one year after retirement.</w:t>
      </w:r>
    </w:p>
    <w:p>
      <w:pPr>
        <w:spacing w:after="0" w:line="14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0E2A35"/>
        </w:rPr>
        <w:t>In the event that a NEO ceases to be employed by the Company other than because of a change in control, disability, death or retirement, any outstanding stock options held by the NEO which have not vested as of the date of termination of employment will terminate.</w:t>
      </w:r>
    </w:p>
    <w:p>
      <w:pPr>
        <w:spacing w:after="0" w:line="14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0E2A35"/>
        </w:rPr>
        <w:t>In the case of each award type above, if the award is not assumed or replaced in a change of control, the award will vest in full (in the case of any performance-based award, the award will vest as to a pro-rata portion of the greater of the actual level of performance (if determinable) or target.</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ind w:right="260"/>
        <w:spacing w:after="0" w:line="292" w:lineRule="auto"/>
        <w:rPr>
          <w:sz w:val="20"/>
          <w:szCs w:val="20"/>
          <w:color w:val="auto"/>
        </w:rPr>
      </w:pPr>
      <w:r>
        <w:rPr>
          <w:rFonts w:ascii="Arial" w:cs="Arial" w:eastAsia="Arial" w:hAnsi="Arial"/>
          <w:sz w:val="27"/>
          <w:szCs w:val="27"/>
          <w:b w:val="1"/>
          <w:bCs w:val="1"/>
          <w:color w:val="0E2A35"/>
        </w:rPr>
        <w:t>Estimated Change in Control or Termination Payments and Benefits at the End of Fiscal 2023</w:t>
      </w:r>
    </w:p>
    <w:p>
      <w:pPr>
        <w:spacing w:after="0" w:line="6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0E2A35"/>
        </w:rPr>
        <w:t>The following table reflects the payments and benefits payable to each of the NEOs in the event of a termination of the executive's employment under several different circumstances. The amounts shown assume that termination was effective as of August 26, 2023, at the executive's compensation and service levels as of that date and are estimates of the amounts that would be payable to the NEOs in each scenario. The amounts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the amounts paid on termination of employment, among others, include the timing of event, compensation level, the market price of the Company's common stock and the executive's age.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40" w:type="dxa"/>
            <w:vAlign w:val="bottom"/>
            <w:shd w:val="clear" w:color="auto" w:fill="0E2A35"/>
          </w:tcPr>
          <w:p>
            <w:pPr>
              <w:spacing w:after="0"/>
              <w:rPr>
                <w:sz w:val="19"/>
                <w:szCs w:val="19"/>
                <w:color w:val="auto"/>
              </w:rPr>
            </w:pPr>
          </w:p>
        </w:tc>
        <w:tc>
          <w:tcPr>
            <w:tcW w:w="1240" w:type="dxa"/>
            <w:vAlign w:val="bottom"/>
            <w:shd w:val="clear" w:color="auto" w:fill="0E2A35"/>
          </w:tcPr>
          <w:p>
            <w:pPr>
              <w:spacing w:after="0"/>
              <w:rPr>
                <w:sz w:val="19"/>
                <w:szCs w:val="19"/>
                <w:color w:val="auto"/>
              </w:rPr>
            </w:pP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Annual or</w:t>
            </w:r>
          </w:p>
        </w:tc>
        <w:tc>
          <w:tcPr>
            <w:tcW w:w="118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LTIP /</w:t>
            </w:r>
          </w:p>
        </w:tc>
        <w:tc>
          <w:tcPr>
            <w:tcW w:w="1240" w:type="dxa"/>
            <w:vAlign w:val="bottom"/>
            <w:gridSpan w:val="2"/>
            <w:shd w:val="clear" w:color="auto" w:fill="0E2A35"/>
          </w:tcPr>
          <w:p>
            <w:pPr>
              <w:ind w:left="300"/>
              <w:spacing w:after="0"/>
              <w:rPr>
                <w:sz w:val="20"/>
                <w:szCs w:val="20"/>
                <w:color w:val="auto"/>
              </w:rPr>
            </w:pPr>
            <w:r>
              <w:rPr>
                <w:rFonts w:ascii="Arial" w:cs="Arial" w:eastAsia="Arial" w:hAnsi="Arial"/>
                <w:sz w:val="13"/>
                <w:szCs w:val="13"/>
                <w:b w:val="1"/>
                <w:bCs w:val="1"/>
                <w:color w:val="FFFFFF"/>
              </w:rPr>
              <w:t>Restricted</w:t>
            </w:r>
          </w:p>
        </w:tc>
        <w:tc>
          <w:tcPr>
            <w:tcW w:w="1120" w:type="dxa"/>
            <w:vAlign w:val="bottom"/>
            <w:shd w:val="clear" w:color="auto" w:fill="0E2A35"/>
          </w:tcPr>
          <w:p>
            <w:pPr>
              <w:jc w:val="center"/>
              <w:ind w:left="70"/>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3340" w:type="dxa"/>
            <w:vAlign w:val="bottom"/>
            <w:shd w:val="clear" w:color="auto" w:fill="0E2A35"/>
          </w:tcPr>
          <w:p>
            <w:pPr>
              <w:spacing w:after="0"/>
              <w:rPr>
                <w:sz w:val="11"/>
                <w:szCs w:val="11"/>
                <w:color w:val="auto"/>
              </w:rPr>
            </w:pPr>
          </w:p>
        </w:tc>
        <w:tc>
          <w:tcPr>
            <w:tcW w:w="1240" w:type="dxa"/>
            <w:vAlign w:val="bottom"/>
            <w:shd w:val="clear" w:color="auto" w:fill="0E2A35"/>
          </w:tcPr>
          <w:p>
            <w:pPr>
              <w:spacing w:after="0"/>
              <w:rPr>
                <w:sz w:val="11"/>
                <w:szCs w:val="11"/>
                <w:color w:val="auto"/>
              </w:rPr>
            </w:pPr>
          </w:p>
        </w:tc>
        <w:tc>
          <w:tcPr>
            <w:tcW w:w="11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Management</w:t>
            </w:r>
          </w:p>
        </w:tc>
        <w:tc>
          <w:tcPr>
            <w:tcW w:w="1180" w:type="dxa"/>
            <w:vAlign w:val="bottom"/>
            <w:vMerge w:val="continue"/>
            <w:shd w:val="clear" w:color="auto" w:fill="0E2A35"/>
          </w:tcPr>
          <w:p>
            <w:pPr>
              <w:spacing w:after="0"/>
              <w:rPr>
                <w:sz w:val="11"/>
                <w:szCs w:val="11"/>
                <w:color w:val="auto"/>
              </w:rPr>
            </w:pPr>
          </w:p>
        </w:tc>
        <w:tc>
          <w:tcPr>
            <w:tcW w:w="380" w:type="dxa"/>
            <w:vAlign w:val="bottom"/>
            <w:shd w:val="clear" w:color="auto" w:fill="0E2A35"/>
          </w:tcPr>
          <w:p>
            <w:pPr>
              <w:spacing w:after="0"/>
              <w:rPr>
                <w:sz w:val="11"/>
                <w:szCs w:val="11"/>
                <w:color w:val="auto"/>
              </w:rPr>
            </w:pPr>
          </w:p>
        </w:tc>
        <w:tc>
          <w:tcPr>
            <w:tcW w:w="860" w:type="dxa"/>
            <w:vAlign w:val="bottom"/>
            <w:shd w:val="clear" w:color="auto" w:fill="0E2A35"/>
          </w:tcPr>
          <w:p>
            <w:pPr>
              <w:jc w:val="center"/>
              <w:ind w:right="329"/>
              <w:spacing w:after="0" w:line="135" w:lineRule="exact"/>
              <w:rPr>
                <w:sz w:val="20"/>
                <w:szCs w:val="20"/>
                <w:color w:val="auto"/>
              </w:rPr>
            </w:pPr>
            <w:r>
              <w:rPr>
                <w:rFonts w:ascii="Arial" w:cs="Arial" w:eastAsia="Arial" w:hAnsi="Arial"/>
                <w:sz w:val="13"/>
                <w:szCs w:val="13"/>
                <w:b w:val="1"/>
                <w:bCs w:val="1"/>
                <w:color w:val="FFFFFF"/>
                <w:w w:val="95"/>
              </w:rPr>
              <w:t>Stock-</w:t>
            </w:r>
          </w:p>
        </w:tc>
        <w:tc>
          <w:tcPr>
            <w:tcW w:w="1120" w:type="dxa"/>
            <w:vAlign w:val="bottom"/>
            <w:shd w:val="clear" w:color="auto" w:fill="0E2A35"/>
          </w:tcPr>
          <w:p>
            <w:pPr>
              <w:jc w:val="center"/>
              <w:ind w:left="50"/>
              <w:spacing w:after="0" w:line="135" w:lineRule="exact"/>
              <w:rPr>
                <w:sz w:val="20"/>
                <w:szCs w:val="20"/>
                <w:color w:val="auto"/>
              </w:rPr>
            </w:pPr>
            <w:r>
              <w:rPr>
                <w:rFonts w:ascii="Arial" w:cs="Arial" w:eastAsia="Arial" w:hAnsi="Arial"/>
                <w:sz w:val="13"/>
                <w:szCs w:val="13"/>
                <w:b w:val="1"/>
                <w:bCs w:val="1"/>
                <w:color w:val="FFFFFF"/>
                <w:w w:val="97"/>
              </w:rPr>
              <w:t>Options-</w:t>
            </w:r>
          </w:p>
        </w:tc>
        <w:tc>
          <w:tcPr>
            <w:tcW w:w="0" w:type="dxa"/>
            <w:vAlign w:val="bottom"/>
          </w:tcPr>
          <w:p>
            <w:pPr>
              <w:spacing w:after="0"/>
              <w:rPr>
                <w:sz w:val="1"/>
                <w:szCs w:val="1"/>
                <w:color w:val="auto"/>
              </w:rPr>
            </w:pPr>
          </w:p>
        </w:tc>
      </w:tr>
      <w:tr>
        <w:trPr>
          <w:trHeight w:val="145"/>
        </w:trPr>
        <w:tc>
          <w:tcPr>
            <w:tcW w:w="3340" w:type="dxa"/>
            <w:vAlign w:val="bottom"/>
            <w:shd w:val="clear" w:color="auto" w:fill="0E2A35"/>
          </w:tcPr>
          <w:p>
            <w:pPr>
              <w:spacing w:after="0"/>
              <w:rPr>
                <w:sz w:val="12"/>
                <w:szCs w:val="12"/>
                <w:color w:val="auto"/>
              </w:rPr>
            </w:pPr>
          </w:p>
        </w:tc>
        <w:tc>
          <w:tcPr>
            <w:tcW w:w="1240" w:type="dxa"/>
            <w:vAlign w:val="bottom"/>
            <w:shd w:val="clear" w:color="auto" w:fill="0E2A35"/>
          </w:tcPr>
          <w:p>
            <w:pPr>
              <w:spacing w:after="0"/>
              <w:rPr>
                <w:sz w:val="12"/>
                <w:szCs w:val="12"/>
                <w:color w:val="auto"/>
              </w:rPr>
            </w:pPr>
          </w:p>
        </w:tc>
        <w:tc>
          <w:tcPr>
            <w:tcW w:w="1160" w:type="dxa"/>
            <w:vAlign w:val="bottom"/>
            <w:shd w:val="clear" w:color="auto" w:fill="0E2A35"/>
          </w:tcPr>
          <w:p>
            <w:pPr>
              <w:jc w:val="center"/>
              <w:spacing w:after="0" w:line="145" w:lineRule="exact"/>
              <w:rPr>
                <w:sz w:val="20"/>
                <w:szCs w:val="20"/>
                <w:color w:val="auto"/>
              </w:rPr>
            </w:pPr>
            <w:r>
              <w:rPr>
                <w:rFonts w:ascii="Arial" w:cs="Arial" w:eastAsia="Arial" w:hAnsi="Arial"/>
                <w:sz w:val="13"/>
                <w:szCs w:val="13"/>
                <w:b w:val="1"/>
                <w:bCs w:val="1"/>
                <w:color w:val="FFFFFF"/>
                <w:w w:val="95"/>
              </w:rPr>
              <w:t>Incentive</w:t>
            </w:r>
          </w:p>
        </w:tc>
        <w:tc>
          <w:tcPr>
            <w:tcW w:w="1180" w:type="dxa"/>
            <w:vAlign w:val="bottom"/>
            <w:shd w:val="clear" w:color="auto" w:fill="0E2A35"/>
          </w:tcPr>
          <w:p>
            <w:pPr>
              <w:jc w:val="center"/>
              <w:spacing w:after="0" w:line="145" w:lineRule="exact"/>
              <w:rPr>
                <w:sz w:val="20"/>
                <w:szCs w:val="20"/>
                <w:color w:val="auto"/>
              </w:rPr>
            </w:pPr>
            <w:r>
              <w:rPr>
                <w:rFonts w:ascii="Arial" w:cs="Arial" w:eastAsia="Arial" w:hAnsi="Arial"/>
                <w:sz w:val="13"/>
                <w:szCs w:val="13"/>
                <w:b w:val="1"/>
                <w:bCs w:val="1"/>
                <w:color w:val="FFFFFF"/>
                <w:w w:val="98"/>
              </w:rPr>
              <w:t>Performance</w:t>
            </w:r>
          </w:p>
        </w:tc>
        <w:tc>
          <w:tcPr>
            <w:tcW w:w="1240" w:type="dxa"/>
            <w:vAlign w:val="bottom"/>
            <w:gridSpan w:val="2"/>
            <w:shd w:val="clear" w:color="auto" w:fill="0E2A35"/>
          </w:tcPr>
          <w:p>
            <w:pPr>
              <w:jc w:val="center"/>
              <w:spacing w:after="0" w:line="145" w:lineRule="exact"/>
              <w:rPr>
                <w:sz w:val="20"/>
                <w:szCs w:val="20"/>
                <w:color w:val="auto"/>
              </w:rPr>
            </w:pPr>
            <w:r>
              <w:rPr>
                <w:rFonts w:ascii="Arial" w:cs="Arial" w:eastAsia="Arial" w:hAnsi="Arial"/>
                <w:sz w:val="13"/>
                <w:szCs w:val="13"/>
                <w:b w:val="1"/>
                <w:bCs w:val="1"/>
                <w:color w:val="FFFFFF"/>
                <w:w w:val="96"/>
              </w:rPr>
              <w:t>Unvested and</w:t>
            </w:r>
          </w:p>
        </w:tc>
        <w:tc>
          <w:tcPr>
            <w:tcW w:w="1120" w:type="dxa"/>
            <w:vAlign w:val="bottom"/>
            <w:shd w:val="clear" w:color="auto" w:fill="0E2A35"/>
          </w:tcPr>
          <w:p>
            <w:pPr>
              <w:jc w:val="center"/>
              <w:ind w:left="70"/>
              <w:spacing w:after="0" w:line="145" w:lineRule="exact"/>
              <w:rPr>
                <w:sz w:val="20"/>
                <w:szCs w:val="20"/>
                <w:color w:val="auto"/>
              </w:rPr>
            </w:pPr>
            <w:r>
              <w:rPr>
                <w:rFonts w:ascii="Arial" w:cs="Arial" w:eastAsia="Arial" w:hAnsi="Arial"/>
                <w:sz w:val="13"/>
                <w:szCs w:val="13"/>
                <w:b w:val="1"/>
                <w:bCs w:val="1"/>
                <w:color w:val="FFFFFF"/>
                <w:w w:val="96"/>
              </w:rPr>
              <w:t>Unvested and</w:t>
            </w:r>
          </w:p>
        </w:tc>
        <w:tc>
          <w:tcPr>
            <w:tcW w:w="0" w:type="dxa"/>
            <w:vAlign w:val="bottom"/>
          </w:tcPr>
          <w:p>
            <w:pPr>
              <w:spacing w:after="0"/>
              <w:rPr>
                <w:sz w:val="1"/>
                <w:szCs w:val="1"/>
                <w:color w:val="auto"/>
              </w:rPr>
            </w:pPr>
          </w:p>
        </w:tc>
      </w:tr>
      <w:tr>
        <w:trPr>
          <w:trHeight w:val="166"/>
        </w:trPr>
        <w:tc>
          <w:tcPr>
            <w:tcW w:w="334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240" w:type="dxa"/>
            <w:vAlign w:val="bottom"/>
            <w:shd w:val="clear" w:color="auto" w:fill="0E2A35"/>
          </w:tcPr>
          <w:p>
            <w:pPr>
              <w:jc w:val="right"/>
              <w:ind w:right="109"/>
              <w:spacing w:after="0" w:line="166" w:lineRule="exact"/>
              <w:rPr>
                <w:sz w:val="20"/>
                <w:szCs w:val="20"/>
                <w:color w:val="auto"/>
              </w:rPr>
            </w:pPr>
            <w:r>
              <w:rPr>
                <w:rFonts w:ascii="Arial" w:cs="Arial" w:eastAsia="Arial" w:hAnsi="Arial"/>
                <w:sz w:val="12"/>
                <w:szCs w:val="12"/>
                <w:b w:val="1"/>
                <w:bCs w:val="1"/>
                <w:color w:val="FFFFFF"/>
              </w:rPr>
              <w:t>Severance</w:t>
            </w:r>
            <w:r>
              <w:rPr>
                <w:rFonts w:ascii="Arial" w:cs="Arial" w:eastAsia="Arial" w:hAnsi="Arial"/>
                <w:sz w:val="19"/>
                <w:szCs w:val="19"/>
                <w:b w:val="1"/>
                <w:bCs w:val="1"/>
                <w:color w:val="FFFFFF"/>
                <w:vertAlign w:val="superscript"/>
              </w:rPr>
              <w:t>(1)</w:t>
            </w:r>
          </w:p>
        </w:tc>
        <w:tc>
          <w:tcPr>
            <w:tcW w:w="1160" w:type="dxa"/>
            <w:vAlign w:val="bottom"/>
            <w:shd w:val="clear" w:color="auto" w:fill="0E2A35"/>
          </w:tcPr>
          <w:p>
            <w:pPr>
              <w:jc w:val="center"/>
              <w:spacing w:after="0" w:line="166" w:lineRule="exact"/>
              <w:rPr>
                <w:sz w:val="20"/>
                <w:szCs w:val="20"/>
                <w:color w:val="auto"/>
              </w:rPr>
            </w:pPr>
            <w:r>
              <w:rPr>
                <w:rFonts w:ascii="Arial" w:cs="Arial" w:eastAsia="Arial" w:hAnsi="Arial"/>
                <w:sz w:val="12"/>
                <w:szCs w:val="12"/>
                <w:b w:val="1"/>
                <w:bCs w:val="1"/>
                <w:color w:val="FFFFFF"/>
                <w:w w:val="97"/>
              </w:rPr>
              <w:t>Plan</w:t>
            </w:r>
            <w:r>
              <w:rPr>
                <w:rFonts w:ascii="Arial" w:cs="Arial" w:eastAsia="Arial" w:hAnsi="Arial"/>
                <w:sz w:val="19"/>
                <w:szCs w:val="19"/>
                <w:b w:val="1"/>
                <w:bCs w:val="1"/>
                <w:color w:val="FFFFFF"/>
                <w:w w:val="97"/>
                <w:vertAlign w:val="superscript"/>
              </w:rPr>
              <w:t>(2)</w:t>
            </w:r>
          </w:p>
        </w:tc>
        <w:tc>
          <w:tcPr>
            <w:tcW w:w="1180" w:type="dxa"/>
            <w:vAlign w:val="bottom"/>
            <w:shd w:val="clear" w:color="auto" w:fill="0E2A35"/>
          </w:tcPr>
          <w:p>
            <w:pPr>
              <w:jc w:val="center"/>
              <w:spacing w:after="0" w:line="166" w:lineRule="exact"/>
              <w:rPr>
                <w:sz w:val="20"/>
                <w:szCs w:val="20"/>
                <w:color w:val="auto"/>
              </w:rPr>
            </w:pPr>
            <w:r>
              <w:rPr>
                <w:rFonts w:ascii="Arial" w:cs="Arial" w:eastAsia="Arial" w:hAnsi="Arial"/>
                <w:sz w:val="12"/>
                <w:szCs w:val="12"/>
                <w:b w:val="1"/>
                <w:bCs w:val="1"/>
                <w:color w:val="FFFFFF"/>
                <w:w w:val="97"/>
              </w:rPr>
              <w:t>Shares</w:t>
            </w:r>
            <w:r>
              <w:rPr>
                <w:rFonts w:ascii="Arial" w:cs="Arial" w:eastAsia="Arial" w:hAnsi="Arial"/>
                <w:sz w:val="19"/>
                <w:szCs w:val="19"/>
                <w:b w:val="1"/>
                <w:bCs w:val="1"/>
                <w:color w:val="FFFFFF"/>
                <w:w w:val="97"/>
                <w:vertAlign w:val="superscript"/>
              </w:rPr>
              <w:t>(3)</w:t>
            </w:r>
          </w:p>
        </w:tc>
        <w:tc>
          <w:tcPr>
            <w:tcW w:w="1240" w:type="dxa"/>
            <w:vAlign w:val="bottom"/>
            <w:gridSpan w:val="2"/>
            <w:shd w:val="clear" w:color="auto" w:fill="0E2A35"/>
          </w:tcPr>
          <w:p>
            <w:pPr>
              <w:jc w:val="center"/>
              <w:spacing w:after="0" w:line="166"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(4)</w:t>
            </w:r>
          </w:p>
        </w:tc>
        <w:tc>
          <w:tcPr>
            <w:tcW w:w="1120" w:type="dxa"/>
            <w:vAlign w:val="bottom"/>
            <w:shd w:val="clear" w:color="auto" w:fill="0E2A35"/>
          </w:tcPr>
          <w:p>
            <w:pPr>
              <w:jc w:val="center"/>
              <w:ind w:left="50"/>
              <w:spacing w:after="0" w:line="166"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(5)</w:t>
            </w:r>
          </w:p>
        </w:tc>
        <w:tc>
          <w:tcPr>
            <w:tcW w:w="0" w:type="dxa"/>
            <w:vAlign w:val="bottom"/>
          </w:tcPr>
          <w:p>
            <w:pPr>
              <w:spacing w:after="0"/>
              <w:rPr>
                <w:sz w:val="1"/>
                <w:szCs w:val="1"/>
                <w:color w:val="auto"/>
              </w:rPr>
            </w:pPr>
          </w:p>
        </w:tc>
      </w:tr>
      <w:tr>
        <w:trPr>
          <w:trHeight w:val="176"/>
        </w:trPr>
        <w:tc>
          <w:tcPr>
            <w:tcW w:w="3340" w:type="dxa"/>
            <w:vAlign w:val="bottom"/>
            <w:vMerge w:val="continue"/>
            <w:shd w:val="clear" w:color="auto" w:fill="0E2A35"/>
          </w:tcPr>
          <w:p>
            <w:pPr>
              <w:spacing w:after="0"/>
              <w:rPr>
                <w:sz w:val="15"/>
                <w:szCs w:val="15"/>
                <w:color w:val="auto"/>
              </w:rPr>
            </w:pPr>
          </w:p>
        </w:tc>
        <w:tc>
          <w:tcPr>
            <w:tcW w:w="1240" w:type="dxa"/>
            <w:vAlign w:val="bottom"/>
            <w:shd w:val="clear" w:color="auto" w:fill="0E2A35"/>
          </w:tcPr>
          <w:p>
            <w:pPr>
              <w:jc w:val="right"/>
              <w:ind w:right="409"/>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1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380" w:type="dxa"/>
            <w:vAlign w:val="bottom"/>
            <w:shd w:val="clear" w:color="auto" w:fill="0E2A35"/>
          </w:tcPr>
          <w:p>
            <w:pPr>
              <w:spacing w:after="0"/>
              <w:rPr>
                <w:sz w:val="15"/>
                <w:szCs w:val="15"/>
                <w:color w:val="auto"/>
              </w:rPr>
            </w:pPr>
          </w:p>
        </w:tc>
        <w:tc>
          <w:tcPr>
            <w:tcW w:w="860" w:type="dxa"/>
            <w:vAlign w:val="bottom"/>
            <w:shd w:val="clear" w:color="auto" w:fill="0E2A35"/>
          </w:tcPr>
          <w:p>
            <w:pPr>
              <w:jc w:val="center"/>
              <w:ind w:right="309"/>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0E2A35"/>
          </w:tcPr>
          <w:p>
            <w:pPr>
              <w:jc w:val="center"/>
              <w:ind w:left="9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89"/>
        </w:trPr>
        <w:tc>
          <w:tcPr>
            <w:tcW w:w="3340" w:type="dxa"/>
            <w:vAlign w:val="bottom"/>
            <w:shd w:val="clear" w:color="auto" w:fill="0E2A35"/>
          </w:tcPr>
          <w:p>
            <w:pPr>
              <w:spacing w:after="0"/>
              <w:rPr>
                <w:sz w:val="7"/>
                <w:szCs w:val="7"/>
                <w:color w:val="auto"/>
              </w:rPr>
            </w:pPr>
          </w:p>
        </w:tc>
        <w:tc>
          <w:tcPr>
            <w:tcW w:w="1240" w:type="dxa"/>
            <w:vAlign w:val="bottom"/>
            <w:shd w:val="clear" w:color="auto" w:fill="0E2A35"/>
          </w:tcPr>
          <w:p>
            <w:pPr>
              <w:spacing w:after="0"/>
              <w:rPr>
                <w:sz w:val="7"/>
                <w:szCs w:val="7"/>
                <w:color w:val="auto"/>
              </w:rPr>
            </w:pPr>
          </w:p>
        </w:tc>
        <w:tc>
          <w:tcPr>
            <w:tcW w:w="1160" w:type="dxa"/>
            <w:vAlign w:val="bottom"/>
            <w:shd w:val="clear" w:color="auto" w:fill="0E2A35"/>
          </w:tcPr>
          <w:p>
            <w:pPr>
              <w:spacing w:after="0"/>
              <w:rPr>
                <w:sz w:val="7"/>
                <w:szCs w:val="7"/>
                <w:color w:val="auto"/>
              </w:rPr>
            </w:pPr>
          </w:p>
        </w:tc>
        <w:tc>
          <w:tcPr>
            <w:tcW w:w="1180" w:type="dxa"/>
            <w:vAlign w:val="bottom"/>
            <w:shd w:val="clear" w:color="auto" w:fill="0E2A35"/>
          </w:tcPr>
          <w:p>
            <w:pPr>
              <w:spacing w:after="0"/>
              <w:rPr>
                <w:sz w:val="7"/>
                <w:szCs w:val="7"/>
                <w:color w:val="auto"/>
              </w:rPr>
            </w:pPr>
          </w:p>
        </w:tc>
        <w:tc>
          <w:tcPr>
            <w:tcW w:w="380" w:type="dxa"/>
            <w:vAlign w:val="bottom"/>
            <w:shd w:val="clear" w:color="auto" w:fill="0E2A35"/>
          </w:tcPr>
          <w:p>
            <w:pPr>
              <w:spacing w:after="0"/>
              <w:rPr>
                <w:sz w:val="7"/>
                <w:szCs w:val="7"/>
                <w:color w:val="auto"/>
              </w:rPr>
            </w:pPr>
          </w:p>
        </w:tc>
        <w:tc>
          <w:tcPr>
            <w:tcW w:w="860" w:type="dxa"/>
            <w:vAlign w:val="bottom"/>
            <w:shd w:val="clear" w:color="auto" w:fill="0E2A35"/>
          </w:tcPr>
          <w:p>
            <w:pPr>
              <w:spacing w:after="0"/>
              <w:rPr>
                <w:sz w:val="7"/>
                <w:szCs w:val="7"/>
                <w:color w:val="auto"/>
              </w:rPr>
            </w:pPr>
          </w:p>
        </w:tc>
        <w:tc>
          <w:tcPr>
            <w:tcW w:w="112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3340" w:type="dxa"/>
            <w:vAlign w:val="bottom"/>
            <w:shd w:val="clear" w:color="auto" w:fill="C9D4D8"/>
          </w:tcPr>
          <w:p>
            <w:pPr>
              <w:ind w:left="60"/>
              <w:spacing w:after="0"/>
              <w:rPr>
                <w:sz w:val="20"/>
                <w:szCs w:val="20"/>
                <w:color w:val="auto"/>
              </w:rPr>
            </w:pPr>
            <w:r>
              <w:rPr>
                <w:rFonts w:ascii="Arial" w:cs="Arial" w:eastAsia="Arial" w:hAnsi="Arial"/>
                <w:sz w:val="14"/>
                <w:szCs w:val="14"/>
                <w:b w:val="1"/>
                <w:bCs w:val="1"/>
                <w:color w:val="0E2A35"/>
              </w:rPr>
              <w:t>Michael J. Happe</w:t>
            </w:r>
          </w:p>
        </w:tc>
        <w:tc>
          <w:tcPr>
            <w:tcW w:w="1240" w:type="dxa"/>
            <w:vAlign w:val="bottom"/>
            <w:shd w:val="clear" w:color="auto" w:fill="C9D4D8"/>
          </w:tcPr>
          <w:p>
            <w:pPr>
              <w:jc w:val="right"/>
              <w:ind w:right="109"/>
              <w:spacing w:after="0"/>
              <w:rPr>
                <w:sz w:val="20"/>
                <w:szCs w:val="20"/>
                <w:color w:val="auto"/>
              </w:rPr>
            </w:pPr>
            <w:r>
              <w:rPr>
                <w:rFonts w:ascii="Arial" w:cs="Arial" w:eastAsia="Arial" w:hAnsi="Arial"/>
                <w:sz w:val="14"/>
                <w:szCs w:val="14"/>
                <w:color w:val="0E2A35"/>
              </w:rPr>
              <w:t>​</w:t>
            </w:r>
          </w:p>
        </w:tc>
        <w:tc>
          <w:tcPr>
            <w:tcW w:w="1160" w:type="dxa"/>
            <w:vAlign w:val="bottom"/>
            <w:shd w:val="clear" w:color="auto" w:fill="C9D4D8"/>
          </w:tcPr>
          <w:p>
            <w:pPr>
              <w:jc w:val="right"/>
              <w:ind w:right="190"/>
              <w:spacing w:after="0"/>
              <w:rPr>
                <w:sz w:val="20"/>
                <w:szCs w:val="20"/>
                <w:color w:val="auto"/>
              </w:rPr>
            </w:pPr>
            <w:r>
              <w:rPr>
                <w:rFonts w:ascii="Arial" w:cs="Arial" w:eastAsia="Arial" w:hAnsi="Arial"/>
                <w:sz w:val="14"/>
                <w:szCs w:val="14"/>
                <w:color w:val="0E2A35"/>
              </w:rPr>
              <w:t>​</w:t>
            </w:r>
          </w:p>
        </w:tc>
        <w:tc>
          <w:tcPr>
            <w:tcW w:w="1180" w:type="dxa"/>
            <w:vAlign w:val="bottom"/>
            <w:shd w:val="clear" w:color="auto" w:fill="C9D4D8"/>
          </w:tcPr>
          <w:p>
            <w:pPr>
              <w:jc w:val="right"/>
              <w:ind w:right="150"/>
              <w:spacing w:after="0"/>
              <w:rPr>
                <w:sz w:val="20"/>
                <w:szCs w:val="20"/>
                <w:color w:val="auto"/>
              </w:rPr>
            </w:pPr>
            <w:r>
              <w:rPr>
                <w:rFonts w:ascii="Arial" w:cs="Arial" w:eastAsia="Arial" w:hAnsi="Arial"/>
                <w:sz w:val="14"/>
                <w:szCs w:val="14"/>
                <w:color w:val="0E2A35"/>
              </w:rPr>
              <w:t>​</w:t>
            </w:r>
          </w:p>
        </w:tc>
        <w:tc>
          <w:tcPr>
            <w:tcW w:w="380" w:type="dxa"/>
            <w:vAlign w:val="bottom"/>
            <w:shd w:val="clear" w:color="auto" w:fill="C9D4D8"/>
          </w:tcPr>
          <w:p>
            <w:pPr>
              <w:spacing w:after="0"/>
              <w:rPr>
                <w:sz w:val="24"/>
                <w:szCs w:val="24"/>
                <w:color w:val="auto"/>
              </w:rPr>
            </w:pPr>
          </w:p>
        </w:tc>
        <w:tc>
          <w:tcPr>
            <w:tcW w:w="860" w:type="dxa"/>
            <w:vAlign w:val="bottom"/>
            <w:shd w:val="clear" w:color="auto" w:fill="C9D4D8"/>
          </w:tcPr>
          <w:p>
            <w:pPr>
              <w:jc w:val="right"/>
              <w:ind w:right="209"/>
              <w:spacing w:after="0"/>
              <w:rPr>
                <w:sz w:val="20"/>
                <w:szCs w:val="20"/>
                <w:color w:val="auto"/>
              </w:rPr>
            </w:pPr>
            <w:r>
              <w:rPr>
                <w:rFonts w:ascii="Arial" w:cs="Arial" w:eastAsia="Arial" w:hAnsi="Arial"/>
                <w:sz w:val="14"/>
                <w:szCs w:val="14"/>
                <w:color w:val="0E2A35"/>
              </w:rPr>
              <w:t>​</w:t>
            </w:r>
          </w:p>
        </w:tc>
        <w:tc>
          <w:tcPr>
            <w:tcW w:w="1120" w:type="dxa"/>
            <w:vAlign w:val="bottom"/>
            <w:shd w:val="clear" w:color="auto" w:fill="C9D4D8"/>
          </w:tcPr>
          <w:p>
            <w:pPr>
              <w:jc w:val="right"/>
              <w:ind w:right="19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3"/>
        </w:trPr>
        <w:tc>
          <w:tcPr>
            <w:tcW w:w="3340" w:type="dxa"/>
            <w:vAlign w:val="bottom"/>
            <w:tcBorders>
              <w:bottom w:val="single" w:sz="8" w:color="0E2A35"/>
            </w:tcBorders>
            <w:shd w:val="clear" w:color="auto" w:fill="C9D4D8"/>
          </w:tcPr>
          <w:p>
            <w:pPr>
              <w:spacing w:after="0"/>
              <w:rPr>
                <w:sz w:val="7"/>
                <w:szCs w:val="7"/>
                <w:color w:val="auto"/>
              </w:rPr>
            </w:pPr>
          </w:p>
        </w:tc>
        <w:tc>
          <w:tcPr>
            <w:tcW w:w="1240" w:type="dxa"/>
            <w:vAlign w:val="bottom"/>
            <w:tcBorders>
              <w:bottom w:val="single" w:sz="8" w:color="0E2A35"/>
            </w:tcBorders>
            <w:shd w:val="clear" w:color="auto" w:fill="C9D4D8"/>
          </w:tcPr>
          <w:p>
            <w:pPr>
              <w:spacing w:after="0"/>
              <w:rPr>
                <w:sz w:val="7"/>
                <w:szCs w:val="7"/>
                <w:color w:val="auto"/>
              </w:rPr>
            </w:pPr>
          </w:p>
        </w:tc>
        <w:tc>
          <w:tcPr>
            <w:tcW w:w="1160" w:type="dxa"/>
            <w:vAlign w:val="bottom"/>
            <w:tcBorders>
              <w:bottom w:val="single" w:sz="8" w:color="0E2A35"/>
            </w:tcBorders>
            <w:shd w:val="clear" w:color="auto" w:fill="C9D4D8"/>
          </w:tcPr>
          <w:p>
            <w:pPr>
              <w:spacing w:after="0"/>
              <w:rPr>
                <w:sz w:val="7"/>
                <w:szCs w:val="7"/>
                <w:color w:val="auto"/>
              </w:rPr>
            </w:pPr>
          </w:p>
        </w:tc>
        <w:tc>
          <w:tcPr>
            <w:tcW w:w="1180" w:type="dxa"/>
            <w:vAlign w:val="bottom"/>
            <w:tcBorders>
              <w:bottom w:val="single" w:sz="8" w:color="0E2A35"/>
            </w:tcBorders>
            <w:shd w:val="clear" w:color="auto" w:fill="C9D4D8"/>
          </w:tcPr>
          <w:p>
            <w:pPr>
              <w:spacing w:after="0"/>
              <w:rPr>
                <w:sz w:val="7"/>
                <w:szCs w:val="7"/>
                <w:color w:val="auto"/>
              </w:rPr>
            </w:pPr>
          </w:p>
        </w:tc>
        <w:tc>
          <w:tcPr>
            <w:tcW w:w="380" w:type="dxa"/>
            <w:vAlign w:val="bottom"/>
            <w:tcBorders>
              <w:bottom w:val="single" w:sz="8" w:color="0E2A35"/>
            </w:tcBorders>
            <w:shd w:val="clear" w:color="auto" w:fill="C9D4D8"/>
          </w:tcPr>
          <w:p>
            <w:pPr>
              <w:spacing w:after="0"/>
              <w:rPr>
                <w:sz w:val="7"/>
                <w:szCs w:val="7"/>
                <w:color w:val="auto"/>
              </w:rPr>
            </w:pPr>
          </w:p>
        </w:tc>
        <w:tc>
          <w:tcPr>
            <w:tcW w:w="860" w:type="dxa"/>
            <w:vAlign w:val="bottom"/>
            <w:tcBorders>
              <w:bottom w:val="single" w:sz="8" w:color="0E2A35"/>
            </w:tcBorders>
            <w:shd w:val="clear" w:color="auto" w:fill="C9D4D8"/>
          </w:tcPr>
          <w:p>
            <w:pPr>
              <w:spacing w:after="0"/>
              <w:rPr>
                <w:sz w:val="7"/>
                <w:szCs w:val="7"/>
                <w:color w:val="auto"/>
              </w:rPr>
            </w:pPr>
          </w:p>
        </w:tc>
        <w:tc>
          <w:tcPr>
            <w:tcW w:w="1120" w:type="dxa"/>
            <w:vAlign w:val="bottom"/>
            <w:tcBorders>
              <w:bottom w:val="single" w:sz="8" w:color="0E2A35"/>
            </w:tcBorders>
            <w:shd w:val="clear" w:color="auto" w:fill="C9D4D8"/>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240" w:type="dxa"/>
            <w:vAlign w:val="bottom"/>
            <w:tcBorders>
              <w:bottom w:val="single" w:sz="8" w:color="0E2A35"/>
            </w:tcBorders>
          </w:tcPr>
          <w:p>
            <w:pPr>
              <w:jc w:val="right"/>
              <w:ind w:right="189"/>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270"/>
              <w:spacing w:after="0"/>
              <w:rPr>
                <w:sz w:val="20"/>
                <w:szCs w:val="20"/>
                <w:color w:val="auto"/>
              </w:rPr>
            </w:pPr>
            <w:r>
              <w:rPr>
                <w:rFonts w:ascii="Arial" w:cs="Arial" w:eastAsia="Arial" w:hAnsi="Arial"/>
                <w:sz w:val="14"/>
                <w:szCs w:val="14"/>
                <w:color w:val="0E2A35"/>
              </w:rPr>
              <w:t>—</w:t>
            </w:r>
          </w:p>
        </w:tc>
        <w:tc>
          <w:tcPr>
            <w:tcW w:w="1180" w:type="dxa"/>
            <w:vAlign w:val="bottom"/>
            <w:tcBorders>
              <w:bottom w:val="single" w:sz="8" w:color="0E2A35"/>
            </w:tcBorders>
          </w:tcPr>
          <w:p>
            <w:pPr>
              <w:jc w:val="right"/>
              <w:ind w:right="210"/>
              <w:spacing w:after="0"/>
              <w:rPr>
                <w:sz w:val="20"/>
                <w:szCs w:val="20"/>
                <w:color w:val="auto"/>
              </w:rPr>
            </w:pPr>
            <w:r>
              <w:rPr>
                <w:rFonts w:ascii="Arial" w:cs="Arial" w:eastAsia="Arial" w:hAnsi="Arial"/>
                <w:sz w:val="14"/>
                <w:szCs w:val="14"/>
                <w:color w:val="0E2A35"/>
              </w:rPr>
              <w:t>—</w:t>
            </w:r>
          </w:p>
        </w:tc>
        <w:tc>
          <w:tcPr>
            <w:tcW w:w="38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229"/>
              <w:spacing w:after="0"/>
              <w:rPr>
                <w:sz w:val="20"/>
                <w:szCs w:val="20"/>
                <w:color w:val="auto"/>
              </w:rPr>
            </w:pPr>
            <w:r>
              <w:rPr>
                <w:rFonts w:ascii="Arial" w:cs="Arial" w:eastAsia="Arial" w:hAnsi="Arial"/>
                <w:sz w:val="14"/>
                <w:szCs w:val="14"/>
                <w:color w:val="0E2A35"/>
              </w:rPr>
              <w:t>—</w:t>
            </w:r>
          </w:p>
        </w:tc>
        <w:tc>
          <w:tcPr>
            <w:tcW w:w="1120" w:type="dxa"/>
            <w:vAlign w:val="bottom"/>
            <w:tcBorders>
              <w:bottom w:val="single" w:sz="8" w:color="0E2A35"/>
            </w:tcBorders>
          </w:tcPr>
          <w:p>
            <w:pPr>
              <w:jc w:val="right"/>
              <w:ind w:right="1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78"/>
        </w:trPr>
        <w:tc>
          <w:tcPr>
            <w:tcW w:w="3340" w:type="dxa"/>
            <w:vAlign w:val="bottom"/>
          </w:tcPr>
          <w:p>
            <w:pPr>
              <w:ind w:left="240"/>
              <w:spacing w:after="0"/>
              <w:rPr>
                <w:sz w:val="20"/>
                <w:szCs w:val="20"/>
                <w:color w:val="auto"/>
              </w:rPr>
            </w:pPr>
            <w:r>
              <w:rPr>
                <w:rFonts w:ascii="Arial" w:cs="Arial" w:eastAsia="Arial" w:hAnsi="Arial"/>
                <w:sz w:val="14"/>
                <w:szCs w:val="14"/>
                <w:color w:val="0E2A35"/>
              </w:rPr>
              <w:t>Involuntary Termination for Cause</w:t>
            </w:r>
          </w:p>
        </w:tc>
        <w:tc>
          <w:tcPr>
            <w:tcW w:w="124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270"/>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210"/>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340" w:type="dxa"/>
            <w:vAlign w:val="bottom"/>
          </w:tcPr>
          <w:p>
            <w:pPr>
              <w:ind w:left="24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189"/>
              <w:spacing w:after="0"/>
              <w:rPr>
                <w:sz w:val="20"/>
                <w:szCs w:val="20"/>
                <w:color w:val="auto"/>
              </w:rPr>
            </w:pPr>
            <w:r>
              <w:rPr>
                <w:rFonts w:ascii="Arial" w:cs="Arial" w:eastAsia="Arial" w:hAnsi="Arial"/>
                <w:sz w:val="14"/>
                <w:szCs w:val="14"/>
                <w:color w:val="0E2A35"/>
              </w:rPr>
              <w:t>4,553,928​</w:t>
            </w:r>
          </w:p>
        </w:tc>
        <w:tc>
          <w:tcPr>
            <w:tcW w:w="1160" w:type="dxa"/>
            <w:vAlign w:val="bottom"/>
          </w:tcPr>
          <w:p>
            <w:pPr>
              <w:jc w:val="right"/>
              <w:ind w:right="270"/>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210"/>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124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180" w:type="dxa"/>
            <w:vAlign w:val="bottom"/>
            <w:tcBorders>
              <w:bottom w:val="single" w:sz="8" w:color="0E2A35"/>
            </w:tcBorders>
          </w:tcPr>
          <w:p>
            <w:pPr>
              <w:spacing w:after="0"/>
              <w:rPr>
                <w:sz w:val="24"/>
                <w:szCs w:val="24"/>
                <w:color w:val="auto"/>
              </w:rPr>
            </w:pPr>
          </w:p>
        </w:tc>
        <w:tc>
          <w:tcPr>
            <w:tcW w:w="38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spacing w:after="0"/>
              <w:rPr>
                <w:sz w:val="24"/>
                <w:szCs w:val="24"/>
                <w:color w:val="auto"/>
              </w:rPr>
            </w:pPr>
          </w:p>
        </w:tc>
        <w:tc>
          <w:tcPr>
            <w:tcW w:w="1120" w:type="dxa"/>
            <w:vAlign w:val="bottom"/>
            <w:tcBorders>
              <w:bottom w:val="single" w:sz="8" w:color="0E2A35"/>
            </w:tcBorders>
          </w:tcPr>
          <w:p>
            <w:pPr>
              <w:jc w:val="right"/>
              <w:ind w:right="63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78"/>
        </w:trPr>
        <w:tc>
          <w:tcPr>
            <w:tcW w:w="3340" w:type="dxa"/>
            <w:vAlign w:val="bottom"/>
          </w:tcPr>
          <w:p>
            <w:pPr>
              <w:ind w:left="4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189"/>
              <w:spacing w:after="0"/>
              <w:rPr>
                <w:sz w:val="20"/>
                <w:szCs w:val="20"/>
                <w:color w:val="auto"/>
              </w:rPr>
            </w:pPr>
            <w:r>
              <w:rPr>
                <w:rFonts w:ascii="Arial" w:cs="Arial" w:eastAsia="Arial" w:hAnsi="Arial"/>
                <w:sz w:val="14"/>
                <w:szCs w:val="14"/>
                <w:color w:val="0E2A35"/>
              </w:rPr>
              <w:t>6,800,892​</w:t>
            </w:r>
          </w:p>
        </w:tc>
        <w:tc>
          <w:tcPr>
            <w:tcW w:w="1160" w:type="dxa"/>
            <w:vAlign w:val="bottom"/>
          </w:tcPr>
          <w:p>
            <w:pPr>
              <w:jc w:val="right"/>
              <w:ind w:right="270"/>
              <w:spacing w:after="0"/>
              <w:rPr>
                <w:sz w:val="20"/>
                <w:szCs w:val="20"/>
                <w:color w:val="auto"/>
              </w:rPr>
            </w:pPr>
            <w:r>
              <w:rPr>
                <w:rFonts w:ascii="Arial" w:cs="Arial" w:eastAsia="Arial" w:hAnsi="Arial"/>
                <w:sz w:val="14"/>
                <w:szCs w:val="14"/>
                <w:color w:val="0E2A35"/>
              </w:rPr>
              <w:t>550,500​</w:t>
            </w:r>
          </w:p>
        </w:tc>
        <w:tc>
          <w:tcPr>
            <w:tcW w:w="1180" w:type="dxa"/>
            <w:vAlign w:val="bottom"/>
          </w:tcPr>
          <w:p>
            <w:pPr>
              <w:jc w:val="right"/>
              <w:ind w:right="210"/>
              <w:spacing w:after="0"/>
              <w:rPr>
                <w:sz w:val="20"/>
                <w:szCs w:val="20"/>
                <w:color w:val="auto"/>
              </w:rPr>
            </w:pPr>
            <w:r>
              <w:rPr>
                <w:rFonts w:ascii="Arial" w:cs="Arial" w:eastAsia="Arial" w:hAnsi="Arial"/>
                <w:sz w:val="14"/>
                <w:szCs w:val="14"/>
                <w:color w:val="0E2A35"/>
              </w:rPr>
              <w:t>7,064,386​</w:t>
            </w:r>
          </w:p>
        </w:tc>
        <w:tc>
          <w:tcPr>
            <w:tcW w:w="1240" w:type="dxa"/>
            <w:vAlign w:val="bottom"/>
            <w:gridSpan w:val="2"/>
          </w:tcPr>
          <w:p>
            <w:pPr>
              <w:jc w:val="right"/>
              <w:ind w:right="229"/>
              <w:spacing w:after="0"/>
              <w:rPr>
                <w:sz w:val="20"/>
                <w:szCs w:val="20"/>
                <w:color w:val="auto"/>
              </w:rPr>
            </w:pPr>
            <w:r>
              <w:rPr>
                <w:rFonts w:ascii="Arial" w:cs="Arial" w:eastAsia="Arial" w:hAnsi="Arial"/>
                <w:sz w:val="14"/>
                <w:szCs w:val="14"/>
                <w:color w:val="0E2A35"/>
              </w:rPr>
              <w:t>3,288,223​</w:t>
            </w:r>
          </w:p>
        </w:tc>
        <w:tc>
          <w:tcPr>
            <w:tcW w:w="1120" w:type="dxa"/>
            <w:vAlign w:val="bottom"/>
          </w:tcPr>
          <w:p>
            <w:pPr>
              <w:jc w:val="right"/>
              <w:ind w:right="150"/>
              <w:spacing w:after="0"/>
              <w:rPr>
                <w:sz w:val="20"/>
                <w:szCs w:val="20"/>
                <w:color w:val="auto"/>
              </w:rPr>
            </w:pPr>
            <w:r>
              <w:rPr>
                <w:rFonts w:ascii="Arial" w:cs="Arial" w:eastAsia="Arial" w:hAnsi="Arial"/>
                <w:sz w:val="14"/>
                <w:szCs w:val="14"/>
                <w:color w:val="0E2A35"/>
              </w:rPr>
              <w:t>315,213​</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gridSpan w:val="2"/>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340" w:type="dxa"/>
            <w:vAlign w:val="bottom"/>
          </w:tcPr>
          <w:p>
            <w:pPr>
              <w:ind w:left="420"/>
              <w:spacing w:after="0"/>
              <w:rPr>
                <w:sz w:val="20"/>
                <w:szCs w:val="20"/>
                <w:color w:val="auto"/>
              </w:rPr>
            </w:pPr>
            <w:r>
              <w:rPr>
                <w:rFonts w:ascii="Arial" w:cs="Arial" w:eastAsia="Arial" w:hAnsi="Arial"/>
                <w:sz w:val="14"/>
                <w:szCs w:val="14"/>
                <w:color w:val="0E2A35"/>
              </w:rPr>
              <w:t>Death or Disability</w:t>
            </w:r>
          </w:p>
        </w:tc>
        <w:tc>
          <w:tcPr>
            <w:tcW w:w="124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270"/>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210"/>
              <w:spacing w:after="0"/>
              <w:rPr>
                <w:sz w:val="20"/>
                <w:szCs w:val="20"/>
                <w:color w:val="auto"/>
              </w:rPr>
            </w:pPr>
            <w:r>
              <w:rPr>
                <w:rFonts w:ascii="Arial" w:cs="Arial" w:eastAsia="Arial" w:hAnsi="Arial"/>
                <w:sz w:val="14"/>
                <w:szCs w:val="14"/>
                <w:color w:val="0E2A35"/>
              </w:rPr>
              <w:t>7,064,386​</w:t>
            </w:r>
          </w:p>
        </w:tc>
        <w:tc>
          <w:tcPr>
            <w:tcW w:w="1240" w:type="dxa"/>
            <w:vAlign w:val="bottom"/>
            <w:gridSpan w:val="2"/>
          </w:tcPr>
          <w:p>
            <w:pPr>
              <w:jc w:val="right"/>
              <w:ind w:right="229"/>
              <w:spacing w:after="0"/>
              <w:rPr>
                <w:sz w:val="20"/>
                <w:szCs w:val="20"/>
                <w:color w:val="auto"/>
              </w:rPr>
            </w:pPr>
            <w:r>
              <w:rPr>
                <w:rFonts w:ascii="Arial" w:cs="Arial" w:eastAsia="Arial" w:hAnsi="Arial"/>
                <w:sz w:val="14"/>
                <w:szCs w:val="14"/>
                <w:color w:val="0E2A35"/>
              </w:rPr>
              <w:t>3,288,223​</w:t>
            </w:r>
          </w:p>
        </w:tc>
        <w:tc>
          <w:tcPr>
            <w:tcW w:w="1120" w:type="dxa"/>
            <w:vAlign w:val="bottom"/>
          </w:tcPr>
          <w:p>
            <w:pPr>
              <w:jc w:val="right"/>
              <w:ind w:right="150"/>
              <w:spacing w:after="0"/>
              <w:rPr>
                <w:sz w:val="20"/>
                <w:szCs w:val="20"/>
                <w:color w:val="auto"/>
              </w:rPr>
            </w:pPr>
            <w:r>
              <w:rPr>
                <w:rFonts w:ascii="Arial" w:cs="Arial" w:eastAsia="Arial" w:hAnsi="Arial"/>
                <w:sz w:val="14"/>
                <w:szCs w:val="14"/>
                <w:color w:val="0E2A35"/>
              </w:rPr>
              <w:t>315,213​</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340" w:type="dxa"/>
            <w:vAlign w:val="bottom"/>
            <w:shd w:val="clear" w:color="auto" w:fill="C9D4D8"/>
          </w:tcPr>
          <w:p>
            <w:pPr>
              <w:ind w:left="60"/>
              <w:spacing w:after="0"/>
              <w:rPr>
                <w:sz w:val="20"/>
                <w:szCs w:val="20"/>
                <w:color w:val="auto"/>
              </w:rPr>
            </w:pPr>
            <w:r>
              <w:rPr>
                <w:rFonts w:ascii="Arial" w:cs="Arial" w:eastAsia="Arial" w:hAnsi="Arial"/>
                <w:sz w:val="14"/>
                <w:szCs w:val="14"/>
                <w:b w:val="1"/>
                <w:bCs w:val="1"/>
                <w:color w:val="0E2A35"/>
              </w:rPr>
              <w:t>Bryan L. Hughes</w:t>
            </w:r>
          </w:p>
        </w:tc>
        <w:tc>
          <w:tcPr>
            <w:tcW w:w="1240" w:type="dxa"/>
            <w:vAlign w:val="bottom"/>
            <w:shd w:val="clear" w:color="auto" w:fill="C9D4D8"/>
          </w:tcPr>
          <w:p>
            <w:pPr>
              <w:jc w:val="right"/>
              <w:ind w:right="109"/>
              <w:spacing w:after="0"/>
              <w:rPr>
                <w:sz w:val="20"/>
                <w:szCs w:val="20"/>
                <w:color w:val="auto"/>
              </w:rPr>
            </w:pPr>
            <w:r>
              <w:rPr>
                <w:rFonts w:ascii="Arial" w:cs="Arial" w:eastAsia="Arial" w:hAnsi="Arial"/>
                <w:sz w:val="14"/>
                <w:szCs w:val="14"/>
                <w:color w:val="0E2A35"/>
              </w:rPr>
              <w:t>​</w:t>
            </w:r>
          </w:p>
        </w:tc>
        <w:tc>
          <w:tcPr>
            <w:tcW w:w="1160" w:type="dxa"/>
            <w:vAlign w:val="bottom"/>
            <w:shd w:val="clear" w:color="auto" w:fill="C9D4D8"/>
          </w:tcPr>
          <w:p>
            <w:pPr>
              <w:jc w:val="right"/>
              <w:ind w:right="190"/>
              <w:spacing w:after="0"/>
              <w:rPr>
                <w:sz w:val="20"/>
                <w:szCs w:val="20"/>
                <w:color w:val="auto"/>
              </w:rPr>
            </w:pPr>
            <w:r>
              <w:rPr>
                <w:rFonts w:ascii="Arial" w:cs="Arial" w:eastAsia="Arial" w:hAnsi="Arial"/>
                <w:sz w:val="14"/>
                <w:szCs w:val="14"/>
                <w:color w:val="0E2A35"/>
              </w:rPr>
              <w:t>​</w:t>
            </w:r>
          </w:p>
        </w:tc>
        <w:tc>
          <w:tcPr>
            <w:tcW w:w="1180" w:type="dxa"/>
            <w:vAlign w:val="bottom"/>
            <w:shd w:val="clear" w:color="auto" w:fill="C9D4D8"/>
          </w:tcPr>
          <w:p>
            <w:pPr>
              <w:jc w:val="right"/>
              <w:ind w:right="150"/>
              <w:spacing w:after="0"/>
              <w:rPr>
                <w:sz w:val="20"/>
                <w:szCs w:val="20"/>
                <w:color w:val="auto"/>
              </w:rPr>
            </w:pPr>
            <w:r>
              <w:rPr>
                <w:rFonts w:ascii="Arial" w:cs="Arial" w:eastAsia="Arial" w:hAnsi="Arial"/>
                <w:sz w:val="14"/>
                <w:szCs w:val="14"/>
                <w:color w:val="0E2A35"/>
              </w:rPr>
              <w:t>​</w:t>
            </w:r>
          </w:p>
        </w:tc>
        <w:tc>
          <w:tcPr>
            <w:tcW w:w="380" w:type="dxa"/>
            <w:vAlign w:val="bottom"/>
            <w:shd w:val="clear" w:color="auto" w:fill="C9D4D8"/>
          </w:tcPr>
          <w:p>
            <w:pPr>
              <w:spacing w:after="0"/>
              <w:rPr>
                <w:sz w:val="24"/>
                <w:szCs w:val="24"/>
                <w:color w:val="auto"/>
              </w:rPr>
            </w:pPr>
          </w:p>
        </w:tc>
        <w:tc>
          <w:tcPr>
            <w:tcW w:w="860" w:type="dxa"/>
            <w:vAlign w:val="bottom"/>
            <w:shd w:val="clear" w:color="auto" w:fill="C9D4D8"/>
          </w:tcPr>
          <w:p>
            <w:pPr>
              <w:jc w:val="right"/>
              <w:ind w:right="209"/>
              <w:spacing w:after="0"/>
              <w:rPr>
                <w:sz w:val="20"/>
                <w:szCs w:val="20"/>
                <w:color w:val="auto"/>
              </w:rPr>
            </w:pPr>
            <w:r>
              <w:rPr>
                <w:rFonts w:ascii="Arial" w:cs="Arial" w:eastAsia="Arial" w:hAnsi="Arial"/>
                <w:sz w:val="14"/>
                <w:szCs w:val="14"/>
                <w:color w:val="0E2A35"/>
              </w:rPr>
              <w:t>​</w:t>
            </w:r>
          </w:p>
        </w:tc>
        <w:tc>
          <w:tcPr>
            <w:tcW w:w="1120" w:type="dxa"/>
            <w:vAlign w:val="bottom"/>
            <w:shd w:val="clear" w:color="auto" w:fill="C9D4D8"/>
          </w:tcPr>
          <w:p>
            <w:pPr>
              <w:jc w:val="right"/>
              <w:ind w:right="19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3"/>
        </w:trPr>
        <w:tc>
          <w:tcPr>
            <w:tcW w:w="3340" w:type="dxa"/>
            <w:vAlign w:val="bottom"/>
            <w:tcBorders>
              <w:bottom w:val="single" w:sz="8" w:color="0E2A35"/>
            </w:tcBorders>
            <w:shd w:val="clear" w:color="auto" w:fill="C9D4D8"/>
          </w:tcPr>
          <w:p>
            <w:pPr>
              <w:spacing w:after="0"/>
              <w:rPr>
                <w:sz w:val="7"/>
                <w:szCs w:val="7"/>
                <w:color w:val="auto"/>
              </w:rPr>
            </w:pPr>
          </w:p>
        </w:tc>
        <w:tc>
          <w:tcPr>
            <w:tcW w:w="1240" w:type="dxa"/>
            <w:vAlign w:val="bottom"/>
            <w:tcBorders>
              <w:bottom w:val="single" w:sz="8" w:color="0E2A35"/>
            </w:tcBorders>
            <w:shd w:val="clear" w:color="auto" w:fill="C9D4D8"/>
          </w:tcPr>
          <w:p>
            <w:pPr>
              <w:spacing w:after="0"/>
              <w:rPr>
                <w:sz w:val="7"/>
                <w:szCs w:val="7"/>
                <w:color w:val="auto"/>
              </w:rPr>
            </w:pPr>
          </w:p>
        </w:tc>
        <w:tc>
          <w:tcPr>
            <w:tcW w:w="1160" w:type="dxa"/>
            <w:vAlign w:val="bottom"/>
            <w:tcBorders>
              <w:bottom w:val="single" w:sz="8" w:color="0E2A35"/>
            </w:tcBorders>
            <w:shd w:val="clear" w:color="auto" w:fill="C9D4D8"/>
          </w:tcPr>
          <w:p>
            <w:pPr>
              <w:spacing w:after="0"/>
              <w:rPr>
                <w:sz w:val="7"/>
                <w:szCs w:val="7"/>
                <w:color w:val="auto"/>
              </w:rPr>
            </w:pPr>
          </w:p>
        </w:tc>
        <w:tc>
          <w:tcPr>
            <w:tcW w:w="1180" w:type="dxa"/>
            <w:vAlign w:val="bottom"/>
            <w:tcBorders>
              <w:bottom w:val="single" w:sz="8" w:color="0E2A35"/>
            </w:tcBorders>
            <w:shd w:val="clear" w:color="auto" w:fill="C9D4D8"/>
          </w:tcPr>
          <w:p>
            <w:pPr>
              <w:spacing w:after="0"/>
              <w:rPr>
                <w:sz w:val="7"/>
                <w:szCs w:val="7"/>
                <w:color w:val="auto"/>
              </w:rPr>
            </w:pPr>
          </w:p>
        </w:tc>
        <w:tc>
          <w:tcPr>
            <w:tcW w:w="380" w:type="dxa"/>
            <w:vAlign w:val="bottom"/>
            <w:tcBorders>
              <w:bottom w:val="single" w:sz="8" w:color="0E2A35"/>
            </w:tcBorders>
            <w:shd w:val="clear" w:color="auto" w:fill="C9D4D8"/>
          </w:tcPr>
          <w:p>
            <w:pPr>
              <w:spacing w:after="0"/>
              <w:rPr>
                <w:sz w:val="7"/>
                <w:szCs w:val="7"/>
                <w:color w:val="auto"/>
              </w:rPr>
            </w:pPr>
          </w:p>
        </w:tc>
        <w:tc>
          <w:tcPr>
            <w:tcW w:w="860" w:type="dxa"/>
            <w:vAlign w:val="bottom"/>
            <w:tcBorders>
              <w:bottom w:val="single" w:sz="8" w:color="0E2A35"/>
            </w:tcBorders>
            <w:shd w:val="clear" w:color="auto" w:fill="C9D4D8"/>
          </w:tcPr>
          <w:p>
            <w:pPr>
              <w:spacing w:after="0"/>
              <w:rPr>
                <w:sz w:val="7"/>
                <w:szCs w:val="7"/>
                <w:color w:val="auto"/>
              </w:rPr>
            </w:pPr>
          </w:p>
        </w:tc>
        <w:tc>
          <w:tcPr>
            <w:tcW w:w="1120" w:type="dxa"/>
            <w:vAlign w:val="bottom"/>
            <w:tcBorders>
              <w:bottom w:val="single" w:sz="8" w:color="0E2A35"/>
            </w:tcBorders>
            <w:shd w:val="clear" w:color="auto" w:fill="C9D4D8"/>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240" w:type="dxa"/>
            <w:vAlign w:val="bottom"/>
            <w:tcBorders>
              <w:bottom w:val="single" w:sz="8" w:color="0E2A35"/>
            </w:tcBorders>
          </w:tcPr>
          <w:p>
            <w:pPr>
              <w:jc w:val="right"/>
              <w:ind w:right="189"/>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270"/>
              <w:spacing w:after="0"/>
              <w:rPr>
                <w:sz w:val="20"/>
                <w:szCs w:val="20"/>
                <w:color w:val="auto"/>
              </w:rPr>
            </w:pPr>
            <w:r>
              <w:rPr>
                <w:rFonts w:ascii="Arial" w:cs="Arial" w:eastAsia="Arial" w:hAnsi="Arial"/>
                <w:sz w:val="14"/>
                <w:szCs w:val="14"/>
                <w:color w:val="0E2A35"/>
              </w:rPr>
              <w:t>—</w:t>
            </w:r>
          </w:p>
        </w:tc>
        <w:tc>
          <w:tcPr>
            <w:tcW w:w="1180" w:type="dxa"/>
            <w:vAlign w:val="bottom"/>
            <w:tcBorders>
              <w:bottom w:val="single" w:sz="8" w:color="0E2A35"/>
            </w:tcBorders>
          </w:tcPr>
          <w:p>
            <w:pPr>
              <w:jc w:val="right"/>
              <w:ind w:right="210"/>
              <w:spacing w:after="0"/>
              <w:rPr>
                <w:sz w:val="20"/>
                <w:szCs w:val="20"/>
                <w:color w:val="auto"/>
              </w:rPr>
            </w:pPr>
            <w:r>
              <w:rPr>
                <w:rFonts w:ascii="Arial" w:cs="Arial" w:eastAsia="Arial" w:hAnsi="Arial"/>
                <w:sz w:val="14"/>
                <w:szCs w:val="14"/>
                <w:color w:val="0E2A35"/>
              </w:rPr>
              <w:t>—</w:t>
            </w:r>
          </w:p>
        </w:tc>
        <w:tc>
          <w:tcPr>
            <w:tcW w:w="38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229"/>
              <w:spacing w:after="0"/>
              <w:rPr>
                <w:sz w:val="20"/>
                <w:szCs w:val="20"/>
                <w:color w:val="auto"/>
              </w:rPr>
            </w:pPr>
            <w:r>
              <w:rPr>
                <w:rFonts w:ascii="Arial" w:cs="Arial" w:eastAsia="Arial" w:hAnsi="Arial"/>
                <w:sz w:val="14"/>
                <w:szCs w:val="14"/>
                <w:color w:val="0E2A35"/>
              </w:rPr>
              <w:t>—</w:t>
            </w:r>
          </w:p>
        </w:tc>
        <w:tc>
          <w:tcPr>
            <w:tcW w:w="1120" w:type="dxa"/>
            <w:vAlign w:val="bottom"/>
            <w:tcBorders>
              <w:bottom w:val="single" w:sz="8" w:color="0E2A35"/>
            </w:tcBorders>
          </w:tcPr>
          <w:p>
            <w:pPr>
              <w:jc w:val="right"/>
              <w:ind w:right="1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79"/>
        </w:trPr>
        <w:tc>
          <w:tcPr>
            <w:tcW w:w="3340" w:type="dxa"/>
            <w:vAlign w:val="bottom"/>
          </w:tcPr>
          <w:p>
            <w:pPr>
              <w:ind w:left="240"/>
              <w:spacing w:after="0"/>
              <w:rPr>
                <w:sz w:val="20"/>
                <w:szCs w:val="20"/>
                <w:color w:val="auto"/>
              </w:rPr>
            </w:pPr>
            <w:r>
              <w:rPr>
                <w:rFonts w:ascii="Arial" w:cs="Arial" w:eastAsia="Arial" w:hAnsi="Arial"/>
                <w:sz w:val="14"/>
                <w:szCs w:val="14"/>
                <w:color w:val="0E2A35"/>
              </w:rPr>
              <w:t>Involuntary Termination for Cause</w:t>
            </w:r>
          </w:p>
        </w:tc>
        <w:tc>
          <w:tcPr>
            <w:tcW w:w="124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270"/>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210"/>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340" w:type="dxa"/>
            <w:vAlign w:val="bottom"/>
          </w:tcPr>
          <w:p>
            <w:pPr>
              <w:ind w:left="24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189"/>
              <w:spacing w:after="0"/>
              <w:rPr>
                <w:sz w:val="20"/>
                <w:szCs w:val="20"/>
                <w:color w:val="auto"/>
              </w:rPr>
            </w:pPr>
            <w:r>
              <w:rPr>
                <w:rFonts w:ascii="Arial" w:cs="Arial" w:eastAsia="Arial" w:hAnsi="Arial"/>
                <w:sz w:val="14"/>
                <w:szCs w:val="14"/>
                <w:color w:val="0E2A35"/>
              </w:rPr>
              <w:t>1,113,768​</w:t>
            </w:r>
          </w:p>
        </w:tc>
        <w:tc>
          <w:tcPr>
            <w:tcW w:w="1160" w:type="dxa"/>
            <w:vAlign w:val="bottom"/>
          </w:tcPr>
          <w:p>
            <w:pPr>
              <w:jc w:val="right"/>
              <w:ind w:right="270"/>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210"/>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99"/>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124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180" w:type="dxa"/>
            <w:vAlign w:val="bottom"/>
            <w:tcBorders>
              <w:bottom w:val="single" w:sz="8" w:color="0E2A35"/>
            </w:tcBorders>
          </w:tcPr>
          <w:p>
            <w:pPr>
              <w:spacing w:after="0"/>
              <w:rPr>
                <w:sz w:val="24"/>
                <w:szCs w:val="24"/>
                <w:color w:val="auto"/>
              </w:rPr>
            </w:pPr>
          </w:p>
        </w:tc>
        <w:tc>
          <w:tcPr>
            <w:tcW w:w="38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spacing w:after="0"/>
              <w:rPr>
                <w:sz w:val="24"/>
                <w:szCs w:val="24"/>
                <w:color w:val="auto"/>
              </w:rPr>
            </w:pPr>
          </w:p>
        </w:tc>
        <w:tc>
          <w:tcPr>
            <w:tcW w:w="1120" w:type="dxa"/>
            <w:vAlign w:val="bottom"/>
            <w:tcBorders>
              <w:bottom w:val="single" w:sz="8" w:color="0E2A35"/>
            </w:tcBorders>
          </w:tcPr>
          <w:p>
            <w:pPr>
              <w:jc w:val="right"/>
              <w:ind w:right="63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78"/>
        </w:trPr>
        <w:tc>
          <w:tcPr>
            <w:tcW w:w="3340" w:type="dxa"/>
            <w:vAlign w:val="bottom"/>
          </w:tcPr>
          <w:p>
            <w:pPr>
              <w:ind w:left="4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189"/>
              <w:spacing w:after="0"/>
              <w:rPr>
                <w:sz w:val="20"/>
                <w:szCs w:val="20"/>
                <w:color w:val="auto"/>
              </w:rPr>
            </w:pPr>
            <w:r>
              <w:rPr>
                <w:rFonts w:ascii="Arial" w:cs="Arial" w:eastAsia="Arial" w:hAnsi="Arial"/>
                <w:sz w:val="14"/>
                <w:szCs w:val="14"/>
                <w:color w:val="0E2A35"/>
              </w:rPr>
              <w:t>2,227,535​</w:t>
            </w:r>
          </w:p>
        </w:tc>
        <w:tc>
          <w:tcPr>
            <w:tcW w:w="1160" w:type="dxa"/>
            <w:vAlign w:val="bottom"/>
          </w:tcPr>
          <w:p>
            <w:pPr>
              <w:jc w:val="right"/>
              <w:ind w:right="270"/>
              <w:spacing w:after="0"/>
              <w:rPr>
                <w:sz w:val="20"/>
                <w:szCs w:val="20"/>
                <w:color w:val="auto"/>
              </w:rPr>
            </w:pPr>
            <w:r>
              <w:rPr>
                <w:rFonts w:ascii="Arial" w:cs="Arial" w:eastAsia="Arial" w:hAnsi="Arial"/>
                <w:sz w:val="14"/>
                <w:szCs w:val="14"/>
                <w:color w:val="0E2A35"/>
              </w:rPr>
              <w:t>243,872​</w:t>
            </w:r>
          </w:p>
        </w:tc>
        <w:tc>
          <w:tcPr>
            <w:tcW w:w="1180" w:type="dxa"/>
            <w:vAlign w:val="bottom"/>
          </w:tcPr>
          <w:p>
            <w:pPr>
              <w:jc w:val="right"/>
              <w:ind w:right="210"/>
              <w:spacing w:after="0"/>
              <w:rPr>
                <w:sz w:val="20"/>
                <w:szCs w:val="20"/>
                <w:color w:val="auto"/>
              </w:rPr>
            </w:pPr>
            <w:r>
              <w:rPr>
                <w:rFonts w:ascii="Arial" w:cs="Arial" w:eastAsia="Arial" w:hAnsi="Arial"/>
                <w:sz w:val="14"/>
                <w:szCs w:val="14"/>
                <w:color w:val="0E2A35"/>
              </w:rPr>
              <w:t>1,379,359​</w:t>
            </w:r>
          </w:p>
        </w:tc>
        <w:tc>
          <w:tcPr>
            <w:tcW w:w="380" w:type="dxa"/>
            <w:vAlign w:val="bottom"/>
          </w:tcPr>
          <w:p>
            <w:pPr>
              <w:ind w:left="30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229"/>
              <w:spacing w:after="0"/>
              <w:rPr>
                <w:sz w:val="20"/>
                <w:szCs w:val="20"/>
                <w:color w:val="auto"/>
              </w:rPr>
            </w:pPr>
            <w:r>
              <w:rPr>
                <w:rFonts w:ascii="Arial" w:cs="Arial" w:eastAsia="Arial" w:hAnsi="Arial"/>
                <w:sz w:val="14"/>
                <w:szCs w:val="14"/>
                <w:color w:val="0E2A35"/>
              </w:rPr>
              <w:t>682,137</w:t>
            </w:r>
          </w:p>
        </w:tc>
        <w:tc>
          <w:tcPr>
            <w:tcW w:w="1120" w:type="dxa"/>
            <w:vAlign w:val="bottom"/>
          </w:tcPr>
          <w:p>
            <w:pPr>
              <w:jc w:val="right"/>
              <w:ind w:right="150"/>
              <w:spacing w:after="0"/>
              <w:rPr>
                <w:sz w:val="20"/>
                <w:szCs w:val="20"/>
                <w:color w:val="auto"/>
              </w:rPr>
            </w:pPr>
            <w:r>
              <w:rPr>
                <w:rFonts w:ascii="Arial" w:cs="Arial" w:eastAsia="Arial" w:hAnsi="Arial"/>
                <w:sz w:val="14"/>
                <w:szCs w:val="14"/>
                <w:color w:val="0E2A35"/>
              </w:rPr>
              <w:t>​ 62,358</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340" w:type="dxa"/>
            <w:vAlign w:val="bottom"/>
          </w:tcPr>
          <w:p>
            <w:pPr>
              <w:ind w:left="420"/>
              <w:spacing w:after="0"/>
              <w:rPr>
                <w:sz w:val="20"/>
                <w:szCs w:val="20"/>
                <w:color w:val="auto"/>
              </w:rPr>
            </w:pPr>
            <w:r>
              <w:rPr>
                <w:rFonts w:ascii="Arial" w:cs="Arial" w:eastAsia="Arial" w:hAnsi="Arial"/>
                <w:sz w:val="14"/>
                <w:szCs w:val="14"/>
                <w:color w:val="0E2A35"/>
              </w:rPr>
              <w:t>Death or Disability</w:t>
            </w:r>
          </w:p>
        </w:tc>
        <w:tc>
          <w:tcPr>
            <w:tcW w:w="124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270"/>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210"/>
              <w:spacing w:after="0"/>
              <w:rPr>
                <w:sz w:val="20"/>
                <w:szCs w:val="20"/>
                <w:color w:val="auto"/>
              </w:rPr>
            </w:pPr>
            <w:r>
              <w:rPr>
                <w:rFonts w:ascii="Arial" w:cs="Arial" w:eastAsia="Arial" w:hAnsi="Arial"/>
                <w:sz w:val="14"/>
                <w:szCs w:val="14"/>
                <w:color w:val="0E2A35"/>
              </w:rPr>
              <w:t>1,379,359​</w:t>
            </w:r>
          </w:p>
        </w:tc>
        <w:tc>
          <w:tcPr>
            <w:tcW w:w="380" w:type="dxa"/>
            <w:vAlign w:val="bottom"/>
          </w:tcPr>
          <w:p>
            <w:pPr>
              <w:ind w:left="30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229"/>
              <w:spacing w:after="0"/>
              <w:rPr>
                <w:sz w:val="20"/>
                <w:szCs w:val="20"/>
                <w:color w:val="auto"/>
              </w:rPr>
            </w:pPr>
            <w:r>
              <w:rPr>
                <w:rFonts w:ascii="Arial" w:cs="Arial" w:eastAsia="Arial" w:hAnsi="Arial"/>
                <w:sz w:val="14"/>
                <w:szCs w:val="14"/>
                <w:color w:val="0E2A35"/>
              </w:rPr>
              <w:t>682,137</w:t>
            </w:r>
          </w:p>
        </w:tc>
        <w:tc>
          <w:tcPr>
            <w:tcW w:w="1120" w:type="dxa"/>
            <w:vAlign w:val="bottom"/>
          </w:tcPr>
          <w:p>
            <w:pPr>
              <w:jc w:val="right"/>
              <w:ind w:right="150"/>
              <w:spacing w:after="0"/>
              <w:rPr>
                <w:sz w:val="20"/>
                <w:szCs w:val="20"/>
                <w:color w:val="auto"/>
              </w:rPr>
            </w:pPr>
            <w:r>
              <w:rPr>
                <w:rFonts w:ascii="Arial" w:cs="Arial" w:eastAsia="Arial" w:hAnsi="Arial"/>
                <w:sz w:val="14"/>
                <w:szCs w:val="14"/>
                <w:color w:val="0E2A35"/>
              </w:rPr>
              <w:t>​ 62,358</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3340" w:type="dxa"/>
            <w:vAlign w:val="bottom"/>
            <w:shd w:val="clear" w:color="auto" w:fill="C9D4D8"/>
          </w:tcPr>
          <w:p>
            <w:pPr>
              <w:ind w:left="60"/>
              <w:spacing w:after="0"/>
              <w:rPr>
                <w:sz w:val="20"/>
                <w:szCs w:val="20"/>
                <w:color w:val="auto"/>
              </w:rPr>
            </w:pPr>
            <w:r>
              <w:rPr>
                <w:rFonts w:ascii="Arial" w:cs="Arial" w:eastAsia="Arial" w:hAnsi="Arial"/>
                <w:sz w:val="14"/>
                <w:szCs w:val="14"/>
                <w:b w:val="1"/>
                <w:bCs w:val="1"/>
                <w:color w:val="0E2A35"/>
              </w:rPr>
              <w:t>Stacy L. Bogart</w:t>
            </w:r>
          </w:p>
        </w:tc>
        <w:tc>
          <w:tcPr>
            <w:tcW w:w="1240" w:type="dxa"/>
            <w:vAlign w:val="bottom"/>
            <w:shd w:val="clear" w:color="auto" w:fill="C9D4D8"/>
          </w:tcPr>
          <w:p>
            <w:pPr>
              <w:spacing w:after="0"/>
              <w:rPr>
                <w:sz w:val="24"/>
                <w:szCs w:val="24"/>
                <w:color w:val="auto"/>
              </w:rPr>
            </w:pPr>
          </w:p>
        </w:tc>
        <w:tc>
          <w:tcPr>
            <w:tcW w:w="1160" w:type="dxa"/>
            <w:vAlign w:val="bottom"/>
            <w:shd w:val="clear" w:color="auto" w:fill="C9D4D8"/>
          </w:tcPr>
          <w:p>
            <w:pPr>
              <w:spacing w:after="0"/>
              <w:rPr>
                <w:sz w:val="24"/>
                <w:szCs w:val="24"/>
                <w:color w:val="auto"/>
              </w:rPr>
            </w:pPr>
          </w:p>
        </w:tc>
        <w:tc>
          <w:tcPr>
            <w:tcW w:w="1180" w:type="dxa"/>
            <w:vAlign w:val="bottom"/>
            <w:shd w:val="clear" w:color="auto" w:fill="C9D4D8"/>
          </w:tcPr>
          <w:p>
            <w:pPr>
              <w:spacing w:after="0"/>
              <w:rPr>
                <w:sz w:val="24"/>
                <w:szCs w:val="24"/>
                <w:color w:val="auto"/>
              </w:rPr>
            </w:pPr>
          </w:p>
        </w:tc>
        <w:tc>
          <w:tcPr>
            <w:tcW w:w="380" w:type="dxa"/>
            <w:vAlign w:val="bottom"/>
            <w:shd w:val="clear" w:color="auto" w:fill="C9D4D8"/>
          </w:tcPr>
          <w:p>
            <w:pPr>
              <w:spacing w:after="0"/>
              <w:rPr>
                <w:sz w:val="24"/>
                <w:szCs w:val="24"/>
                <w:color w:val="auto"/>
              </w:rPr>
            </w:pPr>
          </w:p>
        </w:tc>
        <w:tc>
          <w:tcPr>
            <w:tcW w:w="860" w:type="dxa"/>
            <w:vAlign w:val="bottom"/>
            <w:shd w:val="clear" w:color="auto" w:fill="C9D4D8"/>
          </w:tcPr>
          <w:p>
            <w:pPr>
              <w:spacing w:after="0"/>
              <w:rPr>
                <w:sz w:val="24"/>
                <w:szCs w:val="24"/>
                <w:color w:val="auto"/>
              </w:rPr>
            </w:pPr>
          </w:p>
        </w:tc>
        <w:tc>
          <w:tcPr>
            <w:tcW w:w="1120" w:type="dxa"/>
            <w:vAlign w:val="bottom"/>
            <w:shd w:val="clear" w:color="auto" w:fill="C9D4D8"/>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340" w:type="dxa"/>
            <w:vAlign w:val="bottom"/>
            <w:tcBorders>
              <w:bottom w:val="single" w:sz="8" w:color="0E2A35"/>
            </w:tcBorders>
            <w:shd w:val="clear" w:color="auto" w:fill="C9D4D8"/>
          </w:tcPr>
          <w:p>
            <w:pPr>
              <w:spacing w:after="0"/>
              <w:rPr>
                <w:sz w:val="7"/>
                <w:szCs w:val="7"/>
                <w:color w:val="auto"/>
              </w:rPr>
            </w:pPr>
          </w:p>
        </w:tc>
        <w:tc>
          <w:tcPr>
            <w:tcW w:w="1240" w:type="dxa"/>
            <w:vAlign w:val="bottom"/>
            <w:tcBorders>
              <w:bottom w:val="single" w:sz="8" w:color="0E2A35"/>
            </w:tcBorders>
            <w:shd w:val="clear" w:color="auto" w:fill="C9D4D8"/>
          </w:tcPr>
          <w:p>
            <w:pPr>
              <w:spacing w:after="0"/>
              <w:rPr>
                <w:sz w:val="7"/>
                <w:szCs w:val="7"/>
                <w:color w:val="auto"/>
              </w:rPr>
            </w:pPr>
          </w:p>
        </w:tc>
        <w:tc>
          <w:tcPr>
            <w:tcW w:w="1160" w:type="dxa"/>
            <w:vAlign w:val="bottom"/>
            <w:tcBorders>
              <w:bottom w:val="single" w:sz="8" w:color="0E2A35"/>
            </w:tcBorders>
            <w:shd w:val="clear" w:color="auto" w:fill="C9D4D8"/>
          </w:tcPr>
          <w:p>
            <w:pPr>
              <w:spacing w:after="0"/>
              <w:rPr>
                <w:sz w:val="7"/>
                <w:szCs w:val="7"/>
                <w:color w:val="auto"/>
              </w:rPr>
            </w:pPr>
          </w:p>
        </w:tc>
        <w:tc>
          <w:tcPr>
            <w:tcW w:w="1180" w:type="dxa"/>
            <w:vAlign w:val="bottom"/>
            <w:tcBorders>
              <w:bottom w:val="single" w:sz="8" w:color="0E2A35"/>
            </w:tcBorders>
            <w:shd w:val="clear" w:color="auto" w:fill="C9D4D8"/>
          </w:tcPr>
          <w:p>
            <w:pPr>
              <w:spacing w:after="0"/>
              <w:rPr>
                <w:sz w:val="7"/>
                <w:szCs w:val="7"/>
                <w:color w:val="auto"/>
              </w:rPr>
            </w:pPr>
          </w:p>
        </w:tc>
        <w:tc>
          <w:tcPr>
            <w:tcW w:w="380" w:type="dxa"/>
            <w:vAlign w:val="bottom"/>
            <w:tcBorders>
              <w:bottom w:val="single" w:sz="8" w:color="0E2A35"/>
            </w:tcBorders>
            <w:shd w:val="clear" w:color="auto" w:fill="C9D4D8"/>
          </w:tcPr>
          <w:p>
            <w:pPr>
              <w:spacing w:after="0"/>
              <w:rPr>
                <w:sz w:val="7"/>
                <w:szCs w:val="7"/>
                <w:color w:val="auto"/>
              </w:rPr>
            </w:pPr>
          </w:p>
        </w:tc>
        <w:tc>
          <w:tcPr>
            <w:tcW w:w="860" w:type="dxa"/>
            <w:vAlign w:val="bottom"/>
            <w:tcBorders>
              <w:bottom w:val="single" w:sz="8" w:color="0E2A35"/>
            </w:tcBorders>
            <w:shd w:val="clear" w:color="auto" w:fill="C9D4D8"/>
          </w:tcPr>
          <w:p>
            <w:pPr>
              <w:spacing w:after="0"/>
              <w:rPr>
                <w:sz w:val="7"/>
                <w:szCs w:val="7"/>
                <w:color w:val="auto"/>
              </w:rPr>
            </w:pPr>
          </w:p>
        </w:tc>
        <w:tc>
          <w:tcPr>
            <w:tcW w:w="1120" w:type="dxa"/>
            <w:vAlign w:val="bottom"/>
            <w:tcBorders>
              <w:bottom w:val="single" w:sz="8" w:color="0E2A35"/>
            </w:tcBorders>
            <w:shd w:val="clear" w:color="auto" w:fill="C9D4D8"/>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240" w:type="dxa"/>
            <w:vAlign w:val="bottom"/>
            <w:tcBorders>
              <w:bottom w:val="single" w:sz="8" w:color="0E2A35"/>
            </w:tcBorders>
          </w:tcPr>
          <w:p>
            <w:pPr>
              <w:jc w:val="right"/>
              <w:ind w:right="189"/>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270"/>
              <w:spacing w:after="0"/>
              <w:rPr>
                <w:sz w:val="20"/>
                <w:szCs w:val="20"/>
                <w:color w:val="auto"/>
              </w:rPr>
            </w:pPr>
            <w:r>
              <w:rPr>
                <w:rFonts w:ascii="Arial" w:cs="Arial" w:eastAsia="Arial" w:hAnsi="Arial"/>
                <w:sz w:val="14"/>
                <w:szCs w:val="14"/>
                <w:color w:val="0E2A35"/>
              </w:rPr>
              <w:t>—</w:t>
            </w:r>
          </w:p>
        </w:tc>
        <w:tc>
          <w:tcPr>
            <w:tcW w:w="1180" w:type="dxa"/>
            <w:vAlign w:val="bottom"/>
            <w:tcBorders>
              <w:bottom w:val="single" w:sz="8" w:color="0E2A35"/>
            </w:tcBorders>
          </w:tcPr>
          <w:p>
            <w:pPr>
              <w:jc w:val="right"/>
              <w:ind w:right="210"/>
              <w:spacing w:after="0"/>
              <w:rPr>
                <w:sz w:val="20"/>
                <w:szCs w:val="20"/>
                <w:color w:val="auto"/>
              </w:rPr>
            </w:pPr>
            <w:r>
              <w:rPr>
                <w:rFonts w:ascii="Arial" w:cs="Arial" w:eastAsia="Arial" w:hAnsi="Arial"/>
                <w:sz w:val="14"/>
                <w:szCs w:val="14"/>
                <w:color w:val="0E2A35"/>
              </w:rPr>
              <w:t>—</w:t>
            </w:r>
          </w:p>
        </w:tc>
        <w:tc>
          <w:tcPr>
            <w:tcW w:w="38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jc w:val="right"/>
              <w:ind w:right="229"/>
              <w:spacing w:after="0"/>
              <w:rPr>
                <w:sz w:val="20"/>
                <w:szCs w:val="20"/>
                <w:color w:val="auto"/>
              </w:rPr>
            </w:pPr>
            <w:r>
              <w:rPr>
                <w:rFonts w:ascii="Arial" w:cs="Arial" w:eastAsia="Arial" w:hAnsi="Arial"/>
                <w:sz w:val="14"/>
                <w:szCs w:val="14"/>
                <w:color w:val="0E2A35"/>
              </w:rPr>
              <w:t>—</w:t>
            </w:r>
          </w:p>
        </w:tc>
        <w:tc>
          <w:tcPr>
            <w:tcW w:w="1120" w:type="dxa"/>
            <w:vAlign w:val="bottom"/>
            <w:tcBorders>
              <w:bottom w:val="single" w:sz="8" w:color="0E2A35"/>
            </w:tcBorders>
          </w:tcPr>
          <w:p>
            <w:pPr>
              <w:jc w:val="right"/>
              <w:ind w:right="1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79"/>
        </w:trPr>
        <w:tc>
          <w:tcPr>
            <w:tcW w:w="3340" w:type="dxa"/>
            <w:vAlign w:val="bottom"/>
          </w:tcPr>
          <w:p>
            <w:pPr>
              <w:ind w:left="240"/>
              <w:spacing w:after="0"/>
              <w:rPr>
                <w:sz w:val="20"/>
                <w:szCs w:val="20"/>
                <w:color w:val="auto"/>
              </w:rPr>
            </w:pPr>
            <w:r>
              <w:rPr>
                <w:rFonts w:ascii="Arial" w:cs="Arial" w:eastAsia="Arial" w:hAnsi="Arial"/>
                <w:sz w:val="14"/>
                <w:szCs w:val="14"/>
                <w:color w:val="0E2A35"/>
              </w:rPr>
              <w:t>Involuntary Termination for Cause</w:t>
            </w:r>
          </w:p>
        </w:tc>
        <w:tc>
          <w:tcPr>
            <w:tcW w:w="124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270"/>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210"/>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340" w:type="dxa"/>
            <w:vAlign w:val="bottom"/>
          </w:tcPr>
          <w:p>
            <w:pPr>
              <w:ind w:left="24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189"/>
              <w:spacing w:after="0"/>
              <w:rPr>
                <w:sz w:val="20"/>
                <w:szCs w:val="20"/>
                <w:color w:val="auto"/>
              </w:rPr>
            </w:pPr>
            <w:r>
              <w:rPr>
                <w:rFonts w:ascii="Arial" w:cs="Arial" w:eastAsia="Arial" w:hAnsi="Arial"/>
                <w:sz w:val="14"/>
                <w:szCs w:val="14"/>
                <w:color w:val="0E2A35"/>
              </w:rPr>
              <w:t>​ 921,600</w:t>
            </w:r>
          </w:p>
        </w:tc>
        <w:tc>
          <w:tcPr>
            <w:tcW w:w="1160" w:type="dxa"/>
            <w:vAlign w:val="bottom"/>
          </w:tcPr>
          <w:p>
            <w:pPr>
              <w:jc w:val="right"/>
              <w:ind w:right="270"/>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210"/>
              <w:spacing w:after="0"/>
              <w:rPr>
                <w:sz w:val="20"/>
                <w:szCs w:val="20"/>
                <w:color w:val="auto"/>
              </w:rPr>
            </w:pPr>
            <w:r>
              <w:rPr>
                <w:rFonts w:ascii="Arial" w:cs="Arial" w:eastAsia="Arial" w:hAnsi="Arial"/>
                <w:sz w:val="14"/>
                <w:szCs w:val="14"/>
                <w:color w:val="0E2A35"/>
              </w:rPr>
              <w:t>—</w:t>
            </w:r>
          </w:p>
        </w:tc>
        <w:tc>
          <w:tcPr>
            <w:tcW w:w="380" w:type="dxa"/>
            <w:vAlign w:val="bottom"/>
          </w:tcPr>
          <w:p>
            <w:pPr>
              <w:spacing w:after="0"/>
              <w:rPr>
                <w:sz w:val="24"/>
                <w:szCs w:val="24"/>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15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124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180" w:type="dxa"/>
            <w:vAlign w:val="bottom"/>
            <w:tcBorders>
              <w:bottom w:val="single" w:sz="8" w:color="0E2A35"/>
            </w:tcBorders>
          </w:tcPr>
          <w:p>
            <w:pPr>
              <w:spacing w:after="0"/>
              <w:rPr>
                <w:sz w:val="24"/>
                <w:szCs w:val="24"/>
                <w:color w:val="auto"/>
              </w:rPr>
            </w:pPr>
          </w:p>
        </w:tc>
        <w:tc>
          <w:tcPr>
            <w:tcW w:w="380" w:type="dxa"/>
            <w:vAlign w:val="bottom"/>
            <w:tcBorders>
              <w:bottom w:val="single" w:sz="8" w:color="0E2A35"/>
            </w:tcBorders>
          </w:tcPr>
          <w:p>
            <w:pPr>
              <w:spacing w:after="0"/>
              <w:rPr>
                <w:sz w:val="24"/>
                <w:szCs w:val="24"/>
                <w:color w:val="auto"/>
              </w:rPr>
            </w:pPr>
          </w:p>
        </w:tc>
        <w:tc>
          <w:tcPr>
            <w:tcW w:w="860" w:type="dxa"/>
            <w:vAlign w:val="bottom"/>
            <w:tcBorders>
              <w:bottom w:val="single" w:sz="8" w:color="0E2A35"/>
            </w:tcBorders>
          </w:tcPr>
          <w:p>
            <w:pPr>
              <w:spacing w:after="0"/>
              <w:rPr>
                <w:sz w:val="24"/>
                <w:szCs w:val="24"/>
                <w:color w:val="auto"/>
              </w:rPr>
            </w:pPr>
          </w:p>
        </w:tc>
        <w:tc>
          <w:tcPr>
            <w:tcW w:w="1120" w:type="dxa"/>
            <w:vAlign w:val="bottom"/>
            <w:tcBorders>
              <w:bottom w:val="single" w:sz="8" w:color="0E2A35"/>
            </w:tcBorders>
          </w:tcPr>
          <w:p>
            <w:pPr>
              <w:jc w:val="right"/>
              <w:ind w:right="630"/>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79"/>
        </w:trPr>
        <w:tc>
          <w:tcPr>
            <w:tcW w:w="3340" w:type="dxa"/>
            <w:vAlign w:val="bottom"/>
          </w:tcPr>
          <w:p>
            <w:pPr>
              <w:ind w:left="4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189"/>
              <w:spacing w:after="0"/>
              <w:rPr>
                <w:sz w:val="20"/>
                <w:szCs w:val="20"/>
                <w:color w:val="auto"/>
              </w:rPr>
            </w:pPr>
            <w:r>
              <w:rPr>
                <w:rFonts w:ascii="Arial" w:cs="Arial" w:eastAsia="Arial" w:hAnsi="Arial"/>
                <w:sz w:val="14"/>
                <w:szCs w:val="14"/>
                <w:color w:val="0E2A35"/>
              </w:rPr>
              <w:t>1,843,200​</w:t>
            </w:r>
          </w:p>
        </w:tc>
        <w:tc>
          <w:tcPr>
            <w:tcW w:w="1160" w:type="dxa"/>
            <w:vAlign w:val="bottom"/>
          </w:tcPr>
          <w:p>
            <w:pPr>
              <w:jc w:val="right"/>
              <w:ind w:right="270"/>
              <w:spacing w:after="0"/>
              <w:rPr>
                <w:sz w:val="20"/>
                <w:szCs w:val="20"/>
                <w:color w:val="auto"/>
              </w:rPr>
            </w:pPr>
            <w:r>
              <w:rPr>
                <w:rFonts w:ascii="Arial" w:cs="Arial" w:eastAsia="Arial" w:hAnsi="Arial"/>
                <w:sz w:val="14"/>
                <w:szCs w:val="14"/>
                <w:color w:val="0E2A35"/>
              </w:rPr>
              <w:t>193,024​</w:t>
            </w:r>
          </w:p>
        </w:tc>
        <w:tc>
          <w:tcPr>
            <w:tcW w:w="1180" w:type="dxa"/>
            <w:vAlign w:val="bottom"/>
          </w:tcPr>
          <w:p>
            <w:pPr>
              <w:jc w:val="right"/>
              <w:ind w:right="210"/>
              <w:spacing w:after="0"/>
              <w:rPr>
                <w:sz w:val="20"/>
                <w:szCs w:val="20"/>
                <w:color w:val="auto"/>
              </w:rPr>
            </w:pPr>
            <w:r>
              <w:rPr>
                <w:rFonts w:ascii="Arial" w:cs="Arial" w:eastAsia="Arial" w:hAnsi="Arial"/>
                <w:sz w:val="14"/>
                <w:szCs w:val="14"/>
                <w:color w:val="0E2A35"/>
              </w:rPr>
              <w:t>1,069,829​</w:t>
            </w:r>
          </w:p>
        </w:tc>
        <w:tc>
          <w:tcPr>
            <w:tcW w:w="380" w:type="dxa"/>
            <w:vAlign w:val="bottom"/>
          </w:tcPr>
          <w:p>
            <w:pPr>
              <w:ind w:left="30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229"/>
              <w:spacing w:after="0"/>
              <w:rPr>
                <w:sz w:val="20"/>
                <w:szCs w:val="20"/>
                <w:color w:val="auto"/>
              </w:rPr>
            </w:pPr>
            <w:r>
              <w:rPr>
                <w:rFonts w:ascii="Arial" w:cs="Arial" w:eastAsia="Arial" w:hAnsi="Arial"/>
                <w:sz w:val="14"/>
                <w:szCs w:val="14"/>
                <w:color w:val="0E2A35"/>
              </w:rPr>
              <w:t>531,478</w:t>
            </w:r>
          </w:p>
        </w:tc>
        <w:tc>
          <w:tcPr>
            <w:tcW w:w="1120" w:type="dxa"/>
            <w:vAlign w:val="bottom"/>
          </w:tcPr>
          <w:p>
            <w:pPr>
              <w:jc w:val="right"/>
              <w:ind w:right="150"/>
              <w:spacing w:after="0"/>
              <w:rPr>
                <w:sz w:val="20"/>
                <w:szCs w:val="20"/>
                <w:color w:val="auto"/>
              </w:rPr>
            </w:pPr>
            <w:r>
              <w:rPr>
                <w:rFonts w:ascii="Arial" w:cs="Arial" w:eastAsia="Arial" w:hAnsi="Arial"/>
                <w:sz w:val="14"/>
                <w:szCs w:val="14"/>
                <w:color w:val="0E2A35"/>
              </w:rPr>
              <w:t>​ 47,710</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340" w:type="dxa"/>
            <w:vAlign w:val="bottom"/>
          </w:tcPr>
          <w:p>
            <w:pPr>
              <w:ind w:left="420"/>
              <w:spacing w:after="0"/>
              <w:rPr>
                <w:sz w:val="20"/>
                <w:szCs w:val="20"/>
                <w:color w:val="auto"/>
              </w:rPr>
            </w:pPr>
            <w:r>
              <w:rPr>
                <w:rFonts w:ascii="Arial" w:cs="Arial" w:eastAsia="Arial" w:hAnsi="Arial"/>
                <w:sz w:val="14"/>
                <w:szCs w:val="14"/>
                <w:color w:val="0E2A35"/>
              </w:rPr>
              <w:t>Death or Disability</w:t>
            </w:r>
          </w:p>
        </w:tc>
        <w:tc>
          <w:tcPr>
            <w:tcW w:w="1240" w:type="dxa"/>
            <w:vAlign w:val="bottom"/>
          </w:tcPr>
          <w:p>
            <w:pPr>
              <w:jc w:val="right"/>
              <w:ind w:right="189"/>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270"/>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210"/>
              <w:spacing w:after="0"/>
              <w:rPr>
                <w:sz w:val="20"/>
                <w:szCs w:val="20"/>
                <w:color w:val="auto"/>
              </w:rPr>
            </w:pPr>
            <w:r>
              <w:rPr>
                <w:rFonts w:ascii="Arial" w:cs="Arial" w:eastAsia="Arial" w:hAnsi="Arial"/>
                <w:sz w:val="14"/>
                <w:szCs w:val="14"/>
                <w:color w:val="0E2A35"/>
              </w:rPr>
              <w:t>1,069,829​</w:t>
            </w:r>
          </w:p>
        </w:tc>
        <w:tc>
          <w:tcPr>
            <w:tcW w:w="380" w:type="dxa"/>
            <w:vAlign w:val="bottom"/>
          </w:tcPr>
          <w:p>
            <w:pPr>
              <w:ind w:left="300"/>
              <w:spacing w:after="0"/>
              <w:rPr>
                <w:sz w:val="20"/>
                <w:szCs w:val="20"/>
                <w:color w:val="auto"/>
              </w:rPr>
            </w:pPr>
            <w:r>
              <w:rPr>
                <w:rFonts w:ascii="Arial" w:cs="Arial" w:eastAsia="Arial" w:hAnsi="Arial"/>
                <w:sz w:val="14"/>
                <w:szCs w:val="14"/>
                <w:color w:val="0E2A35"/>
              </w:rPr>
              <w:t>​</w:t>
            </w:r>
          </w:p>
        </w:tc>
        <w:tc>
          <w:tcPr>
            <w:tcW w:w="860" w:type="dxa"/>
            <w:vAlign w:val="bottom"/>
          </w:tcPr>
          <w:p>
            <w:pPr>
              <w:jc w:val="right"/>
              <w:ind w:right="229"/>
              <w:spacing w:after="0"/>
              <w:rPr>
                <w:sz w:val="20"/>
                <w:szCs w:val="20"/>
                <w:color w:val="auto"/>
              </w:rPr>
            </w:pPr>
            <w:r>
              <w:rPr>
                <w:rFonts w:ascii="Arial" w:cs="Arial" w:eastAsia="Arial" w:hAnsi="Arial"/>
                <w:sz w:val="14"/>
                <w:szCs w:val="14"/>
                <w:color w:val="0E2A35"/>
              </w:rPr>
              <w:t>531,478</w:t>
            </w:r>
          </w:p>
        </w:tc>
        <w:tc>
          <w:tcPr>
            <w:tcW w:w="1120" w:type="dxa"/>
            <w:vAlign w:val="bottom"/>
          </w:tcPr>
          <w:p>
            <w:pPr>
              <w:jc w:val="right"/>
              <w:ind w:right="150"/>
              <w:spacing w:after="0"/>
              <w:rPr>
                <w:sz w:val="20"/>
                <w:szCs w:val="20"/>
                <w:color w:val="auto"/>
              </w:rPr>
            </w:pPr>
            <w:r>
              <w:rPr>
                <w:rFonts w:ascii="Arial" w:cs="Arial" w:eastAsia="Arial" w:hAnsi="Arial"/>
                <w:sz w:val="14"/>
                <w:szCs w:val="14"/>
                <w:color w:val="0E2A35"/>
              </w:rPr>
              <w:t>​ 47,710</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380" w:type="dxa"/>
            <w:vAlign w:val="bottom"/>
            <w:tcBorders>
              <w:bottom w:val="single" w:sz="8" w:color="0E2A35"/>
            </w:tcBorders>
          </w:tcPr>
          <w:p>
            <w:pPr>
              <w:spacing w:after="0"/>
              <w:rPr>
                <w:sz w:val="8"/>
                <w:szCs w:val="8"/>
                <w:color w:val="auto"/>
              </w:rPr>
            </w:pPr>
          </w:p>
        </w:tc>
        <w:tc>
          <w:tcPr>
            <w:tcW w:w="86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40" w:type="dxa"/>
            <w:vAlign w:val="bottom"/>
            <w:shd w:val="clear" w:color="auto" w:fill="0E2A35"/>
          </w:tcPr>
          <w:p>
            <w:pPr>
              <w:spacing w:after="0"/>
              <w:rPr>
                <w:sz w:val="19"/>
                <w:szCs w:val="19"/>
                <w:color w:val="auto"/>
              </w:rPr>
            </w:pPr>
          </w:p>
        </w:tc>
        <w:tc>
          <w:tcPr>
            <w:tcW w:w="1240" w:type="dxa"/>
            <w:vAlign w:val="bottom"/>
            <w:shd w:val="clear" w:color="auto" w:fill="0E2A35"/>
          </w:tcPr>
          <w:p>
            <w:pPr>
              <w:spacing w:after="0"/>
              <w:rPr>
                <w:sz w:val="19"/>
                <w:szCs w:val="19"/>
                <w:color w:val="auto"/>
              </w:rPr>
            </w:pP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Annual or</w:t>
            </w:r>
          </w:p>
        </w:tc>
        <w:tc>
          <w:tcPr>
            <w:tcW w:w="118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LTIP /</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Restricted</w:t>
            </w:r>
          </w:p>
        </w:tc>
        <w:tc>
          <w:tcPr>
            <w:tcW w:w="1120" w:type="dxa"/>
            <w:vAlign w:val="bottom"/>
            <w:shd w:val="clear" w:color="auto" w:fill="0E2A35"/>
          </w:tcPr>
          <w:p>
            <w:pPr>
              <w:jc w:val="center"/>
              <w:ind w:left="71"/>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3340" w:type="dxa"/>
            <w:vAlign w:val="bottom"/>
            <w:shd w:val="clear" w:color="auto" w:fill="0E2A35"/>
          </w:tcPr>
          <w:p>
            <w:pPr>
              <w:spacing w:after="0"/>
              <w:rPr>
                <w:sz w:val="11"/>
                <w:szCs w:val="11"/>
                <w:color w:val="auto"/>
              </w:rPr>
            </w:pPr>
          </w:p>
        </w:tc>
        <w:tc>
          <w:tcPr>
            <w:tcW w:w="1240" w:type="dxa"/>
            <w:vAlign w:val="bottom"/>
            <w:shd w:val="clear" w:color="auto" w:fill="0E2A35"/>
          </w:tcPr>
          <w:p>
            <w:pPr>
              <w:spacing w:after="0"/>
              <w:rPr>
                <w:sz w:val="11"/>
                <w:szCs w:val="11"/>
                <w:color w:val="auto"/>
              </w:rPr>
            </w:pPr>
          </w:p>
        </w:tc>
        <w:tc>
          <w:tcPr>
            <w:tcW w:w="11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8"/>
              </w:rPr>
              <w:t>Management</w:t>
            </w:r>
          </w:p>
        </w:tc>
        <w:tc>
          <w:tcPr>
            <w:tcW w:w="1180" w:type="dxa"/>
            <w:vAlign w:val="bottom"/>
            <w:vMerge w:val="continue"/>
            <w:shd w:val="clear" w:color="auto" w:fill="0E2A35"/>
          </w:tcPr>
          <w:p>
            <w:pPr>
              <w:spacing w:after="0"/>
              <w:rPr>
                <w:sz w:val="11"/>
                <w:szCs w:val="11"/>
                <w:color w:val="auto"/>
              </w:rPr>
            </w:pPr>
          </w:p>
        </w:tc>
        <w:tc>
          <w:tcPr>
            <w:tcW w:w="12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1120" w:type="dxa"/>
            <w:vAlign w:val="bottom"/>
            <w:shd w:val="clear" w:color="auto" w:fill="0E2A35"/>
          </w:tcPr>
          <w:p>
            <w:pPr>
              <w:jc w:val="center"/>
              <w:ind w:left="51"/>
              <w:spacing w:after="0" w:line="135" w:lineRule="exact"/>
              <w:rPr>
                <w:sz w:val="20"/>
                <w:szCs w:val="20"/>
                <w:color w:val="auto"/>
              </w:rPr>
            </w:pPr>
            <w:r>
              <w:rPr>
                <w:rFonts w:ascii="Arial" w:cs="Arial" w:eastAsia="Arial" w:hAnsi="Arial"/>
                <w:sz w:val="13"/>
                <w:szCs w:val="13"/>
                <w:b w:val="1"/>
                <w:bCs w:val="1"/>
                <w:color w:val="FFFFFF"/>
                <w:w w:val="97"/>
              </w:rPr>
              <w:t>Options-</w:t>
            </w:r>
          </w:p>
        </w:tc>
        <w:tc>
          <w:tcPr>
            <w:tcW w:w="0" w:type="dxa"/>
            <w:vAlign w:val="bottom"/>
          </w:tcPr>
          <w:p>
            <w:pPr>
              <w:spacing w:after="0"/>
              <w:rPr>
                <w:sz w:val="1"/>
                <w:szCs w:val="1"/>
                <w:color w:val="auto"/>
              </w:rPr>
            </w:pPr>
          </w:p>
        </w:tc>
      </w:tr>
      <w:tr>
        <w:trPr>
          <w:trHeight w:val="145"/>
        </w:trPr>
        <w:tc>
          <w:tcPr>
            <w:tcW w:w="3340" w:type="dxa"/>
            <w:vAlign w:val="bottom"/>
            <w:shd w:val="clear" w:color="auto" w:fill="0E2A35"/>
          </w:tcPr>
          <w:p>
            <w:pPr>
              <w:spacing w:after="0"/>
              <w:rPr>
                <w:sz w:val="12"/>
                <w:szCs w:val="12"/>
                <w:color w:val="auto"/>
              </w:rPr>
            </w:pPr>
          </w:p>
        </w:tc>
        <w:tc>
          <w:tcPr>
            <w:tcW w:w="1240" w:type="dxa"/>
            <w:vAlign w:val="bottom"/>
            <w:shd w:val="clear" w:color="auto" w:fill="0E2A35"/>
          </w:tcPr>
          <w:p>
            <w:pPr>
              <w:spacing w:after="0"/>
              <w:rPr>
                <w:sz w:val="12"/>
                <w:szCs w:val="12"/>
                <w:color w:val="auto"/>
              </w:rPr>
            </w:pPr>
          </w:p>
        </w:tc>
        <w:tc>
          <w:tcPr>
            <w:tcW w:w="1160" w:type="dxa"/>
            <w:vAlign w:val="bottom"/>
            <w:shd w:val="clear" w:color="auto" w:fill="0E2A35"/>
          </w:tcPr>
          <w:p>
            <w:pPr>
              <w:jc w:val="center"/>
              <w:spacing w:after="0" w:line="145" w:lineRule="exact"/>
              <w:rPr>
                <w:sz w:val="20"/>
                <w:szCs w:val="20"/>
                <w:color w:val="auto"/>
              </w:rPr>
            </w:pPr>
            <w:r>
              <w:rPr>
                <w:rFonts w:ascii="Arial" w:cs="Arial" w:eastAsia="Arial" w:hAnsi="Arial"/>
                <w:sz w:val="13"/>
                <w:szCs w:val="13"/>
                <w:b w:val="1"/>
                <w:bCs w:val="1"/>
                <w:color w:val="FFFFFF"/>
                <w:w w:val="95"/>
              </w:rPr>
              <w:t>Incentive</w:t>
            </w:r>
          </w:p>
        </w:tc>
        <w:tc>
          <w:tcPr>
            <w:tcW w:w="1180" w:type="dxa"/>
            <w:vAlign w:val="bottom"/>
            <w:shd w:val="clear" w:color="auto" w:fill="0E2A35"/>
          </w:tcPr>
          <w:p>
            <w:pPr>
              <w:jc w:val="center"/>
              <w:spacing w:after="0" w:line="145" w:lineRule="exact"/>
              <w:rPr>
                <w:sz w:val="20"/>
                <w:szCs w:val="20"/>
                <w:color w:val="auto"/>
              </w:rPr>
            </w:pPr>
            <w:r>
              <w:rPr>
                <w:rFonts w:ascii="Arial" w:cs="Arial" w:eastAsia="Arial" w:hAnsi="Arial"/>
                <w:sz w:val="13"/>
                <w:szCs w:val="13"/>
                <w:b w:val="1"/>
                <w:bCs w:val="1"/>
                <w:color w:val="FFFFFF"/>
                <w:w w:val="98"/>
              </w:rPr>
              <w:t>Performance</w:t>
            </w:r>
          </w:p>
        </w:tc>
        <w:tc>
          <w:tcPr>
            <w:tcW w:w="1240" w:type="dxa"/>
            <w:vAlign w:val="bottom"/>
            <w:shd w:val="clear" w:color="auto" w:fill="0E2A35"/>
          </w:tcPr>
          <w:p>
            <w:pPr>
              <w:jc w:val="center"/>
              <w:spacing w:after="0" w:line="145" w:lineRule="exact"/>
              <w:rPr>
                <w:sz w:val="20"/>
                <w:szCs w:val="20"/>
                <w:color w:val="auto"/>
              </w:rPr>
            </w:pPr>
            <w:r>
              <w:rPr>
                <w:rFonts w:ascii="Arial" w:cs="Arial" w:eastAsia="Arial" w:hAnsi="Arial"/>
                <w:sz w:val="13"/>
                <w:szCs w:val="13"/>
                <w:b w:val="1"/>
                <w:bCs w:val="1"/>
                <w:color w:val="FFFFFF"/>
                <w:w w:val="96"/>
              </w:rPr>
              <w:t>Unvested and</w:t>
            </w:r>
          </w:p>
        </w:tc>
        <w:tc>
          <w:tcPr>
            <w:tcW w:w="1120" w:type="dxa"/>
            <w:vAlign w:val="bottom"/>
            <w:shd w:val="clear" w:color="auto" w:fill="0E2A35"/>
          </w:tcPr>
          <w:p>
            <w:pPr>
              <w:jc w:val="center"/>
              <w:ind w:left="71"/>
              <w:spacing w:after="0" w:line="145" w:lineRule="exact"/>
              <w:rPr>
                <w:sz w:val="20"/>
                <w:szCs w:val="20"/>
                <w:color w:val="auto"/>
              </w:rPr>
            </w:pPr>
            <w:r>
              <w:rPr>
                <w:rFonts w:ascii="Arial" w:cs="Arial" w:eastAsia="Arial" w:hAnsi="Arial"/>
                <w:sz w:val="13"/>
                <w:szCs w:val="13"/>
                <w:b w:val="1"/>
                <w:bCs w:val="1"/>
                <w:color w:val="FFFFFF"/>
                <w:w w:val="96"/>
              </w:rPr>
              <w:t>Unvested and</w:t>
            </w:r>
          </w:p>
        </w:tc>
        <w:tc>
          <w:tcPr>
            <w:tcW w:w="0" w:type="dxa"/>
            <w:vAlign w:val="bottom"/>
          </w:tcPr>
          <w:p>
            <w:pPr>
              <w:spacing w:after="0"/>
              <w:rPr>
                <w:sz w:val="1"/>
                <w:szCs w:val="1"/>
                <w:color w:val="auto"/>
              </w:rPr>
            </w:pPr>
          </w:p>
        </w:tc>
      </w:tr>
      <w:tr>
        <w:trPr>
          <w:trHeight w:val="166"/>
        </w:trPr>
        <w:tc>
          <w:tcPr>
            <w:tcW w:w="334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240" w:type="dxa"/>
            <w:vAlign w:val="bottom"/>
            <w:shd w:val="clear" w:color="auto" w:fill="0E2A35"/>
          </w:tcPr>
          <w:p>
            <w:pPr>
              <w:jc w:val="right"/>
              <w:ind w:right="110"/>
              <w:spacing w:after="0" w:line="166" w:lineRule="exact"/>
              <w:rPr>
                <w:sz w:val="20"/>
                <w:szCs w:val="20"/>
                <w:color w:val="auto"/>
              </w:rPr>
            </w:pPr>
            <w:r>
              <w:rPr>
                <w:rFonts w:ascii="Arial" w:cs="Arial" w:eastAsia="Arial" w:hAnsi="Arial"/>
                <w:sz w:val="12"/>
                <w:szCs w:val="12"/>
                <w:b w:val="1"/>
                <w:bCs w:val="1"/>
                <w:color w:val="FFFFFF"/>
              </w:rPr>
              <w:t>Severance</w:t>
            </w:r>
            <w:r>
              <w:rPr>
                <w:rFonts w:ascii="Arial" w:cs="Arial" w:eastAsia="Arial" w:hAnsi="Arial"/>
                <w:sz w:val="19"/>
                <w:szCs w:val="19"/>
                <w:b w:val="1"/>
                <w:bCs w:val="1"/>
                <w:color w:val="FFFFFF"/>
                <w:vertAlign w:val="superscript"/>
              </w:rPr>
              <w:t>(1)</w:t>
            </w:r>
          </w:p>
        </w:tc>
        <w:tc>
          <w:tcPr>
            <w:tcW w:w="1160" w:type="dxa"/>
            <w:vAlign w:val="bottom"/>
            <w:shd w:val="clear" w:color="auto" w:fill="0E2A35"/>
          </w:tcPr>
          <w:p>
            <w:pPr>
              <w:jc w:val="center"/>
              <w:spacing w:after="0" w:line="166" w:lineRule="exact"/>
              <w:rPr>
                <w:sz w:val="20"/>
                <w:szCs w:val="20"/>
                <w:color w:val="auto"/>
              </w:rPr>
            </w:pPr>
            <w:r>
              <w:rPr>
                <w:rFonts w:ascii="Arial" w:cs="Arial" w:eastAsia="Arial" w:hAnsi="Arial"/>
                <w:sz w:val="12"/>
                <w:szCs w:val="12"/>
                <w:b w:val="1"/>
                <w:bCs w:val="1"/>
                <w:color w:val="FFFFFF"/>
                <w:w w:val="97"/>
              </w:rPr>
              <w:t>Plan</w:t>
            </w:r>
            <w:r>
              <w:rPr>
                <w:rFonts w:ascii="Arial" w:cs="Arial" w:eastAsia="Arial" w:hAnsi="Arial"/>
                <w:sz w:val="19"/>
                <w:szCs w:val="19"/>
                <w:b w:val="1"/>
                <w:bCs w:val="1"/>
                <w:color w:val="FFFFFF"/>
                <w:w w:val="97"/>
                <w:vertAlign w:val="superscript"/>
              </w:rPr>
              <w:t>(2)</w:t>
            </w:r>
          </w:p>
        </w:tc>
        <w:tc>
          <w:tcPr>
            <w:tcW w:w="1180" w:type="dxa"/>
            <w:vAlign w:val="bottom"/>
            <w:shd w:val="clear" w:color="auto" w:fill="0E2A35"/>
          </w:tcPr>
          <w:p>
            <w:pPr>
              <w:jc w:val="center"/>
              <w:spacing w:after="0" w:line="166" w:lineRule="exact"/>
              <w:rPr>
                <w:sz w:val="20"/>
                <w:szCs w:val="20"/>
                <w:color w:val="auto"/>
              </w:rPr>
            </w:pPr>
            <w:r>
              <w:rPr>
                <w:rFonts w:ascii="Arial" w:cs="Arial" w:eastAsia="Arial" w:hAnsi="Arial"/>
                <w:sz w:val="12"/>
                <w:szCs w:val="12"/>
                <w:b w:val="1"/>
                <w:bCs w:val="1"/>
                <w:color w:val="FFFFFF"/>
                <w:w w:val="97"/>
              </w:rPr>
              <w:t>Shares</w:t>
            </w:r>
            <w:r>
              <w:rPr>
                <w:rFonts w:ascii="Arial" w:cs="Arial" w:eastAsia="Arial" w:hAnsi="Arial"/>
                <w:sz w:val="19"/>
                <w:szCs w:val="19"/>
                <w:b w:val="1"/>
                <w:bCs w:val="1"/>
                <w:color w:val="FFFFFF"/>
                <w:w w:val="97"/>
                <w:vertAlign w:val="superscript"/>
              </w:rPr>
              <w:t>(3)</w:t>
            </w:r>
          </w:p>
        </w:tc>
        <w:tc>
          <w:tcPr>
            <w:tcW w:w="1240" w:type="dxa"/>
            <w:vAlign w:val="bottom"/>
            <w:shd w:val="clear" w:color="auto" w:fill="0E2A35"/>
          </w:tcPr>
          <w:p>
            <w:pPr>
              <w:jc w:val="center"/>
              <w:spacing w:after="0" w:line="166"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(4)</w:t>
            </w:r>
          </w:p>
        </w:tc>
        <w:tc>
          <w:tcPr>
            <w:tcW w:w="1120" w:type="dxa"/>
            <w:vAlign w:val="bottom"/>
            <w:shd w:val="clear" w:color="auto" w:fill="0E2A35"/>
          </w:tcPr>
          <w:p>
            <w:pPr>
              <w:jc w:val="center"/>
              <w:ind w:left="51"/>
              <w:spacing w:after="0" w:line="166"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(5)</w:t>
            </w:r>
          </w:p>
        </w:tc>
        <w:tc>
          <w:tcPr>
            <w:tcW w:w="0" w:type="dxa"/>
            <w:vAlign w:val="bottom"/>
          </w:tcPr>
          <w:p>
            <w:pPr>
              <w:spacing w:after="0"/>
              <w:rPr>
                <w:sz w:val="1"/>
                <w:szCs w:val="1"/>
                <w:color w:val="auto"/>
              </w:rPr>
            </w:pPr>
          </w:p>
        </w:tc>
      </w:tr>
      <w:tr>
        <w:trPr>
          <w:trHeight w:val="176"/>
        </w:trPr>
        <w:tc>
          <w:tcPr>
            <w:tcW w:w="3340" w:type="dxa"/>
            <w:vAlign w:val="bottom"/>
            <w:vMerge w:val="continue"/>
            <w:shd w:val="clear" w:color="auto" w:fill="0E2A35"/>
          </w:tcPr>
          <w:p>
            <w:pPr>
              <w:spacing w:after="0"/>
              <w:rPr>
                <w:sz w:val="15"/>
                <w:szCs w:val="15"/>
                <w:color w:val="auto"/>
              </w:rPr>
            </w:pPr>
          </w:p>
        </w:tc>
        <w:tc>
          <w:tcPr>
            <w:tcW w:w="1240" w:type="dxa"/>
            <w:vAlign w:val="bottom"/>
            <w:shd w:val="clear" w:color="auto" w:fill="0E2A35"/>
          </w:tcPr>
          <w:p>
            <w:pPr>
              <w:jc w:val="right"/>
              <w:ind w:right="410"/>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87"/>
              </w:rPr>
              <w:t>($)</w:t>
            </w:r>
          </w:p>
        </w:tc>
        <w:tc>
          <w:tcPr>
            <w:tcW w:w="11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0E2A35"/>
          </w:tcPr>
          <w:p>
            <w:pPr>
              <w:jc w:val="center"/>
              <w:ind w:left="91"/>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89"/>
        </w:trPr>
        <w:tc>
          <w:tcPr>
            <w:tcW w:w="3340" w:type="dxa"/>
            <w:vAlign w:val="bottom"/>
            <w:shd w:val="clear" w:color="auto" w:fill="0E2A35"/>
          </w:tcPr>
          <w:p>
            <w:pPr>
              <w:spacing w:after="0"/>
              <w:rPr>
                <w:sz w:val="7"/>
                <w:szCs w:val="7"/>
                <w:color w:val="auto"/>
              </w:rPr>
            </w:pPr>
          </w:p>
        </w:tc>
        <w:tc>
          <w:tcPr>
            <w:tcW w:w="1240" w:type="dxa"/>
            <w:vAlign w:val="bottom"/>
            <w:shd w:val="clear" w:color="auto" w:fill="0E2A35"/>
          </w:tcPr>
          <w:p>
            <w:pPr>
              <w:spacing w:after="0"/>
              <w:rPr>
                <w:sz w:val="7"/>
                <w:szCs w:val="7"/>
                <w:color w:val="auto"/>
              </w:rPr>
            </w:pPr>
          </w:p>
        </w:tc>
        <w:tc>
          <w:tcPr>
            <w:tcW w:w="1160" w:type="dxa"/>
            <w:vAlign w:val="bottom"/>
            <w:shd w:val="clear" w:color="auto" w:fill="0E2A35"/>
          </w:tcPr>
          <w:p>
            <w:pPr>
              <w:spacing w:after="0"/>
              <w:rPr>
                <w:sz w:val="7"/>
                <w:szCs w:val="7"/>
                <w:color w:val="auto"/>
              </w:rPr>
            </w:pPr>
          </w:p>
        </w:tc>
        <w:tc>
          <w:tcPr>
            <w:tcW w:w="1180" w:type="dxa"/>
            <w:vAlign w:val="bottom"/>
            <w:shd w:val="clear" w:color="auto" w:fill="0E2A35"/>
          </w:tcPr>
          <w:p>
            <w:pPr>
              <w:spacing w:after="0"/>
              <w:rPr>
                <w:sz w:val="7"/>
                <w:szCs w:val="7"/>
                <w:color w:val="auto"/>
              </w:rPr>
            </w:pPr>
          </w:p>
        </w:tc>
        <w:tc>
          <w:tcPr>
            <w:tcW w:w="1240" w:type="dxa"/>
            <w:vAlign w:val="bottom"/>
            <w:shd w:val="clear" w:color="auto" w:fill="0E2A35"/>
          </w:tcPr>
          <w:p>
            <w:pPr>
              <w:spacing w:after="0"/>
              <w:rPr>
                <w:sz w:val="7"/>
                <w:szCs w:val="7"/>
                <w:color w:val="auto"/>
              </w:rPr>
            </w:pPr>
          </w:p>
        </w:tc>
        <w:tc>
          <w:tcPr>
            <w:tcW w:w="1120" w:type="dxa"/>
            <w:vAlign w:val="bottom"/>
            <w:shd w:val="clear" w:color="auto" w:fill="0E2A35"/>
          </w:tcPr>
          <w:p>
            <w:pPr>
              <w:spacing w:after="0"/>
              <w:rPr>
                <w:sz w:val="7"/>
                <w:szCs w:val="7"/>
                <w:color w:val="auto"/>
              </w:rPr>
            </w:pPr>
          </w:p>
        </w:tc>
        <w:tc>
          <w:tcPr>
            <w:tcW w:w="0" w:type="dxa"/>
            <w:vAlign w:val="bottom"/>
          </w:tcPr>
          <w:p>
            <w:pPr>
              <w:spacing w:after="0"/>
              <w:rPr>
                <w:sz w:val="1"/>
                <w:szCs w:val="1"/>
                <w:color w:val="auto"/>
              </w:rPr>
            </w:pPr>
          </w:p>
        </w:tc>
      </w:tr>
      <w:tr>
        <w:trPr>
          <w:trHeight w:val="295"/>
        </w:trPr>
        <w:tc>
          <w:tcPr>
            <w:tcW w:w="3340" w:type="dxa"/>
            <w:vAlign w:val="bottom"/>
            <w:shd w:val="clear" w:color="auto" w:fill="C9D4D8"/>
          </w:tcPr>
          <w:p>
            <w:pPr>
              <w:ind w:left="60"/>
              <w:spacing w:after="0"/>
              <w:rPr>
                <w:sz w:val="20"/>
                <w:szCs w:val="20"/>
                <w:color w:val="auto"/>
              </w:rPr>
            </w:pPr>
            <w:r>
              <w:rPr>
                <w:rFonts w:ascii="Arial" w:cs="Arial" w:eastAsia="Arial" w:hAnsi="Arial"/>
                <w:sz w:val="14"/>
                <w:szCs w:val="14"/>
                <w:b w:val="1"/>
                <w:bCs w:val="1"/>
                <w:color w:val="0E2A35"/>
              </w:rPr>
              <w:t>Huw S. Bower</w:t>
            </w:r>
          </w:p>
        </w:tc>
        <w:tc>
          <w:tcPr>
            <w:tcW w:w="1240" w:type="dxa"/>
            <w:vAlign w:val="bottom"/>
            <w:vMerge w:val="restart"/>
            <w:shd w:val="clear" w:color="auto" w:fill="C9D4D8"/>
          </w:tcPr>
          <w:p>
            <w:pPr>
              <w:jc w:val="right"/>
              <w:ind w:right="90"/>
              <w:spacing w:after="0"/>
              <w:rPr>
                <w:sz w:val="20"/>
                <w:szCs w:val="20"/>
                <w:color w:val="auto"/>
              </w:rPr>
            </w:pPr>
            <w:r>
              <w:rPr>
                <w:rFonts w:ascii="Arial" w:cs="Arial" w:eastAsia="Arial" w:hAnsi="Arial"/>
                <w:sz w:val="14"/>
                <w:szCs w:val="14"/>
                <w:color w:val="0E2A35"/>
              </w:rPr>
              <w:t>​</w:t>
            </w:r>
          </w:p>
        </w:tc>
        <w:tc>
          <w:tcPr>
            <w:tcW w:w="1160" w:type="dxa"/>
            <w:vAlign w:val="bottom"/>
            <w:vMerge w:val="restart"/>
            <w:shd w:val="clear" w:color="auto" w:fill="C9D4D8"/>
          </w:tcPr>
          <w:p>
            <w:pPr>
              <w:jc w:val="right"/>
              <w:ind w:right="211"/>
              <w:spacing w:after="0"/>
              <w:rPr>
                <w:sz w:val="20"/>
                <w:szCs w:val="20"/>
                <w:color w:val="auto"/>
              </w:rPr>
            </w:pPr>
            <w:r>
              <w:rPr>
                <w:rFonts w:ascii="Arial" w:cs="Arial" w:eastAsia="Arial" w:hAnsi="Arial"/>
                <w:sz w:val="14"/>
                <w:szCs w:val="14"/>
                <w:color w:val="0E2A35"/>
              </w:rPr>
              <w:t>​</w:t>
            </w:r>
          </w:p>
        </w:tc>
        <w:tc>
          <w:tcPr>
            <w:tcW w:w="1180" w:type="dxa"/>
            <w:vAlign w:val="bottom"/>
            <w:vMerge w:val="restart"/>
            <w:shd w:val="clear" w:color="auto" w:fill="C9D4D8"/>
          </w:tcPr>
          <w:p>
            <w:pPr>
              <w:jc w:val="right"/>
              <w:ind w:right="171"/>
              <w:spacing w:after="0"/>
              <w:rPr>
                <w:sz w:val="20"/>
                <w:szCs w:val="20"/>
                <w:color w:val="auto"/>
              </w:rPr>
            </w:pPr>
            <w:r>
              <w:rPr>
                <w:rFonts w:ascii="Arial" w:cs="Arial" w:eastAsia="Arial" w:hAnsi="Arial"/>
                <w:sz w:val="14"/>
                <w:szCs w:val="14"/>
                <w:color w:val="0E2A35"/>
              </w:rPr>
              <w:t>​</w:t>
            </w:r>
          </w:p>
        </w:tc>
        <w:tc>
          <w:tcPr>
            <w:tcW w:w="1240" w:type="dxa"/>
            <w:vAlign w:val="bottom"/>
            <w:vMerge w:val="restart"/>
            <w:shd w:val="clear" w:color="auto" w:fill="C9D4D8"/>
          </w:tcPr>
          <w:p>
            <w:pPr>
              <w:jc w:val="right"/>
              <w:ind w:right="231"/>
              <w:spacing w:after="0"/>
              <w:rPr>
                <w:sz w:val="20"/>
                <w:szCs w:val="20"/>
                <w:color w:val="auto"/>
              </w:rPr>
            </w:pPr>
            <w:r>
              <w:rPr>
                <w:rFonts w:ascii="Arial" w:cs="Arial" w:eastAsia="Arial" w:hAnsi="Arial"/>
                <w:sz w:val="14"/>
                <w:szCs w:val="14"/>
                <w:color w:val="0E2A35"/>
              </w:rPr>
              <w:t>​</w:t>
            </w:r>
          </w:p>
        </w:tc>
        <w:tc>
          <w:tcPr>
            <w:tcW w:w="1120" w:type="dxa"/>
            <w:vAlign w:val="bottom"/>
            <w:vMerge w:val="restart"/>
            <w:shd w:val="clear" w:color="auto" w:fill="C9D4D8"/>
          </w:tcPr>
          <w:p>
            <w:pPr>
              <w:jc w:val="right"/>
              <w:ind w:right="19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152"/>
        </w:trPr>
        <w:tc>
          <w:tcPr>
            <w:tcW w:w="3340" w:type="dxa"/>
            <w:vAlign w:val="bottom"/>
            <w:shd w:val="clear" w:color="auto" w:fill="C9D4D8"/>
          </w:tcPr>
          <w:p>
            <w:pPr>
              <w:spacing w:after="0"/>
              <w:rPr>
                <w:sz w:val="13"/>
                <w:szCs w:val="13"/>
                <w:color w:val="auto"/>
              </w:rPr>
            </w:pPr>
          </w:p>
        </w:tc>
        <w:tc>
          <w:tcPr>
            <w:tcW w:w="1240" w:type="dxa"/>
            <w:vAlign w:val="bottom"/>
            <w:vMerge w:val="continue"/>
            <w:shd w:val="clear" w:color="auto" w:fill="C9D4D8"/>
          </w:tcPr>
          <w:p>
            <w:pPr>
              <w:spacing w:after="0"/>
              <w:rPr>
                <w:sz w:val="13"/>
                <w:szCs w:val="13"/>
                <w:color w:val="auto"/>
              </w:rPr>
            </w:pPr>
          </w:p>
        </w:tc>
        <w:tc>
          <w:tcPr>
            <w:tcW w:w="1160" w:type="dxa"/>
            <w:vAlign w:val="bottom"/>
            <w:vMerge w:val="continue"/>
            <w:shd w:val="clear" w:color="auto" w:fill="C9D4D8"/>
          </w:tcPr>
          <w:p>
            <w:pPr>
              <w:spacing w:after="0"/>
              <w:rPr>
                <w:sz w:val="13"/>
                <w:szCs w:val="13"/>
                <w:color w:val="auto"/>
              </w:rPr>
            </w:pPr>
          </w:p>
        </w:tc>
        <w:tc>
          <w:tcPr>
            <w:tcW w:w="1180" w:type="dxa"/>
            <w:vAlign w:val="bottom"/>
            <w:vMerge w:val="continue"/>
            <w:shd w:val="clear" w:color="auto" w:fill="C9D4D8"/>
          </w:tcPr>
          <w:p>
            <w:pPr>
              <w:spacing w:after="0"/>
              <w:rPr>
                <w:sz w:val="13"/>
                <w:szCs w:val="13"/>
                <w:color w:val="auto"/>
              </w:rPr>
            </w:pPr>
          </w:p>
        </w:tc>
        <w:tc>
          <w:tcPr>
            <w:tcW w:w="1240" w:type="dxa"/>
            <w:vAlign w:val="bottom"/>
            <w:vMerge w:val="continue"/>
            <w:shd w:val="clear" w:color="auto" w:fill="C9D4D8"/>
          </w:tcPr>
          <w:p>
            <w:pPr>
              <w:spacing w:after="0"/>
              <w:rPr>
                <w:sz w:val="13"/>
                <w:szCs w:val="13"/>
                <w:color w:val="auto"/>
              </w:rPr>
            </w:pPr>
          </w:p>
        </w:tc>
        <w:tc>
          <w:tcPr>
            <w:tcW w:w="1120" w:type="dxa"/>
            <w:vAlign w:val="bottom"/>
            <w:vMerge w:val="continue"/>
            <w:shd w:val="clear" w:color="auto" w:fill="C9D4D8"/>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shd w:val="clear" w:color="auto" w:fill="C9D4D8"/>
          </w:tcPr>
          <w:p>
            <w:pPr>
              <w:spacing w:after="0"/>
              <w:rPr>
                <w:sz w:val="8"/>
                <w:szCs w:val="8"/>
                <w:color w:val="auto"/>
              </w:rPr>
            </w:pPr>
          </w:p>
        </w:tc>
        <w:tc>
          <w:tcPr>
            <w:tcW w:w="1240" w:type="dxa"/>
            <w:vAlign w:val="bottom"/>
            <w:tcBorders>
              <w:bottom w:val="single" w:sz="8" w:color="0E2A35"/>
            </w:tcBorders>
            <w:shd w:val="clear" w:color="auto" w:fill="C9D4D8"/>
          </w:tcPr>
          <w:p>
            <w:pPr>
              <w:spacing w:after="0"/>
              <w:rPr>
                <w:sz w:val="8"/>
                <w:szCs w:val="8"/>
                <w:color w:val="auto"/>
              </w:rPr>
            </w:pPr>
          </w:p>
        </w:tc>
        <w:tc>
          <w:tcPr>
            <w:tcW w:w="1160" w:type="dxa"/>
            <w:vAlign w:val="bottom"/>
            <w:tcBorders>
              <w:bottom w:val="single" w:sz="8" w:color="0E2A35"/>
            </w:tcBorders>
            <w:shd w:val="clear" w:color="auto" w:fill="C9D4D8"/>
          </w:tcPr>
          <w:p>
            <w:pPr>
              <w:spacing w:after="0"/>
              <w:rPr>
                <w:sz w:val="8"/>
                <w:szCs w:val="8"/>
                <w:color w:val="auto"/>
              </w:rPr>
            </w:pPr>
          </w:p>
        </w:tc>
        <w:tc>
          <w:tcPr>
            <w:tcW w:w="1180" w:type="dxa"/>
            <w:vAlign w:val="bottom"/>
            <w:tcBorders>
              <w:bottom w:val="single" w:sz="8" w:color="0E2A35"/>
            </w:tcBorders>
            <w:shd w:val="clear" w:color="auto" w:fill="C9D4D8"/>
          </w:tcPr>
          <w:p>
            <w:pPr>
              <w:spacing w:after="0"/>
              <w:rPr>
                <w:sz w:val="8"/>
                <w:szCs w:val="8"/>
                <w:color w:val="auto"/>
              </w:rPr>
            </w:pPr>
          </w:p>
        </w:tc>
        <w:tc>
          <w:tcPr>
            <w:tcW w:w="1240" w:type="dxa"/>
            <w:vAlign w:val="bottom"/>
            <w:tcBorders>
              <w:bottom w:val="single" w:sz="8" w:color="0E2A35"/>
            </w:tcBorders>
            <w:shd w:val="clear" w:color="auto" w:fill="C9D4D8"/>
          </w:tcPr>
          <w:p>
            <w:pPr>
              <w:spacing w:after="0"/>
              <w:rPr>
                <w:sz w:val="8"/>
                <w:szCs w:val="8"/>
                <w:color w:val="auto"/>
              </w:rPr>
            </w:pPr>
          </w:p>
        </w:tc>
        <w:tc>
          <w:tcPr>
            <w:tcW w:w="1120" w:type="dxa"/>
            <w:vAlign w:val="bottom"/>
            <w:tcBorders>
              <w:bottom w:val="single" w:sz="8" w:color="0E2A35"/>
            </w:tcBorders>
            <w:shd w:val="clear" w:color="auto" w:fill="C9D4D8"/>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240" w:type="dxa"/>
            <w:vAlign w:val="bottom"/>
            <w:tcBorders>
              <w:bottom w:val="single" w:sz="8" w:color="0E2A35"/>
            </w:tcBorders>
          </w:tcPr>
          <w:p>
            <w:pPr>
              <w:jc w:val="right"/>
              <w:ind w:right="190"/>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251"/>
              <w:spacing w:after="0"/>
              <w:rPr>
                <w:sz w:val="20"/>
                <w:szCs w:val="20"/>
                <w:color w:val="auto"/>
              </w:rPr>
            </w:pPr>
            <w:r>
              <w:rPr>
                <w:rFonts w:ascii="Arial" w:cs="Arial" w:eastAsia="Arial" w:hAnsi="Arial"/>
                <w:sz w:val="14"/>
                <w:szCs w:val="14"/>
                <w:color w:val="0E2A35"/>
              </w:rPr>
              <w:t>—</w:t>
            </w:r>
          </w:p>
        </w:tc>
        <w:tc>
          <w:tcPr>
            <w:tcW w:w="1180" w:type="dxa"/>
            <w:vAlign w:val="bottom"/>
            <w:tcBorders>
              <w:bottom w:val="single" w:sz="8" w:color="0E2A35"/>
            </w:tcBorders>
          </w:tcPr>
          <w:p>
            <w:pPr>
              <w:jc w:val="right"/>
              <w:ind w:right="191"/>
              <w:spacing w:after="0"/>
              <w:rPr>
                <w:sz w:val="20"/>
                <w:szCs w:val="20"/>
                <w:color w:val="auto"/>
              </w:rPr>
            </w:pPr>
            <w:r>
              <w:rPr>
                <w:rFonts w:ascii="Arial" w:cs="Arial" w:eastAsia="Arial" w:hAnsi="Arial"/>
                <w:sz w:val="14"/>
                <w:szCs w:val="14"/>
                <w:color w:val="0E2A35"/>
              </w:rPr>
              <w:t>—</w:t>
            </w:r>
          </w:p>
        </w:tc>
        <w:tc>
          <w:tcPr>
            <w:tcW w:w="1240" w:type="dxa"/>
            <w:vAlign w:val="bottom"/>
            <w:tcBorders>
              <w:bottom w:val="single" w:sz="8" w:color="0E2A35"/>
            </w:tcBorders>
          </w:tcPr>
          <w:p>
            <w:pPr>
              <w:jc w:val="right"/>
              <w:ind w:right="231"/>
              <w:spacing w:after="0"/>
              <w:rPr>
                <w:sz w:val="20"/>
                <w:szCs w:val="20"/>
                <w:color w:val="auto"/>
              </w:rPr>
            </w:pPr>
            <w:r>
              <w:rPr>
                <w:rFonts w:ascii="Arial" w:cs="Arial" w:eastAsia="Arial" w:hAnsi="Arial"/>
                <w:sz w:val="14"/>
                <w:szCs w:val="14"/>
                <w:color w:val="0E2A35"/>
              </w:rPr>
              <w:t>—</w:t>
            </w:r>
          </w:p>
        </w:tc>
        <w:tc>
          <w:tcPr>
            <w:tcW w:w="1120" w:type="dxa"/>
            <w:vAlign w:val="bottom"/>
            <w:tcBorders>
              <w:bottom w:val="single" w:sz="8" w:color="0E2A35"/>
            </w:tcBorders>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78"/>
        </w:trPr>
        <w:tc>
          <w:tcPr>
            <w:tcW w:w="3340" w:type="dxa"/>
            <w:vAlign w:val="bottom"/>
          </w:tcPr>
          <w:p>
            <w:pPr>
              <w:ind w:left="240"/>
              <w:spacing w:after="0"/>
              <w:rPr>
                <w:sz w:val="20"/>
                <w:szCs w:val="20"/>
                <w:color w:val="auto"/>
              </w:rPr>
            </w:pPr>
            <w:r>
              <w:rPr>
                <w:rFonts w:ascii="Arial" w:cs="Arial" w:eastAsia="Arial" w:hAnsi="Arial"/>
                <w:sz w:val="14"/>
                <w:szCs w:val="14"/>
                <w:color w:val="0E2A35"/>
              </w:rPr>
              <w:t>Involuntary Termination for Cause</w:t>
            </w:r>
          </w:p>
        </w:tc>
        <w:tc>
          <w:tcPr>
            <w:tcW w:w="124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251"/>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191"/>
              <w:spacing w:after="0"/>
              <w:rPr>
                <w:sz w:val="20"/>
                <w:szCs w:val="20"/>
                <w:color w:val="auto"/>
              </w:rPr>
            </w:pPr>
            <w:r>
              <w:rPr>
                <w:rFonts w:ascii="Arial" w:cs="Arial" w:eastAsia="Arial" w:hAnsi="Arial"/>
                <w:sz w:val="14"/>
                <w:szCs w:val="14"/>
                <w:color w:val="0E2A35"/>
              </w:rPr>
              <w:t>—</w:t>
            </w:r>
          </w:p>
        </w:tc>
        <w:tc>
          <w:tcPr>
            <w:tcW w:w="124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340" w:type="dxa"/>
            <w:vAlign w:val="bottom"/>
          </w:tcPr>
          <w:p>
            <w:pPr>
              <w:ind w:left="24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210"/>
              <w:spacing w:after="0"/>
              <w:rPr>
                <w:sz w:val="20"/>
                <w:szCs w:val="20"/>
                <w:color w:val="auto"/>
              </w:rPr>
            </w:pPr>
            <w:r>
              <w:rPr>
                <w:rFonts w:ascii="Arial" w:cs="Arial" w:eastAsia="Arial" w:hAnsi="Arial"/>
                <w:sz w:val="14"/>
                <w:szCs w:val="14"/>
                <w:color w:val="0E2A35"/>
              </w:rPr>
              <w:t>​1,143,729</w:t>
            </w:r>
          </w:p>
        </w:tc>
        <w:tc>
          <w:tcPr>
            <w:tcW w:w="1160" w:type="dxa"/>
            <w:vAlign w:val="bottom"/>
          </w:tcPr>
          <w:p>
            <w:pPr>
              <w:jc w:val="right"/>
              <w:ind w:right="251"/>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191"/>
              <w:spacing w:after="0"/>
              <w:rPr>
                <w:sz w:val="20"/>
                <w:szCs w:val="20"/>
                <w:color w:val="auto"/>
              </w:rPr>
            </w:pPr>
            <w:r>
              <w:rPr>
                <w:rFonts w:ascii="Arial" w:cs="Arial" w:eastAsia="Arial" w:hAnsi="Arial"/>
                <w:sz w:val="14"/>
                <w:szCs w:val="14"/>
                <w:color w:val="0E2A35"/>
              </w:rPr>
              <w:t>—</w:t>
            </w:r>
          </w:p>
        </w:tc>
        <w:tc>
          <w:tcPr>
            <w:tcW w:w="124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124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180" w:type="dxa"/>
            <w:vAlign w:val="bottom"/>
            <w:tcBorders>
              <w:bottom w:val="single" w:sz="8" w:color="0E2A35"/>
            </w:tcBorders>
          </w:tcPr>
          <w:p>
            <w:pPr>
              <w:spacing w:after="0"/>
              <w:rPr>
                <w:sz w:val="24"/>
                <w:szCs w:val="24"/>
                <w:color w:val="auto"/>
              </w:rPr>
            </w:pPr>
          </w:p>
        </w:tc>
        <w:tc>
          <w:tcPr>
            <w:tcW w:w="1240" w:type="dxa"/>
            <w:vAlign w:val="bottom"/>
            <w:tcBorders>
              <w:bottom w:val="single" w:sz="8" w:color="0E2A35"/>
            </w:tcBorders>
          </w:tcPr>
          <w:p>
            <w:pPr>
              <w:spacing w:after="0"/>
              <w:rPr>
                <w:sz w:val="24"/>
                <w:szCs w:val="24"/>
                <w:color w:val="auto"/>
              </w:rPr>
            </w:pPr>
          </w:p>
        </w:tc>
        <w:tc>
          <w:tcPr>
            <w:tcW w:w="1120" w:type="dxa"/>
            <w:vAlign w:val="bottom"/>
            <w:tcBorders>
              <w:bottom w:val="single" w:sz="8" w:color="0E2A35"/>
            </w:tcBorders>
          </w:tcPr>
          <w:p>
            <w:pPr>
              <w:jc w:val="right"/>
              <w:ind w:right="6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78"/>
        </w:trPr>
        <w:tc>
          <w:tcPr>
            <w:tcW w:w="3340" w:type="dxa"/>
            <w:vAlign w:val="bottom"/>
          </w:tcPr>
          <w:p>
            <w:pPr>
              <w:ind w:left="4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210"/>
              <w:spacing w:after="0"/>
              <w:rPr>
                <w:sz w:val="20"/>
                <w:szCs w:val="20"/>
                <w:color w:val="auto"/>
              </w:rPr>
            </w:pPr>
            <w:r>
              <w:rPr>
                <w:rFonts w:ascii="Arial" w:cs="Arial" w:eastAsia="Arial" w:hAnsi="Arial"/>
                <w:sz w:val="14"/>
                <w:szCs w:val="14"/>
                <w:color w:val="0E2A35"/>
              </w:rPr>
              <w:t>​2,287,458</w:t>
            </w:r>
          </w:p>
        </w:tc>
        <w:tc>
          <w:tcPr>
            <w:tcW w:w="1160" w:type="dxa"/>
            <w:vAlign w:val="bottom"/>
          </w:tcPr>
          <w:p>
            <w:pPr>
              <w:jc w:val="right"/>
              <w:ind w:right="251"/>
              <w:spacing w:after="0"/>
              <w:rPr>
                <w:sz w:val="20"/>
                <w:szCs w:val="20"/>
                <w:color w:val="auto"/>
              </w:rPr>
            </w:pPr>
            <w:r>
              <w:rPr>
                <w:rFonts w:ascii="Arial" w:cs="Arial" w:eastAsia="Arial" w:hAnsi="Arial"/>
                <w:sz w:val="14"/>
                <w:szCs w:val="14"/>
                <w:color w:val="0E2A35"/>
              </w:rPr>
              <w:t>​146,520</w:t>
            </w:r>
          </w:p>
        </w:tc>
        <w:tc>
          <w:tcPr>
            <w:tcW w:w="1180" w:type="dxa"/>
            <w:vAlign w:val="bottom"/>
          </w:tcPr>
          <w:p>
            <w:pPr>
              <w:jc w:val="right"/>
              <w:ind w:right="191"/>
              <w:spacing w:after="0"/>
              <w:rPr>
                <w:sz w:val="20"/>
                <w:szCs w:val="20"/>
                <w:color w:val="auto"/>
              </w:rPr>
            </w:pPr>
            <w:r>
              <w:rPr>
                <w:rFonts w:ascii="Arial" w:cs="Arial" w:eastAsia="Arial" w:hAnsi="Arial"/>
                <w:sz w:val="14"/>
                <w:szCs w:val="14"/>
                <w:color w:val="0E2A35"/>
              </w:rPr>
              <w:t>1,729,434​</w:t>
            </w:r>
          </w:p>
        </w:tc>
        <w:tc>
          <w:tcPr>
            <w:tcW w:w="1240" w:type="dxa"/>
            <w:vAlign w:val="bottom"/>
          </w:tcPr>
          <w:p>
            <w:pPr>
              <w:jc w:val="right"/>
              <w:ind w:right="231"/>
              <w:spacing w:after="0"/>
              <w:rPr>
                <w:sz w:val="20"/>
                <w:szCs w:val="20"/>
                <w:color w:val="auto"/>
              </w:rPr>
            </w:pPr>
            <w:r>
              <w:rPr>
                <w:rFonts w:ascii="Arial" w:cs="Arial" w:eastAsia="Arial" w:hAnsi="Arial"/>
                <w:sz w:val="14"/>
                <w:szCs w:val="14"/>
                <w:color w:val="0E2A35"/>
              </w:rPr>
              <w:t>​ 758,517</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72,645​</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340" w:type="dxa"/>
            <w:vAlign w:val="bottom"/>
          </w:tcPr>
          <w:p>
            <w:pPr>
              <w:ind w:left="420"/>
              <w:spacing w:after="0"/>
              <w:rPr>
                <w:sz w:val="20"/>
                <w:szCs w:val="20"/>
                <w:color w:val="auto"/>
              </w:rPr>
            </w:pPr>
            <w:r>
              <w:rPr>
                <w:rFonts w:ascii="Arial" w:cs="Arial" w:eastAsia="Arial" w:hAnsi="Arial"/>
                <w:sz w:val="14"/>
                <w:szCs w:val="14"/>
                <w:color w:val="0E2A35"/>
              </w:rPr>
              <w:t>Death or Disability</w:t>
            </w:r>
          </w:p>
        </w:tc>
        <w:tc>
          <w:tcPr>
            <w:tcW w:w="124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251"/>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191"/>
              <w:spacing w:after="0"/>
              <w:rPr>
                <w:sz w:val="20"/>
                <w:szCs w:val="20"/>
                <w:color w:val="auto"/>
              </w:rPr>
            </w:pPr>
            <w:r>
              <w:rPr>
                <w:rFonts w:ascii="Arial" w:cs="Arial" w:eastAsia="Arial" w:hAnsi="Arial"/>
                <w:sz w:val="14"/>
                <w:szCs w:val="14"/>
                <w:color w:val="0E2A35"/>
              </w:rPr>
              <w:t>1,729,434​</w:t>
            </w:r>
          </w:p>
        </w:tc>
        <w:tc>
          <w:tcPr>
            <w:tcW w:w="1240" w:type="dxa"/>
            <w:vAlign w:val="bottom"/>
          </w:tcPr>
          <w:p>
            <w:pPr>
              <w:jc w:val="right"/>
              <w:ind w:right="231"/>
              <w:spacing w:after="0"/>
              <w:rPr>
                <w:sz w:val="20"/>
                <w:szCs w:val="20"/>
                <w:color w:val="auto"/>
              </w:rPr>
            </w:pPr>
            <w:r>
              <w:rPr>
                <w:rFonts w:ascii="Arial" w:cs="Arial" w:eastAsia="Arial" w:hAnsi="Arial"/>
                <w:sz w:val="14"/>
                <w:szCs w:val="14"/>
                <w:color w:val="0E2A35"/>
              </w:rPr>
              <w:t>​ 758,517</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72,645​</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3340" w:type="dxa"/>
            <w:vAlign w:val="bottom"/>
            <w:shd w:val="clear" w:color="auto" w:fill="C9D4D8"/>
          </w:tcPr>
          <w:p>
            <w:pPr>
              <w:ind w:left="60"/>
              <w:spacing w:after="0"/>
              <w:rPr>
                <w:sz w:val="20"/>
                <w:szCs w:val="20"/>
                <w:color w:val="auto"/>
              </w:rPr>
            </w:pPr>
            <w:r>
              <w:rPr>
                <w:rFonts w:ascii="Arial" w:cs="Arial" w:eastAsia="Arial" w:hAnsi="Arial"/>
                <w:sz w:val="14"/>
                <w:szCs w:val="14"/>
                <w:b w:val="1"/>
                <w:bCs w:val="1"/>
                <w:color w:val="0E2A35"/>
              </w:rPr>
              <w:t>Donald J. Clark</w:t>
            </w:r>
          </w:p>
        </w:tc>
        <w:tc>
          <w:tcPr>
            <w:tcW w:w="1240" w:type="dxa"/>
            <w:vAlign w:val="bottom"/>
            <w:shd w:val="clear" w:color="auto" w:fill="C9D4D8"/>
          </w:tcPr>
          <w:p>
            <w:pPr>
              <w:spacing w:after="0"/>
              <w:rPr>
                <w:sz w:val="24"/>
                <w:szCs w:val="24"/>
                <w:color w:val="auto"/>
              </w:rPr>
            </w:pPr>
          </w:p>
        </w:tc>
        <w:tc>
          <w:tcPr>
            <w:tcW w:w="1160" w:type="dxa"/>
            <w:vAlign w:val="bottom"/>
            <w:shd w:val="clear" w:color="auto" w:fill="C9D4D8"/>
          </w:tcPr>
          <w:p>
            <w:pPr>
              <w:spacing w:after="0"/>
              <w:rPr>
                <w:sz w:val="24"/>
                <w:szCs w:val="24"/>
                <w:color w:val="auto"/>
              </w:rPr>
            </w:pPr>
          </w:p>
        </w:tc>
        <w:tc>
          <w:tcPr>
            <w:tcW w:w="1180" w:type="dxa"/>
            <w:vAlign w:val="bottom"/>
            <w:shd w:val="clear" w:color="auto" w:fill="C9D4D8"/>
          </w:tcPr>
          <w:p>
            <w:pPr>
              <w:spacing w:after="0"/>
              <w:rPr>
                <w:sz w:val="24"/>
                <w:szCs w:val="24"/>
                <w:color w:val="auto"/>
              </w:rPr>
            </w:pPr>
          </w:p>
        </w:tc>
        <w:tc>
          <w:tcPr>
            <w:tcW w:w="1240" w:type="dxa"/>
            <w:vAlign w:val="bottom"/>
            <w:shd w:val="clear" w:color="auto" w:fill="C9D4D8"/>
          </w:tcPr>
          <w:p>
            <w:pPr>
              <w:spacing w:after="0"/>
              <w:rPr>
                <w:sz w:val="24"/>
                <w:szCs w:val="24"/>
                <w:color w:val="auto"/>
              </w:rPr>
            </w:pPr>
          </w:p>
        </w:tc>
        <w:tc>
          <w:tcPr>
            <w:tcW w:w="1120" w:type="dxa"/>
            <w:vAlign w:val="bottom"/>
            <w:shd w:val="clear" w:color="auto" w:fill="C9D4D8"/>
          </w:tcPr>
          <w:p>
            <w:pPr>
              <w:jc w:val="right"/>
              <w:ind w:right="19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83"/>
        </w:trPr>
        <w:tc>
          <w:tcPr>
            <w:tcW w:w="3340" w:type="dxa"/>
            <w:vAlign w:val="bottom"/>
            <w:tcBorders>
              <w:bottom w:val="single" w:sz="8" w:color="0E2A35"/>
            </w:tcBorders>
            <w:shd w:val="clear" w:color="auto" w:fill="C9D4D8"/>
          </w:tcPr>
          <w:p>
            <w:pPr>
              <w:spacing w:after="0"/>
              <w:rPr>
                <w:sz w:val="7"/>
                <w:szCs w:val="7"/>
                <w:color w:val="auto"/>
              </w:rPr>
            </w:pPr>
          </w:p>
        </w:tc>
        <w:tc>
          <w:tcPr>
            <w:tcW w:w="1240" w:type="dxa"/>
            <w:vAlign w:val="bottom"/>
            <w:tcBorders>
              <w:bottom w:val="single" w:sz="8" w:color="0E2A35"/>
            </w:tcBorders>
            <w:shd w:val="clear" w:color="auto" w:fill="C9D4D8"/>
          </w:tcPr>
          <w:p>
            <w:pPr>
              <w:spacing w:after="0"/>
              <w:rPr>
                <w:sz w:val="7"/>
                <w:szCs w:val="7"/>
                <w:color w:val="auto"/>
              </w:rPr>
            </w:pPr>
          </w:p>
        </w:tc>
        <w:tc>
          <w:tcPr>
            <w:tcW w:w="1160" w:type="dxa"/>
            <w:vAlign w:val="bottom"/>
            <w:tcBorders>
              <w:bottom w:val="single" w:sz="8" w:color="0E2A35"/>
            </w:tcBorders>
            <w:shd w:val="clear" w:color="auto" w:fill="C9D4D8"/>
          </w:tcPr>
          <w:p>
            <w:pPr>
              <w:spacing w:after="0"/>
              <w:rPr>
                <w:sz w:val="7"/>
                <w:szCs w:val="7"/>
                <w:color w:val="auto"/>
              </w:rPr>
            </w:pPr>
          </w:p>
        </w:tc>
        <w:tc>
          <w:tcPr>
            <w:tcW w:w="1180" w:type="dxa"/>
            <w:vAlign w:val="bottom"/>
            <w:tcBorders>
              <w:bottom w:val="single" w:sz="8" w:color="0E2A35"/>
            </w:tcBorders>
            <w:shd w:val="clear" w:color="auto" w:fill="C9D4D8"/>
          </w:tcPr>
          <w:p>
            <w:pPr>
              <w:spacing w:after="0"/>
              <w:rPr>
                <w:sz w:val="7"/>
                <w:szCs w:val="7"/>
                <w:color w:val="auto"/>
              </w:rPr>
            </w:pPr>
          </w:p>
        </w:tc>
        <w:tc>
          <w:tcPr>
            <w:tcW w:w="1240" w:type="dxa"/>
            <w:vAlign w:val="bottom"/>
            <w:tcBorders>
              <w:bottom w:val="single" w:sz="8" w:color="0E2A35"/>
            </w:tcBorders>
            <w:shd w:val="clear" w:color="auto" w:fill="C9D4D8"/>
          </w:tcPr>
          <w:p>
            <w:pPr>
              <w:spacing w:after="0"/>
              <w:rPr>
                <w:sz w:val="7"/>
                <w:szCs w:val="7"/>
                <w:color w:val="auto"/>
              </w:rPr>
            </w:pPr>
          </w:p>
        </w:tc>
        <w:tc>
          <w:tcPr>
            <w:tcW w:w="1120" w:type="dxa"/>
            <w:vAlign w:val="bottom"/>
            <w:tcBorders>
              <w:bottom w:val="single" w:sz="8" w:color="0E2A35"/>
            </w:tcBorders>
            <w:shd w:val="clear" w:color="auto" w:fill="C9D4D8"/>
          </w:tcPr>
          <w:p>
            <w:pPr>
              <w:spacing w:after="0"/>
              <w:rPr>
                <w:sz w:val="7"/>
                <w:szCs w:val="7"/>
                <w:color w:val="auto"/>
              </w:rPr>
            </w:pPr>
          </w:p>
        </w:tc>
        <w:tc>
          <w:tcPr>
            <w:tcW w:w="0" w:type="dxa"/>
            <w:vAlign w:val="bottom"/>
          </w:tcPr>
          <w:p>
            <w:pPr>
              <w:spacing w:after="0"/>
              <w:rPr>
                <w:sz w:val="1"/>
                <w:szCs w:val="1"/>
                <w:color w:val="auto"/>
              </w:rPr>
            </w:pPr>
          </w:p>
        </w:tc>
      </w:tr>
      <w:tr>
        <w:trPr>
          <w:trHeight w:val="398"/>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Retirement</w:t>
            </w:r>
            <w:r>
              <w:rPr>
                <w:rFonts w:ascii="Arial" w:cs="Arial" w:eastAsia="Arial" w:hAnsi="Arial"/>
                <w:sz w:val="23"/>
                <w:szCs w:val="23"/>
                <w:color w:val="0E2A35"/>
                <w:vertAlign w:val="superscript"/>
              </w:rPr>
              <w:t>(6)</w:t>
            </w:r>
            <w:r>
              <w:rPr>
                <w:rFonts w:ascii="Arial" w:cs="Arial" w:eastAsia="Arial" w:hAnsi="Arial"/>
                <w:sz w:val="14"/>
                <w:szCs w:val="14"/>
                <w:color w:val="0E2A35"/>
              </w:rPr>
              <w:t xml:space="preserve"> or Voluntary Separation</w:t>
            </w:r>
          </w:p>
        </w:tc>
        <w:tc>
          <w:tcPr>
            <w:tcW w:w="1240" w:type="dxa"/>
            <w:vAlign w:val="bottom"/>
            <w:tcBorders>
              <w:bottom w:val="single" w:sz="8" w:color="0E2A35"/>
            </w:tcBorders>
          </w:tcPr>
          <w:p>
            <w:pPr>
              <w:jc w:val="right"/>
              <w:ind w:right="190"/>
              <w:spacing w:after="0"/>
              <w:rPr>
                <w:sz w:val="20"/>
                <w:szCs w:val="20"/>
                <w:color w:val="auto"/>
              </w:rPr>
            </w:pPr>
            <w:r>
              <w:rPr>
                <w:rFonts w:ascii="Arial" w:cs="Arial" w:eastAsia="Arial" w:hAnsi="Arial"/>
                <w:sz w:val="14"/>
                <w:szCs w:val="14"/>
                <w:color w:val="0E2A35"/>
              </w:rPr>
              <w:t>—</w:t>
            </w:r>
          </w:p>
        </w:tc>
        <w:tc>
          <w:tcPr>
            <w:tcW w:w="1160" w:type="dxa"/>
            <w:vAlign w:val="bottom"/>
            <w:tcBorders>
              <w:bottom w:val="single" w:sz="8" w:color="0E2A35"/>
            </w:tcBorders>
          </w:tcPr>
          <w:p>
            <w:pPr>
              <w:jc w:val="right"/>
              <w:ind w:right="251"/>
              <w:spacing w:after="0"/>
              <w:rPr>
                <w:sz w:val="20"/>
                <w:szCs w:val="20"/>
                <w:color w:val="auto"/>
              </w:rPr>
            </w:pPr>
            <w:r>
              <w:rPr>
                <w:rFonts w:ascii="Arial" w:cs="Arial" w:eastAsia="Arial" w:hAnsi="Arial"/>
                <w:sz w:val="14"/>
                <w:szCs w:val="14"/>
                <w:color w:val="0E2A35"/>
              </w:rPr>
              <w:t>—</w:t>
            </w:r>
          </w:p>
        </w:tc>
        <w:tc>
          <w:tcPr>
            <w:tcW w:w="1180" w:type="dxa"/>
            <w:vAlign w:val="bottom"/>
            <w:tcBorders>
              <w:bottom w:val="single" w:sz="8" w:color="0E2A35"/>
            </w:tcBorders>
          </w:tcPr>
          <w:p>
            <w:pPr>
              <w:jc w:val="right"/>
              <w:ind w:right="191"/>
              <w:spacing w:after="0"/>
              <w:rPr>
                <w:sz w:val="20"/>
                <w:szCs w:val="20"/>
                <w:color w:val="auto"/>
              </w:rPr>
            </w:pPr>
            <w:r>
              <w:rPr>
                <w:rFonts w:ascii="Arial" w:cs="Arial" w:eastAsia="Arial" w:hAnsi="Arial"/>
                <w:sz w:val="14"/>
                <w:szCs w:val="14"/>
                <w:color w:val="0E2A35"/>
              </w:rPr>
              <w:t>—</w:t>
            </w:r>
          </w:p>
        </w:tc>
        <w:tc>
          <w:tcPr>
            <w:tcW w:w="1240" w:type="dxa"/>
            <w:vAlign w:val="bottom"/>
            <w:tcBorders>
              <w:bottom w:val="single" w:sz="8" w:color="0E2A35"/>
            </w:tcBorders>
          </w:tcPr>
          <w:p>
            <w:pPr>
              <w:jc w:val="right"/>
              <w:ind w:right="231"/>
              <w:spacing w:after="0"/>
              <w:rPr>
                <w:sz w:val="20"/>
                <w:szCs w:val="20"/>
                <w:color w:val="auto"/>
              </w:rPr>
            </w:pPr>
            <w:r>
              <w:rPr>
                <w:rFonts w:ascii="Arial" w:cs="Arial" w:eastAsia="Arial" w:hAnsi="Arial"/>
                <w:sz w:val="14"/>
                <w:szCs w:val="14"/>
                <w:color w:val="0E2A35"/>
              </w:rPr>
              <w:t>—</w:t>
            </w:r>
          </w:p>
        </w:tc>
        <w:tc>
          <w:tcPr>
            <w:tcW w:w="1120" w:type="dxa"/>
            <w:vAlign w:val="bottom"/>
            <w:tcBorders>
              <w:bottom w:val="single" w:sz="8" w:color="0E2A35"/>
            </w:tcBorders>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78"/>
        </w:trPr>
        <w:tc>
          <w:tcPr>
            <w:tcW w:w="3340" w:type="dxa"/>
            <w:vAlign w:val="bottom"/>
          </w:tcPr>
          <w:p>
            <w:pPr>
              <w:ind w:left="240"/>
              <w:spacing w:after="0"/>
              <w:rPr>
                <w:sz w:val="20"/>
                <w:szCs w:val="20"/>
                <w:color w:val="auto"/>
              </w:rPr>
            </w:pPr>
            <w:r>
              <w:rPr>
                <w:rFonts w:ascii="Arial" w:cs="Arial" w:eastAsia="Arial" w:hAnsi="Arial"/>
                <w:sz w:val="14"/>
                <w:szCs w:val="14"/>
                <w:color w:val="0E2A35"/>
              </w:rPr>
              <w:t>Involuntary Termination for Cause</w:t>
            </w:r>
          </w:p>
        </w:tc>
        <w:tc>
          <w:tcPr>
            <w:tcW w:w="124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251"/>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191"/>
              <w:spacing w:after="0"/>
              <w:rPr>
                <w:sz w:val="20"/>
                <w:szCs w:val="20"/>
                <w:color w:val="auto"/>
              </w:rPr>
            </w:pPr>
            <w:r>
              <w:rPr>
                <w:rFonts w:ascii="Arial" w:cs="Arial" w:eastAsia="Arial" w:hAnsi="Arial"/>
                <w:sz w:val="14"/>
                <w:szCs w:val="14"/>
                <w:color w:val="0E2A35"/>
              </w:rPr>
              <w:t>—</w:t>
            </w:r>
          </w:p>
        </w:tc>
        <w:tc>
          <w:tcPr>
            <w:tcW w:w="124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340" w:type="dxa"/>
            <w:vAlign w:val="bottom"/>
          </w:tcPr>
          <w:p>
            <w:pPr>
              <w:ind w:left="24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210"/>
              <w:spacing w:after="0"/>
              <w:rPr>
                <w:sz w:val="20"/>
                <w:szCs w:val="20"/>
                <w:color w:val="auto"/>
              </w:rPr>
            </w:pPr>
            <w:r>
              <w:rPr>
                <w:rFonts w:ascii="Arial" w:cs="Arial" w:eastAsia="Arial" w:hAnsi="Arial"/>
                <w:sz w:val="14"/>
                <w:szCs w:val="14"/>
                <w:color w:val="0E2A35"/>
              </w:rPr>
              <w:t>​1,314,899</w:t>
            </w:r>
          </w:p>
        </w:tc>
        <w:tc>
          <w:tcPr>
            <w:tcW w:w="1160" w:type="dxa"/>
            <w:vAlign w:val="bottom"/>
          </w:tcPr>
          <w:p>
            <w:pPr>
              <w:jc w:val="right"/>
              <w:ind w:right="251"/>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191"/>
              <w:spacing w:after="0"/>
              <w:rPr>
                <w:sz w:val="20"/>
                <w:szCs w:val="20"/>
                <w:color w:val="auto"/>
              </w:rPr>
            </w:pPr>
            <w:r>
              <w:rPr>
                <w:rFonts w:ascii="Arial" w:cs="Arial" w:eastAsia="Arial" w:hAnsi="Arial"/>
                <w:sz w:val="14"/>
                <w:szCs w:val="14"/>
                <w:color w:val="0E2A35"/>
              </w:rPr>
              <w:t>—</w:t>
            </w:r>
          </w:p>
        </w:tc>
        <w:tc>
          <w:tcPr>
            <w:tcW w:w="124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340" w:type="dxa"/>
            <w:vAlign w:val="bottom"/>
            <w:tcBorders>
              <w:bottom w:val="single" w:sz="8" w:color="0E2A35"/>
            </w:tcBorders>
          </w:tcPr>
          <w:p>
            <w:pPr>
              <w:ind w:left="240"/>
              <w:spacing w:after="0"/>
              <w:rPr>
                <w:sz w:val="20"/>
                <w:szCs w:val="20"/>
                <w:color w:val="auto"/>
              </w:rPr>
            </w:pPr>
            <w:r>
              <w:rPr>
                <w:rFonts w:ascii="Arial" w:cs="Arial" w:eastAsia="Arial" w:hAnsi="Arial"/>
                <w:sz w:val="14"/>
                <w:szCs w:val="14"/>
                <w:color w:val="0E2A35"/>
              </w:rPr>
              <w:t>Change of Control</w:t>
            </w:r>
            <w:r>
              <w:rPr>
                <w:rFonts w:ascii="Arial" w:cs="Arial" w:eastAsia="Arial" w:hAnsi="Arial"/>
                <w:sz w:val="23"/>
                <w:szCs w:val="23"/>
                <w:color w:val="0E2A35"/>
                <w:vertAlign w:val="superscript"/>
              </w:rPr>
              <w:t>(7)</w:t>
            </w:r>
            <w:r>
              <w:rPr>
                <w:rFonts w:ascii="Arial" w:cs="Arial" w:eastAsia="Arial" w:hAnsi="Arial"/>
                <w:sz w:val="14"/>
                <w:szCs w:val="14"/>
                <w:color w:val="0E2A35"/>
              </w:rPr>
              <w:t>:</w:t>
            </w:r>
          </w:p>
        </w:tc>
        <w:tc>
          <w:tcPr>
            <w:tcW w:w="1240" w:type="dxa"/>
            <w:vAlign w:val="bottom"/>
            <w:tcBorders>
              <w:bottom w:val="single" w:sz="8" w:color="0E2A35"/>
            </w:tcBorders>
          </w:tcPr>
          <w:p>
            <w:pPr>
              <w:spacing w:after="0"/>
              <w:rPr>
                <w:sz w:val="24"/>
                <w:szCs w:val="24"/>
                <w:color w:val="auto"/>
              </w:rPr>
            </w:pPr>
          </w:p>
        </w:tc>
        <w:tc>
          <w:tcPr>
            <w:tcW w:w="1160" w:type="dxa"/>
            <w:vAlign w:val="bottom"/>
            <w:tcBorders>
              <w:bottom w:val="single" w:sz="8" w:color="0E2A35"/>
            </w:tcBorders>
          </w:tcPr>
          <w:p>
            <w:pPr>
              <w:spacing w:after="0"/>
              <w:rPr>
                <w:sz w:val="24"/>
                <w:szCs w:val="24"/>
                <w:color w:val="auto"/>
              </w:rPr>
            </w:pPr>
          </w:p>
        </w:tc>
        <w:tc>
          <w:tcPr>
            <w:tcW w:w="1180" w:type="dxa"/>
            <w:vAlign w:val="bottom"/>
            <w:tcBorders>
              <w:bottom w:val="single" w:sz="8" w:color="0E2A35"/>
            </w:tcBorders>
          </w:tcPr>
          <w:p>
            <w:pPr>
              <w:spacing w:after="0"/>
              <w:rPr>
                <w:sz w:val="24"/>
                <w:szCs w:val="24"/>
                <w:color w:val="auto"/>
              </w:rPr>
            </w:pPr>
          </w:p>
        </w:tc>
        <w:tc>
          <w:tcPr>
            <w:tcW w:w="1240" w:type="dxa"/>
            <w:vAlign w:val="bottom"/>
            <w:tcBorders>
              <w:bottom w:val="single" w:sz="8" w:color="0E2A35"/>
            </w:tcBorders>
          </w:tcPr>
          <w:p>
            <w:pPr>
              <w:spacing w:after="0"/>
              <w:rPr>
                <w:sz w:val="24"/>
                <w:szCs w:val="24"/>
                <w:color w:val="auto"/>
              </w:rPr>
            </w:pPr>
          </w:p>
        </w:tc>
        <w:tc>
          <w:tcPr>
            <w:tcW w:w="1120" w:type="dxa"/>
            <w:vAlign w:val="bottom"/>
            <w:tcBorders>
              <w:bottom w:val="single" w:sz="8" w:color="0E2A35"/>
            </w:tcBorders>
          </w:tcPr>
          <w:p>
            <w:pPr>
              <w:jc w:val="right"/>
              <w:ind w:right="6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78"/>
        </w:trPr>
        <w:tc>
          <w:tcPr>
            <w:tcW w:w="3340" w:type="dxa"/>
            <w:vAlign w:val="bottom"/>
          </w:tcPr>
          <w:p>
            <w:pPr>
              <w:ind w:left="420"/>
              <w:spacing w:after="0"/>
              <w:rPr>
                <w:sz w:val="20"/>
                <w:szCs w:val="20"/>
                <w:color w:val="auto"/>
              </w:rPr>
            </w:pPr>
            <w:r>
              <w:rPr>
                <w:rFonts w:ascii="Arial" w:cs="Arial" w:eastAsia="Arial" w:hAnsi="Arial"/>
                <w:sz w:val="14"/>
                <w:szCs w:val="14"/>
                <w:color w:val="0E2A35"/>
              </w:rPr>
              <w:t>Termination without Cause/Good Reason</w:t>
            </w:r>
          </w:p>
        </w:tc>
        <w:tc>
          <w:tcPr>
            <w:tcW w:w="1240" w:type="dxa"/>
            <w:vAlign w:val="bottom"/>
          </w:tcPr>
          <w:p>
            <w:pPr>
              <w:jc w:val="right"/>
              <w:ind w:right="210"/>
              <w:spacing w:after="0"/>
              <w:rPr>
                <w:sz w:val="20"/>
                <w:szCs w:val="20"/>
                <w:color w:val="auto"/>
              </w:rPr>
            </w:pPr>
            <w:r>
              <w:rPr>
                <w:rFonts w:ascii="Arial" w:cs="Arial" w:eastAsia="Arial" w:hAnsi="Arial"/>
                <w:sz w:val="14"/>
                <w:szCs w:val="14"/>
                <w:color w:val="0E2A35"/>
              </w:rPr>
              <w:t>3,000,000​</w:t>
            </w:r>
          </w:p>
        </w:tc>
        <w:tc>
          <w:tcPr>
            <w:tcW w:w="1160" w:type="dxa"/>
            <w:vAlign w:val="bottom"/>
          </w:tcPr>
          <w:p>
            <w:pPr>
              <w:jc w:val="right"/>
              <w:ind w:right="251"/>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191"/>
              <w:spacing w:after="0"/>
              <w:rPr>
                <w:sz w:val="20"/>
                <w:szCs w:val="20"/>
                <w:color w:val="auto"/>
              </w:rPr>
            </w:pPr>
            <w:r>
              <w:rPr>
                <w:rFonts w:ascii="Arial" w:cs="Arial" w:eastAsia="Arial" w:hAnsi="Arial"/>
                <w:sz w:val="14"/>
                <w:szCs w:val="14"/>
                <w:color w:val="0E2A35"/>
              </w:rPr>
              <w:t>—</w:t>
            </w:r>
          </w:p>
        </w:tc>
        <w:tc>
          <w:tcPr>
            <w:tcW w:w="1240" w:type="dxa"/>
            <w:vAlign w:val="bottom"/>
          </w:tcPr>
          <w:p>
            <w:pPr>
              <w:jc w:val="right"/>
              <w:ind w:right="231"/>
              <w:spacing w:after="0"/>
              <w:rPr>
                <w:sz w:val="20"/>
                <w:szCs w:val="20"/>
                <w:color w:val="auto"/>
              </w:rPr>
            </w:pPr>
            <w:r>
              <w:rPr>
                <w:rFonts w:ascii="Arial" w:cs="Arial" w:eastAsia="Arial" w:hAnsi="Arial"/>
                <w:sz w:val="14"/>
                <w:szCs w:val="14"/>
                <w:color w:val="0E2A35"/>
              </w:rPr>
              <w:t>2,898,112​</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93"/>
        </w:trPr>
        <w:tc>
          <w:tcPr>
            <w:tcW w:w="33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60" w:type="dxa"/>
            <w:vAlign w:val="bottom"/>
            <w:tcBorders>
              <w:bottom w:val="single" w:sz="8" w:color="0E2A35"/>
            </w:tcBorders>
          </w:tcPr>
          <w:p>
            <w:pPr>
              <w:spacing w:after="0"/>
              <w:rPr>
                <w:sz w:val="8"/>
                <w:szCs w:val="8"/>
                <w:color w:val="auto"/>
              </w:rPr>
            </w:pPr>
          </w:p>
        </w:tc>
        <w:tc>
          <w:tcPr>
            <w:tcW w:w="118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1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340" w:type="dxa"/>
            <w:vAlign w:val="bottom"/>
          </w:tcPr>
          <w:p>
            <w:pPr>
              <w:ind w:left="420"/>
              <w:spacing w:after="0"/>
              <w:rPr>
                <w:sz w:val="20"/>
                <w:szCs w:val="20"/>
                <w:color w:val="auto"/>
              </w:rPr>
            </w:pPr>
            <w:r>
              <w:rPr>
                <w:rFonts w:ascii="Arial" w:cs="Arial" w:eastAsia="Arial" w:hAnsi="Arial"/>
                <w:sz w:val="14"/>
                <w:szCs w:val="14"/>
                <w:color w:val="0E2A35"/>
              </w:rPr>
              <w:t>Death or Disability</w:t>
            </w:r>
          </w:p>
        </w:tc>
        <w:tc>
          <w:tcPr>
            <w:tcW w:w="1240" w:type="dxa"/>
            <w:vAlign w:val="bottom"/>
          </w:tcPr>
          <w:p>
            <w:pPr>
              <w:jc w:val="right"/>
              <w:ind w:right="190"/>
              <w:spacing w:after="0"/>
              <w:rPr>
                <w:sz w:val="20"/>
                <w:szCs w:val="20"/>
                <w:color w:val="auto"/>
              </w:rPr>
            </w:pPr>
            <w:r>
              <w:rPr>
                <w:rFonts w:ascii="Arial" w:cs="Arial" w:eastAsia="Arial" w:hAnsi="Arial"/>
                <w:sz w:val="14"/>
                <w:szCs w:val="14"/>
                <w:color w:val="0E2A35"/>
              </w:rPr>
              <w:t>—</w:t>
            </w:r>
          </w:p>
        </w:tc>
        <w:tc>
          <w:tcPr>
            <w:tcW w:w="1160" w:type="dxa"/>
            <w:vAlign w:val="bottom"/>
          </w:tcPr>
          <w:p>
            <w:pPr>
              <w:jc w:val="right"/>
              <w:ind w:right="251"/>
              <w:spacing w:after="0"/>
              <w:rPr>
                <w:sz w:val="20"/>
                <w:szCs w:val="20"/>
                <w:color w:val="auto"/>
              </w:rPr>
            </w:pPr>
            <w:r>
              <w:rPr>
                <w:rFonts w:ascii="Arial" w:cs="Arial" w:eastAsia="Arial" w:hAnsi="Arial"/>
                <w:sz w:val="14"/>
                <w:szCs w:val="14"/>
                <w:color w:val="0E2A35"/>
              </w:rPr>
              <w:t>—</w:t>
            </w:r>
          </w:p>
        </w:tc>
        <w:tc>
          <w:tcPr>
            <w:tcW w:w="1180" w:type="dxa"/>
            <w:vAlign w:val="bottom"/>
          </w:tcPr>
          <w:p>
            <w:pPr>
              <w:jc w:val="right"/>
              <w:ind w:right="191"/>
              <w:spacing w:after="0"/>
              <w:rPr>
                <w:sz w:val="20"/>
                <w:szCs w:val="20"/>
                <w:color w:val="auto"/>
              </w:rPr>
            </w:pPr>
            <w:r>
              <w:rPr>
                <w:rFonts w:ascii="Arial" w:cs="Arial" w:eastAsia="Arial" w:hAnsi="Arial"/>
                <w:sz w:val="14"/>
                <w:szCs w:val="14"/>
                <w:color w:val="0E2A35"/>
              </w:rPr>
              <w:t>—</w:t>
            </w:r>
          </w:p>
        </w:tc>
        <w:tc>
          <w:tcPr>
            <w:tcW w:w="1240" w:type="dxa"/>
            <w:vAlign w:val="bottom"/>
          </w:tcPr>
          <w:p>
            <w:pPr>
              <w:jc w:val="right"/>
              <w:ind w:right="231"/>
              <w:spacing w:after="0"/>
              <w:rPr>
                <w:sz w:val="20"/>
                <w:szCs w:val="20"/>
                <w:color w:val="auto"/>
              </w:rPr>
            </w:pPr>
            <w:r>
              <w:rPr>
                <w:rFonts w:ascii="Arial" w:cs="Arial" w:eastAsia="Arial" w:hAnsi="Arial"/>
                <w:sz w:val="14"/>
                <w:szCs w:val="14"/>
                <w:color w:val="0E2A35"/>
              </w:rPr>
              <w:t>2,898,112​</w:t>
            </w:r>
          </w:p>
        </w:tc>
        <w:tc>
          <w:tcPr>
            <w:tcW w:w="1120" w:type="dxa"/>
            <w:vAlign w:val="bottom"/>
          </w:tcPr>
          <w:p>
            <w:pPr>
              <w:jc w:val="right"/>
              <w:ind w:right="231"/>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58978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81" w:lineRule="exact"/>
        <w:rPr>
          <w:sz w:val="20"/>
          <w:szCs w:val="20"/>
          <w:color w:val="auto"/>
        </w:rPr>
      </w:pPr>
    </w:p>
    <w:p>
      <w:pPr>
        <w:ind w:left="360" w:right="120" w:hanging="360"/>
        <w:spacing w:after="0" w:line="222" w:lineRule="auto"/>
        <w:tabs>
          <w:tab w:leader="none" w:pos="360" w:val="left"/>
        </w:tabs>
        <w:numPr>
          <w:ilvl w:val="0"/>
          <w:numId w:val="53"/>
        </w:numPr>
        <w:rPr>
          <w:rFonts w:ascii="Arial" w:cs="Arial" w:eastAsia="Arial" w:hAnsi="Arial"/>
          <w:sz w:val="13"/>
          <w:szCs w:val="13"/>
          <w:color w:val="0E2A35"/>
        </w:rPr>
      </w:pPr>
      <w:r>
        <w:rPr>
          <w:rFonts w:ascii="Arial" w:cs="Arial" w:eastAsia="Arial" w:hAnsi="Arial"/>
          <w:sz w:val="13"/>
          <w:szCs w:val="13"/>
          <w:color w:val="0E2A35"/>
        </w:rPr>
        <w:t>For Mr. Happe, the Involuntary Termination without Cause and Termination for Good Reason before a Change in Control amounts reflect two years of base salary, annual target incentive, and annual premium cost of COBRA. For Mr. Clark, the Involuntary Termination without Cause or Termination for Good Reason before a Change in Control amounts reflect one year of base salary and the equity portion of the Grand Design MIP due. For Messrs. Hughes and Bower, and Ms. Bogart, the Involuntary Termination without Cause and Termination for Good Reason before a Change in Control amounts reflect one year of base salary, annual target incentive, and annual premium cost of COBRA. For all NEOs (except Mr. Clark), the Change in Control severance amount equals two times (or three times in the case of our CEO) base salary and annual target incentive, and annual premium cost of COBRA. In the case of Mr. Clark, the total severance benefit for a Change in Control termination is capped at $3,000,000.</w:t>
      </w:r>
    </w:p>
    <w:p>
      <w:pPr>
        <w:spacing w:after="0" w:line="31" w:lineRule="exact"/>
        <w:rPr>
          <w:rFonts w:ascii="Arial" w:cs="Arial" w:eastAsia="Arial" w:hAnsi="Arial"/>
          <w:sz w:val="13"/>
          <w:szCs w:val="13"/>
          <w:color w:val="0E2A35"/>
        </w:rPr>
      </w:pPr>
    </w:p>
    <w:p>
      <w:pPr>
        <w:ind w:left="360" w:hanging="360"/>
        <w:spacing w:after="0"/>
        <w:tabs>
          <w:tab w:leader="none" w:pos="360" w:val="left"/>
        </w:tabs>
        <w:numPr>
          <w:ilvl w:val="0"/>
          <w:numId w:val="53"/>
        </w:numPr>
        <w:rPr>
          <w:rFonts w:ascii="Arial" w:cs="Arial" w:eastAsia="Arial" w:hAnsi="Arial"/>
          <w:sz w:val="13"/>
          <w:szCs w:val="13"/>
          <w:color w:val="0E2A35"/>
        </w:rPr>
      </w:pPr>
      <w:r>
        <w:rPr>
          <w:rFonts w:ascii="Arial" w:cs="Arial" w:eastAsia="Arial" w:hAnsi="Arial"/>
          <w:sz w:val="13"/>
          <w:szCs w:val="13"/>
          <w:color w:val="0E2A35"/>
        </w:rPr>
        <w:t>Represents the NEOs' actual annual incentive payout pursuant to the 2023 OICP (other than Mr. Clark).</w:t>
      </w:r>
    </w:p>
    <w:p>
      <w:pPr>
        <w:spacing w:after="0" w:line="39" w:lineRule="exact"/>
        <w:rPr>
          <w:rFonts w:ascii="Arial" w:cs="Arial" w:eastAsia="Arial" w:hAnsi="Arial"/>
          <w:sz w:val="13"/>
          <w:szCs w:val="13"/>
          <w:color w:val="0E2A35"/>
        </w:rPr>
      </w:pPr>
    </w:p>
    <w:p>
      <w:pPr>
        <w:ind w:left="360" w:right="120" w:hanging="360"/>
        <w:spacing w:after="0" w:line="226" w:lineRule="auto"/>
        <w:tabs>
          <w:tab w:leader="none" w:pos="360" w:val="left"/>
        </w:tabs>
        <w:numPr>
          <w:ilvl w:val="0"/>
          <w:numId w:val="53"/>
        </w:numPr>
        <w:rPr>
          <w:rFonts w:ascii="Arial" w:cs="Arial" w:eastAsia="Arial" w:hAnsi="Arial"/>
          <w:sz w:val="13"/>
          <w:szCs w:val="13"/>
          <w:color w:val="0E2A35"/>
        </w:rPr>
      </w:pPr>
      <w:r>
        <w:rPr>
          <w:rFonts w:ascii="Arial" w:cs="Arial" w:eastAsia="Arial" w:hAnsi="Arial"/>
          <w:sz w:val="13"/>
          <w:szCs w:val="13"/>
          <w:color w:val="0E2A35"/>
        </w:rPr>
        <w:t>Represents the LTIP incentive achieved pursuant to the fiscal 2021-2023 LTIP and the target amount payable under the fiscal 2022-2024 LTIP and the fiscal 2023-2025 LTIP. Valuation is based on our closing stock price of $63.65 per share, on August 25, 2023. Actual payouts will depend on, among other things, whether or not awards are assumed or replaced, the type of change in control transaction and, in some cases, whether the payout will occur at target or actual based on the situation at the time, all as explained in the narrative preceding the table.</w:t>
      </w:r>
    </w:p>
    <w:p>
      <w:pPr>
        <w:spacing w:after="0" w:line="30" w:lineRule="exact"/>
        <w:rPr>
          <w:rFonts w:ascii="Arial" w:cs="Arial" w:eastAsia="Arial" w:hAnsi="Arial"/>
          <w:sz w:val="13"/>
          <w:szCs w:val="13"/>
          <w:color w:val="0E2A35"/>
        </w:rPr>
      </w:pPr>
    </w:p>
    <w:p>
      <w:pPr>
        <w:ind w:left="360" w:right="280" w:hanging="360"/>
        <w:spacing w:after="0" w:line="236" w:lineRule="auto"/>
        <w:tabs>
          <w:tab w:leader="none" w:pos="360" w:val="left"/>
        </w:tabs>
        <w:numPr>
          <w:ilvl w:val="0"/>
          <w:numId w:val="53"/>
        </w:numPr>
        <w:rPr>
          <w:rFonts w:ascii="Arial" w:cs="Arial" w:eastAsia="Arial" w:hAnsi="Arial"/>
          <w:sz w:val="13"/>
          <w:szCs w:val="13"/>
          <w:color w:val="0E2A35"/>
        </w:rPr>
      </w:pPr>
      <w:r>
        <w:rPr>
          <w:rFonts w:ascii="Arial" w:cs="Arial" w:eastAsia="Arial" w:hAnsi="Arial"/>
          <w:sz w:val="13"/>
          <w:szCs w:val="13"/>
          <w:color w:val="0E2A35"/>
        </w:rPr>
        <w:t>Represents the intrinsic value of unvested stock unit grants based on our closing stock price of $63.65 per share on August 25, 2023, the last trading day of fiscal 2023.</w:t>
      </w:r>
    </w:p>
    <w:p>
      <w:pPr>
        <w:spacing w:after="0" w:line="29" w:lineRule="exact"/>
        <w:rPr>
          <w:rFonts w:ascii="Arial" w:cs="Arial" w:eastAsia="Arial" w:hAnsi="Arial"/>
          <w:sz w:val="13"/>
          <w:szCs w:val="13"/>
          <w:color w:val="0E2A35"/>
        </w:rPr>
      </w:pPr>
    </w:p>
    <w:p>
      <w:pPr>
        <w:ind w:left="360" w:right="320" w:hanging="360"/>
        <w:spacing w:after="0" w:line="236" w:lineRule="auto"/>
        <w:tabs>
          <w:tab w:leader="none" w:pos="360" w:val="left"/>
        </w:tabs>
        <w:numPr>
          <w:ilvl w:val="0"/>
          <w:numId w:val="53"/>
        </w:numPr>
        <w:rPr>
          <w:rFonts w:ascii="Arial" w:cs="Arial" w:eastAsia="Arial" w:hAnsi="Arial"/>
          <w:sz w:val="13"/>
          <w:szCs w:val="13"/>
          <w:color w:val="0E2A35"/>
        </w:rPr>
      </w:pPr>
      <w:r>
        <w:rPr>
          <w:rFonts w:ascii="Arial" w:cs="Arial" w:eastAsia="Arial" w:hAnsi="Arial"/>
          <w:sz w:val="13"/>
          <w:szCs w:val="13"/>
          <w:color w:val="0E2A35"/>
        </w:rPr>
        <w:t>Represents the intrinsic value of unvested and accelerated stock options based on our closing stock price of $63.65 per share on August 25, 2023, the last trading day of fiscal 2023.</w:t>
      </w:r>
    </w:p>
    <w:p>
      <w:pPr>
        <w:spacing w:after="0" w:line="29" w:lineRule="exact"/>
        <w:rPr>
          <w:rFonts w:ascii="Arial" w:cs="Arial" w:eastAsia="Arial" w:hAnsi="Arial"/>
          <w:sz w:val="13"/>
          <w:szCs w:val="13"/>
          <w:color w:val="0E2A35"/>
        </w:rPr>
      </w:pPr>
    </w:p>
    <w:p>
      <w:pPr>
        <w:ind w:left="360" w:right="40" w:hanging="360"/>
        <w:spacing w:after="0" w:line="226" w:lineRule="auto"/>
        <w:tabs>
          <w:tab w:leader="none" w:pos="360" w:val="left"/>
        </w:tabs>
        <w:numPr>
          <w:ilvl w:val="0"/>
          <w:numId w:val="53"/>
        </w:numPr>
        <w:rPr>
          <w:rFonts w:ascii="Arial" w:cs="Arial" w:eastAsia="Arial" w:hAnsi="Arial"/>
          <w:sz w:val="13"/>
          <w:szCs w:val="13"/>
          <w:color w:val="0E2A35"/>
        </w:rPr>
      </w:pPr>
      <w:r>
        <w:rPr>
          <w:rFonts w:ascii="Arial" w:cs="Arial" w:eastAsia="Arial" w:hAnsi="Arial"/>
          <w:sz w:val="13"/>
          <w:szCs w:val="13"/>
          <w:color w:val="0E2A35"/>
        </w:rPr>
        <w:t>Retirement under certain of the 2014 Plan award agreements is defined as attaining age 60 and five or more years of service with the Company. Retirement under the 2019 Plan awards, granted prior to October 2021, does not trigger automatic acceleration of such awards. For grants beginning in October 2021, retirement is defined as attaining age 55 and 10 or more years of service with the Company, or age 65. In the event of a voluntary termination upon meeting this definition of retirement, vesting of awards granted at least one year prior to the date of retirement will accelerate.</w:t>
      </w:r>
    </w:p>
    <w:p>
      <w:pPr>
        <w:spacing w:after="0" w:line="30" w:lineRule="exact"/>
        <w:rPr>
          <w:rFonts w:ascii="Arial" w:cs="Arial" w:eastAsia="Arial" w:hAnsi="Arial"/>
          <w:sz w:val="13"/>
          <w:szCs w:val="13"/>
          <w:color w:val="0E2A35"/>
        </w:rPr>
      </w:pPr>
    </w:p>
    <w:p>
      <w:pPr>
        <w:ind w:left="360" w:right="160" w:hanging="360"/>
        <w:spacing w:after="0" w:line="230" w:lineRule="auto"/>
        <w:tabs>
          <w:tab w:leader="none" w:pos="360" w:val="left"/>
        </w:tabs>
        <w:numPr>
          <w:ilvl w:val="0"/>
          <w:numId w:val="53"/>
        </w:numPr>
        <w:rPr>
          <w:rFonts w:ascii="Arial" w:cs="Arial" w:eastAsia="Arial" w:hAnsi="Arial"/>
          <w:sz w:val="13"/>
          <w:szCs w:val="13"/>
          <w:color w:val="0E2A35"/>
        </w:rPr>
      </w:pPr>
      <w:r>
        <w:rPr>
          <w:rFonts w:ascii="Arial" w:cs="Arial" w:eastAsia="Arial" w:hAnsi="Arial"/>
          <w:sz w:val="13"/>
          <w:szCs w:val="13"/>
          <w:color w:val="0E2A35"/>
        </w:rPr>
        <w:t>The term “Change of Control” as used here is the term as defined in the 2014 Plan applicable to all awards granted prior to the fiscal 2019 equity awards. Beginning with our fiscal 2020 equity awards, under the 2019 Plan, the definition of “Change in Control” was updated to include, among other things, a double trigger mechanism.</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CEO Pay Ratio Disclosure</w:t>
      </w:r>
    </w:p>
    <w:p>
      <w:pPr>
        <w:spacing w:after="0" w:line="201" w:lineRule="exact"/>
        <w:rPr>
          <w:sz w:val="20"/>
          <w:szCs w:val="20"/>
          <w:color w:val="auto"/>
        </w:rPr>
      </w:pPr>
    </w:p>
    <w:p>
      <w:pPr>
        <w:ind w:right="760"/>
        <w:spacing w:after="0" w:line="276" w:lineRule="auto"/>
        <w:rPr>
          <w:sz w:val="20"/>
          <w:szCs w:val="20"/>
          <w:color w:val="auto"/>
        </w:rPr>
      </w:pPr>
      <w:r>
        <w:rPr>
          <w:rFonts w:ascii="Arial" w:cs="Arial" w:eastAsia="Arial" w:hAnsi="Arial"/>
          <w:sz w:val="16"/>
          <w:szCs w:val="16"/>
          <w:color w:val="0E2A35"/>
        </w:rPr>
        <w:t>For fiscal 2023, we calculated the ratio of the annual total compensation of our principal executive officer (PEO), who is Mr. Happe, our President and CEO, to the annual total compensation of our median employee, as described below.</w:t>
      </w:r>
    </w:p>
    <w:p>
      <w:pPr>
        <w:spacing w:after="0" w:line="144"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0E2A35"/>
        </w:rPr>
        <w:t>As of our measurement date of August 26, 2023 to identify our median employee, our employee population including all full-time, part-time and temporary workers, consisted of approximately 6,261 individuals, all of whom worked in the United States.</w:t>
      </w:r>
    </w:p>
    <w:p>
      <w:pPr>
        <w:spacing w:after="0" w:line="130" w:lineRule="exact"/>
        <w:rPr>
          <w:sz w:val="20"/>
          <w:szCs w:val="20"/>
          <w:color w:val="auto"/>
        </w:rPr>
      </w:pPr>
    </w:p>
    <w:p>
      <w:pPr>
        <w:ind w:right="440"/>
        <w:spacing w:after="0" w:line="276" w:lineRule="auto"/>
        <w:rPr>
          <w:sz w:val="20"/>
          <w:szCs w:val="20"/>
          <w:color w:val="auto"/>
        </w:rPr>
      </w:pPr>
      <w:r>
        <w:rPr>
          <w:rFonts w:ascii="Arial" w:cs="Arial" w:eastAsia="Arial" w:hAnsi="Arial"/>
          <w:sz w:val="16"/>
          <w:szCs w:val="16"/>
          <w:color w:val="0E2A35"/>
        </w:rPr>
        <w:t>To identify the median employee, as well as determine the annual total compensation of the median employee, we used the following methodology and consistently applied material assumptions, adjustments and estimates.</w:t>
      </w:r>
    </w:p>
    <w:p>
      <w:pPr>
        <w:spacing w:after="0" w:line="130" w:lineRule="exact"/>
        <w:rPr>
          <w:sz w:val="20"/>
          <w:szCs w:val="20"/>
          <w:color w:val="auto"/>
        </w:rPr>
      </w:pPr>
    </w:p>
    <w:p>
      <w:pPr>
        <w:ind w:left="720" w:right="60" w:hanging="360"/>
        <w:spacing w:after="0" w:line="252" w:lineRule="auto"/>
        <w:tabs>
          <w:tab w:leader="none" w:pos="720" w:val="left"/>
        </w:tabs>
        <w:numPr>
          <w:ilvl w:val="0"/>
          <w:numId w:val="54"/>
        </w:numPr>
        <w:rPr>
          <w:rFonts w:ascii="Arial" w:cs="Arial" w:eastAsia="Arial" w:hAnsi="Arial"/>
          <w:sz w:val="16"/>
          <w:szCs w:val="16"/>
          <w:color w:val="C7D265"/>
        </w:rPr>
      </w:pPr>
      <w:r>
        <w:rPr>
          <w:rFonts w:ascii="Arial" w:cs="Arial" w:eastAsia="Arial" w:hAnsi="Arial"/>
          <w:sz w:val="16"/>
          <w:szCs w:val="16"/>
          <w:color w:val="0E2A35"/>
        </w:rPr>
        <w:t>We compared the payroll data for our employee population described above (minus our PEO) using a compensation measure consisting of base pay related wages and incentive pay paid during fiscal 2023. Base pay related wages includes the amount of base salary the employee received during the year and all other pay elements related to base pay including, but not limited to, holiday pay, paid time off, overtime and shift differentials. We also included cash bonuses and commissions paid during the fiscal year, but we excluded equity grants and any adjustments for the value of benefits provided.</w:t>
      </w:r>
    </w:p>
    <w:p>
      <w:pPr>
        <w:spacing w:after="0" w:line="163" w:lineRule="exact"/>
        <w:rPr>
          <w:rFonts w:ascii="Arial" w:cs="Arial" w:eastAsia="Arial" w:hAnsi="Arial"/>
          <w:sz w:val="16"/>
          <w:szCs w:val="16"/>
          <w:color w:val="C7D265"/>
        </w:rPr>
      </w:pPr>
    </w:p>
    <w:p>
      <w:pPr>
        <w:ind w:left="720" w:right="200" w:hanging="360"/>
        <w:spacing w:after="0" w:line="276" w:lineRule="auto"/>
        <w:tabs>
          <w:tab w:leader="none" w:pos="720" w:val="left"/>
        </w:tabs>
        <w:numPr>
          <w:ilvl w:val="0"/>
          <w:numId w:val="54"/>
        </w:numPr>
        <w:rPr>
          <w:rFonts w:ascii="Arial" w:cs="Arial" w:eastAsia="Arial" w:hAnsi="Arial"/>
          <w:sz w:val="16"/>
          <w:szCs w:val="16"/>
          <w:color w:val="C7D265"/>
        </w:rPr>
      </w:pPr>
      <w:r>
        <w:rPr>
          <w:rFonts w:ascii="Arial" w:cs="Arial" w:eastAsia="Arial" w:hAnsi="Arial"/>
          <w:sz w:val="16"/>
          <w:szCs w:val="16"/>
          <w:color w:val="0E2A35"/>
        </w:rPr>
        <w:t>We annualized the base pay related wages and incentive pay of all full-time and part-time employees who were hired by the Company and its subsidiaries between August 28, 2022 and August 26, 2023.</w:t>
      </w:r>
    </w:p>
    <w:p>
      <w:pPr>
        <w:spacing w:after="0" w:line="130" w:lineRule="exact"/>
        <w:rPr>
          <w:rFonts w:ascii="Arial" w:cs="Arial" w:eastAsia="Arial" w:hAnsi="Arial"/>
          <w:sz w:val="16"/>
          <w:szCs w:val="16"/>
          <w:color w:val="C7D265"/>
        </w:rPr>
      </w:pPr>
    </w:p>
    <w:p>
      <w:pPr>
        <w:ind w:left="720" w:right="160" w:hanging="360"/>
        <w:spacing w:after="0" w:line="276" w:lineRule="auto"/>
        <w:tabs>
          <w:tab w:leader="none" w:pos="720" w:val="left"/>
        </w:tabs>
        <w:numPr>
          <w:ilvl w:val="0"/>
          <w:numId w:val="54"/>
        </w:numPr>
        <w:rPr>
          <w:rFonts w:ascii="Arial" w:cs="Arial" w:eastAsia="Arial" w:hAnsi="Arial"/>
          <w:sz w:val="16"/>
          <w:szCs w:val="16"/>
          <w:color w:val="C7D265"/>
        </w:rPr>
      </w:pPr>
      <w:r>
        <w:rPr>
          <w:rFonts w:ascii="Arial" w:cs="Arial" w:eastAsia="Arial" w:hAnsi="Arial"/>
          <w:sz w:val="16"/>
          <w:szCs w:val="16"/>
          <w:color w:val="0E2A35"/>
        </w:rPr>
        <w:t>Based upon base pay related wages and cash incentive pay of each employee, we identified a median employee and calculated that employee’s annual total compensation.</w:t>
      </w:r>
    </w:p>
    <w:p>
      <w:pPr>
        <w:spacing w:after="0" w:line="130" w:lineRule="exact"/>
        <w:rPr>
          <w:rFonts w:ascii="Arial" w:cs="Arial" w:eastAsia="Arial" w:hAnsi="Arial"/>
          <w:sz w:val="16"/>
          <w:szCs w:val="16"/>
          <w:color w:val="C7D265"/>
        </w:rPr>
      </w:pPr>
    </w:p>
    <w:p>
      <w:pPr>
        <w:ind w:left="720" w:right="240" w:hanging="360"/>
        <w:spacing w:after="0" w:line="261" w:lineRule="auto"/>
        <w:tabs>
          <w:tab w:leader="none" w:pos="720" w:val="left"/>
        </w:tabs>
        <w:numPr>
          <w:ilvl w:val="0"/>
          <w:numId w:val="54"/>
        </w:numPr>
        <w:rPr>
          <w:rFonts w:ascii="Arial" w:cs="Arial" w:eastAsia="Arial" w:hAnsi="Arial"/>
          <w:sz w:val="16"/>
          <w:szCs w:val="16"/>
          <w:color w:val="C7D265"/>
        </w:rPr>
      </w:pPr>
      <w:r>
        <w:rPr>
          <w:rFonts w:ascii="Arial" w:cs="Arial" w:eastAsia="Arial" w:hAnsi="Arial"/>
          <w:sz w:val="16"/>
          <w:szCs w:val="16"/>
          <w:color w:val="0E2A35"/>
        </w:rPr>
        <w:t>We determined annual total compensation, including any perquisites and other benefits, in the same manner that we determine the annual total compensation of our PEO for purposes of the Summary Compensation Table disclosed above.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0E2A35"/>
        </w:rPr>
        <w:t>This resulted in the median employee’s annual total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58978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60" w:type="dxa"/>
            <w:vAlign w:val="bottom"/>
          </w:tcPr>
          <w:p>
            <w:pPr>
              <w:ind w:left="60"/>
              <w:spacing w:after="0"/>
              <w:rPr>
                <w:sz w:val="20"/>
                <w:szCs w:val="20"/>
                <w:color w:val="auto"/>
              </w:rPr>
            </w:pPr>
            <w:r>
              <w:rPr>
                <w:rFonts w:ascii="Arial" w:cs="Arial" w:eastAsia="Arial" w:hAnsi="Arial"/>
                <w:sz w:val="14"/>
                <w:szCs w:val="14"/>
                <w:color w:val="0E2A35"/>
              </w:rPr>
              <w:t>Annual Total Compensation of Median Employee</w:t>
            </w:r>
          </w:p>
        </w:tc>
        <w:tc>
          <w:tcPr>
            <w:tcW w:w="2780" w:type="dxa"/>
            <w:vAlign w:val="bottom"/>
          </w:tcPr>
          <w:p>
            <w:pPr>
              <w:ind w:left="2600"/>
              <w:spacing w:after="0"/>
              <w:rPr>
                <w:sz w:val="20"/>
                <w:szCs w:val="20"/>
                <w:color w:val="auto"/>
              </w:rPr>
            </w:pPr>
            <w:r>
              <w:rPr>
                <w:rFonts w:ascii="Arial" w:cs="Arial" w:eastAsia="Arial" w:hAnsi="Arial"/>
                <w:sz w:val="14"/>
                <w:szCs w:val="14"/>
                <w:color w:val="0E2A35"/>
              </w:rPr>
              <w:t>$</w:t>
            </w:r>
          </w:p>
        </w:tc>
        <w:tc>
          <w:tcPr>
            <w:tcW w:w="740" w:type="dxa"/>
            <w:vAlign w:val="bottom"/>
          </w:tcPr>
          <w:p>
            <w:pPr>
              <w:ind w:left="100"/>
              <w:spacing w:after="0"/>
              <w:rPr>
                <w:sz w:val="20"/>
                <w:szCs w:val="20"/>
                <w:color w:val="auto"/>
              </w:rPr>
            </w:pPr>
            <w:r>
              <w:rPr>
                <w:rFonts w:ascii="Arial" w:cs="Arial" w:eastAsia="Arial" w:hAnsi="Arial"/>
                <w:sz w:val="14"/>
                <w:szCs w:val="14"/>
                <w:color w:val="0E2A35"/>
              </w:rPr>
              <w:t>​  65,833</w:t>
            </w:r>
          </w:p>
        </w:tc>
      </w:tr>
      <w:tr>
        <w:trPr>
          <w:trHeight w:val="93"/>
        </w:trPr>
        <w:tc>
          <w:tcPr>
            <w:tcW w:w="5760" w:type="dxa"/>
            <w:vAlign w:val="bottom"/>
            <w:tcBorders>
              <w:bottom w:val="single" w:sz="8" w:color="0E2A35"/>
            </w:tcBorders>
          </w:tcPr>
          <w:p>
            <w:pPr>
              <w:spacing w:after="0"/>
              <w:rPr>
                <w:sz w:val="8"/>
                <w:szCs w:val="8"/>
                <w:color w:val="auto"/>
              </w:rPr>
            </w:pPr>
          </w:p>
        </w:tc>
        <w:tc>
          <w:tcPr>
            <w:tcW w:w="3520" w:type="dxa"/>
            <w:vAlign w:val="bottom"/>
            <w:tcBorders>
              <w:bottom w:val="single" w:sz="8" w:color="0E2A35"/>
            </w:tcBorders>
            <w:gridSpan w:val="2"/>
          </w:tcPr>
          <w:p>
            <w:pPr>
              <w:spacing w:after="0"/>
              <w:rPr>
                <w:sz w:val="8"/>
                <w:szCs w:val="8"/>
                <w:color w:val="auto"/>
              </w:rPr>
            </w:pPr>
          </w:p>
        </w:tc>
      </w:tr>
      <w:tr>
        <w:trPr>
          <w:trHeight w:val="278"/>
        </w:trPr>
        <w:tc>
          <w:tcPr>
            <w:tcW w:w="5760" w:type="dxa"/>
            <w:vAlign w:val="bottom"/>
          </w:tcPr>
          <w:p>
            <w:pPr>
              <w:ind w:left="60"/>
              <w:spacing w:after="0"/>
              <w:rPr>
                <w:sz w:val="20"/>
                <w:szCs w:val="20"/>
                <w:color w:val="auto"/>
              </w:rPr>
            </w:pPr>
            <w:r>
              <w:rPr>
                <w:rFonts w:ascii="Arial" w:cs="Arial" w:eastAsia="Arial" w:hAnsi="Arial"/>
                <w:sz w:val="14"/>
                <w:szCs w:val="14"/>
                <w:color w:val="0E2A35"/>
              </w:rPr>
              <w:t>Annual Total Compensation of PEO (Mr. Happe)</w:t>
            </w:r>
          </w:p>
        </w:tc>
        <w:tc>
          <w:tcPr>
            <w:tcW w:w="3520" w:type="dxa"/>
            <w:vAlign w:val="bottom"/>
            <w:gridSpan w:val="2"/>
          </w:tcPr>
          <w:p>
            <w:pPr>
              <w:ind w:left="2600"/>
              <w:spacing w:after="0"/>
              <w:rPr>
                <w:sz w:val="20"/>
                <w:szCs w:val="20"/>
                <w:color w:val="auto"/>
              </w:rPr>
            </w:pPr>
            <w:r>
              <w:rPr>
                <w:rFonts w:ascii="Arial" w:cs="Arial" w:eastAsia="Arial" w:hAnsi="Arial"/>
                <w:sz w:val="14"/>
                <w:szCs w:val="14"/>
                <w:color w:val="0E2A35"/>
              </w:rPr>
              <w:t>$6,677,728</w:t>
            </w:r>
          </w:p>
        </w:tc>
      </w:tr>
      <w:tr>
        <w:trPr>
          <w:trHeight w:val="93"/>
        </w:trPr>
        <w:tc>
          <w:tcPr>
            <w:tcW w:w="5760" w:type="dxa"/>
            <w:vAlign w:val="bottom"/>
            <w:tcBorders>
              <w:bottom w:val="single" w:sz="8" w:color="0E2A35"/>
            </w:tcBorders>
          </w:tcPr>
          <w:p>
            <w:pPr>
              <w:spacing w:after="0"/>
              <w:rPr>
                <w:sz w:val="8"/>
                <w:szCs w:val="8"/>
                <w:color w:val="auto"/>
              </w:rPr>
            </w:pPr>
          </w:p>
        </w:tc>
        <w:tc>
          <w:tcPr>
            <w:tcW w:w="2780" w:type="dxa"/>
            <w:vAlign w:val="bottom"/>
            <w:tcBorders>
              <w:bottom w:val="single" w:sz="8" w:color="0E2A35"/>
            </w:tcBorders>
          </w:tcPr>
          <w:p>
            <w:pPr>
              <w:spacing w:after="0"/>
              <w:rPr>
                <w:sz w:val="8"/>
                <w:szCs w:val="8"/>
                <w:color w:val="auto"/>
              </w:rPr>
            </w:pPr>
          </w:p>
        </w:tc>
        <w:tc>
          <w:tcPr>
            <w:tcW w:w="740" w:type="dxa"/>
            <w:vAlign w:val="bottom"/>
            <w:tcBorders>
              <w:bottom w:val="single" w:sz="8" w:color="0E2A35"/>
            </w:tcBorders>
          </w:tcPr>
          <w:p>
            <w:pPr>
              <w:spacing w:after="0"/>
              <w:rPr>
                <w:sz w:val="8"/>
                <w:szCs w:val="8"/>
                <w:color w:val="auto"/>
              </w:rPr>
            </w:pPr>
          </w:p>
        </w:tc>
      </w:tr>
    </w:tbl>
    <w:p>
      <w:pPr>
        <w:spacing w:after="0" w:line="273"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0E2A35"/>
        </w:rPr>
        <w:t>Based on this information for fiscal 2023, we reasonably estimate that the ratio of our CEO’s annual total compensation to the annual total compensation of our median employee was 101 to 1. Our pay ratio estimate has been calculated in a manner consistent with Item 402(u) of Regulation S-K.</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64" w:name="page65"/>
    <w:bookmarkEnd w:id="64"/>
    <w:p>
      <w:pPr>
        <w:spacing w:after="0"/>
        <w:rPr>
          <w:sz w:val="20"/>
          <w:szCs w:val="20"/>
          <w:color w:val="auto"/>
        </w:rPr>
      </w:pPr>
      <w:r>
        <w:rPr>
          <w:rFonts w:ascii="Arial" w:cs="Arial" w:eastAsia="Arial" w:hAnsi="Arial"/>
          <w:sz w:val="23"/>
          <w:szCs w:val="23"/>
          <w:color w:val="auto"/>
        </w:rPr>
        <w:t> </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27"/>
          <w:szCs w:val="27"/>
          <w:b w:val="1"/>
          <w:bCs w:val="1"/>
          <w:color w:val="0E2A35"/>
        </w:rPr>
        <w:t>Pay Versus Performance Disclosure</w:t>
      </w:r>
    </w:p>
    <w:p>
      <w:pPr>
        <w:spacing w:after="0" w:line="201" w:lineRule="exact"/>
        <w:rPr>
          <w:sz w:val="20"/>
          <w:szCs w:val="20"/>
          <w:color w:val="auto"/>
        </w:rPr>
      </w:pPr>
    </w:p>
    <w:p>
      <w:pPr>
        <w:jc w:val="both"/>
        <w:ind w:left="980" w:right="40"/>
        <w:spacing w:after="0" w:line="261" w:lineRule="auto"/>
        <w:rPr>
          <w:sz w:val="20"/>
          <w:szCs w:val="20"/>
          <w:color w:val="auto"/>
        </w:rPr>
      </w:pPr>
      <w:r>
        <w:rPr>
          <w:rFonts w:ascii="Arial" w:cs="Arial" w:eastAsia="Arial" w:hAnsi="Arial"/>
          <w:sz w:val="16"/>
          <w:szCs w:val="16"/>
          <w:color w:val="0E2A35"/>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illustrating pay versus performance (PVP).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36830</wp:posOffset>
            </wp:positionV>
            <wp:extent cx="2400300" cy="11912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00300" cy="1191260"/>
                    </a:xfrm>
                    <a:prstGeom prst="rect">
                      <a:avLst/>
                    </a:prstGeom>
                    <a:noFill/>
                  </pic:spPr>
                </pic:pic>
              </a:graphicData>
            </a:graphic>
          </wp:anchor>
        </w:drawing>
      </w:r>
    </w:p>
    <w:p>
      <w:pPr>
        <w:sectPr>
          <w:pgSz w:w="11900" w:h="16838" w:orient="portrait"/>
          <w:cols w:equalWidth="0" w:num="1">
            <w:col w:w="10260"/>
          </w:cols>
          <w:pgMar w:left="320" w:top="127" w:right="1319" w:bottom="1440" w:gutter="0" w:footer="0" w:header="0"/>
        </w:sectPr>
      </w:pPr>
    </w:p>
    <w:p>
      <w:pPr>
        <w:spacing w:after="0" w:line="58" w:lineRule="exact"/>
        <w:rPr>
          <w:sz w:val="20"/>
          <w:szCs w:val="20"/>
          <w:color w:val="auto"/>
        </w:rPr>
      </w:pPr>
    </w:p>
    <w:tbl>
      <w:tblPr>
        <w:tblLayout w:type="fixed"/>
        <w:tblInd w:w="980" w:type="dxa"/>
        <w:tblCellMar>
          <w:top w:w="0" w:type="dxa"/>
          <w:left w:w="0" w:type="dxa"/>
          <w:bottom w:w="0" w:type="dxa"/>
          <w:right w:w="0" w:type="dxa"/>
        </w:tblCellMar>
      </w:tblPr>
      <w:tr>
        <w:trPr>
          <w:trHeight w:val="1058"/>
        </w:trPr>
        <w:tc>
          <w:tcPr>
            <w:tcW w:w="560" w:type="dxa"/>
            <w:vAlign w:val="bottom"/>
            <w:shd w:val="clear" w:color="auto" w:fill="0E2A35"/>
          </w:tcPr>
          <w:p>
            <w:pPr>
              <w:spacing w:after="0"/>
              <w:rPr>
                <w:sz w:val="24"/>
                <w:szCs w:val="24"/>
                <w:color w:val="auto"/>
              </w:rPr>
            </w:pPr>
          </w:p>
        </w:tc>
        <w:tc>
          <w:tcPr>
            <w:tcW w:w="1200" w:type="dxa"/>
            <w:vAlign w:val="bottom"/>
            <w:shd w:val="clear" w:color="auto" w:fill="0E2A35"/>
          </w:tcPr>
          <w:p>
            <w:pPr>
              <w:spacing w:after="0"/>
              <w:rPr>
                <w:sz w:val="24"/>
                <w:szCs w:val="24"/>
                <w:color w:val="auto"/>
              </w:rPr>
            </w:pPr>
          </w:p>
        </w:tc>
        <w:tc>
          <w:tcPr>
            <w:tcW w:w="1100" w:type="dxa"/>
            <w:vAlign w:val="bottom"/>
            <w:shd w:val="clear" w:color="auto" w:fill="0E2A35"/>
          </w:tcPr>
          <w:p>
            <w:pPr>
              <w:spacing w:after="0"/>
              <w:rPr>
                <w:sz w:val="24"/>
                <w:szCs w:val="24"/>
                <w:color w:val="auto"/>
              </w:rPr>
            </w:pPr>
          </w:p>
        </w:tc>
        <w:tc>
          <w:tcPr>
            <w:tcW w:w="13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3"/>
              </w:rPr>
              <w:t>Average</w:t>
            </w:r>
          </w:p>
        </w:tc>
        <w:tc>
          <w:tcPr>
            <w:tcW w:w="1420" w:type="dxa"/>
            <w:vAlign w:val="bottom"/>
            <w:shd w:val="clear" w:color="auto" w:fill="0E2A35"/>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60" w:type="dxa"/>
            <w:vAlign w:val="bottom"/>
            <w:shd w:val="clear" w:color="auto" w:fill="0E2A35"/>
          </w:tcPr>
          <w:p>
            <w:pPr>
              <w:spacing w:after="0"/>
              <w:rPr>
                <w:sz w:val="14"/>
                <w:szCs w:val="14"/>
                <w:color w:val="auto"/>
              </w:rPr>
            </w:pP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Summary</w:t>
            </w:r>
          </w:p>
        </w:tc>
        <w:tc>
          <w:tcPr>
            <w:tcW w:w="110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Compensation</w:t>
            </w:r>
          </w:p>
        </w:tc>
        <w:tc>
          <w:tcPr>
            <w:tcW w:w="13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Summary</w:t>
            </w:r>
          </w:p>
        </w:tc>
        <w:tc>
          <w:tcPr>
            <w:tcW w:w="1420" w:type="dxa"/>
            <w:vAlign w:val="bottom"/>
            <w:shd w:val="clear" w:color="auto" w:fill="0E2A35"/>
          </w:tcPr>
          <w:p>
            <w:pPr>
              <w:jc w:val="center"/>
              <w:ind w:right="17"/>
              <w:spacing w:after="0"/>
              <w:rPr>
                <w:sz w:val="20"/>
                <w:szCs w:val="20"/>
                <w:color w:val="auto"/>
              </w:rPr>
            </w:pPr>
            <w:r>
              <w:rPr>
                <w:rFonts w:ascii="Arial" w:cs="Arial" w:eastAsia="Arial" w:hAnsi="Arial"/>
                <w:sz w:val="13"/>
                <w:szCs w:val="13"/>
                <w:b w:val="1"/>
                <w:bCs w:val="1"/>
                <w:color w:val="FFFFFF"/>
                <w:w w:val="97"/>
              </w:rPr>
              <w:t>Average</w:t>
            </w:r>
          </w:p>
        </w:tc>
        <w:tc>
          <w:tcPr>
            <w:tcW w:w="0" w:type="dxa"/>
            <w:vAlign w:val="bottom"/>
          </w:tcPr>
          <w:p>
            <w:pPr>
              <w:spacing w:after="0"/>
              <w:rPr>
                <w:sz w:val="1"/>
                <w:szCs w:val="1"/>
                <w:color w:val="auto"/>
              </w:rPr>
            </w:pPr>
          </w:p>
        </w:tc>
      </w:tr>
      <w:tr>
        <w:trPr>
          <w:trHeight w:val="135"/>
        </w:trPr>
        <w:tc>
          <w:tcPr>
            <w:tcW w:w="56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00" w:type="dxa"/>
            <w:vAlign w:val="bottom"/>
            <w:vMerge w:val="continue"/>
            <w:shd w:val="clear" w:color="auto" w:fill="0E2A35"/>
          </w:tcPr>
          <w:p>
            <w:pPr>
              <w:spacing w:after="0"/>
              <w:rPr>
                <w:sz w:val="11"/>
                <w:szCs w:val="11"/>
                <w:color w:val="auto"/>
              </w:rPr>
            </w:pPr>
          </w:p>
        </w:tc>
        <w:tc>
          <w:tcPr>
            <w:tcW w:w="13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420" w:type="dxa"/>
            <w:vAlign w:val="bottom"/>
            <w:shd w:val="clear" w:color="auto" w:fill="0E2A35"/>
          </w:tcPr>
          <w:p>
            <w:pPr>
              <w:jc w:val="center"/>
              <w:ind w:right="37"/>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0" w:type="dxa"/>
            <w:vAlign w:val="bottom"/>
          </w:tcPr>
          <w:p>
            <w:pPr>
              <w:spacing w:after="0"/>
              <w:rPr>
                <w:sz w:val="1"/>
                <w:szCs w:val="1"/>
                <w:color w:val="auto"/>
              </w:rPr>
            </w:pPr>
          </w:p>
        </w:tc>
      </w:tr>
      <w:tr>
        <w:trPr>
          <w:trHeight w:val="135"/>
        </w:trPr>
        <w:tc>
          <w:tcPr>
            <w:tcW w:w="560" w:type="dxa"/>
            <w:vAlign w:val="bottom"/>
            <w:shd w:val="clear" w:color="auto" w:fill="0E2A35"/>
          </w:tcPr>
          <w:p>
            <w:pPr>
              <w:spacing w:after="0"/>
              <w:rPr>
                <w:sz w:val="11"/>
                <w:szCs w:val="11"/>
                <w:color w:val="auto"/>
              </w:rPr>
            </w:pPr>
          </w:p>
        </w:tc>
        <w:tc>
          <w:tcPr>
            <w:tcW w:w="12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4"/>
              </w:rPr>
              <w:t>Table</w:t>
            </w:r>
          </w:p>
        </w:tc>
        <w:tc>
          <w:tcPr>
            <w:tcW w:w="11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Actually Paid</w:t>
            </w:r>
          </w:p>
        </w:tc>
        <w:tc>
          <w:tcPr>
            <w:tcW w:w="13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Total for</w:t>
            </w:r>
          </w:p>
        </w:tc>
        <w:tc>
          <w:tcPr>
            <w:tcW w:w="1420" w:type="dxa"/>
            <w:vAlign w:val="bottom"/>
            <w:shd w:val="clear" w:color="auto" w:fill="0E2A35"/>
          </w:tcPr>
          <w:p>
            <w:pPr>
              <w:jc w:val="center"/>
              <w:ind w:right="57"/>
              <w:spacing w:after="0" w:line="135" w:lineRule="exact"/>
              <w:rPr>
                <w:sz w:val="20"/>
                <w:szCs w:val="20"/>
                <w:color w:val="auto"/>
              </w:rPr>
            </w:pPr>
            <w:r>
              <w:rPr>
                <w:rFonts w:ascii="Arial" w:cs="Arial" w:eastAsia="Arial" w:hAnsi="Arial"/>
                <w:sz w:val="13"/>
                <w:szCs w:val="13"/>
                <w:b w:val="1"/>
                <w:bCs w:val="1"/>
                <w:color w:val="FFFFFF"/>
                <w:w w:val="95"/>
              </w:rPr>
              <w:t>Actually Paid</w:t>
            </w:r>
          </w:p>
        </w:tc>
        <w:tc>
          <w:tcPr>
            <w:tcW w:w="0" w:type="dxa"/>
            <w:vAlign w:val="bottom"/>
          </w:tcPr>
          <w:p>
            <w:pPr>
              <w:spacing w:after="0"/>
              <w:rPr>
                <w:sz w:val="1"/>
                <w:szCs w:val="1"/>
                <w:color w:val="auto"/>
              </w:rPr>
            </w:pPr>
          </w:p>
        </w:tc>
      </w:tr>
      <w:tr>
        <w:trPr>
          <w:trHeight w:val="140"/>
        </w:trPr>
        <w:tc>
          <w:tcPr>
            <w:tcW w:w="560" w:type="dxa"/>
            <w:vAlign w:val="bottom"/>
            <w:vMerge w:val="restart"/>
            <w:shd w:val="clear" w:color="auto" w:fill="0E2A35"/>
          </w:tcPr>
          <w:p>
            <w:pPr>
              <w:ind w:left="140"/>
              <w:spacing w:after="0"/>
              <w:rPr>
                <w:sz w:val="20"/>
                <w:szCs w:val="20"/>
                <w:color w:val="auto"/>
              </w:rPr>
            </w:pPr>
            <w:r>
              <w:rPr>
                <w:rFonts w:ascii="Arial" w:cs="Arial" w:eastAsia="Arial" w:hAnsi="Arial"/>
                <w:sz w:val="13"/>
                <w:szCs w:val="13"/>
                <w:b w:val="1"/>
                <w:bCs w:val="1"/>
                <w:color w:val="FFFFFF"/>
              </w:rPr>
              <w:t>Year</w:t>
            </w:r>
          </w:p>
        </w:tc>
        <w:tc>
          <w:tcPr>
            <w:tcW w:w="1200" w:type="dxa"/>
            <w:vAlign w:val="bottom"/>
            <w:shd w:val="clear" w:color="auto" w:fill="0E2A35"/>
          </w:tcPr>
          <w:p>
            <w:pPr>
              <w:jc w:val="center"/>
              <w:spacing w:after="0" w:line="140" w:lineRule="exact"/>
              <w:rPr>
                <w:sz w:val="20"/>
                <w:szCs w:val="20"/>
                <w:color w:val="auto"/>
              </w:rPr>
            </w:pPr>
            <w:r>
              <w:rPr>
                <w:rFonts w:ascii="Arial" w:cs="Arial" w:eastAsia="Arial" w:hAnsi="Arial"/>
                <w:sz w:val="10"/>
                <w:szCs w:val="10"/>
                <w:b w:val="1"/>
                <w:bCs w:val="1"/>
                <w:color w:val="FFFFFF"/>
              </w:rPr>
              <w:t>Total for PEO</w:t>
            </w:r>
            <w:r>
              <w:rPr>
                <w:rFonts w:ascii="Arial" w:cs="Arial" w:eastAsia="Arial" w:hAnsi="Arial"/>
                <w:sz w:val="16"/>
                <w:szCs w:val="16"/>
                <w:b w:val="1"/>
                <w:bCs w:val="1"/>
                <w:color w:val="FFFFFF"/>
                <w:vertAlign w:val="superscript"/>
              </w:rPr>
              <w:t>(1)</w:t>
            </w:r>
          </w:p>
        </w:tc>
        <w:tc>
          <w:tcPr>
            <w:tcW w:w="1100" w:type="dxa"/>
            <w:vAlign w:val="bottom"/>
            <w:shd w:val="clear" w:color="auto" w:fill="0E2A35"/>
          </w:tcPr>
          <w:p>
            <w:pPr>
              <w:jc w:val="center"/>
              <w:spacing w:after="0" w:line="140" w:lineRule="exact"/>
              <w:rPr>
                <w:sz w:val="20"/>
                <w:szCs w:val="20"/>
                <w:color w:val="auto"/>
              </w:rPr>
            </w:pPr>
            <w:r>
              <w:rPr>
                <w:rFonts w:ascii="Arial" w:cs="Arial" w:eastAsia="Arial" w:hAnsi="Arial"/>
                <w:sz w:val="13"/>
                <w:szCs w:val="13"/>
                <w:b w:val="1"/>
                <w:bCs w:val="1"/>
                <w:color w:val="FFFFFF"/>
                <w:w w:val="96"/>
              </w:rPr>
              <w:t>to PEO</w:t>
            </w:r>
          </w:p>
        </w:tc>
        <w:tc>
          <w:tcPr>
            <w:tcW w:w="1300" w:type="dxa"/>
            <w:vAlign w:val="bottom"/>
            <w:shd w:val="clear" w:color="auto" w:fill="0E2A35"/>
          </w:tcPr>
          <w:p>
            <w:pPr>
              <w:jc w:val="center"/>
              <w:spacing w:after="0" w:line="140" w:lineRule="exact"/>
              <w:rPr>
                <w:sz w:val="20"/>
                <w:szCs w:val="20"/>
                <w:color w:val="auto"/>
              </w:rPr>
            </w:pPr>
            <w:r>
              <w:rPr>
                <w:rFonts w:ascii="Arial" w:cs="Arial" w:eastAsia="Arial" w:hAnsi="Arial"/>
                <w:sz w:val="10"/>
                <w:szCs w:val="10"/>
                <w:b w:val="1"/>
                <w:bCs w:val="1"/>
                <w:color w:val="FFFFFF"/>
              </w:rPr>
              <w:t>Non-PEO NEOs</w:t>
            </w:r>
            <w:r>
              <w:rPr>
                <w:rFonts w:ascii="Arial" w:cs="Arial" w:eastAsia="Arial" w:hAnsi="Arial"/>
                <w:sz w:val="16"/>
                <w:szCs w:val="16"/>
                <w:b w:val="1"/>
                <w:bCs w:val="1"/>
                <w:color w:val="FFFFFF"/>
                <w:vertAlign w:val="superscript"/>
              </w:rPr>
              <w:t>(1)</w:t>
            </w:r>
          </w:p>
        </w:tc>
        <w:tc>
          <w:tcPr>
            <w:tcW w:w="1420" w:type="dxa"/>
            <w:vAlign w:val="bottom"/>
            <w:shd w:val="clear" w:color="auto" w:fill="0E2A35"/>
          </w:tcPr>
          <w:p>
            <w:pPr>
              <w:jc w:val="center"/>
              <w:ind w:right="37"/>
              <w:spacing w:after="0" w:line="140" w:lineRule="exact"/>
              <w:rPr>
                <w:sz w:val="20"/>
                <w:szCs w:val="20"/>
                <w:color w:val="auto"/>
              </w:rPr>
            </w:pPr>
            <w:r>
              <w:rPr>
                <w:rFonts w:ascii="Arial" w:cs="Arial" w:eastAsia="Arial" w:hAnsi="Arial"/>
                <w:sz w:val="13"/>
                <w:szCs w:val="13"/>
                <w:b w:val="1"/>
                <w:bCs w:val="1"/>
                <w:color w:val="FFFFFF"/>
                <w:w w:val="96"/>
              </w:rPr>
              <w:t>to Non-PEO NEOs</w:t>
            </w:r>
          </w:p>
        </w:tc>
        <w:tc>
          <w:tcPr>
            <w:tcW w:w="0" w:type="dxa"/>
            <w:vAlign w:val="bottom"/>
          </w:tcPr>
          <w:p>
            <w:pPr>
              <w:spacing w:after="0"/>
              <w:rPr>
                <w:sz w:val="1"/>
                <w:szCs w:val="1"/>
                <w:color w:val="auto"/>
              </w:rPr>
            </w:pPr>
          </w:p>
        </w:tc>
      </w:tr>
      <w:tr>
        <w:trPr>
          <w:trHeight w:val="176"/>
        </w:trPr>
        <w:tc>
          <w:tcPr>
            <w:tcW w:w="560" w:type="dxa"/>
            <w:vAlign w:val="bottom"/>
            <w:vMerge w:val="continue"/>
            <w:shd w:val="clear" w:color="auto" w:fill="0E2A35"/>
          </w:tcPr>
          <w:p>
            <w:pPr>
              <w:spacing w:after="0"/>
              <w:rPr>
                <w:sz w:val="15"/>
                <w:szCs w:val="15"/>
                <w:color w:val="auto"/>
              </w:rPr>
            </w:pPr>
          </w:p>
        </w:tc>
        <w:tc>
          <w:tcPr>
            <w:tcW w:w="12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3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420" w:type="dxa"/>
            <w:vAlign w:val="bottom"/>
            <w:shd w:val="clear" w:color="auto" w:fill="0E2A35"/>
          </w:tcPr>
          <w:p>
            <w:pPr>
              <w:jc w:val="center"/>
              <w:ind w:right="3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560" w:type="dxa"/>
            <w:vAlign w:val="bottom"/>
            <w:shd w:val="clear" w:color="auto" w:fill="0E2A35"/>
          </w:tcPr>
          <w:p>
            <w:pPr>
              <w:spacing w:after="0"/>
              <w:rPr>
                <w:sz w:val="5"/>
                <w:szCs w:val="5"/>
                <w:color w:val="auto"/>
              </w:rPr>
            </w:pPr>
          </w:p>
        </w:tc>
        <w:tc>
          <w:tcPr>
            <w:tcW w:w="1200" w:type="dxa"/>
            <w:vAlign w:val="bottom"/>
            <w:shd w:val="clear" w:color="auto" w:fill="0E2A35"/>
          </w:tcPr>
          <w:p>
            <w:pPr>
              <w:spacing w:after="0"/>
              <w:rPr>
                <w:sz w:val="5"/>
                <w:szCs w:val="5"/>
                <w:color w:val="auto"/>
              </w:rPr>
            </w:pPr>
          </w:p>
        </w:tc>
        <w:tc>
          <w:tcPr>
            <w:tcW w:w="1100" w:type="dxa"/>
            <w:vAlign w:val="bottom"/>
            <w:shd w:val="clear" w:color="auto" w:fill="0E2A35"/>
          </w:tcPr>
          <w:p>
            <w:pPr>
              <w:spacing w:after="0"/>
              <w:rPr>
                <w:sz w:val="5"/>
                <w:szCs w:val="5"/>
                <w:color w:val="auto"/>
              </w:rPr>
            </w:pPr>
          </w:p>
        </w:tc>
        <w:tc>
          <w:tcPr>
            <w:tcW w:w="1300" w:type="dxa"/>
            <w:vAlign w:val="bottom"/>
            <w:shd w:val="clear" w:color="auto" w:fill="0E2A35"/>
          </w:tcPr>
          <w:p>
            <w:pPr>
              <w:spacing w:after="0"/>
              <w:rPr>
                <w:sz w:val="5"/>
                <w:szCs w:val="5"/>
                <w:color w:val="auto"/>
              </w:rPr>
            </w:pPr>
          </w:p>
        </w:tc>
        <w:tc>
          <w:tcPr>
            <w:tcW w:w="1420" w:type="dxa"/>
            <w:vAlign w:val="bottom"/>
            <w:shd w:val="clear" w:color="auto" w:fill="0E2A35"/>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1840"/>
        <w:spacing w:after="0"/>
        <w:rPr>
          <w:sz w:val="20"/>
          <w:szCs w:val="20"/>
          <w:color w:val="auto"/>
        </w:rPr>
      </w:pPr>
      <w:r>
        <w:rPr>
          <w:rFonts w:ascii="Arial" w:cs="Arial" w:eastAsia="Arial" w:hAnsi="Arial"/>
          <w:sz w:val="13"/>
          <w:szCs w:val="13"/>
          <w:b w:val="1"/>
          <w:bCs w:val="1"/>
          <w:color w:val="FFFFFF"/>
        </w:rPr>
        <w:t>Value of Initial Fixed</w:t>
      </w:r>
    </w:p>
    <w:p>
      <w:pPr>
        <w:spacing w:after="0" w:line="2" w:lineRule="exact"/>
        <w:rPr>
          <w:sz w:val="20"/>
          <w:szCs w:val="20"/>
          <w:color w:val="auto"/>
        </w:rPr>
      </w:pPr>
    </w:p>
    <w:p>
      <w:pPr>
        <w:jc w:val="center"/>
        <w:ind w:right="1840"/>
        <w:spacing w:after="0"/>
        <w:rPr>
          <w:sz w:val="20"/>
          <w:szCs w:val="20"/>
          <w:color w:val="auto"/>
        </w:rPr>
      </w:pPr>
      <w:r>
        <w:rPr>
          <w:rFonts w:ascii="Arial" w:cs="Arial" w:eastAsia="Arial" w:hAnsi="Arial"/>
          <w:sz w:val="13"/>
          <w:szCs w:val="13"/>
          <w:b w:val="1"/>
          <w:bCs w:val="1"/>
          <w:color w:val="FFFFFF"/>
        </w:rPr>
        <w:t>$100 Investment Based 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00" w:type="dxa"/>
            <w:vAlign w:val="bottom"/>
            <w:shd w:val="clear" w:color="auto" w:fill="0E2A35"/>
          </w:tcPr>
          <w:p>
            <w:pPr>
              <w:spacing w:after="0"/>
              <w:rPr>
                <w:sz w:val="16"/>
                <w:szCs w:val="16"/>
                <w:color w:val="auto"/>
              </w:rPr>
            </w:pPr>
          </w:p>
        </w:tc>
        <w:tc>
          <w:tcPr>
            <w:tcW w:w="10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Russell 3000</w:t>
            </w: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0E2A35"/>
          </w:tcPr>
          <w:p>
            <w:pPr>
              <w:spacing w:after="0"/>
              <w:rPr>
                <w:sz w:val="11"/>
                <w:szCs w:val="11"/>
                <w:color w:val="auto"/>
              </w:rPr>
            </w:pPr>
          </w:p>
        </w:tc>
        <w:tc>
          <w:tcPr>
            <w:tcW w:w="10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Recreational</w:t>
            </w: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0E2A35"/>
          </w:tcPr>
          <w:p>
            <w:pPr>
              <w:spacing w:after="0"/>
              <w:rPr>
                <w:sz w:val="11"/>
                <w:szCs w:val="11"/>
                <w:color w:val="auto"/>
              </w:rPr>
            </w:pPr>
          </w:p>
        </w:tc>
        <w:tc>
          <w:tcPr>
            <w:tcW w:w="10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4"/>
              </w:rPr>
              <w:t>Vehicle and</w:t>
            </w: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0E2A35"/>
          </w:tcPr>
          <w:p>
            <w:pPr>
              <w:spacing w:after="0"/>
              <w:rPr>
                <w:sz w:val="11"/>
                <w:szCs w:val="11"/>
                <w:color w:val="auto"/>
              </w:rPr>
            </w:pPr>
          </w:p>
        </w:tc>
        <w:tc>
          <w:tcPr>
            <w:tcW w:w="10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9"/>
              </w:rPr>
              <w:t>Boats</w:t>
            </w: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vMerge w:val="restart"/>
            <w:shd w:val="clear" w:color="auto" w:fill="0E2A35"/>
          </w:tcPr>
          <w:p>
            <w:pPr>
              <w:jc w:val="center"/>
              <w:ind w:right="38"/>
              <w:spacing w:after="0"/>
              <w:rPr>
                <w:sz w:val="20"/>
                <w:szCs w:val="20"/>
                <w:color w:val="auto"/>
              </w:rPr>
            </w:pPr>
            <w:r>
              <w:rPr>
                <w:rFonts w:ascii="Arial" w:cs="Arial" w:eastAsia="Arial" w:hAnsi="Arial"/>
                <w:sz w:val="13"/>
                <w:szCs w:val="13"/>
                <w:b w:val="1"/>
                <w:bCs w:val="1"/>
                <w:color w:val="FFFFFF"/>
                <w:w w:val="89"/>
              </w:rPr>
              <w:t>Total</w:t>
            </w:r>
          </w:p>
        </w:tc>
        <w:tc>
          <w:tcPr>
            <w:tcW w:w="10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Subsector</w:t>
            </w: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00" w:type="dxa"/>
            <w:vAlign w:val="bottom"/>
            <w:vMerge w:val="continue"/>
            <w:shd w:val="clear" w:color="auto" w:fill="0E2A35"/>
          </w:tcPr>
          <w:p>
            <w:pPr>
              <w:spacing w:after="0"/>
              <w:rPr>
                <w:sz w:val="11"/>
                <w:szCs w:val="11"/>
                <w:color w:val="auto"/>
              </w:rPr>
            </w:pPr>
          </w:p>
        </w:tc>
        <w:tc>
          <w:tcPr>
            <w:tcW w:w="102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Index Total</w:t>
            </w: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900" w:type="dxa"/>
            <w:vAlign w:val="bottom"/>
            <w:shd w:val="clear" w:color="auto" w:fill="0E2A35"/>
          </w:tcPr>
          <w:p>
            <w:pPr>
              <w:jc w:val="center"/>
              <w:spacing w:after="0" w:line="145" w:lineRule="exact"/>
              <w:rPr>
                <w:sz w:val="20"/>
                <w:szCs w:val="20"/>
                <w:color w:val="auto"/>
              </w:rPr>
            </w:pPr>
            <w:r>
              <w:rPr>
                <w:rFonts w:ascii="Arial" w:cs="Arial" w:eastAsia="Arial" w:hAnsi="Arial"/>
                <w:sz w:val="13"/>
                <w:szCs w:val="13"/>
                <w:b w:val="1"/>
                <w:bCs w:val="1"/>
                <w:color w:val="FFFFFF"/>
                <w:w w:val="94"/>
              </w:rPr>
              <w:t>Shareholder</w:t>
            </w:r>
          </w:p>
        </w:tc>
        <w:tc>
          <w:tcPr>
            <w:tcW w:w="1020" w:type="dxa"/>
            <w:vAlign w:val="bottom"/>
            <w:shd w:val="clear" w:color="auto" w:fill="0E2A35"/>
          </w:tcPr>
          <w:p>
            <w:pPr>
              <w:jc w:val="center"/>
              <w:spacing w:after="0" w:line="145" w:lineRule="exact"/>
              <w:rPr>
                <w:sz w:val="20"/>
                <w:szCs w:val="20"/>
                <w:color w:val="auto"/>
              </w:rPr>
            </w:pPr>
            <w:r>
              <w:rPr>
                <w:rFonts w:ascii="Arial" w:cs="Arial" w:eastAsia="Arial" w:hAnsi="Arial"/>
                <w:sz w:val="13"/>
                <w:szCs w:val="13"/>
                <w:b w:val="1"/>
                <w:bCs w:val="1"/>
                <w:color w:val="FFFFFF"/>
                <w:w w:val="94"/>
              </w:rPr>
              <w:t>Shareholder</w:t>
            </w:r>
          </w:p>
        </w:tc>
        <w:tc>
          <w:tcPr>
            <w:tcW w:w="1060" w:type="dxa"/>
            <w:vAlign w:val="bottom"/>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b w:val="1"/>
                <w:bCs w:val="1"/>
                <w:color w:val="FFFFFF"/>
                <w:w w:val="92"/>
              </w:rPr>
              <w:t>Incentive</w:t>
            </w:r>
          </w:p>
        </w:tc>
        <w:tc>
          <w:tcPr>
            <w:tcW w:w="0" w:type="dxa"/>
            <w:vAlign w:val="bottom"/>
          </w:tcPr>
          <w:p>
            <w:pPr>
              <w:spacing w:after="0"/>
              <w:rPr>
                <w:sz w:val="1"/>
                <w:szCs w:val="1"/>
                <w:color w:val="auto"/>
              </w:rPr>
            </w:pPr>
          </w:p>
        </w:tc>
      </w:tr>
      <w:tr>
        <w:trPr>
          <w:trHeight w:val="161"/>
        </w:trPr>
        <w:tc>
          <w:tcPr>
            <w:tcW w:w="900" w:type="dxa"/>
            <w:vAlign w:val="bottom"/>
            <w:shd w:val="clear" w:color="auto" w:fill="0E2A35"/>
          </w:tcPr>
          <w:p>
            <w:pPr>
              <w:ind w:left="160"/>
              <w:spacing w:after="0" w:line="161" w:lineRule="exact"/>
              <w:rPr>
                <w:sz w:val="20"/>
                <w:szCs w:val="20"/>
                <w:color w:val="auto"/>
              </w:rPr>
            </w:pPr>
            <w:r>
              <w:rPr>
                <w:rFonts w:ascii="Arial" w:cs="Arial" w:eastAsia="Arial" w:hAnsi="Arial"/>
                <w:sz w:val="12"/>
                <w:szCs w:val="12"/>
                <w:b w:val="1"/>
                <w:bCs w:val="1"/>
                <w:color w:val="FFFFFF"/>
              </w:rPr>
              <w:t>Return</w:t>
            </w:r>
            <w:r>
              <w:rPr>
                <w:rFonts w:ascii="Arial" w:cs="Arial" w:eastAsia="Arial" w:hAnsi="Arial"/>
                <w:sz w:val="18"/>
                <w:szCs w:val="18"/>
                <w:b w:val="1"/>
                <w:bCs w:val="1"/>
                <w:color w:val="FFFFFF"/>
                <w:vertAlign w:val="superscript"/>
              </w:rPr>
              <w:t>(2)</w:t>
            </w:r>
          </w:p>
        </w:tc>
        <w:tc>
          <w:tcPr>
            <w:tcW w:w="1020" w:type="dxa"/>
            <w:vAlign w:val="bottom"/>
            <w:shd w:val="clear" w:color="auto" w:fill="0E2A35"/>
          </w:tcPr>
          <w:p>
            <w:pPr>
              <w:jc w:val="center"/>
              <w:spacing w:after="0" w:line="161" w:lineRule="exact"/>
              <w:rPr>
                <w:sz w:val="20"/>
                <w:szCs w:val="20"/>
                <w:color w:val="auto"/>
              </w:rPr>
            </w:pPr>
            <w:r>
              <w:rPr>
                <w:rFonts w:ascii="Arial" w:cs="Arial" w:eastAsia="Arial" w:hAnsi="Arial"/>
                <w:sz w:val="18"/>
                <w:szCs w:val="18"/>
                <w:b w:val="1"/>
                <w:bCs w:val="1"/>
                <w:color w:val="FFFFFF"/>
                <w:vertAlign w:val="subscript"/>
              </w:rPr>
              <w:t>Return</w:t>
            </w:r>
            <w:r>
              <w:rPr>
                <w:rFonts w:ascii="Arial" w:cs="Arial" w:eastAsia="Arial" w:hAnsi="Arial"/>
                <w:sz w:val="9"/>
                <w:szCs w:val="9"/>
                <w:b w:val="1"/>
                <w:bCs w:val="1"/>
                <w:color w:val="FFFFFF"/>
              </w:rPr>
              <w:t>(2)(3)</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FFFFFF"/>
                <w:w w:val="96"/>
              </w:rPr>
              <w:t>Net Income</w:t>
            </w: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9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FFFFFF"/>
                <w:w w:val="95"/>
              </w:rPr>
              <w:t>($ in millions)</w:t>
            </w:r>
          </w:p>
        </w:tc>
        <w:tc>
          <w:tcPr>
            <w:tcW w:w="680" w:type="dxa"/>
            <w:vAlign w:val="bottom"/>
          </w:tcPr>
          <w:p>
            <w:pPr>
              <w:ind w:left="140"/>
              <w:spacing w:after="0"/>
              <w:rPr>
                <w:sz w:val="20"/>
                <w:szCs w:val="20"/>
                <w:color w:val="auto"/>
              </w:rPr>
            </w:pPr>
            <w:r>
              <w:rPr>
                <w:rFonts w:ascii="Arial" w:cs="Arial" w:eastAsia="Arial" w:hAnsi="Arial"/>
                <w:sz w:val="13"/>
                <w:szCs w:val="13"/>
                <w:b w:val="1"/>
                <w:bCs w:val="1"/>
                <w:color w:val="FFFFFF"/>
                <w:w w:val="89"/>
              </w:rPr>
              <w:t>EPS($)</w:t>
            </w:r>
            <w:r>
              <w:rPr>
                <w:rFonts w:ascii="Arial" w:cs="Arial" w:eastAsia="Arial" w:hAnsi="Arial"/>
                <w:sz w:val="20"/>
                <w:szCs w:val="20"/>
                <w:b w:val="1"/>
                <w:bCs w:val="1"/>
                <w:color w:val="FFFFFF"/>
                <w:w w:val="89"/>
                <w:vertAlign w:val="superscript"/>
              </w:rPr>
              <w:t>(4)</w:t>
            </w: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2">
            <w:col w:w="6560" w:space="0"/>
            <w:col w:w="3700"/>
          </w:cols>
          <w:pgMar w:left="320" w:top="127" w:right="1319" w:bottom="1440" w:gutter="0" w:footer="0" w:header="0"/>
          <w:type w:val="continuous"/>
        </w:sectPr>
      </w:pPr>
    </w:p>
    <w:tbl>
      <w:tblPr>
        <w:tblLayout w:type="fixed"/>
        <w:tblInd w:w="980" w:type="dxa"/>
        <w:tblCellMar>
          <w:top w:w="0" w:type="dxa"/>
          <w:left w:w="0" w:type="dxa"/>
          <w:bottom w:w="0" w:type="dxa"/>
          <w:right w:w="0" w:type="dxa"/>
        </w:tblCellMar>
      </w:tblPr>
      <w:tr>
        <w:trPr>
          <w:trHeight w:val="182"/>
        </w:trPr>
        <w:tc>
          <w:tcPr>
            <w:tcW w:w="600" w:type="dxa"/>
            <w:vAlign w:val="bottom"/>
          </w:tcPr>
          <w:p>
            <w:pPr>
              <w:jc w:val="right"/>
              <w:ind w:right="148"/>
              <w:spacing w:after="0"/>
              <w:rPr>
                <w:sz w:val="20"/>
                <w:szCs w:val="20"/>
                <w:color w:val="auto"/>
              </w:rPr>
            </w:pPr>
            <w:r>
              <w:rPr>
                <w:rFonts w:ascii="Arial" w:cs="Arial" w:eastAsia="Arial" w:hAnsi="Arial"/>
                <w:sz w:val="14"/>
                <w:szCs w:val="14"/>
                <w:color w:val="0E2A35"/>
              </w:rPr>
              <w:t>2023</w:t>
            </w:r>
          </w:p>
        </w:tc>
        <w:tc>
          <w:tcPr>
            <w:tcW w:w="1100" w:type="dxa"/>
            <w:vAlign w:val="bottom"/>
          </w:tcPr>
          <w:p>
            <w:pPr>
              <w:jc w:val="right"/>
              <w:ind w:right="168"/>
              <w:spacing w:after="0"/>
              <w:rPr>
                <w:sz w:val="20"/>
                <w:szCs w:val="20"/>
                <w:color w:val="auto"/>
              </w:rPr>
            </w:pPr>
            <w:r>
              <w:rPr>
                <w:rFonts w:ascii="Arial" w:cs="Arial" w:eastAsia="Arial" w:hAnsi="Arial"/>
                <w:sz w:val="14"/>
                <w:szCs w:val="14"/>
                <w:color w:val="0E2A35"/>
              </w:rPr>
              <w:t>6,677,728</w:t>
            </w:r>
          </w:p>
        </w:tc>
        <w:tc>
          <w:tcPr>
            <w:tcW w:w="1200" w:type="dxa"/>
            <w:vAlign w:val="bottom"/>
          </w:tcPr>
          <w:p>
            <w:pPr>
              <w:jc w:val="right"/>
              <w:ind w:right="268"/>
              <w:spacing w:after="0"/>
              <w:rPr>
                <w:sz w:val="20"/>
                <w:szCs w:val="20"/>
                <w:color w:val="auto"/>
              </w:rPr>
            </w:pPr>
            <w:r>
              <w:rPr>
                <w:rFonts w:ascii="Arial" w:cs="Arial" w:eastAsia="Arial" w:hAnsi="Arial"/>
                <w:sz w:val="14"/>
                <w:szCs w:val="14"/>
                <w:color w:val="0E2A35"/>
              </w:rPr>
              <w:t>4,040,446</w:t>
            </w:r>
          </w:p>
        </w:tc>
        <w:tc>
          <w:tcPr>
            <w:tcW w:w="1240" w:type="dxa"/>
            <w:vAlign w:val="bottom"/>
          </w:tcPr>
          <w:p>
            <w:pPr>
              <w:jc w:val="right"/>
              <w:ind w:right="248"/>
              <w:spacing w:after="0"/>
              <w:rPr>
                <w:sz w:val="20"/>
                <w:szCs w:val="20"/>
                <w:color w:val="auto"/>
              </w:rPr>
            </w:pPr>
            <w:r>
              <w:rPr>
                <w:rFonts w:ascii="Arial" w:cs="Arial" w:eastAsia="Arial" w:hAnsi="Arial"/>
                <w:sz w:val="14"/>
                <w:szCs w:val="14"/>
                <w:color w:val="0E2A35"/>
              </w:rPr>
              <w:t>2,946,821</w:t>
            </w:r>
          </w:p>
        </w:tc>
        <w:tc>
          <w:tcPr>
            <w:tcW w:w="1320" w:type="dxa"/>
            <w:vAlign w:val="bottom"/>
          </w:tcPr>
          <w:p>
            <w:pPr>
              <w:jc w:val="right"/>
              <w:ind w:right="288"/>
              <w:spacing w:after="0"/>
              <w:rPr>
                <w:sz w:val="20"/>
                <w:szCs w:val="20"/>
                <w:color w:val="auto"/>
              </w:rPr>
            </w:pPr>
            <w:r>
              <w:rPr>
                <w:rFonts w:ascii="Arial" w:cs="Arial" w:eastAsia="Arial" w:hAnsi="Arial"/>
                <w:sz w:val="14"/>
                <w:szCs w:val="14"/>
                <w:color w:val="0E2A35"/>
              </w:rPr>
              <w:t>2,675,476</w:t>
            </w:r>
          </w:p>
        </w:tc>
        <w:tc>
          <w:tcPr>
            <w:tcW w:w="1040" w:type="dxa"/>
            <w:vAlign w:val="bottom"/>
          </w:tcPr>
          <w:p>
            <w:pPr>
              <w:jc w:val="right"/>
              <w:ind w:right="228"/>
              <w:spacing w:after="0"/>
              <w:rPr>
                <w:sz w:val="20"/>
                <w:szCs w:val="20"/>
                <w:color w:val="auto"/>
              </w:rPr>
            </w:pPr>
            <w:r>
              <w:rPr>
                <w:rFonts w:ascii="Arial" w:cs="Arial" w:eastAsia="Arial" w:hAnsi="Arial"/>
                <w:sz w:val="14"/>
                <w:szCs w:val="14"/>
                <w:color w:val="0E2A35"/>
              </w:rPr>
              <w:t>112.9</w:t>
            </w:r>
          </w:p>
        </w:tc>
        <w:tc>
          <w:tcPr>
            <w:tcW w:w="1020" w:type="dxa"/>
            <w:vAlign w:val="bottom"/>
          </w:tcPr>
          <w:p>
            <w:pPr>
              <w:jc w:val="right"/>
              <w:ind w:right="268"/>
              <w:spacing w:after="0"/>
              <w:rPr>
                <w:sz w:val="20"/>
                <w:szCs w:val="20"/>
                <w:color w:val="auto"/>
              </w:rPr>
            </w:pPr>
            <w:r>
              <w:rPr>
                <w:rFonts w:ascii="Arial" w:cs="Arial" w:eastAsia="Arial" w:hAnsi="Arial"/>
                <w:sz w:val="14"/>
                <w:szCs w:val="14"/>
                <w:color w:val="0E2A35"/>
              </w:rPr>
              <w:t>114.2</w:t>
            </w:r>
          </w:p>
        </w:tc>
        <w:tc>
          <w:tcPr>
            <w:tcW w:w="980" w:type="dxa"/>
            <w:vAlign w:val="bottom"/>
          </w:tcPr>
          <w:p>
            <w:pPr>
              <w:jc w:val="right"/>
              <w:ind w:right="208"/>
              <w:spacing w:after="0"/>
              <w:rPr>
                <w:sz w:val="20"/>
                <w:szCs w:val="20"/>
                <w:color w:val="auto"/>
              </w:rPr>
            </w:pPr>
            <w:r>
              <w:rPr>
                <w:rFonts w:ascii="Arial" w:cs="Arial" w:eastAsia="Arial" w:hAnsi="Arial"/>
                <w:sz w:val="14"/>
                <w:szCs w:val="14"/>
                <w:color w:val="0E2A35"/>
              </w:rPr>
              <w:t>215.9</w:t>
            </w:r>
          </w:p>
        </w:tc>
        <w:tc>
          <w:tcPr>
            <w:tcW w:w="780" w:type="dxa"/>
            <w:vAlign w:val="bottom"/>
          </w:tcPr>
          <w:p>
            <w:pPr>
              <w:jc w:val="center"/>
              <w:ind w:left="68"/>
              <w:spacing w:after="0"/>
              <w:rPr>
                <w:sz w:val="20"/>
                <w:szCs w:val="20"/>
                <w:color w:val="auto"/>
              </w:rPr>
            </w:pPr>
            <w:r>
              <w:rPr>
                <w:rFonts w:ascii="Arial" w:cs="Arial" w:eastAsia="Arial" w:hAnsi="Arial"/>
                <w:sz w:val="14"/>
                <w:szCs w:val="14"/>
                <w:color w:val="0E2A35"/>
              </w:rPr>
              <w:t>6.07</w:t>
            </w:r>
          </w:p>
        </w:tc>
      </w:tr>
      <w:tr>
        <w:trPr>
          <w:trHeight w:val="79"/>
        </w:trPr>
        <w:tc>
          <w:tcPr>
            <w:tcW w:w="600" w:type="dxa"/>
            <w:vAlign w:val="bottom"/>
            <w:tcBorders>
              <w:bottom w:val="single" w:sz="8" w:color="0E2A35"/>
            </w:tcBorders>
          </w:tcPr>
          <w:p>
            <w:pPr>
              <w:spacing w:after="0"/>
              <w:rPr>
                <w:sz w:val="6"/>
                <w:szCs w:val="6"/>
                <w:color w:val="auto"/>
              </w:rPr>
            </w:pPr>
          </w:p>
        </w:tc>
        <w:tc>
          <w:tcPr>
            <w:tcW w:w="110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020" w:type="dxa"/>
            <w:vAlign w:val="bottom"/>
            <w:tcBorders>
              <w:bottom w:val="single" w:sz="8" w:color="0E2A35"/>
            </w:tcBorders>
          </w:tcPr>
          <w:p>
            <w:pPr>
              <w:spacing w:after="0"/>
              <w:rPr>
                <w:sz w:val="6"/>
                <w:szCs w:val="6"/>
                <w:color w:val="auto"/>
              </w:rPr>
            </w:pPr>
          </w:p>
        </w:tc>
        <w:tc>
          <w:tcPr>
            <w:tcW w:w="980" w:type="dxa"/>
            <w:vAlign w:val="bottom"/>
            <w:tcBorders>
              <w:bottom w:val="single" w:sz="8" w:color="0E2A35"/>
            </w:tcBorders>
          </w:tcPr>
          <w:p>
            <w:pPr>
              <w:spacing w:after="0"/>
              <w:rPr>
                <w:sz w:val="6"/>
                <w:szCs w:val="6"/>
                <w:color w:val="auto"/>
              </w:rPr>
            </w:pPr>
          </w:p>
        </w:tc>
        <w:tc>
          <w:tcPr>
            <w:tcW w:w="780" w:type="dxa"/>
            <w:vAlign w:val="bottom"/>
            <w:tcBorders>
              <w:bottom w:val="single" w:sz="8" w:color="0E2A35"/>
            </w:tcBorders>
          </w:tcPr>
          <w:p>
            <w:pPr>
              <w:spacing w:after="0"/>
              <w:rPr>
                <w:sz w:val="6"/>
                <w:szCs w:val="6"/>
                <w:color w:val="auto"/>
              </w:rPr>
            </w:pPr>
          </w:p>
        </w:tc>
      </w:tr>
      <w:tr>
        <w:trPr>
          <w:trHeight w:val="265"/>
        </w:trPr>
        <w:tc>
          <w:tcPr>
            <w:tcW w:w="600" w:type="dxa"/>
            <w:vAlign w:val="bottom"/>
          </w:tcPr>
          <w:p>
            <w:pPr>
              <w:jc w:val="right"/>
              <w:ind w:right="148"/>
              <w:spacing w:after="0"/>
              <w:rPr>
                <w:sz w:val="20"/>
                <w:szCs w:val="20"/>
                <w:color w:val="auto"/>
              </w:rPr>
            </w:pPr>
            <w:r>
              <w:rPr>
                <w:rFonts w:ascii="Arial" w:cs="Arial" w:eastAsia="Arial" w:hAnsi="Arial"/>
                <w:sz w:val="14"/>
                <w:szCs w:val="14"/>
                <w:color w:val="0E2A35"/>
              </w:rPr>
              <w:t>2022</w:t>
            </w:r>
          </w:p>
        </w:tc>
        <w:tc>
          <w:tcPr>
            <w:tcW w:w="1100" w:type="dxa"/>
            <w:vAlign w:val="bottom"/>
          </w:tcPr>
          <w:p>
            <w:pPr>
              <w:jc w:val="right"/>
              <w:ind w:right="168"/>
              <w:spacing w:after="0"/>
              <w:rPr>
                <w:sz w:val="20"/>
                <w:szCs w:val="20"/>
                <w:color w:val="auto"/>
              </w:rPr>
            </w:pPr>
            <w:r>
              <w:rPr>
                <w:rFonts w:ascii="Arial" w:cs="Arial" w:eastAsia="Arial" w:hAnsi="Arial"/>
                <w:sz w:val="14"/>
                <w:szCs w:val="14"/>
                <w:color w:val="0E2A35"/>
              </w:rPr>
              <w:t>6,676,569</w:t>
            </w:r>
          </w:p>
        </w:tc>
        <w:tc>
          <w:tcPr>
            <w:tcW w:w="1200" w:type="dxa"/>
            <w:vAlign w:val="bottom"/>
          </w:tcPr>
          <w:p>
            <w:pPr>
              <w:jc w:val="right"/>
              <w:ind w:right="168"/>
              <w:spacing w:after="0"/>
              <w:rPr>
                <w:sz w:val="20"/>
                <w:szCs w:val="20"/>
                <w:color w:val="auto"/>
              </w:rPr>
            </w:pPr>
            <w:r>
              <w:rPr>
                <w:rFonts w:ascii="Arial" w:cs="Arial" w:eastAsia="Arial" w:hAnsi="Arial"/>
                <w:sz w:val="14"/>
                <w:szCs w:val="14"/>
                <w:color w:val="0E2A35"/>
              </w:rPr>
              <w:t>5,569,618</w:t>
            </w:r>
          </w:p>
        </w:tc>
        <w:tc>
          <w:tcPr>
            <w:tcW w:w="1240" w:type="dxa"/>
            <w:vAlign w:val="bottom"/>
          </w:tcPr>
          <w:p>
            <w:pPr>
              <w:jc w:val="right"/>
              <w:ind w:right="288"/>
              <w:spacing w:after="0"/>
              <w:rPr>
                <w:sz w:val="20"/>
                <w:szCs w:val="20"/>
                <w:color w:val="auto"/>
              </w:rPr>
            </w:pPr>
            <w:r>
              <w:rPr>
                <w:rFonts w:ascii="Arial" w:cs="Arial" w:eastAsia="Arial" w:hAnsi="Arial"/>
                <w:sz w:val="14"/>
                <w:szCs w:val="14"/>
                <w:color w:val="0E2A35"/>
              </w:rPr>
              <w:t>4,824,469</w:t>
            </w:r>
          </w:p>
        </w:tc>
        <w:tc>
          <w:tcPr>
            <w:tcW w:w="1320" w:type="dxa"/>
            <w:vAlign w:val="bottom"/>
          </w:tcPr>
          <w:p>
            <w:pPr>
              <w:jc w:val="right"/>
              <w:ind w:right="268"/>
              <w:spacing w:after="0"/>
              <w:rPr>
                <w:sz w:val="20"/>
                <w:szCs w:val="20"/>
                <w:color w:val="auto"/>
              </w:rPr>
            </w:pPr>
            <w:r>
              <w:rPr>
                <w:rFonts w:ascii="Arial" w:cs="Arial" w:eastAsia="Arial" w:hAnsi="Arial"/>
                <w:sz w:val="14"/>
                <w:szCs w:val="14"/>
                <w:color w:val="0E2A35"/>
              </w:rPr>
              <w:t>4,871,036</w:t>
            </w:r>
          </w:p>
        </w:tc>
        <w:tc>
          <w:tcPr>
            <w:tcW w:w="1040" w:type="dxa"/>
            <w:vAlign w:val="bottom"/>
          </w:tcPr>
          <w:p>
            <w:pPr>
              <w:jc w:val="right"/>
              <w:ind w:right="268"/>
              <w:spacing w:after="0"/>
              <w:rPr>
                <w:sz w:val="20"/>
                <w:szCs w:val="20"/>
                <w:color w:val="auto"/>
              </w:rPr>
            </w:pPr>
            <w:r>
              <w:rPr>
                <w:rFonts w:ascii="Arial" w:cs="Arial" w:eastAsia="Arial" w:hAnsi="Arial"/>
                <w:sz w:val="14"/>
                <w:szCs w:val="14"/>
                <w:color w:val="0E2A35"/>
              </w:rPr>
              <w:t>106.7</w:t>
            </w:r>
          </w:p>
        </w:tc>
        <w:tc>
          <w:tcPr>
            <w:tcW w:w="1020" w:type="dxa"/>
            <w:vAlign w:val="bottom"/>
          </w:tcPr>
          <w:p>
            <w:pPr>
              <w:jc w:val="right"/>
              <w:ind w:right="248"/>
              <w:spacing w:after="0"/>
              <w:rPr>
                <w:sz w:val="20"/>
                <w:szCs w:val="20"/>
                <w:color w:val="auto"/>
              </w:rPr>
            </w:pPr>
            <w:r>
              <w:rPr>
                <w:rFonts w:ascii="Arial" w:cs="Arial" w:eastAsia="Arial" w:hAnsi="Arial"/>
                <w:sz w:val="14"/>
                <w:szCs w:val="14"/>
                <w:color w:val="0E2A35"/>
              </w:rPr>
              <w:t>115.2</w:t>
            </w:r>
          </w:p>
        </w:tc>
        <w:tc>
          <w:tcPr>
            <w:tcW w:w="980" w:type="dxa"/>
            <w:vAlign w:val="bottom"/>
          </w:tcPr>
          <w:p>
            <w:pPr>
              <w:jc w:val="right"/>
              <w:ind w:right="248"/>
              <w:spacing w:after="0"/>
              <w:rPr>
                <w:sz w:val="20"/>
                <w:szCs w:val="20"/>
                <w:color w:val="auto"/>
              </w:rPr>
            </w:pPr>
            <w:r>
              <w:rPr>
                <w:rFonts w:ascii="Arial" w:cs="Arial" w:eastAsia="Arial" w:hAnsi="Arial"/>
                <w:sz w:val="14"/>
                <w:szCs w:val="14"/>
                <w:color w:val="0E2A35"/>
              </w:rPr>
              <w:t>390.6</w:t>
            </w:r>
          </w:p>
        </w:tc>
        <w:tc>
          <w:tcPr>
            <w:tcW w:w="780" w:type="dxa"/>
            <w:vAlign w:val="bottom"/>
          </w:tcPr>
          <w:p>
            <w:pPr>
              <w:jc w:val="center"/>
              <w:ind w:left="68"/>
              <w:spacing w:after="0"/>
              <w:rPr>
                <w:sz w:val="20"/>
                <w:szCs w:val="20"/>
                <w:color w:val="auto"/>
              </w:rPr>
            </w:pPr>
            <w:r>
              <w:rPr>
                <w:rFonts w:ascii="Arial" w:cs="Arial" w:eastAsia="Arial" w:hAnsi="Arial"/>
                <w:sz w:val="14"/>
                <w:szCs w:val="14"/>
                <w:color w:val="0E2A35"/>
              </w:rPr>
              <w:t>12.39</w:t>
            </w:r>
          </w:p>
        </w:tc>
      </w:tr>
      <w:tr>
        <w:trPr>
          <w:trHeight w:val="80"/>
        </w:trPr>
        <w:tc>
          <w:tcPr>
            <w:tcW w:w="600" w:type="dxa"/>
            <w:vAlign w:val="bottom"/>
            <w:tcBorders>
              <w:bottom w:val="single" w:sz="8" w:color="0E2A35"/>
            </w:tcBorders>
          </w:tcPr>
          <w:p>
            <w:pPr>
              <w:spacing w:after="0"/>
              <w:rPr>
                <w:sz w:val="6"/>
                <w:szCs w:val="6"/>
                <w:color w:val="auto"/>
              </w:rPr>
            </w:pPr>
          </w:p>
        </w:tc>
        <w:tc>
          <w:tcPr>
            <w:tcW w:w="1100" w:type="dxa"/>
            <w:vAlign w:val="bottom"/>
            <w:tcBorders>
              <w:bottom w:val="single" w:sz="8" w:color="0E2A35"/>
            </w:tcBorders>
          </w:tcPr>
          <w:p>
            <w:pPr>
              <w:spacing w:after="0"/>
              <w:rPr>
                <w:sz w:val="6"/>
                <w:szCs w:val="6"/>
                <w:color w:val="auto"/>
              </w:rPr>
            </w:pPr>
          </w:p>
        </w:tc>
        <w:tc>
          <w:tcPr>
            <w:tcW w:w="1200" w:type="dxa"/>
            <w:vAlign w:val="bottom"/>
            <w:tcBorders>
              <w:bottom w:val="single" w:sz="8" w:color="0E2A35"/>
            </w:tcBorders>
          </w:tcPr>
          <w:p>
            <w:pPr>
              <w:spacing w:after="0"/>
              <w:rPr>
                <w:sz w:val="6"/>
                <w:szCs w:val="6"/>
                <w:color w:val="auto"/>
              </w:rPr>
            </w:pPr>
          </w:p>
        </w:tc>
        <w:tc>
          <w:tcPr>
            <w:tcW w:w="1240" w:type="dxa"/>
            <w:vAlign w:val="bottom"/>
            <w:tcBorders>
              <w:bottom w:val="single" w:sz="8" w:color="0E2A35"/>
            </w:tcBorders>
          </w:tcPr>
          <w:p>
            <w:pPr>
              <w:spacing w:after="0"/>
              <w:rPr>
                <w:sz w:val="6"/>
                <w:szCs w:val="6"/>
                <w:color w:val="auto"/>
              </w:rPr>
            </w:pPr>
          </w:p>
        </w:tc>
        <w:tc>
          <w:tcPr>
            <w:tcW w:w="1320" w:type="dxa"/>
            <w:vAlign w:val="bottom"/>
            <w:tcBorders>
              <w:bottom w:val="single" w:sz="8" w:color="0E2A35"/>
            </w:tcBorders>
          </w:tcPr>
          <w:p>
            <w:pPr>
              <w:spacing w:after="0"/>
              <w:rPr>
                <w:sz w:val="6"/>
                <w:szCs w:val="6"/>
                <w:color w:val="auto"/>
              </w:rPr>
            </w:pPr>
          </w:p>
        </w:tc>
        <w:tc>
          <w:tcPr>
            <w:tcW w:w="1040" w:type="dxa"/>
            <w:vAlign w:val="bottom"/>
            <w:tcBorders>
              <w:bottom w:val="single" w:sz="8" w:color="0E2A35"/>
            </w:tcBorders>
          </w:tcPr>
          <w:p>
            <w:pPr>
              <w:spacing w:after="0"/>
              <w:rPr>
                <w:sz w:val="6"/>
                <w:szCs w:val="6"/>
                <w:color w:val="auto"/>
              </w:rPr>
            </w:pPr>
          </w:p>
        </w:tc>
        <w:tc>
          <w:tcPr>
            <w:tcW w:w="1020" w:type="dxa"/>
            <w:vAlign w:val="bottom"/>
            <w:tcBorders>
              <w:bottom w:val="single" w:sz="8" w:color="0E2A35"/>
            </w:tcBorders>
          </w:tcPr>
          <w:p>
            <w:pPr>
              <w:spacing w:after="0"/>
              <w:rPr>
                <w:sz w:val="6"/>
                <w:szCs w:val="6"/>
                <w:color w:val="auto"/>
              </w:rPr>
            </w:pPr>
          </w:p>
        </w:tc>
        <w:tc>
          <w:tcPr>
            <w:tcW w:w="980" w:type="dxa"/>
            <w:vAlign w:val="bottom"/>
            <w:tcBorders>
              <w:bottom w:val="single" w:sz="8" w:color="0E2A35"/>
            </w:tcBorders>
          </w:tcPr>
          <w:p>
            <w:pPr>
              <w:spacing w:after="0"/>
              <w:rPr>
                <w:sz w:val="6"/>
                <w:szCs w:val="6"/>
                <w:color w:val="auto"/>
              </w:rPr>
            </w:pPr>
          </w:p>
        </w:tc>
        <w:tc>
          <w:tcPr>
            <w:tcW w:w="780" w:type="dxa"/>
            <w:vAlign w:val="bottom"/>
            <w:tcBorders>
              <w:bottom w:val="single" w:sz="8" w:color="0E2A35"/>
            </w:tcBorders>
          </w:tcPr>
          <w:p>
            <w:pPr>
              <w:spacing w:after="0"/>
              <w:rPr>
                <w:sz w:val="6"/>
                <w:szCs w:val="6"/>
                <w:color w:val="auto"/>
              </w:rPr>
            </w:pPr>
          </w:p>
        </w:tc>
      </w:tr>
      <w:tr>
        <w:trPr>
          <w:trHeight w:val="265"/>
        </w:trPr>
        <w:tc>
          <w:tcPr>
            <w:tcW w:w="600" w:type="dxa"/>
            <w:vAlign w:val="bottom"/>
          </w:tcPr>
          <w:p>
            <w:pPr>
              <w:jc w:val="right"/>
              <w:ind w:right="148"/>
              <w:spacing w:after="0"/>
              <w:rPr>
                <w:sz w:val="20"/>
                <w:szCs w:val="20"/>
                <w:color w:val="auto"/>
              </w:rPr>
            </w:pPr>
            <w:r>
              <w:rPr>
                <w:rFonts w:ascii="Arial" w:cs="Arial" w:eastAsia="Arial" w:hAnsi="Arial"/>
                <w:sz w:val="14"/>
                <w:szCs w:val="14"/>
                <w:color w:val="0E2A35"/>
              </w:rPr>
              <w:t>2021</w:t>
            </w:r>
          </w:p>
        </w:tc>
        <w:tc>
          <w:tcPr>
            <w:tcW w:w="1100" w:type="dxa"/>
            <w:vAlign w:val="bottom"/>
          </w:tcPr>
          <w:p>
            <w:pPr>
              <w:jc w:val="right"/>
              <w:ind w:right="148"/>
              <w:spacing w:after="0"/>
              <w:rPr>
                <w:sz w:val="20"/>
                <w:szCs w:val="20"/>
                <w:color w:val="auto"/>
              </w:rPr>
            </w:pPr>
            <w:r>
              <w:rPr>
                <w:rFonts w:ascii="Arial" w:cs="Arial" w:eastAsia="Arial" w:hAnsi="Arial"/>
                <w:sz w:val="14"/>
                <w:szCs w:val="14"/>
                <w:color w:val="0E2A35"/>
              </w:rPr>
              <w:t>6,649,186</w:t>
            </w:r>
          </w:p>
        </w:tc>
        <w:tc>
          <w:tcPr>
            <w:tcW w:w="1200" w:type="dxa"/>
            <w:vAlign w:val="bottom"/>
          </w:tcPr>
          <w:p>
            <w:pPr>
              <w:jc w:val="right"/>
              <w:ind w:right="188"/>
              <w:spacing w:after="0"/>
              <w:rPr>
                <w:sz w:val="20"/>
                <w:szCs w:val="20"/>
                <w:color w:val="auto"/>
              </w:rPr>
            </w:pPr>
            <w:r>
              <w:rPr>
                <w:rFonts w:ascii="Arial" w:cs="Arial" w:eastAsia="Arial" w:hAnsi="Arial"/>
                <w:sz w:val="14"/>
                <w:szCs w:val="14"/>
                <w:color w:val="0E2A35"/>
              </w:rPr>
              <w:t>13,976,443</w:t>
            </w:r>
          </w:p>
        </w:tc>
        <w:tc>
          <w:tcPr>
            <w:tcW w:w="1240" w:type="dxa"/>
            <w:vAlign w:val="bottom"/>
          </w:tcPr>
          <w:p>
            <w:pPr>
              <w:jc w:val="right"/>
              <w:ind w:right="268"/>
              <w:spacing w:after="0"/>
              <w:rPr>
                <w:sz w:val="20"/>
                <w:szCs w:val="20"/>
                <w:color w:val="auto"/>
              </w:rPr>
            </w:pPr>
            <w:r>
              <w:rPr>
                <w:rFonts w:ascii="Arial" w:cs="Arial" w:eastAsia="Arial" w:hAnsi="Arial"/>
                <w:sz w:val="14"/>
                <w:szCs w:val="14"/>
                <w:color w:val="0E2A35"/>
              </w:rPr>
              <w:t>4,539,932</w:t>
            </w:r>
          </w:p>
        </w:tc>
        <w:tc>
          <w:tcPr>
            <w:tcW w:w="1320" w:type="dxa"/>
            <w:vAlign w:val="bottom"/>
          </w:tcPr>
          <w:p>
            <w:pPr>
              <w:jc w:val="right"/>
              <w:ind w:right="288"/>
              <w:spacing w:after="0"/>
              <w:rPr>
                <w:sz w:val="20"/>
                <w:szCs w:val="20"/>
                <w:color w:val="auto"/>
              </w:rPr>
            </w:pPr>
            <w:r>
              <w:rPr>
                <w:rFonts w:ascii="Arial" w:cs="Arial" w:eastAsia="Arial" w:hAnsi="Arial"/>
                <w:sz w:val="14"/>
                <w:szCs w:val="14"/>
                <w:color w:val="0E2A35"/>
              </w:rPr>
              <w:t>6,582,245</w:t>
            </w:r>
          </w:p>
        </w:tc>
        <w:tc>
          <w:tcPr>
            <w:tcW w:w="1040" w:type="dxa"/>
            <w:vAlign w:val="bottom"/>
          </w:tcPr>
          <w:p>
            <w:pPr>
              <w:jc w:val="right"/>
              <w:ind w:right="248"/>
              <w:spacing w:after="0"/>
              <w:rPr>
                <w:sz w:val="20"/>
                <w:szCs w:val="20"/>
                <w:color w:val="auto"/>
              </w:rPr>
            </w:pPr>
            <w:r>
              <w:rPr>
                <w:rFonts w:ascii="Arial" w:cs="Arial" w:eastAsia="Arial" w:hAnsi="Arial"/>
                <w:sz w:val="14"/>
                <w:szCs w:val="14"/>
                <w:color w:val="0E2A35"/>
              </w:rPr>
              <w:t>126.0</w:t>
            </w:r>
          </w:p>
        </w:tc>
        <w:tc>
          <w:tcPr>
            <w:tcW w:w="1020" w:type="dxa"/>
            <w:vAlign w:val="bottom"/>
          </w:tcPr>
          <w:p>
            <w:pPr>
              <w:jc w:val="right"/>
              <w:ind w:right="268"/>
              <w:spacing w:after="0"/>
              <w:rPr>
                <w:sz w:val="20"/>
                <w:szCs w:val="20"/>
                <w:color w:val="auto"/>
              </w:rPr>
            </w:pPr>
            <w:r>
              <w:rPr>
                <w:rFonts w:ascii="Arial" w:cs="Arial" w:eastAsia="Arial" w:hAnsi="Arial"/>
                <w:sz w:val="14"/>
                <w:szCs w:val="14"/>
                <w:color w:val="0E2A35"/>
              </w:rPr>
              <w:t>128.1</w:t>
            </w:r>
          </w:p>
        </w:tc>
        <w:tc>
          <w:tcPr>
            <w:tcW w:w="980" w:type="dxa"/>
            <w:vAlign w:val="bottom"/>
          </w:tcPr>
          <w:p>
            <w:pPr>
              <w:jc w:val="right"/>
              <w:ind w:right="228"/>
              <w:spacing w:after="0"/>
              <w:rPr>
                <w:sz w:val="20"/>
                <w:szCs w:val="20"/>
                <w:color w:val="auto"/>
              </w:rPr>
            </w:pPr>
            <w:r>
              <w:rPr>
                <w:rFonts w:ascii="Arial" w:cs="Arial" w:eastAsia="Arial" w:hAnsi="Arial"/>
                <w:sz w:val="14"/>
                <w:szCs w:val="14"/>
                <w:color w:val="0E2A35"/>
              </w:rPr>
              <w:t>281.9</w:t>
            </w:r>
          </w:p>
        </w:tc>
        <w:tc>
          <w:tcPr>
            <w:tcW w:w="780" w:type="dxa"/>
            <w:vAlign w:val="bottom"/>
          </w:tcPr>
          <w:p>
            <w:pPr>
              <w:jc w:val="center"/>
              <w:ind w:left="68"/>
              <w:spacing w:after="0"/>
              <w:rPr>
                <w:sz w:val="20"/>
                <w:szCs w:val="20"/>
                <w:color w:val="auto"/>
              </w:rPr>
            </w:pPr>
            <w:r>
              <w:rPr>
                <w:rFonts w:ascii="Arial" w:cs="Arial" w:eastAsia="Arial" w:hAnsi="Arial"/>
                <w:sz w:val="14"/>
                <w:szCs w:val="14"/>
                <w:color w:val="0E2A35"/>
              </w:rPr>
              <w:t>8.66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59055</wp:posOffset>
            </wp:positionV>
            <wp:extent cx="58978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81" w:lineRule="exact"/>
        <w:rPr>
          <w:sz w:val="20"/>
          <w:szCs w:val="20"/>
          <w:color w:val="auto"/>
        </w:rPr>
      </w:pPr>
    </w:p>
    <w:p>
      <w:pPr>
        <w:ind w:left="1340" w:right="1500" w:hanging="360"/>
        <w:spacing w:after="0" w:line="223" w:lineRule="auto"/>
        <w:tabs>
          <w:tab w:leader="none" w:pos="1331" w:val="left"/>
        </w:tabs>
        <w:numPr>
          <w:ilvl w:val="0"/>
          <w:numId w:val="55"/>
        </w:numPr>
        <w:rPr>
          <w:rFonts w:ascii="Arial" w:cs="Arial" w:eastAsia="Arial" w:hAnsi="Arial"/>
          <w:sz w:val="13"/>
          <w:szCs w:val="13"/>
          <w:color w:val="0E2A35"/>
        </w:rPr>
      </w:pPr>
      <w:r>
        <w:rPr>
          <w:rFonts w:ascii="Arial" w:cs="Arial" w:eastAsia="Arial" w:hAnsi="Arial"/>
          <w:sz w:val="13"/>
          <w:szCs w:val="13"/>
          <w:color w:val="0E2A35"/>
        </w:rPr>
        <w:t>The PEO reflected above is Mr. Happe. The non-PEO named executive officers (NEOs) reflects the following individuals in each year: 2023: Ms. Bogart and Messrs. Bower, Clark and Hughes</w:t>
      </w:r>
    </w:p>
    <w:p>
      <w:pPr>
        <w:ind w:left="1340"/>
        <w:spacing w:after="0" w:line="216" w:lineRule="auto"/>
        <w:rPr>
          <w:rFonts w:ascii="Arial" w:cs="Arial" w:eastAsia="Arial" w:hAnsi="Arial"/>
          <w:sz w:val="13"/>
          <w:szCs w:val="13"/>
          <w:color w:val="0E2A35"/>
        </w:rPr>
      </w:pPr>
      <w:r>
        <w:rPr>
          <w:rFonts w:ascii="Arial" w:cs="Arial" w:eastAsia="Arial" w:hAnsi="Arial"/>
          <w:sz w:val="13"/>
          <w:szCs w:val="13"/>
          <w:color w:val="0E2A35"/>
        </w:rPr>
        <w:t>2022: Ms. Bogart and Messrs. Bower, Clark and Hughes</w:t>
      </w:r>
    </w:p>
    <w:p>
      <w:pPr>
        <w:ind w:left="1340"/>
        <w:spacing w:after="0"/>
        <w:rPr>
          <w:rFonts w:ascii="Arial" w:cs="Arial" w:eastAsia="Arial" w:hAnsi="Arial"/>
          <w:sz w:val="13"/>
          <w:szCs w:val="13"/>
          <w:color w:val="0E2A35"/>
        </w:rPr>
      </w:pPr>
      <w:r>
        <w:rPr>
          <w:rFonts w:ascii="Arial" w:cs="Arial" w:eastAsia="Arial" w:hAnsi="Arial"/>
          <w:sz w:val="13"/>
          <w:szCs w:val="13"/>
          <w:color w:val="0E2A35"/>
        </w:rPr>
        <w:t>2021: Messrs. Bower, Clark, Hazelton and Hughes</w:t>
      </w:r>
    </w:p>
    <w:p>
      <w:pPr>
        <w:spacing w:after="0" w:line="31" w:lineRule="exact"/>
        <w:rPr>
          <w:rFonts w:ascii="Arial" w:cs="Arial" w:eastAsia="Arial" w:hAnsi="Arial"/>
          <w:sz w:val="13"/>
          <w:szCs w:val="13"/>
          <w:color w:val="0E2A35"/>
        </w:rPr>
      </w:pPr>
    </w:p>
    <w:p>
      <w:pPr>
        <w:ind w:left="1340" w:right="700" w:hanging="360"/>
        <w:spacing w:after="0" w:line="236" w:lineRule="auto"/>
        <w:tabs>
          <w:tab w:leader="none" w:pos="1340" w:val="left"/>
        </w:tabs>
        <w:numPr>
          <w:ilvl w:val="0"/>
          <w:numId w:val="55"/>
        </w:numPr>
        <w:rPr>
          <w:rFonts w:ascii="Arial" w:cs="Arial" w:eastAsia="Arial" w:hAnsi="Arial"/>
          <w:sz w:val="13"/>
          <w:szCs w:val="13"/>
          <w:color w:val="0E2A35"/>
        </w:rPr>
      </w:pPr>
      <w:r>
        <w:rPr>
          <w:rFonts w:ascii="Arial" w:cs="Arial" w:eastAsia="Arial" w:hAnsi="Arial"/>
          <w:sz w:val="13"/>
          <w:szCs w:val="13"/>
          <w:color w:val="0E2A35"/>
        </w:rPr>
        <w:t>Company and peer group Total Shareholder Return (TSR) for each year reflects what the cumulative value of a $100 investment would be, including reinvestment of dividends, if such an amount were invested on August 28, 2020.</w:t>
      </w:r>
    </w:p>
    <w:p>
      <w:pPr>
        <w:spacing w:after="0" w:line="29" w:lineRule="exact"/>
        <w:rPr>
          <w:rFonts w:ascii="Arial" w:cs="Arial" w:eastAsia="Arial" w:hAnsi="Arial"/>
          <w:sz w:val="13"/>
          <w:szCs w:val="13"/>
          <w:color w:val="0E2A35"/>
        </w:rPr>
      </w:pPr>
    </w:p>
    <w:p>
      <w:pPr>
        <w:ind w:left="1340" w:hanging="360"/>
        <w:spacing w:after="0"/>
        <w:tabs>
          <w:tab w:leader="none" w:pos="1340" w:val="left"/>
        </w:tabs>
        <w:numPr>
          <w:ilvl w:val="0"/>
          <w:numId w:val="55"/>
        </w:numPr>
        <w:rPr>
          <w:rFonts w:ascii="Arial" w:cs="Arial" w:eastAsia="Arial" w:hAnsi="Arial"/>
          <w:sz w:val="13"/>
          <w:szCs w:val="13"/>
          <w:color w:val="0E2A35"/>
        </w:rPr>
      </w:pPr>
      <w:r>
        <w:rPr>
          <w:rFonts w:ascii="Arial" w:cs="Arial" w:eastAsia="Arial" w:hAnsi="Arial"/>
          <w:sz w:val="13"/>
          <w:szCs w:val="13"/>
          <w:color w:val="0E2A35"/>
        </w:rPr>
        <w:t>Peer group TSR is calculated using the Russell 3000 Recreational Vehicles and Boats Subsector Index.</w:t>
      </w:r>
    </w:p>
    <w:p>
      <w:pPr>
        <w:spacing w:after="0" w:line="39" w:lineRule="exact"/>
        <w:rPr>
          <w:rFonts w:ascii="Arial" w:cs="Arial" w:eastAsia="Arial" w:hAnsi="Arial"/>
          <w:sz w:val="13"/>
          <w:szCs w:val="13"/>
          <w:color w:val="0E2A35"/>
        </w:rPr>
      </w:pPr>
    </w:p>
    <w:p>
      <w:pPr>
        <w:ind w:left="1340" w:right="20" w:hanging="360"/>
        <w:spacing w:after="0" w:line="230" w:lineRule="auto"/>
        <w:tabs>
          <w:tab w:leader="none" w:pos="1340" w:val="left"/>
        </w:tabs>
        <w:numPr>
          <w:ilvl w:val="0"/>
          <w:numId w:val="55"/>
        </w:numPr>
        <w:rPr>
          <w:rFonts w:ascii="Arial" w:cs="Arial" w:eastAsia="Arial" w:hAnsi="Arial"/>
          <w:sz w:val="13"/>
          <w:szCs w:val="13"/>
          <w:color w:val="0E2A35"/>
        </w:rPr>
      </w:pPr>
      <w:r>
        <w:rPr>
          <w:rFonts w:ascii="Arial" w:cs="Arial" w:eastAsia="Arial" w:hAnsi="Arial"/>
          <w:sz w:val="13"/>
          <w:szCs w:val="13"/>
          <w:color w:val="0E2A35"/>
        </w:rPr>
        <w:t>Our company-selected measure, which is the measure we believe represents the most important financial performance metric used to link compensation paid to our NEOs in fiscal 2023 to our performance is Incentive EPS. This is a non-GAAP measure, which is defined above under “Compensation Discussion and Analysis - Fiscal 2023 Equity Awards.”</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6"/>
          <w:szCs w:val="16"/>
          <w:color w:val="0E2A35"/>
        </w:rPr>
        <w:t>Compensation Actually Paid (CAP) illustrated in the table above is calculated by making the following adjustments from the</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6"/>
          <w:szCs w:val="16"/>
          <w:color w:val="0E2A35"/>
        </w:rPr>
        <w:t>Summary Compensation Table (SCT) totals as follows:</w:t>
      </w:r>
    </w:p>
    <w:p>
      <w:pPr>
        <w:spacing w:after="0" w:line="228"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0E2A35"/>
        </w:rPr>
        <w:t>Item and Value Added (Deducted)</w:t>
      </w:r>
    </w:p>
    <w:p>
      <w:pPr>
        <w:spacing w:after="0" w:line="320" w:lineRule="exact"/>
        <w:rPr>
          <w:sz w:val="20"/>
          <w:szCs w:val="20"/>
          <w:color w:val="auto"/>
        </w:rPr>
      </w:pPr>
    </w:p>
    <w:tbl>
      <w:tblPr>
        <w:tblLayout w:type="fixed"/>
        <w:tblInd w:w="980" w:type="dxa"/>
        <w:tblCellMar>
          <w:top w:w="0" w:type="dxa"/>
          <w:left w:w="0" w:type="dxa"/>
          <w:bottom w:w="0" w:type="dxa"/>
          <w:right w:w="0" w:type="dxa"/>
        </w:tblCellMar>
      </w:tblPr>
      <w:tr>
        <w:trPr>
          <w:trHeight w:val="221"/>
        </w:trPr>
        <w:tc>
          <w:tcPr>
            <w:tcW w:w="656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For PEO:</w:t>
            </w:r>
          </w:p>
        </w:tc>
        <w:tc>
          <w:tcPr>
            <w:tcW w:w="9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2023</w:t>
            </w:r>
          </w:p>
        </w:tc>
        <w:tc>
          <w:tcPr>
            <w:tcW w:w="9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2022</w:t>
            </w:r>
          </w:p>
        </w:tc>
        <w:tc>
          <w:tcPr>
            <w:tcW w:w="840" w:type="dxa"/>
            <w:vAlign w:val="bottom"/>
            <w:shd w:val="clear" w:color="auto" w:fill="0E2A35"/>
          </w:tcPr>
          <w:p>
            <w:pPr>
              <w:jc w:val="center"/>
              <w:ind w:left="51"/>
              <w:spacing w:after="0"/>
              <w:rPr>
                <w:sz w:val="20"/>
                <w:szCs w:val="20"/>
                <w:color w:val="auto"/>
              </w:rPr>
            </w:pPr>
            <w:r>
              <w:rPr>
                <w:rFonts w:ascii="Arial" w:cs="Arial" w:eastAsia="Arial" w:hAnsi="Arial"/>
                <w:sz w:val="13"/>
                <w:szCs w:val="13"/>
                <w:b w:val="1"/>
                <w:bCs w:val="1"/>
                <w:color w:val="FFFFFF"/>
                <w:w w:val="96"/>
              </w:rPr>
              <w:t>2021</w:t>
            </w:r>
          </w:p>
        </w:tc>
        <w:tc>
          <w:tcPr>
            <w:tcW w:w="0" w:type="dxa"/>
            <w:vAlign w:val="bottom"/>
          </w:tcPr>
          <w:p>
            <w:pPr>
              <w:spacing w:after="0"/>
              <w:rPr>
                <w:sz w:val="1"/>
                <w:szCs w:val="1"/>
                <w:color w:val="auto"/>
              </w:rPr>
            </w:pPr>
          </w:p>
        </w:tc>
      </w:tr>
      <w:tr>
        <w:trPr>
          <w:trHeight w:val="176"/>
        </w:trPr>
        <w:tc>
          <w:tcPr>
            <w:tcW w:w="6560" w:type="dxa"/>
            <w:vAlign w:val="bottom"/>
            <w:vMerge w:val="continue"/>
            <w:shd w:val="clear" w:color="auto" w:fill="0E2A35"/>
          </w:tcPr>
          <w:p>
            <w:pPr>
              <w:spacing w:after="0"/>
              <w:rPr>
                <w:sz w:val="15"/>
                <w:szCs w:val="15"/>
                <w:color w:val="auto"/>
              </w:rPr>
            </w:pPr>
          </w:p>
        </w:tc>
        <w:tc>
          <w:tcPr>
            <w:tcW w:w="9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0E2A35"/>
          </w:tcPr>
          <w:p>
            <w:pPr>
              <w:jc w:val="center"/>
              <w:ind w:left="51"/>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6560" w:type="dxa"/>
            <w:vAlign w:val="bottom"/>
            <w:shd w:val="clear" w:color="auto" w:fill="0E2A35"/>
          </w:tcPr>
          <w:p>
            <w:pPr>
              <w:spacing w:after="0"/>
              <w:rPr>
                <w:sz w:val="5"/>
                <w:szCs w:val="5"/>
                <w:color w:val="auto"/>
              </w:rPr>
            </w:pPr>
          </w:p>
        </w:tc>
        <w:tc>
          <w:tcPr>
            <w:tcW w:w="960" w:type="dxa"/>
            <w:vAlign w:val="bottom"/>
            <w:shd w:val="clear" w:color="auto" w:fill="0E2A35"/>
          </w:tcPr>
          <w:p>
            <w:pPr>
              <w:spacing w:after="0"/>
              <w:rPr>
                <w:sz w:val="5"/>
                <w:szCs w:val="5"/>
                <w:color w:val="auto"/>
              </w:rPr>
            </w:pPr>
          </w:p>
        </w:tc>
        <w:tc>
          <w:tcPr>
            <w:tcW w:w="920" w:type="dxa"/>
            <w:vAlign w:val="bottom"/>
            <w:shd w:val="clear" w:color="auto" w:fill="0E2A35"/>
          </w:tcPr>
          <w:p>
            <w:pPr>
              <w:spacing w:after="0"/>
              <w:rPr>
                <w:sz w:val="5"/>
                <w:szCs w:val="5"/>
                <w:color w:val="auto"/>
              </w:rPr>
            </w:pPr>
          </w:p>
        </w:tc>
        <w:tc>
          <w:tcPr>
            <w:tcW w:w="840" w:type="dxa"/>
            <w:vAlign w:val="bottom"/>
            <w:shd w:val="clear" w:color="auto" w:fill="0E2A35"/>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6560" w:type="dxa"/>
            <w:vAlign w:val="bottom"/>
          </w:tcPr>
          <w:p>
            <w:pPr>
              <w:ind w:left="60"/>
              <w:spacing w:after="0"/>
              <w:rPr>
                <w:sz w:val="20"/>
                <w:szCs w:val="20"/>
                <w:color w:val="auto"/>
              </w:rPr>
            </w:pPr>
            <w:r>
              <w:rPr>
                <w:rFonts w:ascii="Arial" w:cs="Arial" w:eastAsia="Arial" w:hAnsi="Arial"/>
                <w:sz w:val="14"/>
                <w:szCs w:val="14"/>
                <w:color w:val="0E2A35"/>
              </w:rPr>
              <w:t>- SCT “Stock Awards” column value</w:t>
            </w:r>
          </w:p>
        </w:tc>
        <w:tc>
          <w:tcPr>
            <w:tcW w:w="960" w:type="dxa"/>
            <w:vAlign w:val="bottom"/>
          </w:tcPr>
          <w:p>
            <w:pPr>
              <w:jc w:val="right"/>
              <w:ind w:right="131"/>
              <w:spacing w:after="0"/>
              <w:rPr>
                <w:sz w:val="20"/>
                <w:szCs w:val="20"/>
                <w:color w:val="auto"/>
              </w:rPr>
            </w:pPr>
            <w:r>
              <w:rPr>
                <w:rFonts w:ascii="Arial" w:cs="Arial" w:eastAsia="Arial" w:hAnsi="Arial"/>
                <w:sz w:val="14"/>
                <w:szCs w:val="14"/>
                <w:color w:val="0E2A35"/>
              </w:rPr>
              <w:t>4,249,995</w:t>
            </w:r>
          </w:p>
        </w:tc>
        <w:tc>
          <w:tcPr>
            <w:tcW w:w="920" w:type="dxa"/>
            <w:vAlign w:val="bottom"/>
          </w:tcPr>
          <w:p>
            <w:pPr>
              <w:jc w:val="right"/>
              <w:ind w:right="111"/>
              <w:spacing w:after="0"/>
              <w:rPr>
                <w:sz w:val="20"/>
                <w:szCs w:val="20"/>
                <w:color w:val="auto"/>
              </w:rPr>
            </w:pPr>
            <w:r>
              <w:rPr>
                <w:rFonts w:ascii="Arial" w:cs="Arial" w:eastAsia="Arial" w:hAnsi="Arial"/>
                <w:sz w:val="14"/>
                <w:szCs w:val="14"/>
                <w:color w:val="0E2A35"/>
              </w:rPr>
              <w:t>3,569,965</w:t>
            </w:r>
          </w:p>
        </w:tc>
        <w:tc>
          <w:tcPr>
            <w:tcW w:w="840" w:type="dxa"/>
            <w:vAlign w:val="bottom"/>
          </w:tcPr>
          <w:p>
            <w:pPr>
              <w:jc w:val="right"/>
              <w:ind w:right="31"/>
              <w:spacing w:after="0"/>
              <w:rPr>
                <w:sz w:val="20"/>
                <w:szCs w:val="20"/>
                <w:color w:val="auto"/>
              </w:rPr>
            </w:pPr>
            <w:r>
              <w:rPr>
                <w:rFonts w:ascii="Arial" w:cs="Arial" w:eastAsia="Arial" w:hAnsi="Arial"/>
                <w:sz w:val="14"/>
                <w:szCs w:val="14"/>
                <w:color w:val="0E2A35"/>
              </w:rPr>
              <w:t>3,574,980</w:t>
            </w:r>
          </w:p>
        </w:tc>
        <w:tc>
          <w:tcPr>
            <w:tcW w:w="0" w:type="dxa"/>
            <w:vAlign w:val="bottom"/>
          </w:tcPr>
          <w:p>
            <w:pPr>
              <w:spacing w:after="0"/>
              <w:rPr>
                <w:sz w:val="1"/>
                <w:szCs w:val="1"/>
                <w:color w:val="auto"/>
              </w:rPr>
            </w:pPr>
          </w:p>
        </w:tc>
      </w:tr>
      <w:tr>
        <w:trPr>
          <w:trHeight w:val="80"/>
        </w:trPr>
        <w:tc>
          <w:tcPr>
            <w:tcW w:w="6560" w:type="dxa"/>
            <w:vAlign w:val="bottom"/>
            <w:tcBorders>
              <w:bottom w:val="single" w:sz="8" w:color="0E2A35"/>
            </w:tcBorders>
          </w:tcPr>
          <w:p>
            <w:pPr>
              <w:spacing w:after="0"/>
              <w:rPr>
                <w:sz w:val="6"/>
                <w:szCs w:val="6"/>
                <w:color w:val="auto"/>
              </w:rPr>
            </w:pPr>
          </w:p>
        </w:tc>
        <w:tc>
          <w:tcPr>
            <w:tcW w:w="960" w:type="dxa"/>
            <w:vAlign w:val="bottom"/>
            <w:tcBorders>
              <w:bottom w:val="single" w:sz="8" w:color="0E2A35"/>
            </w:tcBorders>
          </w:tcPr>
          <w:p>
            <w:pPr>
              <w:spacing w:after="0"/>
              <w:rPr>
                <w:sz w:val="6"/>
                <w:szCs w:val="6"/>
                <w:color w:val="auto"/>
              </w:rPr>
            </w:pPr>
          </w:p>
        </w:tc>
        <w:tc>
          <w:tcPr>
            <w:tcW w:w="920" w:type="dxa"/>
            <w:vAlign w:val="bottom"/>
            <w:tcBorders>
              <w:bottom w:val="single" w:sz="8" w:color="0E2A35"/>
            </w:tcBorders>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6560" w:type="dxa"/>
            <w:vAlign w:val="bottom"/>
          </w:tcPr>
          <w:p>
            <w:pPr>
              <w:ind w:left="60"/>
              <w:spacing w:after="0"/>
              <w:rPr>
                <w:sz w:val="20"/>
                <w:szCs w:val="20"/>
                <w:color w:val="auto"/>
              </w:rPr>
            </w:pPr>
            <w:r>
              <w:rPr>
                <w:rFonts w:ascii="Arial" w:cs="Arial" w:eastAsia="Arial" w:hAnsi="Arial"/>
                <w:sz w:val="14"/>
                <w:szCs w:val="14"/>
                <w:color w:val="0E2A35"/>
              </w:rPr>
              <w:t>- SCT “Options Awards” column value</w:t>
            </w:r>
          </w:p>
        </w:tc>
        <w:tc>
          <w:tcPr>
            <w:tcW w:w="960" w:type="dxa"/>
            <w:vAlign w:val="bottom"/>
          </w:tcPr>
          <w:p>
            <w:pPr>
              <w:jc w:val="right"/>
              <w:ind w:right="131"/>
              <w:spacing w:after="0"/>
              <w:rPr>
                <w:sz w:val="20"/>
                <w:szCs w:val="20"/>
                <w:color w:val="auto"/>
              </w:rPr>
            </w:pPr>
            <w:r>
              <w:rPr>
                <w:rFonts w:ascii="Arial" w:cs="Arial" w:eastAsia="Arial" w:hAnsi="Arial"/>
                <w:sz w:val="14"/>
                <w:szCs w:val="14"/>
                <w:color w:val="0E2A35"/>
              </w:rPr>
              <w:t>749,992</w:t>
            </w:r>
          </w:p>
        </w:tc>
        <w:tc>
          <w:tcPr>
            <w:tcW w:w="920" w:type="dxa"/>
            <w:vAlign w:val="bottom"/>
          </w:tcPr>
          <w:p>
            <w:pPr>
              <w:jc w:val="right"/>
              <w:ind w:right="111"/>
              <w:spacing w:after="0"/>
              <w:rPr>
                <w:sz w:val="20"/>
                <w:szCs w:val="20"/>
                <w:color w:val="auto"/>
              </w:rPr>
            </w:pPr>
            <w:r>
              <w:rPr>
                <w:rFonts w:ascii="Arial" w:cs="Arial" w:eastAsia="Arial" w:hAnsi="Arial"/>
                <w:sz w:val="14"/>
                <w:szCs w:val="14"/>
                <w:color w:val="0E2A35"/>
              </w:rPr>
              <w:t>629,991</w:t>
            </w:r>
          </w:p>
        </w:tc>
        <w:tc>
          <w:tcPr>
            <w:tcW w:w="840" w:type="dxa"/>
            <w:vAlign w:val="bottom"/>
          </w:tcPr>
          <w:p>
            <w:pPr>
              <w:jc w:val="center"/>
              <w:ind w:left="51"/>
              <w:spacing w:after="0"/>
              <w:rPr>
                <w:sz w:val="20"/>
                <w:szCs w:val="20"/>
                <w:color w:val="auto"/>
              </w:rPr>
            </w:pPr>
            <w:r>
              <w:rPr>
                <w:rFonts w:ascii="Arial" w:cs="Arial" w:eastAsia="Arial" w:hAnsi="Arial"/>
                <w:sz w:val="14"/>
                <w:szCs w:val="14"/>
                <w:color w:val="0E2A35"/>
              </w:rPr>
              <w:t>525,004</w:t>
            </w:r>
          </w:p>
        </w:tc>
        <w:tc>
          <w:tcPr>
            <w:tcW w:w="0" w:type="dxa"/>
            <w:vAlign w:val="bottom"/>
          </w:tcPr>
          <w:p>
            <w:pPr>
              <w:spacing w:after="0"/>
              <w:rPr>
                <w:sz w:val="1"/>
                <w:szCs w:val="1"/>
                <w:color w:val="auto"/>
              </w:rPr>
            </w:pPr>
          </w:p>
        </w:tc>
      </w:tr>
      <w:tr>
        <w:trPr>
          <w:trHeight w:val="80"/>
        </w:trPr>
        <w:tc>
          <w:tcPr>
            <w:tcW w:w="6560" w:type="dxa"/>
            <w:vAlign w:val="bottom"/>
            <w:tcBorders>
              <w:bottom w:val="single" w:sz="8" w:color="0E2A35"/>
            </w:tcBorders>
          </w:tcPr>
          <w:p>
            <w:pPr>
              <w:spacing w:after="0"/>
              <w:rPr>
                <w:sz w:val="6"/>
                <w:szCs w:val="6"/>
                <w:color w:val="auto"/>
              </w:rPr>
            </w:pPr>
          </w:p>
        </w:tc>
        <w:tc>
          <w:tcPr>
            <w:tcW w:w="960" w:type="dxa"/>
            <w:vAlign w:val="bottom"/>
            <w:tcBorders>
              <w:bottom w:val="single" w:sz="8" w:color="0E2A35"/>
            </w:tcBorders>
          </w:tcPr>
          <w:p>
            <w:pPr>
              <w:spacing w:after="0"/>
              <w:rPr>
                <w:sz w:val="6"/>
                <w:szCs w:val="6"/>
                <w:color w:val="auto"/>
              </w:rPr>
            </w:pPr>
          </w:p>
        </w:tc>
        <w:tc>
          <w:tcPr>
            <w:tcW w:w="920" w:type="dxa"/>
            <w:vAlign w:val="bottom"/>
            <w:tcBorders>
              <w:bottom w:val="single" w:sz="8" w:color="0E2A35"/>
            </w:tcBorders>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6560" w:type="dxa"/>
            <w:vAlign w:val="bottom"/>
          </w:tcPr>
          <w:p>
            <w:pPr>
              <w:ind w:left="60"/>
              <w:spacing w:after="0"/>
              <w:rPr>
                <w:sz w:val="20"/>
                <w:szCs w:val="20"/>
                <w:color w:val="auto"/>
              </w:rPr>
            </w:pPr>
            <w:r>
              <w:rPr>
                <w:rFonts w:ascii="Arial" w:cs="Arial" w:eastAsia="Arial" w:hAnsi="Arial"/>
                <w:sz w:val="14"/>
                <w:szCs w:val="14"/>
                <w:color w:val="0E2A35"/>
              </w:rPr>
              <w:t>+ year-end fair value of outstanding equity awards granted in covered year</w:t>
            </w:r>
          </w:p>
        </w:tc>
        <w:tc>
          <w:tcPr>
            <w:tcW w:w="960" w:type="dxa"/>
            <w:vAlign w:val="bottom"/>
          </w:tcPr>
          <w:p>
            <w:pPr>
              <w:jc w:val="right"/>
              <w:ind w:right="51"/>
              <w:spacing w:after="0"/>
              <w:rPr>
                <w:sz w:val="20"/>
                <w:szCs w:val="20"/>
                <w:color w:val="auto"/>
              </w:rPr>
            </w:pPr>
            <w:r>
              <w:rPr>
                <w:rFonts w:ascii="Arial" w:cs="Arial" w:eastAsia="Arial" w:hAnsi="Arial"/>
                <w:sz w:val="14"/>
                <w:szCs w:val="14"/>
                <w:color w:val="0E2A35"/>
              </w:rPr>
              <w:t>5,159,673</w:t>
            </w:r>
          </w:p>
        </w:tc>
        <w:tc>
          <w:tcPr>
            <w:tcW w:w="920" w:type="dxa"/>
            <w:vAlign w:val="bottom"/>
          </w:tcPr>
          <w:p>
            <w:pPr>
              <w:jc w:val="right"/>
              <w:ind w:right="131"/>
              <w:spacing w:after="0"/>
              <w:rPr>
                <w:sz w:val="20"/>
                <w:szCs w:val="20"/>
                <w:color w:val="auto"/>
              </w:rPr>
            </w:pPr>
            <w:r>
              <w:rPr>
                <w:rFonts w:ascii="Arial" w:cs="Arial" w:eastAsia="Arial" w:hAnsi="Arial"/>
                <w:sz w:val="14"/>
                <w:szCs w:val="14"/>
                <w:color w:val="0E2A35"/>
              </w:rPr>
              <w:t>4,272,887</w:t>
            </w:r>
          </w:p>
        </w:tc>
        <w:tc>
          <w:tcPr>
            <w:tcW w:w="840" w:type="dxa"/>
            <w:vAlign w:val="bottom"/>
          </w:tcPr>
          <w:p>
            <w:pPr>
              <w:jc w:val="center"/>
              <w:ind w:left="51"/>
              <w:spacing w:after="0"/>
              <w:rPr>
                <w:sz w:val="20"/>
                <w:szCs w:val="20"/>
                <w:color w:val="auto"/>
              </w:rPr>
            </w:pPr>
            <w:r>
              <w:rPr>
                <w:rFonts w:ascii="Arial" w:cs="Arial" w:eastAsia="Arial" w:hAnsi="Arial"/>
                <w:sz w:val="14"/>
                <w:szCs w:val="14"/>
                <w:color w:val="0E2A35"/>
              </w:rPr>
              <w:t>7,195,656</w:t>
            </w:r>
          </w:p>
        </w:tc>
        <w:tc>
          <w:tcPr>
            <w:tcW w:w="0" w:type="dxa"/>
            <w:vAlign w:val="bottom"/>
          </w:tcPr>
          <w:p>
            <w:pPr>
              <w:spacing w:after="0"/>
              <w:rPr>
                <w:sz w:val="1"/>
                <w:szCs w:val="1"/>
                <w:color w:val="auto"/>
              </w:rPr>
            </w:pPr>
          </w:p>
        </w:tc>
      </w:tr>
      <w:tr>
        <w:trPr>
          <w:trHeight w:val="79"/>
        </w:trPr>
        <w:tc>
          <w:tcPr>
            <w:tcW w:w="6560" w:type="dxa"/>
            <w:vAlign w:val="bottom"/>
            <w:tcBorders>
              <w:bottom w:val="single" w:sz="8" w:color="0E2A35"/>
            </w:tcBorders>
          </w:tcPr>
          <w:p>
            <w:pPr>
              <w:spacing w:after="0"/>
              <w:rPr>
                <w:sz w:val="6"/>
                <w:szCs w:val="6"/>
                <w:color w:val="auto"/>
              </w:rPr>
            </w:pPr>
          </w:p>
        </w:tc>
        <w:tc>
          <w:tcPr>
            <w:tcW w:w="960" w:type="dxa"/>
            <w:vAlign w:val="bottom"/>
            <w:tcBorders>
              <w:bottom w:val="single" w:sz="8" w:color="0E2A35"/>
            </w:tcBorders>
          </w:tcPr>
          <w:p>
            <w:pPr>
              <w:spacing w:after="0"/>
              <w:rPr>
                <w:sz w:val="6"/>
                <w:szCs w:val="6"/>
                <w:color w:val="auto"/>
              </w:rPr>
            </w:pPr>
          </w:p>
        </w:tc>
        <w:tc>
          <w:tcPr>
            <w:tcW w:w="920" w:type="dxa"/>
            <w:vAlign w:val="bottom"/>
            <w:tcBorders>
              <w:bottom w:val="single" w:sz="8" w:color="0E2A35"/>
            </w:tcBorders>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6560" w:type="dxa"/>
            <w:vAlign w:val="bottom"/>
          </w:tcPr>
          <w:p>
            <w:pPr>
              <w:ind w:left="60"/>
              <w:spacing w:after="0"/>
              <w:rPr>
                <w:sz w:val="20"/>
                <w:szCs w:val="20"/>
                <w:color w:val="auto"/>
              </w:rPr>
            </w:pPr>
            <w:r>
              <w:rPr>
                <w:rFonts w:ascii="Arial" w:cs="Arial" w:eastAsia="Arial" w:hAnsi="Arial"/>
                <w:sz w:val="14"/>
                <w:szCs w:val="14"/>
                <w:color w:val="0E2A35"/>
              </w:rPr>
              <w:t>+/- difference between the fair value of awards from the end of the prior fiscal year to the end of the</w:t>
            </w: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0E2A35"/>
              </w:rPr>
              <w:t>covered fiscal year for awards granted in any prior fiscal year that are outstanding and unvested at</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60" w:type="dxa"/>
            <w:vAlign w:val="bottom"/>
          </w:tcPr>
          <w:p>
            <w:pPr>
              <w:ind w:left="220"/>
              <w:spacing w:after="0"/>
              <w:rPr>
                <w:sz w:val="20"/>
                <w:szCs w:val="20"/>
                <w:color w:val="auto"/>
              </w:rPr>
            </w:pPr>
            <w:r>
              <w:rPr>
                <w:rFonts w:ascii="Arial" w:cs="Arial" w:eastAsia="Arial" w:hAnsi="Arial"/>
                <w:sz w:val="14"/>
                <w:szCs w:val="14"/>
                <w:color w:val="0E2A35"/>
              </w:rPr>
              <w:t>the end of the covered year</w:t>
            </w:r>
          </w:p>
        </w:tc>
        <w:tc>
          <w:tcPr>
            <w:tcW w:w="960" w:type="dxa"/>
            <w:vAlign w:val="bottom"/>
          </w:tcPr>
          <w:p>
            <w:pPr>
              <w:jc w:val="center"/>
              <w:spacing w:after="0"/>
              <w:rPr>
                <w:sz w:val="20"/>
                <w:szCs w:val="20"/>
                <w:color w:val="auto"/>
              </w:rPr>
            </w:pPr>
            <w:r>
              <w:rPr>
                <w:rFonts w:ascii="Arial" w:cs="Arial" w:eastAsia="Arial" w:hAnsi="Arial"/>
                <w:sz w:val="14"/>
                <w:szCs w:val="14"/>
                <w:color w:val="0E2A35"/>
              </w:rPr>
              <w:t>(2,142,448)</w:t>
            </w:r>
          </w:p>
        </w:tc>
        <w:tc>
          <w:tcPr>
            <w:tcW w:w="920" w:type="dxa"/>
            <w:vAlign w:val="bottom"/>
          </w:tcPr>
          <w:p>
            <w:pPr>
              <w:jc w:val="center"/>
              <w:spacing w:after="0"/>
              <w:rPr>
                <w:sz w:val="20"/>
                <w:szCs w:val="20"/>
                <w:color w:val="auto"/>
              </w:rPr>
            </w:pPr>
            <w:r>
              <w:rPr>
                <w:rFonts w:ascii="Arial" w:cs="Arial" w:eastAsia="Arial" w:hAnsi="Arial"/>
                <w:sz w:val="14"/>
                <w:szCs w:val="14"/>
                <w:color w:val="0E2A35"/>
              </w:rPr>
              <w:t>(1,034,013)</w:t>
            </w:r>
          </w:p>
        </w:tc>
        <w:tc>
          <w:tcPr>
            <w:tcW w:w="840" w:type="dxa"/>
            <w:vAlign w:val="bottom"/>
          </w:tcPr>
          <w:p>
            <w:pPr>
              <w:jc w:val="right"/>
              <w:ind w:right="11"/>
              <w:spacing w:after="0"/>
              <w:rPr>
                <w:sz w:val="20"/>
                <w:szCs w:val="20"/>
                <w:color w:val="auto"/>
              </w:rPr>
            </w:pPr>
            <w:r>
              <w:rPr>
                <w:rFonts w:ascii="Arial" w:cs="Arial" w:eastAsia="Arial" w:hAnsi="Arial"/>
                <w:sz w:val="14"/>
                <w:szCs w:val="14"/>
                <w:color w:val="0E2A35"/>
              </w:rPr>
              <w:t>4,281,006</w:t>
            </w:r>
          </w:p>
        </w:tc>
        <w:tc>
          <w:tcPr>
            <w:tcW w:w="0" w:type="dxa"/>
            <w:vAlign w:val="bottom"/>
          </w:tcPr>
          <w:p>
            <w:pPr>
              <w:spacing w:after="0"/>
              <w:rPr>
                <w:sz w:val="1"/>
                <w:szCs w:val="1"/>
                <w:color w:val="auto"/>
              </w:rPr>
            </w:pPr>
          </w:p>
        </w:tc>
      </w:tr>
      <w:tr>
        <w:trPr>
          <w:trHeight w:val="80"/>
        </w:trPr>
        <w:tc>
          <w:tcPr>
            <w:tcW w:w="6560" w:type="dxa"/>
            <w:vAlign w:val="bottom"/>
            <w:tcBorders>
              <w:bottom w:val="single" w:sz="8" w:color="0E2A35"/>
            </w:tcBorders>
          </w:tcPr>
          <w:p>
            <w:pPr>
              <w:spacing w:after="0"/>
              <w:rPr>
                <w:sz w:val="6"/>
                <w:szCs w:val="6"/>
                <w:color w:val="auto"/>
              </w:rPr>
            </w:pPr>
          </w:p>
        </w:tc>
        <w:tc>
          <w:tcPr>
            <w:tcW w:w="960" w:type="dxa"/>
            <w:vAlign w:val="bottom"/>
            <w:tcBorders>
              <w:bottom w:val="single" w:sz="8" w:color="0E2A35"/>
            </w:tcBorders>
          </w:tcPr>
          <w:p>
            <w:pPr>
              <w:spacing w:after="0"/>
              <w:rPr>
                <w:sz w:val="6"/>
                <w:szCs w:val="6"/>
                <w:color w:val="auto"/>
              </w:rPr>
            </w:pPr>
          </w:p>
        </w:tc>
        <w:tc>
          <w:tcPr>
            <w:tcW w:w="920" w:type="dxa"/>
            <w:vAlign w:val="bottom"/>
            <w:tcBorders>
              <w:bottom w:val="single" w:sz="8" w:color="0E2A35"/>
            </w:tcBorders>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6560" w:type="dxa"/>
            <w:vAlign w:val="bottom"/>
          </w:tcPr>
          <w:p>
            <w:pPr>
              <w:ind w:left="60"/>
              <w:spacing w:after="0"/>
              <w:rPr>
                <w:sz w:val="20"/>
                <w:szCs w:val="20"/>
                <w:color w:val="auto"/>
              </w:rPr>
            </w:pPr>
            <w:r>
              <w:rPr>
                <w:rFonts w:ascii="Arial" w:cs="Arial" w:eastAsia="Arial" w:hAnsi="Arial"/>
                <w:sz w:val="14"/>
                <w:szCs w:val="14"/>
                <w:color w:val="0E2A35"/>
              </w:rPr>
              <w:t>+/- change in fair value from the end of the prior fiscal year to the vesting date for awards granted in</w:t>
            </w: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6560" w:type="dxa"/>
            <w:vAlign w:val="bottom"/>
          </w:tcPr>
          <w:p>
            <w:pPr>
              <w:ind w:left="220"/>
              <w:spacing w:after="0"/>
              <w:rPr>
                <w:sz w:val="20"/>
                <w:szCs w:val="20"/>
                <w:color w:val="auto"/>
              </w:rPr>
            </w:pPr>
            <w:r>
              <w:rPr>
                <w:rFonts w:ascii="Arial" w:cs="Arial" w:eastAsia="Arial" w:hAnsi="Arial"/>
                <w:sz w:val="14"/>
                <w:szCs w:val="14"/>
                <w:color w:val="0E2A35"/>
              </w:rPr>
              <w:t>any prior fiscal year which vested during the covered fiscal year</w:t>
            </w:r>
          </w:p>
        </w:tc>
        <w:tc>
          <w:tcPr>
            <w:tcW w:w="960" w:type="dxa"/>
            <w:vAlign w:val="bottom"/>
          </w:tcPr>
          <w:p>
            <w:pPr>
              <w:ind w:left="200"/>
              <w:spacing w:after="0"/>
              <w:rPr>
                <w:sz w:val="20"/>
                <w:szCs w:val="20"/>
                <w:color w:val="auto"/>
              </w:rPr>
            </w:pPr>
            <w:r>
              <w:rPr>
                <w:rFonts w:ascii="Arial" w:cs="Arial" w:eastAsia="Arial" w:hAnsi="Arial"/>
                <w:sz w:val="14"/>
                <w:szCs w:val="14"/>
                <w:color w:val="0E2A35"/>
              </w:rPr>
              <w:t>(654,520)</w:t>
            </w:r>
          </w:p>
        </w:tc>
        <w:tc>
          <w:tcPr>
            <w:tcW w:w="920" w:type="dxa"/>
            <w:vAlign w:val="bottom"/>
          </w:tcPr>
          <w:p>
            <w:pPr>
              <w:jc w:val="right"/>
              <w:ind w:right="51"/>
              <w:spacing w:after="0"/>
              <w:rPr>
                <w:sz w:val="20"/>
                <w:szCs w:val="20"/>
                <w:color w:val="auto"/>
              </w:rPr>
            </w:pPr>
            <w:r>
              <w:rPr>
                <w:rFonts w:ascii="Arial" w:cs="Arial" w:eastAsia="Arial" w:hAnsi="Arial"/>
                <w:sz w:val="14"/>
                <w:szCs w:val="14"/>
                <w:color w:val="0E2A35"/>
              </w:rPr>
              <w:t>(145,869)</w:t>
            </w:r>
          </w:p>
        </w:tc>
        <w:tc>
          <w:tcPr>
            <w:tcW w:w="840" w:type="dxa"/>
            <w:vAlign w:val="bottom"/>
          </w:tcPr>
          <w:p>
            <w:pPr>
              <w:jc w:val="right"/>
              <w:spacing w:after="0"/>
              <w:rPr>
                <w:sz w:val="20"/>
                <w:szCs w:val="20"/>
                <w:color w:val="auto"/>
              </w:rPr>
            </w:pPr>
            <w:r>
              <w:rPr>
                <w:rFonts w:ascii="Arial" w:cs="Arial" w:eastAsia="Arial" w:hAnsi="Arial"/>
                <w:sz w:val="14"/>
                <w:szCs w:val="14"/>
                <w:color w:val="0E2A35"/>
              </w:rPr>
              <w:t>(49,421)</w:t>
            </w:r>
          </w:p>
        </w:tc>
        <w:tc>
          <w:tcPr>
            <w:tcW w:w="0" w:type="dxa"/>
            <w:vAlign w:val="bottom"/>
          </w:tcPr>
          <w:p>
            <w:pPr>
              <w:spacing w:after="0"/>
              <w:rPr>
                <w:sz w:val="1"/>
                <w:szCs w:val="1"/>
                <w:color w:val="auto"/>
              </w:rPr>
            </w:pPr>
          </w:p>
        </w:tc>
      </w:tr>
      <w:tr>
        <w:trPr>
          <w:trHeight w:val="93"/>
        </w:trPr>
        <w:tc>
          <w:tcPr>
            <w:tcW w:w="656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6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656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For Other Named Executive Officers (Average)</w:t>
            </w:r>
          </w:p>
        </w:tc>
        <w:tc>
          <w:tcPr>
            <w:tcW w:w="960" w:type="dxa"/>
            <w:vAlign w:val="bottom"/>
            <w:shd w:val="clear" w:color="auto" w:fill="0E2A35"/>
          </w:tcPr>
          <w:p>
            <w:pPr>
              <w:jc w:val="right"/>
              <w:ind w:right="211"/>
              <w:spacing w:after="0"/>
              <w:rPr>
                <w:sz w:val="20"/>
                <w:szCs w:val="20"/>
                <w:color w:val="auto"/>
              </w:rPr>
            </w:pPr>
            <w:r>
              <w:rPr>
                <w:rFonts w:ascii="Arial" w:cs="Arial" w:eastAsia="Arial" w:hAnsi="Arial"/>
                <w:sz w:val="13"/>
                <w:szCs w:val="13"/>
                <w:b w:val="1"/>
                <w:bCs w:val="1"/>
                <w:color w:val="FFFFFF"/>
              </w:rPr>
              <w:t>2023</w:t>
            </w:r>
          </w:p>
        </w:tc>
        <w:tc>
          <w:tcPr>
            <w:tcW w:w="920" w:type="dxa"/>
            <w:vAlign w:val="bottom"/>
            <w:shd w:val="clear" w:color="auto" w:fill="0E2A35"/>
          </w:tcPr>
          <w:p>
            <w:pPr>
              <w:jc w:val="right"/>
              <w:ind w:right="231"/>
              <w:spacing w:after="0"/>
              <w:rPr>
                <w:sz w:val="20"/>
                <w:szCs w:val="20"/>
                <w:color w:val="auto"/>
              </w:rPr>
            </w:pPr>
            <w:r>
              <w:rPr>
                <w:rFonts w:ascii="Arial" w:cs="Arial" w:eastAsia="Arial" w:hAnsi="Arial"/>
                <w:sz w:val="13"/>
                <w:szCs w:val="13"/>
                <w:b w:val="1"/>
                <w:bCs w:val="1"/>
                <w:color w:val="FFFFFF"/>
              </w:rPr>
              <w:t>2022</w:t>
            </w:r>
          </w:p>
        </w:tc>
        <w:tc>
          <w:tcPr>
            <w:tcW w:w="840" w:type="dxa"/>
            <w:vAlign w:val="bottom"/>
            <w:shd w:val="clear" w:color="auto" w:fill="0E2A35"/>
          </w:tcPr>
          <w:p>
            <w:pPr>
              <w:jc w:val="center"/>
              <w:ind w:left="91"/>
              <w:spacing w:after="0"/>
              <w:rPr>
                <w:sz w:val="20"/>
                <w:szCs w:val="20"/>
                <w:color w:val="auto"/>
              </w:rPr>
            </w:pPr>
            <w:r>
              <w:rPr>
                <w:rFonts w:ascii="Arial" w:cs="Arial" w:eastAsia="Arial" w:hAnsi="Arial"/>
                <w:sz w:val="13"/>
                <w:szCs w:val="13"/>
                <w:b w:val="1"/>
                <w:bCs w:val="1"/>
                <w:color w:val="FFFFFF"/>
                <w:w w:val="96"/>
              </w:rPr>
              <w:t>2021</w:t>
            </w:r>
          </w:p>
        </w:tc>
        <w:tc>
          <w:tcPr>
            <w:tcW w:w="0" w:type="dxa"/>
            <w:vAlign w:val="bottom"/>
          </w:tcPr>
          <w:p>
            <w:pPr>
              <w:spacing w:after="0"/>
              <w:rPr>
                <w:sz w:val="1"/>
                <w:szCs w:val="1"/>
                <w:color w:val="auto"/>
              </w:rPr>
            </w:pPr>
          </w:p>
        </w:tc>
      </w:tr>
      <w:tr>
        <w:trPr>
          <w:trHeight w:val="176"/>
        </w:trPr>
        <w:tc>
          <w:tcPr>
            <w:tcW w:w="6560" w:type="dxa"/>
            <w:vAlign w:val="bottom"/>
            <w:vMerge w:val="continue"/>
            <w:shd w:val="clear" w:color="auto" w:fill="0E2A35"/>
          </w:tcPr>
          <w:p>
            <w:pPr>
              <w:spacing w:after="0"/>
              <w:rPr>
                <w:sz w:val="15"/>
                <w:szCs w:val="15"/>
                <w:color w:val="auto"/>
              </w:rPr>
            </w:pPr>
          </w:p>
        </w:tc>
        <w:tc>
          <w:tcPr>
            <w:tcW w:w="960" w:type="dxa"/>
            <w:vAlign w:val="bottom"/>
            <w:shd w:val="clear" w:color="auto" w:fill="0E2A35"/>
          </w:tcPr>
          <w:p>
            <w:pPr>
              <w:jc w:val="right"/>
              <w:ind w:right="271"/>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E2A35"/>
          </w:tcPr>
          <w:p>
            <w:pPr>
              <w:jc w:val="right"/>
              <w:ind w:right="291"/>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0E2A35"/>
          </w:tcPr>
          <w:p>
            <w:pPr>
              <w:jc w:val="center"/>
              <w:ind w:left="71"/>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62"/>
        </w:trPr>
        <w:tc>
          <w:tcPr>
            <w:tcW w:w="6560" w:type="dxa"/>
            <w:vAlign w:val="bottom"/>
            <w:shd w:val="clear" w:color="auto" w:fill="0E2A35"/>
          </w:tcPr>
          <w:p>
            <w:pPr>
              <w:spacing w:after="0"/>
              <w:rPr>
                <w:sz w:val="5"/>
                <w:szCs w:val="5"/>
                <w:color w:val="auto"/>
              </w:rPr>
            </w:pPr>
          </w:p>
        </w:tc>
        <w:tc>
          <w:tcPr>
            <w:tcW w:w="960" w:type="dxa"/>
            <w:vAlign w:val="bottom"/>
            <w:shd w:val="clear" w:color="auto" w:fill="0E2A35"/>
          </w:tcPr>
          <w:p>
            <w:pPr>
              <w:spacing w:after="0"/>
              <w:rPr>
                <w:sz w:val="5"/>
                <w:szCs w:val="5"/>
                <w:color w:val="auto"/>
              </w:rPr>
            </w:pPr>
          </w:p>
        </w:tc>
        <w:tc>
          <w:tcPr>
            <w:tcW w:w="920" w:type="dxa"/>
            <w:vAlign w:val="bottom"/>
            <w:shd w:val="clear" w:color="auto" w:fill="0E2A35"/>
          </w:tcPr>
          <w:p>
            <w:pPr>
              <w:spacing w:after="0"/>
              <w:rPr>
                <w:sz w:val="5"/>
                <w:szCs w:val="5"/>
                <w:color w:val="auto"/>
              </w:rPr>
            </w:pPr>
          </w:p>
        </w:tc>
        <w:tc>
          <w:tcPr>
            <w:tcW w:w="840" w:type="dxa"/>
            <w:vAlign w:val="bottom"/>
            <w:shd w:val="clear" w:color="auto" w:fill="0E2A35"/>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6560" w:type="dxa"/>
            <w:vAlign w:val="bottom"/>
          </w:tcPr>
          <w:p>
            <w:pPr>
              <w:ind w:left="60"/>
              <w:spacing w:after="0"/>
              <w:rPr>
                <w:sz w:val="20"/>
                <w:szCs w:val="20"/>
                <w:color w:val="auto"/>
              </w:rPr>
            </w:pPr>
            <w:r>
              <w:rPr>
                <w:rFonts w:ascii="Arial" w:cs="Arial" w:eastAsia="Arial" w:hAnsi="Arial"/>
                <w:sz w:val="14"/>
                <w:szCs w:val="14"/>
                <w:color w:val="0E2A35"/>
              </w:rPr>
              <w:t>- SCT “Stock Awards” column value</w:t>
            </w:r>
          </w:p>
        </w:tc>
        <w:tc>
          <w:tcPr>
            <w:tcW w:w="960" w:type="dxa"/>
            <w:vAlign w:val="bottom"/>
          </w:tcPr>
          <w:p>
            <w:pPr>
              <w:jc w:val="center"/>
              <w:spacing w:after="0"/>
              <w:rPr>
                <w:sz w:val="20"/>
                <w:szCs w:val="20"/>
                <w:color w:val="auto"/>
              </w:rPr>
            </w:pPr>
            <w:r>
              <w:rPr>
                <w:rFonts w:ascii="Arial" w:cs="Arial" w:eastAsia="Arial" w:hAnsi="Arial"/>
                <w:sz w:val="14"/>
                <w:szCs w:val="14"/>
                <w:color w:val="0E2A35"/>
              </w:rPr>
              <w:t>603,458</w:t>
            </w:r>
          </w:p>
        </w:tc>
        <w:tc>
          <w:tcPr>
            <w:tcW w:w="920" w:type="dxa"/>
            <w:vAlign w:val="bottom"/>
          </w:tcPr>
          <w:p>
            <w:pPr>
              <w:jc w:val="center"/>
              <w:spacing w:after="0"/>
              <w:rPr>
                <w:sz w:val="20"/>
                <w:szCs w:val="20"/>
                <w:color w:val="auto"/>
              </w:rPr>
            </w:pPr>
            <w:r>
              <w:rPr>
                <w:rFonts w:ascii="Arial" w:cs="Arial" w:eastAsia="Arial" w:hAnsi="Arial"/>
                <w:sz w:val="14"/>
                <w:szCs w:val="14"/>
                <w:color w:val="0E2A35"/>
              </w:rPr>
              <w:t>558,553</w:t>
            </w:r>
          </w:p>
        </w:tc>
        <w:tc>
          <w:tcPr>
            <w:tcW w:w="840" w:type="dxa"/>
            <w:vAlign w:val="bottom"/>
          </w:tcPr>
          <w:p>
            <w:pPr>
              <w:jc w:val="center"/>
              <w:ind w:left="51"/>
              <w:spacing w:after="0"/>
              <w:rPr>
                <w:sz w:val="20"/>
                <w:szCs w:val="20"/>
                <w:color w:val="auto"/>
              </w:rPr>
            </w:pPr>
            <w:r>
              <w:rPr>
                <w:rFonts w:ascii="Arial" w:cs="Arial" w:eastAsia="Arial" w:hAnsi="Arial"/>
                <w:sz w:val="14"/>
                <w:szCs w:val="14"/>
                <w:color w:val="0E2A35"/>
              </w:rPr>
              <w:t>862,580</w:t>
            </w:r>
          </w:p>
        </w:tc>
        <w:tc>
          <w:tcPr>
            <w:tcW w:w="0" w:type="dxa"/>
            <w:vAlign w:val="bottom"/>
          </w:tcPr>
          <w:p>
            <w:pPr>
              <w:spacing w:after="0"/>
              <w:rPr>
                <w:sz w:val="1"/>
                <w:szCs w:val="1"/>
                <w:color w:val="auto"/>
              </w:rPr>
            </w:pPr>
          </w:p>
        </w:tc>
      </w:tr>
      <w:tr>
        <w:trPr>
          <w:trHeight w:val="80"/>
        </w:trPr>
        <w:tc>
          <w:tcPr>
            <w:tcW w:w="6560" w:type="dxa"/>
            <w:vAlign w:val="bottom"/>
            <w:tcBorders>
              <w:bottom w:val="single" w:sz="8" w:color="0E2A35"/>
            </w:tcBorders>
          </w:tcPr>
          <w:p>
            <w:pPr>
              <w:spacing w:after="0"/>
              <w:rPr>
                <w:sz w:val="6"/>
                <w:szCs w:val="6"/>
                <w:color w:val="auto"/>
              </w:rPr>
            </w:pPr>
          </w:p>
        </w:tc>
        <w:tc>
          <w:tcPr>
            <w:tcW w:w="960" w:type="dxa"/>
            <w:vAlign w:val="bottom"/>
            <w:tcBorders>
              <w:bottom w:val="single" w:sz="8" w:color="0E2A35"/>
            </w:tcBorders>
          </w:tcPr>
          <w:p>
            <w:pPr>
              <w:spacing w:after="0"/>
              <w:rPr>
                <w:sz w:val="6"/>
                <w:szCs w:val="6"/>
                <w:color w:val="auto"/>
              </w:rPr>
            </w:pPr>
          </w:p>
        </w:tc>
        <w:tc>
          <w:tcPr>
            <w:tcW w:w="920" w:type="dxa"/>
            <w:vAlign w:val="bottom"/>
            <w:tcBorders>
              <w:bottom w:val="single" w:sz="8" w:color="0E2A35"/>
            </w:tcBorders>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6560" w:type="dxa"/>
            <w:vAlign w:val="bottom"/>
          </w:tcPr>
          <w:p>
            <w:pPr>
              <w:ind w:left="60"/>
              <w:spacing w:after="0"/>
              <w:rPr>
                <w:sz w:val="20"/>
                <w:szCs w:val="20"/>
                <w:color w:val="auto"/>
              </w:rPr>
            </w:pPr>
            <w:r>
              <w:rPr>
                <w:rFonts w:ascii="Arial" w:cs="Arial" w:eastAsia="Arial" w:hAnsi="Arial"/>
                <w:sz w:val="14"/>
                <w:szCs w:val="14"/>
                <w:color w:val="0E2A35"/>
              </w:rPr>
              <w:t>- SCT “Options Awards” column value</w:t>
            </w:r>
          </w:p>
        </w:tc>
        <w:tc>
          <w:tcPr>
            <w:tcW w:w="960" w:type="dxa"/>
            <w:vAlign w:val="bottom"/>
          </w:tcPr>
          <w:p>
            <w:pPr>
              <w:jc w:val="right"/>
              <w:ind w:right="131"/>
              <w:spacing w:after="0"/>
              <w:rPr>
                <w:sz w:val="20"/>
                <w:szCs w:val="20"/>
                <w:color w:val="auto"/>
              </w:rPr>
            </w:pPr>
            <w:r>
              <w:rPr>
                <w:rFonts w:ascii="Arial" w:cs="Arial" w:eastAsia="Arial" w:hAnsi="Arial"/>
                <w:sz w:val="14"/>
                <w:szCs w:val="14"/>
                <w:color w:val="0E2A35"/>
              </w:rPr>
              <w:t>106,497</w:t>
            </w:r>
          </w:p>
        </w:tc>
        <w:tc>
          <w:tcPr>
            <w:tcW w:w="920" w:type="dxa"/>
            <w:vAlign w:val="bottom"/>
          </w:tcPr>
          <w:p>
            <w:pPr>
              <w:jc w:val="right"/>
              <w:ind w:right="151"/>
              <w:spacing w:after="0"/>
              <w:rPr>
                <w:sz w:val="20"/>
                <w:szCs w:val="20"/>
                <w:color w:val="auto"/>
              </w:rPr>
            </w:pPr>
            <w:r>
              <w:rPr>
                <w:rFonts w:ascii="Arial" w:cs="Arial" w:eastAsia="Arial" w:hAnsi="Arial"/>
                <w:sz w:val="14"/>
                <w:szCs w:val="14"/>
                <w:color w:val="0E2A35"/>
              </w:rPr>
              <w:t>93,970</w:t>
            </w:r>
          </w:p>
        </w:tc>
        <w:tc>
          <w:tcPr>
            <w:tcW w:w="840" w:type="dxa"/>
            <w:vAlign w:val="bottom"/>
          </w:tcPr>
          <w:p>
            <w:pPr>
              <w:jc w:val="right"/>
              <w:ind w:right="11"/>
              <w:spacing w:after="0"/>
              <w:rPr>
                <w:sz w:val="20"/>
                <w:szCs w:val="20"/>
                <w:color w:val="auto"/>
              </w:rPr>
            </w:pPr>
            <w:r>
              <w:rPr>
                <w:rFonts w:ascii="Arial" w:cs="Arial" w:eastAsia="Arial" w:hAnsi="Arial"/>
                <w:sz w:val="14"/>
                <w:szCs w:val="14"/>
                <w:color w:val="0E2A35"/>
              </w:rPr>
              <w:t>83,835</w:t>
            </w:r>
          </w:p>
        </w:tc>
        <w:tc>
          <w:tcPr>
            <w:tcW w:w="0" w:type="dxa"/>
            <w:vAlign w:val="bottom"/>
          </w:tcPr>
          <w:p>
            <w:pPr>
              <w:spacing w:after="0"/>
              <w:rPr>
                <w:sz w:val="1"/>
                <w:szCs w:val="1"/>
                <w:color w:val="auto"/>
              </w:rPr>
            </w:pPr>
          </w:p>
        </w:tc>
      </w:tr>
      <w:tr>
        <w:trPr>
          <w:trHeight w:val="79"/>
        </w:trPr>
        <w:tc>
          <w:tcPr>
            <w:tcW w:w="6560" w:type="dxa"/>
            <w:vAlign w:val="bottom"/>
            <w:tcBorders>
              <w:bottom w:val="single" w:sz="8" w:color="0E2A35"/>
            </w:tcBorders>
          </w:tcPr>
          <w:p>
            <w:pPr>
              <w:spacing w:after="0"/>
              <w:rPr>
                <w:sz w:val="6"/>
                <w:szCs w:val="6"/>
                <w:color w:val="auto"/>
              </w:rPr>
            </w:pPr>
          </w:p>
        </w:tc>
        <w:tc>
          <w:tcPr>
            <w:tcW w:w="960" w:type="dxa"/>
            <w:vAlign w:val="bottom"/>
            <w:tcBorders>
              <w:bottom w:val="single" w:sz="8" w:color="0E2A35"/>
            </w:tcBorders>
          </w:tcPr>
          <w:p>
            <w:pPr>
              <w:spacing w:after="0"/>
              <w:rPr>
                <w:sz w:val="6"/>
                <w:szCs w:val="6"/>
                <w:color w:val="auto"/>
              </w:rPr>
            </w:pPr>
          </w:p>
        </w:tc>
        <w:tc>
          <w:tcPr>
            <w:tcW w:w="920" w:type="dxa"/>
            <w:vAlign w:val="bottom"/>
            <w:tcBorders>
              <w:bottom w:val="single" w:sz="8" w:color="0E2A35"/>
            </w:tcBorders>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6560" w:type="dxa"/>
            <w:vAlign w:val="bottom"/>
          </w:tcPr>
          <w:p>
            <w:pPr>
              <w:ind w:left="60"/>
              <w:spacing w:after="0"/>
              <w:rPr>
                <w:sz w:val="20"/>
                <w:szCs w:val="20"/>
                <w:color w:val="auto"/>
              </w:rPr>
            </w:pPr>
            <w:r>
              <w:rPr>
                <w:rFonts w:ascii="Arial" w:cs="Arial" w:eastAsia="Arial" w:hAnsi="Arial"/>
                <w:sz w:val="14"/>
                <w:szCs w:val="14"/>
                <w:color w:val="0E2A35"/>
              </w:rPr>
              <w:t>+ year-end fair value of outstanding equity awards granted in covered year</w:t>
            </w:r>
          </w:p>
        </w:tc>
        <w:tc>
          <w:tcPr>
            <w:tcW w:w="960" w:type="dxa"/>
            <w:vAlign w:val="bottom"/>
          </w:tcPr>
          <w:p>
            <w:pPr>
              <w:ind w:left="200"/>
              <w:spacing w:after="0"/>
              <w:rPr>
                <w:sz w:val="20"/>
                <w:szCs w:val="20"/>
                <w:color w:val="auto"/>
              </w:rPr>
            </w:pPr>
            <w:r>
              <w:rPr>
                <w:rFonts w:ascii="Arial" w:cs="Arial" w:eastAsia="Arial" w:hAnsi="Arial"/>
                <w:sz w:val="14"/>
                <w:szCs w:val="14"/>
                <w:color w:val="0E2A35"/>
              </w:rPr>
              <w:t>976,808</w:t>
            </w:r>
          </w:p>
        </w:tc>
        <w:tc>
          <w:tcPr>
            <w:tcW w:w="920" w:type="dxa"/>
            <w:vAlign w:val="bottom"/>
          </w:tcPr>
          <w:p>
            <w:pPr>
              <w:jc w:val="center"/>
              <w:spacing w:after="0"/>
              <w:rPr>
                <w:sz w:val="20"/>
                <w:szCs w:val="20"/>
                <w:color w:val="auto"/>
              </w:rPr>
            </w:pPr>
            <w:r>
              <w:rPr>
                <w:rFonts w:ascii="Arial" w:cs="Arial" w:eastAsia="Arial" w:hAnsi="Arial"/>
                <w:sz w:val="14"/>
                <w:szCs w:val="14"/>
                <w:color w:val="0E2A35"/>
              </w:rPr>
              <w:t>877,941</w:t>
            </w:r>
          </w:p>
        </w:tc>
        <w:tc>
          <w:tcPr>
            <w:tcW w:w="840" w:type="dxa"/>
            <w:vAlign w:val="bottom"/>
          </w:tcPr>
          <w:p>
            <w:pPr>
              <w:jc w:val="right"/>
              <w:spacing w:after="0"/>
              <w:rPr>
                <w:sz w:val="20"/>
                <w:szCs w:val="20"/>
                <w:color w:val="auto"/>
              </w:rPr>
            </w:pPr>
            <w:r>
              <w:rPr>
                <w:rFonts w:ascii="Arial" w:cs="Arial" w:eastAsia="Arial" w:hAnsi="Arial"/>
                <w:sz w:val="14"/>
                <w:szCs w:val="14"/>
                <w:color w:val="0E2A35"/>
              </w:rPr>
              <w:t>2,077,223</w:t>
            </w:r>
          </w:p>
        </w:tc>
        <w:tc>
          <w:tcPr>
            <w:tcW w:w="0" w:type="dxa"/>
            <w:vAlign w:val="bottom"/>
          </w:tcPr>
          <w:p>
            <w:pPr>
              <w:spacing w:after="0"/>
              <w:rPr>
                <w:sz w:val="1"/>
                <w:szCs w:val="1"/>
                <w:color w:val="auto"/>
              </w:rPr>
            </w:pPr>
          </w:p>
        </w:tc>
      </w:tr>
      <w:tr>
        <w:trPr>
          <w:trHeight w:val="79"/>
        </w:trPr>
        <w:tc>
          <w:tcPr>
            <w:tcW w:w="6560" w:type="dxa"/>
            <w:vAlign w:val="bottom"/>
            <w:tcBorders>
              <w:bottom w:val="single" w:sz="8" w:color="0E2A35"/>
            </w:tcBorders>
          </w:tcPr>
          <w:p>
            <w:pPr>
              <w:spacing w:after="0"/>
              <w:rPr>
                <w:sz w:val="6"/>
                <w:szCs w:val="6"/>
                <w:color w:val="auto"/>
              </w:rPr>
            </w:pPr>
          </w:p>
        </w:tc>
        <w:tc>
          <w:tcPr>
            <w:tcW w:w="960" w:type="dxa"/>
            <w:vAlign w:val="bottom"/>
            <w:tcBorders>
              <w:bottom w:val="single" w:sz="8" w:color="0E2A35"/>
            </w:tcBorders>
          </w:tcPr>
          <w:p>
            <w:pPr>
              <w:spacing w:after="0"/>
              <w:rPr>
                <w:sz w:val="6"/>
                <w:szCs w:val="6"/>
                <w:color w:val="auto"/>
              </w:rPr>
            </w:pPr>
          </w:p>
        </w:tc>
        <w:tc>
          <w:tcPr>
            <w:tcW w:w="920" w:type="dxa"/>
            <w:vAlign w:val="bottom"/>
            <w:tcBorders>
              <w:bottom w:val="single" w:sz="8" w:color="0E2A35"/>
            </w:tcBorders>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6560" w:type="dxa"/>
            <w:vAlign w:val="bottom"/>
          </w:tcPr>
          <w:p>
            <w:pPr>
              <w:ind w:left="60"/>
              <w:spacing w:after="0"/>
              <w:rPr>
                <w:sz w:val="20"/>
                <w:szCs w:val="20"/>
                <w:color w:val="auto"/>
              </w:rPr>
            </w:pPr>
            <w:r>
              <w:rPr>
                <w:rFonts w:ascii="Arial" w:cs="Arial" w:eastAsia="Arial" w:hAnsi="Arial"/>
                <w:sz w:val="14"/>
                <w:szCs w:val="14"/>
                <w:color w:val="0E2A35"/>
              </w:rPr>
              <w:t>+/- difference between the fair value of awards from the end of the prior fiscal year to the end of the</w:t>
            </w: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0E2A35"/>
              </w:rPr>
              <w:t>covered fiscal year for awards granted in any prior fiscal year that are outstanding and unvested at</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60" w:type="dxa"/>
            <w:vAlign w:val="bottom"/>
          </w:tcPr>
          <w:p>
            <w:pPr>
              <w:ind w:left="220"/>
              <w:spacing w:after="0"/>
              <w:rPr>
                <w:sz w:val="20"/>
                <w:szCs w:val="20"/>
                <w:color w:val="auto"/>
              </w:rPr>
            </w:pPr>
            <w:r>
              <w:rPr>
                <w:rFonts w:ascii="Arial" w:cs="Arial" w:eastAsia="Arial" w:hAnsi="Arial"/>
                <w:sz w:val="14"/>
                <w:szCs w:val="14"/>
                <w:color w:val="0E2A35"/>
              </w:rPr>
              <w:t>the end of the covered year</w:t>
            </w:r>
          </w:p>
        </w:tc>
        <w:tc>
          <w:tcPr>
            <w:tcW w:w="960" w:type="dxa"/>
            <w:vAlign w:val="bottom"/>
          </w:tcPr>
          <w:p>
            <w:pPr>
              <w:jc w:val="right"/>
              <w:ind w:right="31"/>
              <w:spacing w:after="0"/>
              <w:rPr>
                <w:sz w:val="20"/>
                <w:szCs w:val="20"/>
                <w:color w:val="auto"/>
              </w:rPr>
            </w:pPr>
            <w:r>
              <w:rPr>
                <w:rFonts w:ascii="Arial" w:cs="Arial" w:eastAsia="Arial" w:hAnsi="Arial"/>
                <w:sz w:val="14"/>
                <w:szCs w:val="14"/>
                <w:color w:val="0E2A35"/>
              </w:rPr>
              <w:t>(431,154)</w:t>
            </w:r>
          </w:p>
        </w:tc>
        <w:tc>
          <w:tcPr>
            <w:tcW w:w="920" w:type="dxa"/>
            <w:vAlign w:val="bottom"/>
          </w:tcPr>
          <w:p>
            <w:pPr>
              <w:jc w:val="right"/>
              <w:ind w:right="71"/>
              <w:spacing w:after="0"/>
              <w:rPr>
                <w:sz w:val="20"/>
                <w:szCs w:val="20"/>
                <w:color w:val="auto"/>
              </w:rPr>
            </w:pPr>
            <w:r>
              <w:rPr>
                <w:rFonts w:ascii="Arial" w:cs="Arial" w:eastAsia="Arial" w:hAnsi="Arial"/>
                <w:sz w:val="14"/>
                <w:szCs w:val="14"/>
                <w:color w:val="0E2A35"/>
              </w:rPr>
              <w:t>(168,076)</w:t>
            </w:r>
          </w:p>
        </w:tc>
        <w:tc>
          <w:tcPr>
            <w:tcW w:w="840" w:type="dxa"/>
            <w:vAlign w:val="bottom"/>
          </w:tcPr>
          <w:p>
            <w:pPr>
              <w:jc w:val="center"/>
              <w:ind w:left="51"/>
              <w:spacing w:after="0"/>
              <w:rPr>
                <w:sz w:val="20"/>
                <w:szCs w:val="20"/>
                <w:color w:val="auto"/>
              </w:rPr>
            </w:pPr>
            <w:r>
              <w:rPr>
                <w:rFonts w:ascii="Arial" w:cs="Arial" w:eastAsia="Arial" w:hAnsi="Arial"/>
                <w:sz w:val="14"/>
                <w:szCs w:val="14"/>
                <w:color w:val="0E2A35"/>
              </w:rPr>
              <w:t>926,433</w:t>
            </w:r>
          </w:p>
        </w:tc>
        <w:tc>
          <w:tcPr>
            <w:tcW w:w="0" w:type="dxa"/>
            <w:vAlign w:val="bottom"/>
          </w:tcPr>
          <w:p>
            <w:pPr>
              <w:spacing w:after="0"/>
              <w:rPr>
                <w:sz w:val="1"/>
                <w:szCs w:val="1"/>
                <w:color w:val="auto"/>
              </w:rPr>
            </w:pPr>
          </w:p>
        </w:tc>
      </w:tr>
      <w:tr>
        <w:trPr>
          <w:trHeight w:val="79"/>
        </w:trPr>
        <w:tc>
          <w:tcPr>
            <w:tcW w:w="6560" w:type="dxa"/>
            <w:vAlign w:val="bottom"/>
            <w:tcBorders>
              <w:bottom w:val="single" w:sz="8" w:color="0E2A35"/>
            </w:tcBorders>
          </w:tcPr>
          <w:p>
            <w:pPr>
              <w:spacing w:after="0"/>
              <w:rPr>
                <w:sz w:val="6"/>
                <w:szCs w:val="6"/>
                <w:color w:val="auto"/>
              </w:rPr>
            </w:pPr>
          </w:p>
        </w:tc>
        <w:tc>
          <w:tcPr>
            <w:tcW w:w="960" w:type="dxa"/>
            <w:vAlign w:val="bottom"/>
            <w:tcBorders>
              <w:bottom w:val="single" w:sz="8" w:color="0E2A35"/>
            </w:tcBorders>
          </w:tcPr>
          <w:p>
            <w:pPr>
              <w:spacing w:after="0"/>
              <w:rPr>
                <w:sz w:val="6"/>
                <w:szCs w:val="6"/>
                <w:color w:val="auto"/>
              </w:rPr>
            </w:pPr>
          </w:p>
        </w:tc>
        <w:tc>
          <w:tcPr>
            <w:tcW w:w="920" w:type="dxa"/>
            <w:vAlign w:val="bottom"/>
            <w:tcBorders>
              <w:bottom w:val="single" w:sz="8" w:color="0E2A35"/>
            </w:tcBorders>
          </w:tcPr>
          <w:p>
            <w:pPr>
              <w:spacing w:after="0"/>
              <w:rPr>
                <w:sz w:val="6"/>
                <w:szCs w:val="6"/>
                <w:color w:val="auto"/>
              </w:rPr>
            </w:pPr>
          </w:p>
        </w:tc>
        <w:tc>
          <w:tcPr>
            <w:tcW w:w="840" w:type="dxa"/>
            <w:vAlign w:val="bottom"/>
            <w:tcBorders>
              <w:bottom w:val="single" w:sz="8" w:color="0E2A35"/>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6560" w:type="dxa"/>
            <w:vAlign w:val="bottom"/>
          </w:tcPr>
          <w:p>
            <w:pPr>
              <w:ind w:left="60"/>
              <w:spacing w:after="0"/>
              <w:rPr>
                <w:sz w:val="20"/>
                <w:szCs w:val="20"/>
                <w:color w:val="auto"/>
              </w:rPr>
            </w:pPr>
            <w:r>
              <w:rPr>
                <w:rFonts w:ascii="Arial" w:cs="Arial" w:eastAsia="Arial" w:hAnsi="Arial"/>
                <w:sz w:val="14"/>
                <w:szCs w:val="14"/>
                <w:color w:val="0E2A35"/>
              </w:rPr>
              <w:t>+/- change in fair value from the end of the prior fiscal year to the vesting date for awards granted in</w:t>
            </w: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6560" w:type="dxa"/>
            <w:vAlign w:val="bottom"/>
          </w:tcPr>
          <w:p>
            <w:pPr>
              <w:ind w:left="220"/>
              <w:spacing w:after="0"/>
              <w:rPr>
                <w:sz w:val="20"/>
                <w:szCs w:val="20"/>
                <w:color w:val="auto"/>
              </w:rPr>
            </w:pPr>
            <w:r>
              <w:rPr>
                <w:rFonts w:ascii="Arial" w:cs="Arial" w:eastAsia="Arial" w:hAnsi="Arial"/>
                <w:sz w:val="14"/>
                <w:szCs w:val="14"/>
                <w:color w:val="0E2A35"/>
              </w:rPr>
              <w:t>any prior fiscal year which vested during the covered fiscal year</w:t>
            </w:r>
          </w:p>
        </w:tc>
        <w:tc>
          <w:tcPr>
            <w:tcW w:w="960" w:type="dxa"/>
            <w:vAlign w:val="bottom"/>
          </w:tcPr>
          <w:p>
            <w:pPr>
              <w:jc w:val="right"/>
              <w:ind w:right="91"/>
              <w:spacing w:after="0"/>
              <w:rPr>
                <w:sz w:val="20"/>
                <w:szCs w:val="20"/>
                <w:color w:val="auto"/>
              </w:rPr>
            </w:pPr>
            <w:r>
              <w:rPr>
                <w:rFonts w:ascii="Arial" w:cs="Arial" w:eastAsia="Arial" w:hAnsi="Arial"/>
                <w:sz w:val="14"/>
                <w:szCs w:val="14"/>
                <w:color w:val="0E2A35"/>
              </w:rPr>
              <w:t>(107,044)</w:t>
            </w:r>
          </w:p>
        </w:tc>
        <w:tc>
          <w:tcPr>
            <w:tcW w:w="920" w:type="dxa"/>
            <w:vAlign w:val="bottom"/>
          </w:tcPr>
          <w:p>
            <w:pPr>
              <w:jc w:val="right"/>
              <w:ind w:right="51"/>
              <w:spacing w:after="0"/>
              <w:rPr>
                <w:sz w:val="20"/>
                <w:szCs w:val="20"/>
                <w:color w:val="auto"/>
              </w:rPr>
            </w:pPr>
            <w:r>
              <w:rPr>
                <w:rFonts w:ascii="Arial" w:cs="Arial" w:eastAsia="Arial" w:hAnsi="Arial"/>
                <w:sz w:val="14"/>
                <w:szCs w:val="14"/>
                <w:color w:val="0E2A35"/>
              </w:rPr>
              <w:t>(10,775)</w:t>
            </w:r>
          </w:p>
        </w:tc>
        <w:tc>
          <w:tcPr>
            <w:tcW w:w="840" w:type="dxa"/>
            <w:vAlign w:val="bottom"/>
          </w:tcPr>
          <w:p>
            <w:pPr>
              <w:jc w:val="right"/>
              <w:spacing w:after="0"/>
              <w:rPr>
                <w:sz w:val="20"/>
                <w:szCs w:val="20"/>
                <w:color w:val="auto"/>
              </w:rPr>
            </w:pPr>
            <w:r>
              <w:rPr>
                <w:rFonts w:ascii="Arial" w:cs="Arial" w:eastAsia="Arial" w:hAnsi="Arial"/>
                <w:sz w:val="14"/>
                <w:szCs w:val="14"/>
                <w:color w:val="0E2A35"/>
              </w:rPr>
              <w:t>(14,928)</w:t>
            </w:r>
          </w:p>
        </w:tc>
        <w:tc>
          <w:tcPr>
            <w:tcW w:w="0" w:type="dxa"/>
            <w:vAlign w:val="bottom"/>
          </w:tcPr>
          <w:p>
            <w:pPr>
              <w:spacing w:after="0"/>
              <w:rPr>
                <w:sz w:val="1"/>
                <w:szCs w:val="1"/>
                <w:color w:val="auto"/>
              </w:rPr>
            </w:pPr>
          </w:p>
        </w:tc>
      </w:tr>
      <w:tr>
        <w:trPr>
          <w:trHeight w:val="93"/>
        </w:trPr>
        <w:tc>
          <w:tcPr>
            <w:tcW w:w="6560" w:type="dxa"/>
            <w:vAlign w:val="bottom"/>
            <w:tcBorders>
              <w:bottom w:val="single" w:sz="8" w:color="0E2A35"/>
            </w:tcBorders>
          </w:tcPr>
          <w:p>
            <w:pPr>
              <w:spacing w:after="0"/>
              <w:rPr>
                <w:sz w:val="8"/>
                <w:szCs w:val="8"/>
                <w:color w:val="auto"/>
              </w:rPr>
            </w:pPr>
          </w:p>
        </w:tc>
        <w:tc>
          <w:tcPr>
            <w:tcW w:w="96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84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193040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-80645</wp:posOffset>
            </wp:positionV>
            <wp:extent cx="1465580" cy="946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0260"/>
          </w:cols>
          <w:pgMar w:left="320" w:top="127" w:right="131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460"/>
        <w:spacing w:after="0" w:line="276" w:lineRule="auto"/>
        <w:rPr>
          <w:sz w:val="20"/>
          <w:szCs w:val="20"/>
          <w:color w:val="auto"/>
        </w:rPr>
      </w:pPr>
      <w:r>
        <w:rPr>
          <w:rFonts w:ascii="Arial" w:cs="Arial" w:eastAsia="Arial" w:hAnsi="Arial"/>
          <w:sz w:val="16"/>
          <w:szCs w:val="16"/>
          <w:color w:val="0E2A35"/>
        </w:rPr>
        <w:t>The charts below describe the relationship between the PEO and other named executive officers’ CAP to Net Income, Total Shareholder Return, and Incentive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1663065</wp:posOffset>
            </wp:positionH>
            <wp:positionV relativeFrom="paragraph">
              <wp:posOffset>114935</wp:posOffset>
            </wp:positionV>
            <wp:extent cx="2571750" cy="23399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7175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232410</wp:posOffset>
            </wp:positionV>
            <wp:extent cx="2545715" cy="23399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4571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0E2A35"/>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232410</wp:posOffset>
            </wp:positionV>
            <wp:extent cx="2606040" cy="2322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060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800"/>
        <w:spacing w:after="0" w:line="276" w:lineRule="auto"/>
        <w:rPr>
          <w:sz w:val="20"/>
          <w:szCs w:val="20"/>
          <w:color w:val="auto"/>
        </w:rPr>
      </w:pPr>
      <w:r>
        <w:rPr>
          <w:rFonts w:ascii="Arial" w:cs="Arial" w:eastAsia="Arial" w:hAnsi="Arial"/>
          <w:sz w:val="16"/>
          <w:szCs w:val="16"/>
          <w:color w:val="0E2A35"/>
        </w:rPr>
        <w:t>The following table lists the five financial performance measures that we believe represent the most important financial performance measures we used to link compensation actually paid to our NEOs to our performance.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Most Important Performance Measures</w:t>
      </w: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4"/>
          <w:szCs w:val="14"/>
          <w:color w:val="0E2A35"/>
        </w:rPr>
        <w:t>Incentive EPS</w:t>
      </w:r>
      <w:r>
        <w:rPr>
          <w:rFonts w:ascii="Arial" w:cs="Arial" w:eastAsia="Arial" w:hAnsi="Arial"/>
          <w:sz w:val="23"/>
          <w:szCs w:val="23"/>
          <w:color w:val="0E2A3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58978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4"/>
          <w:szCs w:val="14"/>
          <w:color w:val="0E2A35"/>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58978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4"/>
          <w:szCs w:val="14"/>
          <w:color w:val="0E2A35"/>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58978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4"/>
          <w:szCs w:val="14"/>
          <w:color w:val="0E2A35"/>
        </w:rPr>
        <w:t>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58978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4"/>
          <w:szCs w:val="14"/>
          <w:color w:val="0E2A35"/>
        </w:rPr>
        <w:t>Incentive ROIC</w:t>
      </w:r>
      <w:r>
        <w:rPr>
          <w:rFonts w:ascii="Arial" w:cs="Arial" w:eastAsia="Arial" w:hAnsi="Arial"/>
          <w:sz w:val="23"/>
          <w:szCs w:val="23"/>
          <w:color w:val="0E2A3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58978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37" w:lineRule="exact"/>
        <w:rPr>
          <w:sz w:val="20"/>
          <w:szCs w:val="20"/>
          <w:color w:val="auto"/>
        </w:rPr>
      </w:pPr>
    </w:p>
    <w:p>
      <w:pPr>
        <w:ind w:left="360" w:right="420" w:hanging="360"/>
        <w:spacing w:after="0" w:line="273" w:lineRule="auto"/>
        <w:tabs>
          <w:tab w:leader="none" w:pos="360" w:val="left"/>
        </w:tabs>
        <w:numPr>
          <w:ilvl w:val="0"/>
          <w:numId w:val="56"/>
        </w:numPr>
        <w:rPr>
          <w:rFonts w:ascii="Arial" w:cs="Arial" w:eastAsia="Arial" w:hAnsi="Arial"/>
          <w:sz w:val="14"/>
          <w:szCs w:val="14"/>
          <w:color w:val="0E2A35"/>
        </w:rPr>
      </w:pPr>
      <w:r>
        <w:rPr>
          <w:rFonts w:ascii="Arial" w:cs="Arial" w:eastAsia="Arial" w:hAnsi="Arial"/>
          <w:sz w:val="14"/>
          <w:szCs w:val="14"/>
          <w:color w:val="0E2A35"/>
        </w:rPr>
        <w:t>Denotes non-GAAP financial measure described above under “Compensation Discussion and Analysis – Fiscal 2023 Equity Awards – LTIP/Performance Share Units.”</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Equity Compensation Plan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0E2A35"/>
        </w:rPr>
        <w:t>Information with respect to shares of our common stock that may be issued under our existing equity compensation plans as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0E2A35"/>
        </w:rPr>
        <w:t>August 26, 2023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40" w:type="dxa"/>
            <w:vAlign w:val="bottom"/>
            <w:shd w:val="clear" w:color="auto" w:fill="0E2A35"/>
          </w:tcPr>
          <w:p>
            <w:pPr>
              <w:spacing w:after="0"/>
              <w:rPr>
                <w:sz w:val="22"/>
                <w:szCs w:val="22"/>
                <w:color w:val="auto"/>
              </w:rPr>
            </w:pPr>
          </w:p>
        </w:tc>
        <w:tc>
          <w:tcPr>
            <w:tcW w:w="300" w:type="dxa"/>
            <w:vAlign w:val="bottom"/>
            <w:shd w:val="clear" w:color="auto" w:fill="0E2A35"/>
          </w:tcPr>
          <w:p>
            <w:pPr>
              <w:spacing w:after="0"/>
              <w:rPr>
                <w:sz w:val="22"/>
                <w:szCs w:val="22"/>
                <w:color w:val="auto"/>
              </w:rPr>
            </w:pPr>
          </w:p>
        </w:tc>
        <w:tc>
          <w:tcPr>
            <w:tcW w:w="14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(a)</w:t>
            </w:r>
          </w:p>
        </w:tc>
        <w:tc>
          <w:tcPr>
            <w:tcW w:w="300" w:type="dxa"/>
            <w:vAlign w:val="bottom"/>
            <w:shd w:val="clear" w:color="auto" w:fill="0E2A35"/>
          </w:tcPr>
          <w:p>
            <w:pPr>
              <w:spacing w:after="0"/>
              <w:rPr>
                <w:sz w:val="22"/>
                <w:szCs w:val="22"/>
                <w:color w:val="auto"/>
              </w:rPr>
            </w:pPr>
          </w:p>
        </w:tc>
        <w:tc>
          <w:tcPr>
            <w:tcW w:w="150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(b)​</w:t>
            </w:r>
          </w:p>
        </w:tc>
        <w:tc>
          <w:tcPr>
            <w:tcW w:w="300" w:type="dxa"/>
            <w:vAlign w:val="bottom"/>
            <w:shd w:val="clear" w:color="auto" w:fill="0E2A35"/>
          </w:tcPr>
          <w:p>
            <w:pPr>
              <w:spacing w:after="0"/>
              <w:rPr>
                <w:sz w:val="22"/>
                <w:szCs w:val="22"/>
                <w:color w:val="auto"/>
              </w:rPr>
            </w:pPr>
          </w:p>
        </w:tc>
        <w:tc>
          <w:tcPr>
            <w:tcW w:w="18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rPr>
              <w:t>(c)​</w:t>
            </w:r>
          </w:p>
        </w:tc>
        <w:tc>
          <w:tcPr>
            <w:tcW w:w="0" w:type="dxa"/>
            <w:vAlign w:val="bottom"/>
          </w:tcPr>
          <w:p>
            <w:pPr>
              <w:spacing w:after="0"/>
              <w:rPr>
                <w:sz w:val="1"/>
                <w:szCs w:val="1"/>
                <w:color w:val="auto"/>
              </w:rPr>
            </w:pPr>
          </w:p>
        </w:tc>
      </w:tr>
      <w:tr>
        <w:trPr>
          <w:trHeight w:val="324"/>
        </w:trPr>
        <w:tc>
          <w:tcPr>
            <w:tcW w:w="3540" w:type="dxa"/>
            <w:vAlign w:val="bottom"/>
            <w:shd w:val="clear" w:color="auto" w:fill="0E2A35"/>
          </w:tcPr>
          <w:p>
            <w:pPr>
              <w:spacing w:after="0"/>
              <w:rPr>
                <w:sz w:val="24"/>
                <w:szCs w:val="24"/>
                <w:color w:val="auto"/>
              </w:rPr>
            </w:pPr>
          </w:p>
        </w:tc>
        <w:tc>
          <w:tcPr>
            <w:tcW w:w="300" w:type="dxa"/>
            <w:vAlign w:val="bottom"/>
            <w:shd w:val="clear" w:color="auto" w:fill="0E2A35"/>
          </w:tcPr>
          <w:p>
            <w:pPr>
              <w:spacing w:after="0"/>
              <w:rPr>
                <w:sz w:val="24"/>
                <w:szCs w:val="24"/>
                <w:color w:val="auto"/>
              </w:rPr>
            </w:pPr>
          </w:p>
        </w:tc>
        <w:tc>
          <w:tcPr>
            <w:tcW w:w="148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Number of Securities</w:t>
            </w:r>
          </w:p>
        </w:tc>
        <w:tc>
          <w:tcPr>
            <w:tcW w:w="300" w:type="dxa"/>
            <w:vAlign w:val="bottom"/>
            <w:shd w:val="clear" w:color="auto" w:fill="0E2A35"/>
          </w:tcPr>
          <w:p>
            <w:pPr>
              <w:spacing w:after="0"/>
              <w:rPr>
                <w:sz w:val="24"/>
                <w:szCs w:val="24"/>
                <w:color w:val="auto"/>
              </w:rPr>
            </w:pPr>
          </w:p>
        </w:tc>
        <w:tc>
          <w:tcPr>
            <w:tcW w:w="1500" w:type="dxa"/>
            <w:vAlign w:val="bottom"/>
            <w:gridSpan w:val="2"/>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Weighted Average</w:t>
            </w:r>
          </w:p>
        </w:tc>
        <w:tc>
          <w:tcPr>
            <w:tcW w:w="300" w:type="dxa"/>
            <w:vAlign w:val="bottom"/>
            <w:shd w:val="clear" w:color="auto" w:fill="0E2A35"/>
          </w:tcPr>
          <w:p>
            <w:pPr>
              <w:spacing w:after="0"/>
              <w:rPr>
                <w:sz w:val="24"/>
                <w:szCs w:val="24"/>
                <w:color w:val="auto"/>
              </w:rPr>
            </w:pPr>
          </w:p>
        </w:tc>
        <w:tc>
          <w:tcPr>
            <w:tcW w:w="18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Number of Securities</w:t>
            </w:r>
          </w:p>
        </w:tc>
        <w:tc>
          <w:tcPr>
            <w:tcW w:w="0" w:type="dxa"/>
            <w:vAlign w:val="bottom"/>
          </w:tcPr>
          <w:p>
            <w:pPr>
              <w:spacing w:after="0"/>
              <w:rPr>
                <w:sz w:val="1"/>
                <w:szCs w:val="1"/>
                <w:color w:val="auto"/>
              </w:rPr>
            </w:pPr>
          </w:p>
        </w:tc>
      </w:tr>
      <w:tr>
        <w:trPr>
          <w:trHeight w:val="130"/>
        </w:trPr>
        <w:tc>
          <w:tcPr>
            <w:tcW w:w="3540" w:type="dxa"/>
            <w:vAlign w:val="bottom"/>
            <w:shd w:val="clear" w:color="auto" w:fill="0E2A35"/>
          </w:tcPr>
          <w:p>
            <w:pPr>
              <w:spacing w:after="0"/>
              <w:rPr>
                <w:sz w:val="11"/>
                <w:szCs w:val="11"/>
                <w:color w:val="auto"/>
              </w:rPr>
            </w:pPr>
          </w:p>
        </w:tc>
        <w:tc>
          <w:tcPr>
            <w:tcW w:w="300" w:type="dxa"/>
            <w:vAlign w:val="bottom"/>
            <w:shd w:val="clear" w:color="auto" w:fill="0E2A35"/>
          </w:tcPr>
          <w:p>
            <w:pPr>
              <w:spacing w:after="0"/>
              <w:rPr>
                <w:sz w:val="11"/>
                <w:szCs w:val="11"/>
                <w:color w:val="auto"/>
              </w:rPr>
            </w:pPr>
          </w:p>
        </w:tc>
        <w:tc>
          <w:tcPr>
            <w:tcW w:w="1480" w:type="dxa"/>
            <w:vAlign w:val="bottom"/>
            <w:vMerge w:val="continue"/>
            <w:shd w:val="clear" w:color="auto" w:fill="0E2A35"/>
          </w:tcPr>
          <w:p>
            <w:pPr>
              <w:spacing w:after="0"/>
              <w:rPr>
                <w:sz w:val="11"/>
                <w:szCs w:val="11"/>
                <w:color w:val="auto"/>
              </w:rPr>
            </w:pPr>
          </w:p>
        </w:tc>
        <w:tc>
          <w:tcPr>
            <w:tcW w:w="300" w:type="dxa"/>
            <w:vAlign w:val="bottom"/>
            <w:shd w:val="clear" w:color="auto" w:fill="0E2A35"/>
          </w:tcPr>
          <w:p>
            <w:pPr>
              <w:spacing w:after="0"/>
              <w:rPr>
                <w:sz w:val="11"/>
                <w:szCs w:val="11"/>
                <w:color w:val="auto"/>
              </w:rPr>
            </w:pPr>
          </w:p>
        </w:tc>
        <w:tc>
          <w:tcPr>
            <w:tcW w:w="1500" w:type="dxa"/>
            <w:vAlign w:val="bottom"/>
            <w:gridSpan w:val="2"/>
            <w:vMerge w:val="continue"/>
            <w:shd w:val="clear" w:color="auto" w:fill="0E2A35"/>
          </w:tcPr>
          <w:p>
            <w:pPr>
              <w:spacing w:after="0"/>
              <w:rPr>
                <w:sz w:val="11"/>
                <w:szCs w:val="11"/>
                <w:color w:val="auto"/>
              </w:rPr>
            </w:pPr>
          </w:p>
        </w:tc>
        <w:tc>
          <w:tcPr>
            <w:tcW w:w="300" w:type="dxa"/>
            <w:vAlign w:val="bottom"/>
            <w:shd w:val="clear" w:color="auto" w:fill="0E2A35"/>
          </w:tcPr>
          <w:p>
            <w:pPr>
              <w:spacing w:after="0"/>
              <w:rPr>
                <w:sz w:val="11"/>
                <w:szCs w:val="11"/>
                <w:color w:val="auto"/>
              </w:rPr>
            </w:pPr>
          </w:p>
        </w:tc>
        <w:tc>
          <w:tcPr>
            <w:tcW w:w="1860" w:type="dxa"/>
            <w:vAlign w:val="bottom"/>
            <w:shd w:val="clear" w:color="auto" w:fill="0E2A35"/>
          </w:tcPr>
          <w:p>
            <w:pPr>
              <w:jc w:val="center"/>
              <w:spacing w:after="0" w:line="130" w:lineRule="exact"/>
              <w:rPr>
                <w:sz w:val="20"/>
                <w:szCs w:val="20"/>
                <w:color w:val="auto"/>
              </w:rPr>
            </w:pPr>
            <w:r>
              <w:rPr>
                <w:rFonts w:ascii="Arial" w:cs="Arial" w:eastAsia="Arial" w:hAnsi="Arial"/>
                <w:sz w:val="13"/>
                <w:szCs w:val="13"/>
                <w:b w:val="1"/>
                <w:bCs w:val="1"/>
                <w:color w:val="FFFFFF"/>
                <w:w w:val="97"/>
              </w:rPr>
              <w:t>Remaining Available for</w:t>
            </w:r>
          </w:p>
        </w:tc>
        <w:tc>
          <w:tcPr>
            <w:tcW w:w="0" w:type="dxa"/>
            <w:vAlign w:val="bottom"/>
          </w:tcPr>
          <w:p>
            <w:pPr>
              <w:spacing w:after="0"/>
              <w:rPr>
                <w:sz w:val="1"/>
                <w:szCs w:val="1"/>
                <w:color w:val="auto"/>
              </w:rPr>
            </w:pPr>
          </w:p>
        </w:tc>
      </w:tr>
      <w:tr>
        <w:trPr>
          <w:trHeight w:val="135"/>
        </w:trPr>
        <w:tc>
          <w:tcPr>
            <w:tcW w:w="3540" w:type="dxa"/>
            <w:vAlign w:val="bottom"/>
            <w:shd w:val="clear" w:color="auto" w:fill="0E2A35"/>
          </w:tcPr>
          <w:p>
            <w:pPr>
              <w:spacing w:after="0"/>
              <w:rPr>
                <w:sz w:val="11"/>
                <w:szCs w:val="11"/>
                <w:color w:val="auto"/>
              </w:rPr>
            </w:pPr>
          </w:p>
        </w:tc>
        <w:tc>
          <w:tcPr>
            <w:tcW w:w="300" w:type="dxa"/>
            <w:vAlign w:val="bottom"/>
            <w:shd w:val="clear" w:color="auto" w:fill="0E2A35"/>
          </w:tcPr>
          <w:p>
            <w:pPr>
              <w:spacing w:after="0"/>
              <w:rPr>
                <w:sz w:val="11"/>
                <w:szCs w:val="11"/>
                <w:color w:val="auto"/>
              </w:rPr>
            </w:pPr>
          </w:p>
        </w:tc>
        <w:tc>
          <w:tcPr>
            <w:tcW w:w="14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to be Issued Upon</w:t>
            </w:r>
          </w:p>
        </w:tc>
        <w:tc>
          <w:tcPr>
            <w:tcW w:w="300" w:type="dxa"/>
            <w:vAlign w:val="bottom"/>
            <w:shd w:val="clear" w:color="auto" w:fill="0E2A35"/>
          </w:tcPr>
          <w:p>
            <w:pPr>
              <w:spacing w:after="0"/>
              <w:rPr>
                <w:sz w:val="11"/>
                <w:szCs w:val="11"/>
                <w:color w:val="auto"/>
              </w:rPr>
            </w:pPr>
          </w:p>
        </w:tc>
        <w:tc>
          <w:tcPr>
            <w:tcW w:w="150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Exercise Price of</w:t>
            </w:r>
          </w:p>
        </w:tc>
        <w:tc>
          <w:tcPr>
            <w:tcW w:w="300" w:type="dxa"/>
            <w:vAlign w:val="bottom"/>
            <w:shd w:val="clear" w:color="auto" w:fill="0E2A35"/>
          </w:tcPr>
          <w:p>
            <w:pPr>
              <w:spacing w:after="0"/>
              <w:rPr>
                <w:sz w:val="11"/>
                <w:szCs w:val="11"/>
                <w:color w:val="auto"/>
              </w:rPr>
            </w:pPr>
          </w:p>
        </w:tc>
        <w:tc>
          <w:tcPr>
            <w:tcW w:w="18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Future Issuance Under</w:t>
            </w:r>
          </w:p>
        </w:tc>
        <w:tc>
          <w:tcPr>
            <w:tcW w:w="0" w:type="dxa"/>
            <w:vAlign w:val="bottom"/>
          </w:tcPr>
          <w:p>
            <w:pPr>
              <w:spacing w:after="0"/>
              <w:rPr>
                <w:sz w:val="1"/>
                <w:szCs w:val="1"/>
                <w:color w:val="auto"/>
              </w:rPr>
            </w:pPr>
          </w:p>
        </w:tc>
      </w:tr>
      <w:tr>
        <w:trPr>
          <w:trHeight w:val="135"/>
        </w:trPr>
        <w:tc>
          <w:tcPr>
            <w:tcW w:w="3540" w:type="dxa"/>
            <w:vAlign w:val="bottom"/>
            <w:shd w:val="clear" w:color="auto" w:fill="0E2A35"/>
          </w:tcPr>
          <w:p>
            <w:pPr>
              <w:spacing w:after="0"/>
              <w:rPr>
                <w:sz w:val="11"/>
                <w:szCs w:val="11"/>
                <w:color w:val="auto"/>
              </w:rPr>
            </w:pPr>
          </w:p>
        </w:tc>
        <w:tc>
          <w:tcPr>
            <w:tcW w:w="300" w:type="dxa"/>
            <w:vAlign w:val="bottom"/>
            <w:shd w:val="clear" w:color="auto" w:fill="0E2A35"/>
          </w:tcPr>
          <w:p>
            <w:pPr>
              <w:spacing w:after="0"/>
              <w:rPr>
                <w:sz w:val="11"/>
                <w:szCs w:val="11"/>
                <w:color w:val="auto"/>
              </w:rPr>
            </w:pPr>
          </w:p>
        </w:tc>
        <w:tc>
          <w:tcPr>
            <w:tcW w:w="14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Exercise of</w:t>
            </w:r>
          </w:p>
        </w:tc>
        <w:tc>
          <w:tcPr>
            <w:tcW w:w="300" w:type="dxa"/>
            <w:vAlign w:val="bottom"/>
            <w:shd w:val="clear" w:color="auto" w:fill="0E2A35"/>
          </w:tcPr>
          <w:p>
            <w:pPr>
              <w:spacing w:after="0"/>
              <w:rPr>
                <w:sz w:val="11"/>
                <w:szCs w:val="11"/>
                <w:color w:val="auto"/>
              </w:rPr>
            </w:pPr>
          </w:p>
        </w:tc>
        <w:tc>
          <w:tcPr>
            <w:tcW w:w="150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Outstanding Options,</w:t>
            </w:r>
          </w:p>
        </w:tc>
        <w:tc>
          <w:tcPr>
            <w:tcW w:w="300" w:type="dxa"/>
            <w:vAlign w:val="bottom"/>
            <w:shd w:val="clear" w:color="auto" w:fill="0E2A35"/>
          </w:tcPr>
          <w:p>
            <w:pPr>
              <w:spacing w:after="0"/>
              <w:rPr>
                <w:sz w:val="11"/>
                <w:szCs w:val="11"/>
                <w:color w:val="auto"/>
              </w:rPr>
            </w:pPr>
          </w:p>
        </w:tc>
        <w:tc>
          <w:tcPr>
            <w:tcW w:w="18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Equity Compensation Plans</w:t>
            </w:r>
          </w:p>
        </w:tc>
        <w:tc>
          <w:tcPr>
            <w:tcW w:w="0" w:type="dxa"/>
            <w:vAlign w:val="bottom"/>
          </w:tcPr>
          <w:p>
            <w:pPr>
              <w:spacing w:after="0"/>
              <w:rPr>
                <w:sz w:val="1"/>
                <w:szCs w:val="1"/>
                <w:color w:val="auto"/>
              </w:rPr>
            </w:pPr>
          </w:p>
        </w:tc>
      </w:tr>
      <w:tr>
        <w:trPr>
          <w:trHeight w:val="135"/>
        </w:trPr>
        <w:tc>
          <w:tcPr>
            <w:tcW w:w="354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Plan Category</w:t>
            </w:r>
          </w:p>
        </w:tc>
        <w:tc>
          <w:tcPr>
            <w:tcW w:w="300" w:type="dxa"/>
            <w:vAlign w:val="bottom"/>
            <w:shd w:val="clear" w:color="auto" w:fill="0E2A35"/>
          </w:tcPr>
          <w:p>
            <w:pPr>
              <w:spacing w:after="0"/>
              <w:rPr>
                <w:sz w:val="11"/>
                <w:szCs w:val="11"/>
                <w:color w:val="auto"/>
              </w:rPr>
            </w:pPr>
          </w:p>
        </w:tc>
        <w:tc>
          <w:tcPr>
            <w:tcW w:w="14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Outstanding Options,</w:t>
            </w:r>
          </w:p>
        </w:tc>
        <w:tc>
          <w:tcPr>
            <w:tcW w:w="300" w:type="dxa"/>
            <w:vAlign w:val="bottom"/>
            <w:shd w:val="clear" w:color="auto" w:fill="0E2A35"/>
          </w:tcPr>
          <w:p>
            <w:pPr>
              <w:spacing w:after="0"/>
              <w:rPr>
                <w:sz w:val="11"/>
                <w:szCs w:val="11"/>
                <w:color w:val="auto"/>
              </w:rPr>
            </w:pPr>
          </w:p>
        </w:tc>
        <w:tc>
          <w:tcPr>
            <w:tcW w:w="150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0"/>
                <w:szCs w:val="10"/>
                <w:b w:val="1"/>
                <w:bCs w:val="1"/>
                <w:color w:val="FFFFFF"/>
              </w:rPr>
              <w:t>Warrants and Rights</w:t>
            </w:r>
            <w:r>
              <w:rPr>
                <w:rFonts w:ascii="Arial" w:cs="Arial" w:eastAsia="Arial" w:hAnsi="Arial"/>
                <w:sz w:val="15"/>
                <w:szCs w:val="15"/>
                <w:b w:val="1"/>
                <w:bCs w:val="1"/>
                <w:color w:val="FFFFFF"/>
                <w:vertAlign w:val="superscript"/>
              </w:rPr>
              <w:t>(2)</w:t>
            </w:r>
          </w:p>
        </w:tc>
        <w:tc>
          <w:tcPr>
            <w:tcW w:w="300" w:type="dxa"/>
            <w:vAlign w:val="bottom"/>
            <w:shd w:val="clear" w:color="auto" w:fill="0E2A35"/>
          </w:tcPr>
          <w:p>
            <w:pPr>
              <w:spacing w:after="0"/>
              <w:rPr>
                <w:sz w:val="11"/>
                <w:szCs w:val="11"/>
                <w:color w:val="auto"/>
              </w:rPr>
            </w:pPr>
          </w:p>
        </w:tc>
        <w:tc>
          <w:tcPr>
            <w:tcW w:w="18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(Excluding Securities</w:t>
            </w:r>
          </w:p>
        </w:tc>
        <w:tc>
          <w:tcPr>
            <w:tcW w:w="0" w:type="dxa"/>
            <w:vAlign w:val="bottom"/>
          </w:tcPr>
          <w:p>
            <w:pPr>
              <w:spacing w:after="0"/>
              <w:rPr>
                <w:sz w:val="1"/>
                <w:szCs w:val="1"/>
                <w:color w:val="auto"/>
              </w:rPr>
            </w:pPr>
          </w:p>
        </w:tc>
      </w:tr>
      <w:tr>
        <w:trPr>
          <w:trHeight w:val="270"/>
        </w:trPr>
        <w:tc>
          <w:tcPr>
            <w:tcW w:w="3540" w:type="dxa"/>
            <w:vAlign w:val="bottom"/>
            <w:vMerge w:val="continue"/>
            <w:shd w:val="clear" w:color="auto" w:fill="0E2A35"/>
          </w:tcPr>
          <w:p>
            <w:pPr>
              <w:spacing w:after="0"/>
              <w:rPr>
                <w:sz w:val="23"/>
                <w:szCs w:val="23"/>
                <w:color w:val="auto"/>
              </w:rPr>
            </w:pPr>
          </w:p>
        </w:tc>
        <w:tc>
          <w:tcPr>
            <w:tcW w:w="300" w:type="dxa"/>
            <w:vAlign w:val="bottom"/>
            <w:shd w:val="clear" w:color="auto" w:fill="0E2A35"/>
          </w:tcPr>
          <w:p>
            <w:pPr>
              <w:spacing w:after="0"/>
              <w:rPr>
                <w:sz w:val="23"/>
                <w:szCs w:val="23"/>
                <w:color w:val="auto"/>
              </w:rPr>
            </w:pPr>
          </w:p>
        </w:tc>
        <w:tc>
          <w:tcPr>
            <w:tcW w:w="14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4"/>
              </w:rPr>
              <w:t>Warrants and Rights</w:t>
            </w:r>
            <w:r>
              <w:rPr>
                <w:rFonts w:ascii="Arial" w:cs="Arial" w:eastAsia="Arial" w:hAnsi="Arial"/>
                <w:sz w:val="20"/>
                <w:szCs w:val="20"/>
                <w:b w:val="1"/>
                <w:bCs w:val="1"/>
                <w:color w:val="FFFFFF"/>
                <w:w w:val="94"/>
                <w:vertAlign w:val="superscript"/>
              </w:rPr>
              <w:t>(1)</w:t>
            </w:r>
          </w:p>
        </w:tc>
        <w:tc>
          <w:tcPr>
            <w:tcW w:w="1800" w:type="dxa"/>
            <w:vAlign w:val="bottom"/>
            <w:gridSpan w:val="3"/>
            <w:shd w:val="clear" w:color="auto" w:fill="0E2A35"/>
          </w:tcPr>
          <w:p>
            <w:pPr>
              <w:jc w:val="center"/>
              <w:ind w:left="237"/>
              <w:spacing w:after="0"/>
              <w:rPr>
                <w:sz w:val="20"/>
                <w:szCs w:val="20"/>
                <w:color w:val="auto"/>
              </w:rPr>
            </w:pPr>
            <w:r>
              <w:rPr>
                <w:rFonts w:ascii="Arial" w:cs="Arial" w:eastAsia="Arial" w:hAnsi="Arial"/>
                <w:sz w:val="13"/>
                <w:szCs w:val="13"/>
                <w:b w:val="1"/>
                <w:bCs w:val="1"/>
                <w:color w:val="FFFFFF"/>
                <w:w w:val="87"/>
              </w:rPr>
              <w:t>($)</w:t>
            </w:r>
          </w:p>
        </w:tc>
        <w:tc>
          <w:tcPr>
            <w:tcW w:w="300" w:type="dxa"/>
            <w:vAlign w:val="bottom"/>
            <w:shd w:val="clear" w:color="auto" w:fill="0E2A35"/>
          </w:tcPr>
          <w:p>
            <w:pPr>
              <w:spacing w:after="0"/>
              <w:rPr>
                <w:sz w:val="23"/>
                <w:szCs w:val="23"/>
                <w:color w:val="auto"/>
              </w:rPr>
            </w:pPr>
          </w:p>
        </w:tc>
        <w:tc>
          <w:tcPr>
            <w:tcW w:w="18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Reflected in (a))</w:t>
            </w:r>
          </w:p>
        </w:tc>
        <w:tc>
          <w:tcPr>
            <w:tcW w:w="0" w:type="dxa"/>
            <w:vAlign w:val="bottom"/>
          </w:tcPr>
          <w:p>
            <w:pPr>
              <w:spacing w:after="0"/>
              <w:rPr>
                <w:sz w:val="1"/>
                <w:szCs w:val="1"/>
                <w:color w:val="auto"/>
              </w:rPr>
            </w:pPr>
          </w:p>
        </w:tc>
      </w:tr>
      <w:tr>
        <w:trPr>
          <w:trHeight w:val="265"/>
        </w:trPr>
        <w:tc>
          <w:tcPr>
            <w:tcW w:w="3540" w:type="dxa"/>
            <w:vAlign w:val="bottom"/>
          </w:tcPr>
          <w:p>
            <w:pPr>
              <w:ind w:left="60"/>
              <w:spacing w:after="0"/>
              <w:rPr>
                <w:sz w:val="20"/>
                <w:szCs w:val="20"/>
                <w:color w:val="auto"/>
              </w:rPr>
            </w:pPr>
            <w:r>
              <w:rPr>
                <w:rFonts w:ascii="Arial" w:cs="Arial" w:eastAsia="Arial" w:hAnsi="Arial"/>
                <w:sz w:val="14"/>
                <w:szCs w:val="14"/>
                <w:color w:val="0E2A35"/>
              </w:rPr>
              <w:t>Equity compensation plans approved by shareholders</w:t>
            </w:r>
          </w:p>
        </w:tc>
        <w:tc>
          <w:tcPr>
            <w:tcW w:w="300" w:type="dxa"/>
            <w:vAlign w:val="bottom"/>
          </w:tcPr>
          <w:p>
            <w:pPr>
              <w:spacing w:after="0"/>
              <w:rPr>
                <w:sz w:val="23"/>
                <w:szCs w:val="23"/>
                <w:color w:val="auto"/>
              </w:rPr>
            </w:pPr>
          </w:p>
        </w:tc>
        <w:tc>
          <w:tcPr>
            <w:tcW w:w="1480" w:type="dxa"/>
            <w:vAlign w:val="bottom"/>
            <w:vMerge w:val="restart"/>
          </w:tcPr>
          <w:p>
            <w:pPr>
              <w:jc w:val="right"/>
              <w:ind w:right="214"/>
              <w:spacing w:after="0"/>
              <w:rPr>
                <w:sz w:val="20"/>
                <w:szCs w:val="20"/>
                <w:color w:val="auto"/>
              </w:rPr>
            </w:pPr>
            <w:r>
              <w:rPr>
                <w:rFonts w:ascii="Arial" w:cs="Arial" w:eastAsia="Arial" w:hAnsi="Arial"/>
                <w:sz w:val="14"/>
                <w:szCs w:val="14"/>
                <w:color w:val="0E2A35"/>
              </w:rPr>
              <w:t>​224,212</w:t>
            </w:r>
            <w:r>
              <w:rPr>
                <w:rFonts w:ascii="Arial" w:cs="Arial" w:eastAsia="Arial" w:hAnsi="Arial"/>
                <w:sz w:val="23"/>
                <w:szCs w:val="23"/>
                <w:color w:val="0E2A35"/>
                <w:vertAlign w:val="superscript"/>
              </w:rPr>
              <w:t>(3)</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540" w:type="dxa"/>
            <w:vAlign w:val="bottom"/>
            <w:tcBorders>
              <w:bottom w:val="single" w:sz="8" w:color="0E2A35"/>
            </w:tcBorders>
          </w:tcPr>
          <w:p>
            <w:pPr>
              <w:ind w:left="220"/>
              <w:spacing w:after="0"/>
              <w:rPr>
                <w:sz w:val="20"/>
                <w:szCs w:val="20"/>
                <w:color w:val="auto"/>
              </w:rPr>
            </w:pPr>
            <w:r>
              <w:rPr>
                <w:rFonts w:ascii="Arial" w:cs="Arial" w:eastAsia="Arial" w:hAnsi="Arial"/>
                <w:sz w:val="14"/>
                <w:szCs w:val="14"/>
                <w:color w:val="0E2A35"/>
              </w:rPr>
              <w:t>– 2014 Plan</w:t>
            </w:r>
          </w:p>
        </w:tc>
        <w:tc>
          <w:tcPr>
            <w:tcW w:w="300" w:type="dxa"/>
            <w:vAlign w:val="bottom"/>
            <w:tcBorders>
              <w:bottom w:val="single" w:sz="8" w:color="0E2A35"/>
            </w:tcBorders>
          </w:tcPr>
          <w:p>
            <w:pPr>
              <w:spacing w:after="0"/>
              <w:rPr>
                <w:sz w:val="23"/>
                <w:szCs w:val="23"/>
                <w:color w:val="auto"/>
              </w:rPr>
            </w:pPr>
          </w:p>
        </w:tc>
        <w:tc>
          <w:tcPr>
            <w:tcW w:w="1480" w:type="dxa"/>
            <w:vAlign w:val="bottom"/>
            <w:tcBorders>
              <w:bottom w:val="single" w:sz="8" w:color="0E2A35"/>
            </w:tcBorders>
            <w:vMerge w:val="continue"/>
          </w:tcPr>
          <w:p>
            <w:pPr>
              <w:spacing w:after="0"/>
              <w:rPr>
                <w:sz w:val="23"/>
                <w:szCs w:val="23"/>
                <w:color w:val="auto"/>
              </w:rPr>
            </w:pPr>
          </w:p>
        </w:tc>
        <w:tc>
          <w:tcPr>
            <w:tcW w:w="300" w:type="dxa"/>
            <w:vAlign w:val="bottom"/>
            <w:tcBorders>
              <w:bottom w:val="single" w:sz="8" w:color="0E2A35"/>
            </w:tcBorders>
          </w:tcPr>
          <w:p>
            <w:pPr>
              <w:spacing w:after="0"/>
              <w:rPr>
                <w:sz w:val="23"/>
                <w:szCs w:val="23"/>
                <w:color w:val="auto"/>
              </w:rPr>
            </w:pPr>
          </w:p>
        </w:tc>
        <w:tc>
          <w:tcPr>
            <w:tcW w:w="700" w:type="dxa"/>
            <w:vAlign w:val="bottom"/>
            <w:tcBorders>
              <w:bottom w:val="single" w:sz="8" w:color="0E2A35"/>
            </w:tcBorders>
          </w:tcPr>
          <w:p>
            <w:pPr>
              <w:ind w:left="540"/>
              <w:spacing w:after="0"/>
              <w:rPr>
                <w:sz w:val="20"/>
                <w:szCs w:val="20"/>
                <w:color w:val="auto"/>
              </w:rPr>
            </w:pPr>
            <w:r>
              <w:rPr>
                <w:rFonts w:ascii="Arial" w:cs="Arial" w:eastAsia="Arial" w:hAnsi="Arial"/>
                <w:sz w:val="14"/>
                <w:szCs w:val="14"/>
                <w:color w:val="0E2A35"/>
                <w:w w:val="89"/>
              </w:rPr>
              <w:t>34​</w:t>
            </w:r>
          </w:p>
        </w:tc>
        <w:tc>
          <w:tcPr>
            <w:tcW w:w="800" w:type="dxa"/>
            <w:vAlign w:val="bottom"/>
            <w:tcBorders>
              <w:bottom w:val="single" w:sz="8" w:color="0E2A35"/>
            </w:tcBorders>
          </w:tcPr>
          <w:p>
            <w:pPr>
              <w:jc w:val="right"/>
              <w:ind w:right="528"/>
              <w:spacing w:after="0"/>
              <w:rPr>
                <w:sz w:val="20"/>
                <w:szCs w:val="20"/>
                <w:color w:val="auto"/>
              </w:rPr>
            </w:pPr>
            <w:r>
              <w:rPr>
                <w:rFonts w:ascii="Arial" w:cs="Arial" w:eastAsia="Arial" w:hAnsi="Arial"/>
                <w:sz w:val="14"/>
                <w:szCs w:val="14"/>
                <w:color w:val="0E2A35"/>
                <w:w w:val="92"/>
              </w:rPr>
              <w:t>.54</w:t>
            </w:r>
          </w:p>
        </w:tc>
        <w:tc>
          <w:tcPr>
            <w:tcW w:w="300" w:type="dxa"/>
            <w:vAlign w:val="bottom"/>
            <w:tcBorders>
              <w:bottom w:val="single" w:sz="8" w:color="0E2A35"/>
            </w:tcBorders>
          </w:tcPr>
          <w:p>
            <w:pPr>
              <w:spacing w:after="0"/>
              <w:rPr>
                <w:sz w:val="23"/>
                <w:szCs w:val="23"/>
                <w:color w:val="auto"/>
              </w:rPr>
            </w:pPr>
          </w:p>
        </w:tc>
        <w:tc>
          <w:tcPr>
            <w:tcW w:w="1860" w:type="dxa"/>
            <w:vAlign w:val="bottom"/>
            <w:tcBorders>
              <w:bottom w:val="single" w:sz="8" w:color="0E2A35"/>
            </w:tcBorders>
          </w:tcPr>
          <w:p>
            <w:pPr>
              <w:jc w:val="right"/>
              <w:ind w:right="574"/>
              <w:spacing w:after="0"/>
              <w:rPr>
                <w:sz w:val="20"/>
                <w:szCs w:val="20"/>
                <w:color w:val="auto"/>
              </w:rPr>
            </w:pPr>
            <w:r>
              <w:rPr>
                <w:rFonts w:ascii="Arial" w:cs="Arial" w:eastAsia="Arial" w:hAnsi="Arial"/>
                <w:sz w:val="14"/>
                <w:szCs w:val="14"/>
                <w:color w:val="0E2A35"/>
              </w:rPr>
              <w:t>​—</w:t>
            </w:r>
          </w:p>
        </w:tc>
        <w:tc>
          <w:tcPr>
            <w:tcW w:w="0" w:type="dxa"/>
            <w:vAlign w:val="bottom"/>
          </w:tcPr>
          <w:p>
            <w:pPr>
              <w:spacing w:after="0"/>
              <w:rPr>
                <w:sz w:val="1"/>
                <w:szCs w:val="1"/>
                <w:color w:val="auto"/>
              </w:rPr>
            </w:pPr>
          </w:p>
        </w:tc>
      </w:tr>
      <w:tr>
        <w:trPr>
          <w:trHeight w:val="258"/>
        </w:trPr>
        <w:tc>
          <w:tcPr>
            <w:tcW w:w="3540" w:type="dxa"/>
            <w:vAlign w:val="bottom"/>
          </w:tcPr>
          <w:p>
            <w:pPr>
              <w:ind w:left="60"/>
              <w:spacing w:after="0"/>
              <w:rPr>
                <w:sz w:val="20"/>
                <w:szCs w:val="20"/>
                <w:color w:val="auto"/>
              </w:rPr>
            </w:pPr>
            <w:r>
              <w:rPr>
                <w:rFonts w:ascii="Arial" w:cs="Arial" w:eastAsia="Arial" w:hAnsi="Arial"/>
                <w:sz w:val="14"/>
                <w:szCs w:val="14"/>
                <w:color w:val="0E2A35"/>
              </w:rPr>
              <w:t>Equity compensation plans approved by shareholders</w:t>
            </w:r>
          </w:p>
        </w:tc>
        <w:tc>
          <w:tcPr>
            <w:tcW w:w="300" w:type="dxa"/>
            <w:vAlign w:val="bottom"/>
          </w:tcPr>
          <w:p>
            <w:pPr>
              <w:spacing w:after="0"/>
              <w:rPr>
                <w:sz w:val="22"/>
                <w:szCs w:val="22"/>
                <w:color w:val="auto"/>
              </w:rPr>
            </w:pPr>
          </w:p>
        </w:tc>
        <w:tc>
          <w:tcPr>
            <w:tcW w:w="1480" w:type="dxa"/>
            <w:vAlign w:val="bottom"/>
            <w:vMerge w:val="restart"/>
          </w:tcPr>
          <w:p>
            <w:pPr>
              <w:jc w:val="right"/>
              <w:ind w:right="214"/>
              <w:spacing w:after="0"/>
              <w:rPr>
                <w:sz w:val="20"/>
                <w:szCs w:val="20"/>
                <w:color w:val="auto"/>
              </w:rPr>
            </w:pPr>
            <w:r>
              <w:rPr>
                <w:rFonts w:ascii="Arial" w:cs="Arial" w:eastAsia="Arial" w:hAnsi="Arial"/>
                <w:sz w:val="14"/>
                <w:szCs w:val="14"/>
                <w:color w:val="0E2A35"/>
              </w:rPr>
              <w:t>​760,177</w:t>
            </w:r>
            <w:r>
              <w:rPr>
                <w:rFonts w:ascii="Arial" w:cs="Arial" w:eastAsia="Arial" w:hAnsi="Arial"/>
                <w:sz w:val="23"/>
                <w:szCs w:val="23"/>
                <w:color w:val="0E2A35"/>
                <w:vertAlign w:val="superscript"/>
              </w:rPr>
              <w:t>(4)</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vMerge w:val="restart"/>
          </w:tcPr>
          <w:p>
            <w:pPr>
              <w:jc w:val="right"/>
              <w:ind w:right="434"/>
              <w:spacing w:after="0"/>
              <w:rPr>
                <w:sz w:val="20"/>
                <w:szCs w:val="20"/>
                <w:color w:val="auto"/>
              </w:rPr>
            </w:pPr>
            <w:r>
              <w:rPr>
                <w:rFonts w:ascii="Arial" w:cs="Arial" w:eastAsia="Arial" w:hAnsi="Arial"/>
                <w:sz w:val="14"/>
                <w:szCs w:val="14"/>
                <w:color w:val="0E2A35"/>
              </w:rPr>
              <w:t>​2,055,695</w:t>
            </w:r>
            <w:r>
              <w:rPr>
                <w:rFonts w:ascii="Arial" w:cs="Arial" w:eastAsia="Arial" w:hAnsi="Arial"/>
                <w:sz w:val="23"/>
                <w:szCs w:val="23"/>
                <w:color w:val="0E2A35"/>
                <w:vertAlign w:val="superscript"/>
              </w:rPr>
              <w:t>(5)</w:t>
            </w:r>
          </w:p>
        </w:tc>
        <w:tc>
          <w:tcPr>
            <w:tcW w:w="0" w:type="dxa"/>
            <w:vAlign w:val="bottom"/>
          </w:tcPr>
          <w:p>
            <w:pPr>
              <w:spacing w:after="0"/>
              <w:rPr>
                <w:sz w:val="1"/>
                <w:szCs w:val="1"/>
                <w:color w:val="auto"/>
              </w:rPr>
            </w:pPr>
          </w:p>
        </w:tc>
      </w:tr>
      <w:tr>
        <w:trPr>
          <w:trHeight w:val="275"/>
        </w:trPr>
        <w:tc>
          <w:tcPr>
            <w:tcW w:w="3540" w:type="dxa"/>
            <w:vAlign w:val="bottom"/>
            <w:tcBorders>
              <w:bottom w:val="single" w:sz="8" w:color="0E2A35"/>
            </w:tcBorders>
          </w:tcPr>
          <w:p>
            <w:pPr>
              <w:ind w:left="220"/>
              <w:spacing w:after="0"/>
              <w:rPr>
                <w:sz w:val="20"/>
                <w:szCs w:val="20"/>
                <w:color w:val="auto"/>
              </w:rPr>
            </w:pPr>
            <w:r>
              <w:rPr>
                <w:rFonts w:ascii="Arial" w:cs="Arial" w:eastAsia="Arial" w:hAnsi="Arial"/>
                <w:sz w:val="14"/>
                <w:szCs w:val="14"/>
                <w:color w:val="0E2A35"/>
              </w:rPr>
              <w:t>– 2019 Plan</w:t>
            </w:r>
          </w:p>
        </w:tc>
        <w:tc>
          <w:tcPr>
            <w:tcW w:w="300" w:type="dxa"/>
            <w:vAlign w:val="bottom"/>
            <w:tcBorders>
              <w:bottom w:val="single" w:sz="8" w:color="0E2A35"/>
            </w:tcBorders>
          </w:tcPr>
          <w:p>
            <w:pPr>
              <w:spacing w:after="0"/>
              <w:rPr>
                <w:sz w:val="23"/>
                <w:szCs w:val="23"/>
                <w:color w:val="auto"/>
              </w:rPr>
            </w:pPr>
          </w:p>
        </w:tc>
        <w:tc>
          <w:tcPr>
            <w:tcW w:w="1480" w:type="dxa"/>
            <w:vAlign w:val="bottom"/>
            <w:tcBorders>
              <w:bottom w:val="single" w:sz="8" w:color="0E2A35"/>
            </w:tcBorders>
            <w:vMerge w:val="continue"/>
          </w:tcPr>
          <w:p>
            <w:pPr>
              <w:spacing w:after="0"/>
              <w:rPr>
                <w:sz w:val="23"/>
                <w:szCs w:val="23"/>
                <w:color w:val="auto"/>
              </w:rPr>
            </w:pPr>
          </w:p>
        </w:tc>
        <w:tc>
          <w:tcPr>
            <w:tcW w:w="300" w:type="dxa"/>
            <w:vAlign w:val="bottom"/>
            <w:tcBorders>
              <w:bottom w:val="single" w:sz="8" w:color="0E2A35"/>
            </w:tcBorders>
          </w:tcPr>
          <w:p>
            <w:pPr>
              <w:spacing w:after="0"/>
              <w:rPr>
                <w:sz w:val="23"/>
                <w:szCs w:val="23"/>
                <w:color w:val="auto"/>
              </w:rPr>
            </w:pPr>
          </w:p>
        </w:tc>
        <w:tc>
          <w:tcPr>
            <w:tcW w:w="700" w:type="dxa"/>
            <w:vAlign w:val="bottom"/>
            <w:tcBorders>
              <w:bottom w:val="single" w:sz="8" w:color="0E2A35"/>
            </w:tcBorders>
          </w:tcPr>
          <w:p>
            <w:pPr>
              <w:ind w:left="540"/>
              <w:spacing w:after="0"/>
              <w:rPr>
                <w:sz w:val="20"/>
                <w:szCs w:val="20"/>
                <w:color w:val="auto"/>
              </w:rPr>
            </w:pPr>
            <w:r>
              <w:rPr>
                <w:rFonts w:ascii="Arial" w:cs="Arial" w:eastAsia="Arial" w:hAnsi="Arial"/>
                <w:sz w:val="14"/>
                <w:szCs w:val="14"/>
                <w:color w:val="0E2A35"/>
                <w:w w:val="89"/>
              </w:rPr>
              <w:t>57​</w:t>
            </w:r>
          </w:p>
        </w:tc>
        <w:tc>
          <w:tcPr>
            <w:tcW w:w="800" w:type="dxa"/>
            <w:vAlign w:val="bottom"/>
            <w:tcBorders>
              <w:bottom w:val="single" w:sz="8" w:color="0E2A35"/>
            </w:tcBorders>
          </w:tcPr>
          <w:p>
            <w:pPr>
              <w:jc w:val="right"/>
              <w:ind w:right="528"/>
              <w:spacing w:after="0"/>
              <w:rPr>
                <w:sz w:val="20"/>
                <w:szCs w:val="20"/>
                <w:color w:val="auto"/>
              </w:rPr>
            </w:pPr>
            <w:r>
              <w:rPr>
                <w:rFonts w:ascii="Arial" w:cs="Arial" w:eastAsia="Arial" w:hAnsi="Arial"/>
                <w:sz w:val="14"/>
                <w:szCs w:val="14"/>
                <w:color w:val="0E2A35"/>
                <w:w w:val="92"/>
              </w:rPr>
              <w:t>.69</w:t>
            </w:r>
          </w:p>
        </w:tc>
        <w:tc>
          <w:tcPr>
            <w:tcW w:w="300" w:type="dxa"/>
            <w:vAlign w:val="bottom"/>
            <w:tcBorders>
              <w:bottom w:val="single" w:sz="8" w:color="0E2A35"/>
            </w:tcBorders>
          </w:tcPr>
          <w:p>
            <w:pPr>
              <w:spacing w:after="0"/>
              <w:rPr>
                <w:sz w:val="23"/>
                <w:szCs w:val="23"/>
                <w:color w:val="auto"/>
              </w:rPr>
            </w:pPr>
          </w:p>
        </w:tc>
        <w:tc>
          <w:tcPr>
            <w:tcW w:w="1860" w:type="dxa"/>
            <w:vAlign w:val="bottom"/>
            <w:tcBorders>
              <w:bottom w:val="single" w:sz="8" w:color="0E2A35"/>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60"/>
              <w:spacing w:after="0"/>
              <w:rPr>
                <w:sz w:val="20"/>
                <w:szCs w:val="20"/>
                <w:color w:val="auto"/>
              </w:rPr>
            </w:pPr>
            <w:r>
              <w:rPr>
                <w:rFonts w:ascii="Arial" w:cs="Arial" w:eastAsia="Arial" w:hAnsi="Arial"/>
                <w:sz w:val="14"/>
                <w:szCs w:val="14"/>
                <w:color w:val="0E2A35"/>
              </w:rPr>
              <w:t>Equity compensation plans approved by shareholders</w:t>
            </w:r>
          </w:p>
        </w:tc>
        <w:tc>
          <w:tcPr>
            <w:tcW w:w="300" w:type="dxa"/>
            <w:vAlign w:val="bottom"/>
          </w:tcPr>
          <w:p>
            <w:pPr>
              <w:spacing w:after="0"/>
              <w:rPr>
                <w:sz w:val="22"/>
                <w:szCs w:val="22"/>
                <w:color w:val="auto"/>
              </w:rPr>
            </w:pPr>
          </w:p>
        </w:tc>
        <w:tc>
          <w:tcPr>
            <w:tcW w:w="1480" w:type="dxa"/>
            <w:vAlign w:val="bottom"/>
            <w:vMerge w:val="restart"/>
          </w:tcPr>
          <w:p>
            <w:pPr>
              <w:jc w:val="right"/>
              <w:ind w:right="214"/>
              <w:spacing w:after="0"/>
              <w:rPr>
                <w:sz w:val="20"/>
                <w:szCs w:val="20"/>
                <w:color w:val="auto"/>
              </w:rPr>
            </w:pPr>
            <w:r>
              <w:rPr>
                <w:rFonts w:ascii="Arial" w:cs="Arial" w:eastAsia="Arial" w:hAnsi="Arial"/>
                <w:sz w:val="28"/>
                <w:szCs w:val="28"/>
                <w:color w:val="0E2A35"/>
                <w:vertAlign w:val="subscript"/>
              </w:rPr>
              <w:t>​—</w:t>
            </w:r>
            <w:r>
              <w:rPr>
                <w:rFonts w:ascii="Arial" w:cs="Arial" w:eastAsia="Arial" w:hAnsi="Arial"/>
                <w:sz w:val="12"/>
                <w:szCs w:val="12"/>
                <w:color w:val="0E2A35"/>
              </w:rPr>
              <w:t>(6)</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vMerge w:val="restart"/>
          </w:tcPr>
          <w:p>
            <w:pPr>
              <w:jc w:val="right"/>
              <w:ind w:right="434"/>
              <w:spacing w:after="0"/>
              <w:rPr>
                <w:sz w:val="20"/>
                <w:szCs w:val="20"/>
                <w:color w:val="auto"/>
              </w:rPr>
            </w:pPr>
            <w:r>
              <w:rPr>
                <w:rFonts w:ascii="Arial" w:cs="Arial" w:eastAsia="Arial" w:hAnsi="Arial"/>
                <w:sz w:val="14"/>
                <w:szCs w:val="14"/>
                <w:color w:val="0E2A35"/>
              </w:rPr>
              <w:t>​400,409</w:t>
            </w:r>
            <w:r>
              <w:rPr>
                <w:rFonts w:ascii="Arial" w:cs="Arial" w:eastAsia="Arial" w:hAnsi="Arial"/>
                <w:sz w:val="23"/>
                <w:szCs w:val="23"/>
                <w:color w:val="0E2A35"/>
                <w:vertAlign w:val="superscript"/>
              </w:rPr>
              <w:t>(7)</w:t>
            </w:r>
          </w:p>
        </w:tc>
        <w:tc>
          <w:tcPr>
            <w:tcW w:w="0" w:type="dxa"/>
            <w:vAlign w:val="bottom"/>
          </w:tcPr>
          <w:p>
            <w:pPr>
              <w:spacing w:after="0"/>
              <w:rPr>
                <w:sz w:val="1"/>
                <w:szCs w:val="1"/>
                <w:color w:val="auto"/>
              </w:rPr>
            </w:pPr>
          </w:p>
        </w:tc>
      </w:tr>
      <w:tr>
        <w:trPr>
          <w:trHeight w:val="275"/>
        </w:trPr>
        <w:tc>
          <w:tcPr>
            <w:tcW w:w="3540" w:type="dxa"/>
            <w:vAlign w:val="bottom"/>
            <w:tcBorders>
              <w:bottom w:val="single" w:sz="8" w:color="0E2A35"/>
            </w:tcBorders>
          </w:tcPr>
          <w:p>
            <w:pPr>
              <w:ind w:left="220"/>
              <w:spacing w:after="0"/>
              <w:rPr>
                <w:sz w:val="20"/>
                <w:szCs w:val="20"/>
                <w:color w:val="auto"/>
              </w:rPr>
            </w:pPr>
            <w:r>
              <w:rPr>
                <w:rFonts w:ascii="Arial" w:cs="Arial" w:eastAsia="Arial" w:hAnsi="Arial"/>
                <w:sz w:val="14"/>
                <w:szCs w:val="14"/>
                <w:color w:val="0E2A35"/>
              </w:rPr>
              <w:t>– ESPP</w:t>
            </w:r>
          </w:p>
        </w:tc>
        <w:tc>
          <w:tcPr>
            <w:tcW w:w="300" w:type="dxa"/>
            <w:vAlign w:val="bottom"/>
            <w:tcBorders>
              <w:bottom w:val="single" w:sz="8" w:color="0E2A35"/>
            </w:tcBorders>
          </w:tcPr>
          <w:p>
            <w:pPr>
              <w:spacing w:after="0"/>
              <w:rPr>
                <w:sz w:val="23"/>
                <w:szCs w:val="23"/>
                <w:color w:val="auto"/>
              </w:rPr>
            </w:pPr>
          </w:p>
        </w:tc>
        <w:tc>
          <w:tcPr>
            <w:tcW w:w="1480" w:type="dxa"/>
            <w:vAlign w:val="bottom"/>
            <w:tcBorders>
              <w:bottom w:val="single" w:sz="8" w:color="0E2A35"/>
            </w:tcBorders>
            <w:vMerge w:val="continue"/>
          </w:tcPr>
          <w:p>
            <w:pPr>
              <w:spacing w:after="0"/>
              <w:rPr>
                <w:sz w:val="23"/>
                <w:szCs w:val="23"/>
                <w:color w:val="auto"/>
              </w:rPr>
            </w:pPr>
          </w:p>
        </w:tc>
        <w:tc>
          <w:tcPr>
            <w:tcW w:w="300" w:type="dxa"/>
            <w:vAlign w:val="bottom"/>
            <w:tcBorders>
              <w:bottom w:val="single" w:sz="8" w:color="0E2A35"/>
            </w:tcBorders>
          </w:tcPr>
          <w:p>
            <w:pPr>
              <w:spacing w:after="0"/>
              <w:rPr>
                <w:sz w:val="23"/>
                <w:szCs w:val="23"/>
                <w:color w:val="auto"/>
              </w:rPr>
            </w:pPr>
          </w:p>
        </w:tc>
        <w:tc>
          <w:tcPr>
            <w:tcW w:w="700" w:type="dxa"/>
            <w:vAlign w:val="bottom"/>
            <w:tcBorders>
              <w:bottom w:val="single" w:sz="8" w:color="0E2A35"/>
            </w:tcBorders>
          </w:tcPr>
          <w:p>
            <w:pPr>
              <w:spacing w:after="0"/>
              <w:rPr>
                <w:sz w:val="23"/>
                <w:szCs w:val="23"/>
                <w:color w:val="auto"/>
              </w:rPr>
            </w:pPr>
          </w:p>
        </w:tc>
        <w:tc>
          <w:tcPr>
            <w:tcW w:w="800" w:type="dxa"/>
            <w:vAlign w:val="bottom"/>
            <w:tcBorders>
              <w:bottom w:val="single" w:sz="8" w:color="0E2A35"/>
            </w:tcBorders>
          </w:tcPr>
          <w:p>
            <w:pPr>
              <w:jc w:val="right"/>
              <w:ind w:right="528"/>
              <w:spacing w:after="0"/>
              <w:rPr>
                <w:sz w:val="20"/>
                <w:szCs w:val="20"/>
                <w:color w:val="auto"/>
              </w:rPr>
            </w:pPr>
            <w:r>
              <w:rPr>
                <w:rFonts w:ascii="Arial" w:cs="Arial" w:eastAsia="Arial" w:hAnsi="Arial"/>
                <w:sz w:val="14"/>
                <w:szCs w:val="14"/>
                <w:color w:val="0E2A35"/>
              </w:rPr>
              <w:t>—​</w:t>
            </w:r>
          </w:p>
        </w:tc>
        <w:tc>
          <w:tcPr>
            <w:tcW w:w="300" w:type="dxa"/>
            <w:vAlign w:val="bottom"/>
            <w:tcBorders>
              <w:bottom w:val="single" w:sz="8" w:color="0E2A35"/>
            </w:tcBorders>
          </w:tcPr>
          <w:p>
            <w:pPr>
              <w:spacing w:after="0"/>
              <w:rPr>
                <w:sz w:val="23"/>
                <w:szCs w:val="23"/>
                <w:color w:val="auto"/>
              </w:rPr>
            </w:pPr>
          </w:p>
        </w:tc>
        <w:tc>
          <w:tcPr>
            <w:tcW w:w="1860" w:type="dxa"/>
            <w:vAlign w:val="bottom"/>
            <w:tcBorders>
              <w:bottom w:val="single" w:sz="8" w:color="0E2A35"/>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540" w:type="dxa"/>
            <w:vAlign w:val="bottom"/>
          </w:tcPr>
          <w:p>
            <w:pPr>
              <w:ind w:left="60"/>
              <w:spacing w:after="0"/>
              <w:rPr>
                <w:sz w:val="20"/>
                <w:szCs w:val="20"/>
                <w:color w:val="auto"/>
              </w:rPr>
            </w:pPr>
            <w:r>
              <w:rPr>
                <w:rFonts w:ascii="Arial" w:cs="Arial" w:eastAsia="Arial" w:hAnsi="Arial"/>
                <w:sz w:val="14"/>
                <w:szCs w:val="14"/>
                <w:color w:val="0E2A35"/>
              </w:rPr>
              <w:t>Equity compensation plans not approved by</w:t>
            </w: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3540" w:type="dxa"/>
            <w:vAlign w:val="bottom"/>
            <w:tcBorders>
              <w:bottom w:val="single" w:sz="8" w:color="0E2A35"/>
            </w:tcBorders>
          </w:tcPr>
          <w:p>
            <w:pPr>
              <w:ind w:left="220"/>
              <w:spacing w:after="0"/>
              <w:rPr>
                <w:sz w:val="20"/>
                <w:szCs w:val="20"/>
                <w:color w:val="auto"/>
              </w:rPr>
            </w:pPr>
            <w:r>
              <w:rPr>
                <w:rFonts w:ascii="Arial" w:cs="Arial" w:eastAsia="Arial" w:hAnsi="Arial"/>
                <w:sz w:val="14"/>
                <w:szCs w:val="14"/>
                <w:color w:val="0E2A35"/>
              </w:rPr>
              <w:t>shareholders</w:t>
            </w:r>
            <w:r>
              <w:rPr>
                <w:rFonts w:ascii="Arial" w:cs="Arial" w:eastAsia="Arial" w:hAnsi="Arial"/>
                <w:sz w:val="23"/>
                <w:szCs w:val="23"/>
                <w:color w:val="0E2A35"/>
                <w:vertAlign w:val="superscript"/>
              </w:rPr>
              <w:t>(8)</w:t>
            </w:r>
          </w:p>
        </w:tc>
        <w:tc>
          <w:tcPr>
            <w:tcW w:w="300" w:type="dxa"/>
            <w:vAlign w:val="bottom"/>
            <w:tcBorders>
              <w:bottom w:val="single" w:sz="8" w:color="0E2A35"/>
            </w:tcBorders>
          </w:tcPr>
          <w:p>
            <w:pPr>
              <w:spacing w:after="0"/>
              <w:rPr>
                <w:sz w:val="24"/>
                <w:szCs w:val="24"/>
                <w:color w:val="auto"/>
              </w:rPr>
            </w:pPr>
          </w:p>
        </w:tc>
        <w:tc>
          <w:tcPr>
            <w:tcW w:w="1480" w:type="dxa"/>
            <w:vAlign w:val="bottom"/>
            <w:tcBorders>
              <w:bottom w:val="single" w:sz="8" w:color="0E2A35"/>
            </w:tcBorders>
          </w:tcPr>
          <w:p>
            <w:pPr>
              <w:jc w:val="right"/>
              <w:ind w:right="214"/>
              <w:spacing w:after="0"/>
              <w:rPr>
                <w:sz w:val="20"/>
                <w:szCs w:val="20"/>
                <w:color w:val="auto"/>
              </w:rPr>
            </w:pPr>
            <w:r>
              <w:rPr>
                <w:rFonts w:ascii="Arial" w:cs="Arial" w:eastAsia="Arial" w:hAnsi="Arial"/>
                <w:sz w:val="14"/>
                <w:szCs w:val="14"/>
                <w:color w:val="0E2A35"/>
              </w:rPr>
              <w:t>​26,515</w:t>
            </w:r>
            <w:r>
              <w:rPr>
                <w:rFonts w:ascii="Arial" w:cs="Arial" w:eastAsia="Arial" w:hAnsi="Arial"/>
                <w:sz w:val="23"/>
                <w:szCs w:val="23"/>
                <w:color w:val="0E2A35"/>
                <w:vertAlign w:val="superscript"/>
              </w:rPr>
              <w:t>(9)</w:t>
            </w:r>
          </w:p>
        </w:tc>
        <w:tc>
          <w:tcPr>
            <w:tcW w:w="300" w:type="dxa"/>
            <w:vAlign w:val="bottom"/>
            <w:tcBorders>
              <w:bottom w:val="single" w:sz="8" w:color="0E2A35"/>
            </w:tcBorders>
          </w:tcPr>
          <w:p>
            <w:pPr>
              <w:spacing w:after="0"/>
              <w:rPr>
                <w:sz w:val="24"/>
                <w:szCs w:val="24"/>
                <w:color w:val="auto"/>
              </w:rPr>
            </w:pPr>
          </w:p>
        </w:tc>
        <w:tc>
          <w:tcPr>
            <w:tcW w:w="700" w:type="dxa"/>
            <w:vAlign w:val="bottom"/>
            <w:tcBorders>
              <w:bottom w:val="single" w:sz="8" w:color="0E2A35"/>
            </w:tcBorders>
          </w:tcPr>
          <w:p>
            <w:pPr>
              <w:spacing w:after="0"/>
              <w:rPr>
                <w:sz w:val="24"/>
                <w:szCs w:val="24"/>
                <w:color w:val="auto"/>
              </w:rPr>
            </w:pPr>
          </w:p>
        </w:tc>
        <w:tc>
          <w:tcPr>
            <w:tcW w:w="800" w:type="dxa"/>
            <w:vAlign w:val="bottom"/>
            <w:tcBorders>
              <w:bottom w:val="single" w:sz="8" w:color="0E2A35"/>
            </w:tcBorders>
          </w:tcPr>
          <w:p>
            <w:pPr>
              <w:jc w:val="right"/>
              <w:ind w:right="528"/>
              <w:spacing w:after="0"/>
              <w:rPr>
                <w:sz w:val="20"/>
                <w:szCs w:val="20"/>
                <w:color w:val="auto"/>
              </w:rPr>
            </w:pPr>
            <w:r>
              <w:rPr>
                <w:rFonts w:ascii="Arial" w:cs="Arial" w:eastAsia="Arial" w:hAnsi="Arial"/>
                <w:sz w:val="14"/>
                <w:szCs w:val="14"/>
                <w:color w:val="0E2A35"/>
              </w:rPr>
              <w:t>—​</w:t>
            </w:r>
          </w:p>
        </w:tc>
        <w:tc>
          <w:tcPr>
            <w:tcW w:w="300" w:type="dxa"/>
            <w:vAlign w:val="bottom"/>
            <w:tcBorders>
              <w:bottom w:val="single" w:sz="8" w:color="0E2A35"/>
            </w:tcBorders>
          </w:tcPr>
          <w:p>
            <w:pPr>
              <w:spacing w:after="0"/>
              <w:rPr>
                <w:sz w:val="24"/>
                <w:szCs w:val="24"/>
                <w:color w:val="auto"/>
              </w:rPr>
            </w:pPr>
          </w:p>
        </w:tc>
        <w:tc>
          <w:tcPr>
            <w:tcW w:w="1860" w:type="dxa"/>
            <w:vAlign w:val="bottom"/>
            <w:tcBorders>
              <w:bottom w:val="single" w:sz="8" w:color="0E2A35"/>
            </w:tcBorders>
          </w:tcPr>
          <w:p>
            <w:pPr>
              <w:jc w:val="right"/>
              <w:ind w:right="354"/>
              <w:spacing w:after="0" w:line="305" w:lineRule="exact"/>
              <w:rPr>
                <w:sz w:val="20"/>
                <w:szCs w:val="20"/>
                <w:color w:val="auto"/>
              </w:rPr>
            </w:pPr>
            <w:r>
              <w:rPr>
                <w:rFonts w:ascii="Arial" w:cs="Arial" w:eastAsia="Arial" w:hAnsi="Arial"/>
                <w:sz w:val="28"/>
                <w:szCs w:val="28"/>
                <w:color w:val="0E2A35"/>
                <w:vertAlign w:val="subscript"/>
              </w:rPr>
              <w:t>—​</w:t>
            </w:r>
            <w:r>
              <w:rPr>
                <w:rFonts w:ascii="Arial" w:cs="Arial" w:eastAsia="Arial" w:hAnsi="Arial"/>
                <w:sz w:val="12"/>
                <w:szCs w:val="12"/>
                <w:color w:val="0E2A35"/>
              </w:rPr>
              <w:t>(10)</w:t>
            </w:r>
          </w:p>
        </w:tc>
        <w:tc>
          <w:tcPr>
            <w:tcW w:w="0" w:type="dxa"/>
            <w:vAlign w:val="bottom"/>
          </w:tcPr>
          <w:p>
            <w:pPr>
              <w:spacing w:after="0"/>
              <w:rPr>
                <w:sz w:val="1"/>
                <w:szCs w:val="1"/>
                <w:color w:val="auto"/>
              </w:rPr>
            </w:pPr>
          </w:p>
        </w:tc>
      </w:tr>
      <w:tr>
        <w:trPr>
          <w:trHeight w:val="278"/>
        </w:trPr>
        <w:tc>
          <w:tcPr>
            <w:tcW w:w="3540" w:type="dxa"/>
            <w:vAlign w:val="bottom"/>
          </w:tcPr>
          <w:p>
            <w:pPr>
              <w:ind w:left="60"/>
              <w:spacing w:after="0"/>
              <w:rPr>
                <w:sz w:val="20"/>
                <w:szCs w:val="20"/>
                <w:color w:val="auto"/>
              </w:rPr>
            </w:pPr>
            <w:r>
              <w:rPr>
                <w:rFonts w:ascii="Arial" w:cs="Arial" w:eastAsia="Arial" w:hAnsi="Arial"/>
                <w:sz w:val="14"/>
                <w:szCs w:val="14"/>
                <w:color w:val="0E2A35"/>
              </w:rPr>
              <w:t>Total</w:t>
            </w:r>
          </w:p>
        </w:tc>
        <w:tc>
          <w:tcPr>
            <w:tcW w:w="300" w:type="dxa"/>
            <w:vAlign w:val="bottom"/>
          </w:tcPr>
          <w:p>
            <w:pPr>
              <w:spacing w:after="0"/>
              <w:rPr>
                <w:sz w:val="24"/>
                <w:szCs w:val="24"/>
                <w:color w:val="auto"/>
              </w:rPr>
            </w:pPr>
          </w:p>
        </w:tc>
        <w:tc>
          <w:tcPr>
            <w:tcW w:w="1480" w:type="dxa"/>
            <w:vAlign w:val="bottom"/>
          </w:tcPr>
          <w:p>
            <w:pPr>
              <w:jc w:val="right"/>
              <w:ind w:right="374"/>
              <w:spacing w:after="0"/>
              <w:rPr>
                <w:sz w:val="20"/>
                <w:szCs w:val="20"/>
                <w:color w:val="auto"/>
              </w:rPr>
            </w:pPr>
            <w:r>
              <w:rPr>
                <w:rFonts w:ascii="Arial" w:cs="Arial" w:eastAsia="Arial" w:hAnsi="Arial"/>
                <w:sz w:val="14"/>
                <w:szCs w:val="14"/>
                <w:color w:val="0E2A35"/>
              </w:rPr>
              <w:t>1,010,904​</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jc w:val="right"/>
              <w:ind w:right="688"/>
              <w:spacing w:after="0"/>
              <w:rPr>
                <w:sz w:val="20"/>
                <w:szCs w:val="20"/>
                <w:color w:val="auto"/>
              </w:rPr>
            </w:pPr>
            <w:r>
              <w:rPr>
                <w:rFonts w:ascii="Arial" w:cs="Arial" w:eastAsia="Arial" w:hAnsi="Arial"/>
                <w:sz w:val="14"/>
                <w:szCs w:val="14"/>
                <w:color w:val="0E2A35"/>
              </w:rPr>
              <w:t>​</w:t>
            </w:r>
          </w:p>
        </w:tc>
        <w:tc>
          <w:tcPr>
            <w:tcW w:w="300" w:type="dxa"/>
            <w:vAlign w:val="bottom"/>
          </w:tcPr>
          <w:p>
            <w:pPr>
              <w:spacing w:after="0"/>
              <w:rPr>
                <w:sz w:val="24"/>
                <w:szCs w:val="24"/>
                <w:color w:val="auto"/>
              </w:rPr>
            </w:pPr>
          </w:p>
        </w:tc>
        <w:tc>
          <w:tcPr>
            <w:tcW w:w="1860" w:type="dxa"/>
            <w:vAlign w:val="bottom"/>
          </w:tcPr>
          <w:p>
            <w:pPr>
              <w:jc w:val="right"/>
              <w:ind w:right="574"/>
              <w:spacing w:after="0"/>
              <w:rPr>
                <w:sz w:val="20"/>
                <w:szCs w:val="20"/>
                <w:color w:val="auto"/>
              </w:rPr>
            </w:pPr>
            <w:r>
              <w:rPr>
                <w:rFonts w:ascii="Arial" w:cs="Arial" w:eastAsia="Arial" w:hAnsi="Arial"/>
                <w:sz w:val="14"/>
                <w:szCs w:val="14"/>
                <w:color w:val="0E2A35"/>
              </w:rPr>
              <w:t>2,456,104​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58978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2434590</wp:posOffset>
            </wp:positionH>
            <wp:positionV relativeFrom="paragraph">
              <wp:posOffset>-2263140</wp:posOffset>
            </wp:positionV>
            <wp:extent cx="34632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81" w:lineRule="exact"/>
        <w:rPr>
          <w:sz w:val="20"/>
          <w:szCs w:val="20"/>
          <w:color w:val="auto"/>
        </w:rPr>
      </w:pPr>
    </w:p>
    <w:p>
      <w:pPr>
        <w:ind w:left="360" w:hanging="360"/>
        <w:spacing w:after="0"/>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Number of securities to be issued in the table are shown in whole numbers.</w:t>
      </w:r>
    </w:p>
    <w:p>
      <w:pPr>
        <w:spacing w:after="0" w:line="39" w:lineRule="exact"/>
        <w:rPr>
          <w:rFonts w:ascii="Arial" w:cs="Arial" w:eastAsia="Arial" w:hAnsi="Arial"/>
          <w:sz w:val="13"/>
          <w:szCs w:val="13"/>
          <w:color w:val="0E2A35"/>
        </w:rPr>
      </w:pPr>
    </w:p>
    <w:p>
      <w:pPr>
        <w:ind w:left="360" w:right="80" w:hanging="360"/>
        <w:spacing w:after="0" w:line="236" w:lineRule="auto"/>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Represents the weighted average exercise price of outstanding stock options only. Restricted share awards do not have an exercise price so weighted average is not applicable.</w:t>
      </w:r>
    </w:p>
    <w:p>
      <w:pPr>
        <w:spacing w:after="0" w:line="29" w:lineRule="exact"/>
        <w:rPr>
          <w:rFonts w:ascii="Arial" w:cs="Arial" w:eastAsia="Arial" w:hAnsi="Arial"/>
          <w:sz w:val="13"/>
          <w:szCs w:val="13"/>
          <w:color w:val="0E2A35"/>
        </w:rPr>
      </w:pPr>
    </w:p>
    <w:p>
      <w:pPr>
        <w:ind w:left="360" w:hanging="360"/>
        <w:spacing w:after="0"/>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Represents stock options and unvested stock awards granted under the 2014 Plan.</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Represents stock options and unvested stock awards granted under the 2019 Plan, which replaced the 2014 Plan effective on December 11, 2018.</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Represents shares available for grant of awards under the 2019 Plan as of August 26, 2023.</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Represents shares subject to purchase in the purchase period then in effect under the Winnebago Industries, Inc. Employee Stock Purchase Plan (ESPP).</w:t>
      </w:r>
    </w:p>
    <w:p>
      <w:pPr>
        <w:spacing w:after="0" w:line="39" w:lineRule="exact"/>
        <w:rPr>
          <w:rFonts w:ascii="Arial" w:cs="Arial" w:eastAsia="Arial" w:hAnsi="Arial"/>
          <w:sz w:val="13"/>
          <w:szCs w:val="13"/>
          <w:color w:val="0E2A35"/>
        </w:rPr>
      </w:pPr>
    </w:p>
    <w:p>
      <w:pPr>
        <w:ind w:left="360" w:right="120" w:hanging="360"/>
        <w:spacing w:after="0" w:line="236" w:lineRule="auto"/>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Represents shares available for issuance under the ESPP as of August 26, 2023, of which 400,000 were added May 17, 2023 subject to shareholder approval of Proposal 5.</w:t>
      </w:r>
    </w:p>
    <w:p>
      <w:pPr>
        <w:spacing w:after="0" w:line="29" w:lineRule="exact"/>
        <w:rPr>
          <w:rFonts w:ascii="Arial" w:cs="Arial" w:eastAsia="Arial" w:hAnsi="Arial"/>
          <w:sz w:val="13"/>
          <w:szCs w:val="13"/>
          <w:color w:val="0E2A35"/>
        </w:rPr>
      </w:pPr>
    </w:p>
    <w:p>
      <w:pPr>
        <w:ind w:left="360" w:right="360" w:hanging="360"/>
        <w:spacing w:after="0" w:line="236" w:lineRule="auto"/>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Our only equity compensation plan not previously submitted to our shareholders for approval is the Directors' Deferred Plan. The Board may terminate the Directors' Deferred Plan at any time.</w:t>
      </w:r>
    </w:p>
    <w:p>
      <w:pPr>
        <w:spacing w:after="0" w:line="29" w:lineRule="exact"/>
        <w:rPr>
          <w:rFonts w:ascii="Arial" w:cs="Arial" w:eastAsia="Arial" w:hAnsi="Arial"/>
          <w:sz w:val="13"/>
          <w:szCs w:val="13"/>
          <w:color w:val="0E2A35"/>
        </w:rPr>
      </w:pPr>
    </w:p>
    <w:p>
      <w:pPr>
        <w:ind w:left="360" w:right="620" w:hanging="360"/>
        <w:spacing w:after="0" w:line="236" w:lineRule="auto"/>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Represents shares of common stock issued to a trust which underlie stock units, payable on a one-for-one basis, credited to stock unit accounts as of August 26, 2023 under the Directors' Deferred Plan.</w:t>
      </w:r>
    </w:p>
    <w:p>
      <w:pPr>
        <w:spacing w:after="0" w:line="29" w:lineRule="exact"/>
        <w:rPr>
          <w:rFonts w:ascii="Arial" w:cs="Arial" w:eastAsia="Arial" w:hAnsi="Arial"/>
          <w:sz w:val="13"/>
          <w:szCs w:val="13"/>
          <w:color w:val="0E2A35"/>
        </w:rPr>
      </w:pPr>
    </w:p>
    <w:p>
      <w:pPr>
        <w:jc w:val="both"/>
        <w:ind w:left="360" w:right="80" w:hanging="360"/>
        <w:spacing w:after="0" w:line="230" w:lineRule="auto"/>
        <w:tabs>
          <w:tab w:leader="none" w:pos="360" w:val="left"/>
        </w:tabs>
        <w:numPr>
          <w:ilvl w:val="0"/>
          <w:numId w:val="57"/>
        </w:numPr>
        <w:rPr>
          <w:rFonts w:ascii="Arial" w:cs="Arial" w:eastAsia="Arial" w:hAnsi="Arial"/>
          <w:sz w:val="13"/>
          <w:szCs w:val="13"/>
          <w:color w:val="0E2A35"/>
        </w:rPr>
      </w:pPr>
      <w:r>
        <w:rPr>
          <w:rFonts w:ascii="Arial" w:cs="Arial" w:eastAsia="Arial" w:hAnsi="Arial"/>
          <w:sz w:val="13"/>
          <w:szCs w:val="13"/>
          <w:color w:val="0E2A35"/>
        </w:rPr>
        <w:t>The table does not reflect a specific number of stock units which may be distributed pursuant to the Directors' Deferred Plan. The Directors' Deferred Plan does not limit the number of stock units issuable thereunder. The number of stock units to be distributed pursuant to the Directors' Deferred Plan will be based on the amount of the director's compensation deferred and the per share price of our common stock at the time of deferral.</w:t>
      </w:r>
    </w:p>
    <w:p>
      <w:pPr>
        <w:spacing w:after="0" w:line="291"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200660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39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8" w:right="1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160655</wp:posOffset>
            </wp:positionV>
            <wp:extent cx="6909435" cy="88893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09435" cy="888936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ind w:right="60"/>
        <w:spacing w:after="0" w:line="292" w:lineRule="auto"/>
        <w:rPr>
          <w:sz w:val="20"/>
          <w:szCs w:val="20"/>
          <w:color w:val="auto"/>
        </w:rPr>
      </w:pPr>
      <w:r>
        <w:rPr>
          <w:rFonts w:ascii="Arial" w:cs="Arial" w:eastAsia="Arial" w:hAnsi="Arial"/>
          <w:sz w:val="27"/>
          <w:szCs w:val="27"/>
          <w:b w:val="1"/>
          <w:bCs w:val="1"/>
          <w:color w:val="0E2A35"/>
        </w:rPr>
        <w:t>Proposal 2 – Advisory Vote to Approve the Compensation of our Named Executive Officers</w:t>
      </w:r>
    </w:p>
    <w:p>
      <w:pPr>
        <w:spacing w:after="0" w:line="6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As required by SEC rules, shareholders have the opportunity to vote, on an advisory and non-binding basis, on the compensation of our NEOs as set forth in this proxy statement. This is commonly referred to as the “Say on Pay” vote. At the 2017 annual meeting, the shareholders determined that the Say on Pay vote would be held annually. This year we are holding an advisory vote on the frequency of the advisory vote on executive compensation (see Proposal 3 in this proxy statement).</w:t>
      </w:r>
    </w:p>
    <w:p>
      <w:pPr>
        <w:spacing w:after="0" w:line="160"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0E2A35"/>
        </w:rPr>
        <w:t>As discussed in greater detail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such that a substantial portion of each executive officer's total compensation potential is a function of performance incentives. The Board believes the compensation of the NEOs outlined in this proxy statement is appropriate based upon the performance of the Company.</w:t>
      </w:r>
    </w:p>
    <w:p>
      <w:pPr>
        <w:spacing w:after="0" w:line="150"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0E2A35"/>
        </w:rPr>
        <w:t>While the Board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27940</wp:posOffset>
            </wp:positionV>
            <wp:extent cx="4714875" cy="660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14875" cy="66040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480" w:right="1760" w:hanging="616"/>
        <w:spacing w:after="0" w:line="181" w:lineRule="auto"/>
        <w:tabs>
          <w:tab w:leader="none" w:pos="1480" w:val="left"/>
        </w:tabs>
        <w:numPr>
          <w:ilvl w:val="0"/>
          <w:numId w:val="58"/>
        </w:numPr>
        <w:rPr>
          <w:rFonts w:ascii="MS PGothic" w:cs="MS PGothic" w:eastAsia="MS PGothic" w:hAnsi="MS PGothic"/>
          <w:sz w:val="33"/>
          <w:szCs w:val="33"/>
          <w:color w:val="FFFFFF"/>
        </w:rPr>
      </w:pPr>
      <w:r>
        <w:rPr>
          <w:rFonts w:ascii="Arial" w:cs="Arial" w:eastAsia="Arial" w:hAnsi="Arial"/>
          <w:sz w:val="16"/>
          <w:szCs w:val="16"/>
          <w:b w:val="1"/>
          <w:bCs w:val="1"/>
          <w:color w:val="FFFFFF"/>
        </w:rPr>
        <w:t xml:space="preserve">advisory basis, FOR approval of the compensation of the named </w:t>
      </w:r>
      <w:r>
        <w:rPr>
          <w:rFonts w:ascii="Arial" w:cs="Arial" w:eastAsia="Arial" w:hAnsi="Arial"/>
          <w:sz w:val="27"/>
          <w:szCs w:val="27"/>
          <w:b w:val="1"/>
          <w:bCs w:val="1"/>
          <w:color w:val="FFFFFF"/>
          <w:vertAlign w:val="subscript"/>
        </w:rPr>
        <w:t>executive officers.</w:t>
      </w:r>
      <w:r>
        <w:rPr>
          <w:rFonts w:ascii="Arial" w:cs="Arial" w:eastAsia="Arial" w:hAnsi="Arial"/>
          <w:sz w:val="16"/>
          <w:szCs w:val="16"/>
          <w:b w:val="1"/>
          <w:bCs w:val="1"/>
          <w:color w:val="FFFFFF"/>
        </w:rPr>
        <w:t>TheBoardunanimously recommends voting, on a non-binding,</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ind w:right="1040"/>
        <w:spacing w:after="0" w:line="292" w:lineRule="auto"/>
        <w:rPr>
          <w:sz w:val="20"/>
          <w:szCs w:val="20"/>
          <w:color w:val="auto"/>
        </w:rPr>
      </w:pPr>
      <w:r>
        <w:rPr>
          <w:rFonts w:ascii="Arial" w:cs="Arial" w:eastAsia="Arial" w:hAnsi="Arial"/>
          <w:sz w:val="27"/>
          <w:szCs w:val="27"/>
          <w:b w:val="1"/>
          <w:bCs w:val="1"/>
          <w:color w:val="0E2A35"/>
        </w:rPr>
        <w:t>Proposal 3 – Advisory Vote on Frequency of Future Votes on the Compensation of our Named Executive Officers</w:t>
      </w:r>
    </w:p>
    <w:p>
      <w:pPr>
        <w:spacing w:after="0" w:line="6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0E2A35"/>
        </w:rPr>
        <w:t>As required pursuant to Section 14A of the Securities Exchange Act, at least once every six years, we are required to provide our shareholders with the opportunity to approve on an advisory basis the frequency of future advisory votes on the compensation of our NEOs. We last held this vote at the 2017 annual meeting of shareholders, where our shareholders voted to conduct the Say on Pay vote each year, and the Board implemented this standard.</w:t>
      </w:r>
    </w:p>
    <w:p>
      <w:pPr>
        <w:spacing w:after="0" w:line="16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E2A35"/>
        </w:rPr>
        <w:t>Shareholders are being asked to vote on whether future advisory votes to approve the compensation of our NEOs should occur every one, two or three years. You may cast your vote on your preferred voting frequency by choosing the option of 1 YEAR, 2 YEARS, or 3 YEARS or you may abstain from voting on this proposal. This advisory vote is not binding on the Company or the Board; however, the Board will take into account the result of the vote when determining the frequency of future advisory votes on executive compensation.</w:t>
      </w:r>
    </w:p>
    <w:p>
      <w:pPr>
        <w:spacing w:after="0" w:line="151"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0E2A35"/>
        </w:rPr>
        <w:t>The frequency (every 1 Year, 2 Years, or 3 Years) that received the highest number of votes will be deemed the choice of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20320</wp:posOffset>
            </wp:positionV>
            <wp:extent cx="4714875" cy="6597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14875" cy="65976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1480" w:right="1700" w:hanging="616"/>
        <w:spacing w:after="0" w:line="226" w:lineRule="auto"/>
        <w:tabs>
          <w:tab w:leader="none" w:pos="1480" w:val="left"/>
        </w:tabs>
        <w:numPr>
          <w:ilvl w:val="0"/>
          <w:numId w:val="59"/>
        </w:numPr>
        <w:rPr>
          <w:rFonts w:ascii="MS PGothic" w:cs="MS PGothic" w:eastAsia="MS PGothic" w:hAnsi="MS PGothic"/>
          <w:sz w:val="26"/>
          <w:szCs w:val="26"/>
          <w:color w:val="FFFFFF"/>
        </w:rPr>
      </w:pPr>
      <w:r>
        <w:rPr>
          <w:rFonts w:ascii="Arial" w:cs="Arial" w:eastAsia="Arial" w:hAnsi="Arial"/>
          <w:sz w:val="14"/>
          <w:szCs w:val="14"/>
          <w:b w:val="1"/>
          <w:bCs w:val="1"/>
          <w:color w:val="FFFFFF"/>
        </w:rPr>
        <w:t xml:space="preserve">of every 1 YEAR as the frequency of future advisory votes on the </w:t>
      </w:r>
      <w:r>
        <w:rPr>
          <w:rFonts w:ascii="Arial" w:cs="Arial" w:eastAsia="Arial" w:hAnsi="Arial"/>
          <w:sz w:val="22"/>
          <w:szCs w:val="22"/>
          <w:b w:val="1"/>
          <w:bCs w:val="1"/>
          <w:color w:val="FFFFFF"/>
          <w:vertAlign w:val="subscript"/>
        </w:rPr>
        <w:t>compensation of our named executive officers.</w:t>
      </w:r>
      <w:r>
        <w:rPr>
          <w:rFonts w:ascii="Arial" w:cs="Arial" w:eastAsia="Arial" w:hAnsi="Arial"/>
          <w:sz w:val="14"/>
          <w:szCs w:val="14"/>
          <w:b w:val="1"/>
          <w:bCs w:val="1"/>
          <w:color w:val="FFFFFF"/>
        </w:rPr>
        <w:t>TheBoardunanimouslyrecommendsthatyouvote FOR the option</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ind w:right="620"/>
        <w:spacing w:after="0" w:line="292" w:lineRule="auto"/>
        <w:rPr>
          <w:sz w:val="20"/>
          <w:szCs w:val="20"/>
          <w:color w:val="auto"/>
        </w:rPr>
      </w:pPr>
      <w:r>
        <w:rPr>
          <w:rFonts w:ascii="Arial" w:cs="Arial" w:eastAsia="Arial" w:hAnsi="Arial"/>
          <w:sz w:val="27"/>
          <w:szCs w:val="27"/>
          <w:b w:val="1"/>
          <w:bCs w:val="1"/>
          <w:color w:val="0E2A35"/>
        </w:rPr>
        <w:t>Proposal 4 – Approval of the Amended and Restated 2019 Omnibus Incentive Plan</w:t>
      </w:r>
    </w:p>
    <w:p>
      <w:pPr>
        <w:spacing w:after="0" w:line="6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0E2A35"/>
        </w:rPr>
        <w:t>We are seeking stockholder approval to amend and restate our 2019 Omnibus Incentive Plan (the 2019 Plan) to increase the number of shares of our common stock available for issuance under the 2019 Plan by an additional 2,400,000 shares, extend the term of the 2019 Plan, and approve other changes to the 2019 Plan as described below. The 2019 Plan originally became effective on December 11, 2018. On October 11, 2023, our Board, at the recommendation of our Human Resources Committee (the Committee), approved the Amended and Restated Winnebago Industries, Inc. 2019 Omnibus Incentive Plan (the Restated Plan), subject to approval by our shareholders at the Annual Meeting. The Restated Plan will become effective on the date it is approved by our shareholders.</w:t>
      </w:r>
    </w:p>
    <w:p>
      <w:pPr>
        <w:spacing w:after="0" w:line="165" w:lineRule="exact"/>
        <w:rPr>
          <w:sz w:val="20"/>
          <w:szCs w:val="20"/>
          <w:color w:val="auto"/>
        </w:rPr>
      </w:pPr>
    </w:p>
    <w:p>
      <w:pPr>
        <w:ind w:right="580"/>
        <w:spacing w:after="0" w:line="276" w:lineRule="auto"/>
        <w:rPr>
          <w:sz w:val="20"/>
          <w:szCs w:val="20"/>
          <w:color w:val="auto"/>
        </w:rPr>
      </w:pPr>
      <w:r>
        <w:rPr>
          <w:rFonts w:ascii="Arial" w:cs="Arial" w:eastAsia="Arial" w:hAnsi="Arial"/>
          <w:sz w:val="16"/>
          <w:szCs w:val="16"/>
          <w:color w:val="0E2A35"/>
        </w:rPr>
        <w:t>Except for the changes discussed below, the Restated Plan is substantively the same as the 2019 Plan, subject to certain clarifying and administrative changes.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Factors Considered in Requesting Share Reserve Increase</w:t>
      </w:r>
    </w:p>
    <w:p>
      <w:pPr>
        <w:spacing w:after="0" w:line="201"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0E2A35"/>
        </w:rPr>
        <w:t>As of October 19, 2023, there were 29,905,401 shares of our common stock issued and outstanding. The closing sale price of a share of our common stock on the NYSE on that date was $57.26.</w:t>
      </w:r>
    </w:p>
    <w:p>
      <w:pPr>
        <w:spacing w:after="0" w:line="13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0E2A35"/>
        </w:rPr>
        <w:t>In setting the proposed number of additional shares to be reserved and issuable under the Restated Plan, the Committee and our Board considered a number of factors as described below. This proposal represents the first time the Company is requesting approval of additional shares since the 2019 Plan was approved in December 2018.</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Awards Outstanding and Shares Available for Grant</w:t>
      </w:r>
    </w:p>
    <w:p>
      <w:pPr>
        <w:spacing w:after="0" w:line="18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0E2A35"/>
        </w:rPr>
        <w:t>The table below shows, as of October 19, 2023, the shares reserved for issuance of outstanding awards under the 2019 Plan as well as its predecessor, our 2014 Omnibus Equity, Performance Award and Incentive Compensation Plan (the 2014 Plan), and available for future grant under our 2019 Plan. The table also shows the number of shares that will be available for future grants under the Restated Plan following approval of the Restated Plan by our shareholders.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680" w:type="dxa"/>
            <w:vAlign w:val="bottom"/>
            <w:shd w:val="clear" w:color="auto" w:fill="0E2A35"/>
          </w:tcPr>
          <w:p>
            <w:pPr>
              <w:spacing w:after="0"/>
              <w:rPr>
                <w:sz w:val="22"/>
                <w:szCs w:val="22"/>
                <w:color w:val="auto"/>
              </w:rPr>
            </w:pPr>
          </w:p>
        </w:tc>
        <w:tc>
          <w:tcPr>
            <w:tcW w:w="700" w:type="dxa"/>
            <w:vAlign w:val="bottom"/>
            <w:shd w:val="clear" w:color="auto" w:fill="0E2A35"/>
          </w:tcPr>
          <w:p>
            <w:pPr>
              <w:spacing w:after="0"/>
              <w:rPr>
                <w:sz w:val="22"/>
                <w:szCs w:val="22"/>
                <w:color w:val="auto"/>
              </w:rPr>
            </w:pPr>
          </w:p>
        </w:tc>
        <w:tc>
          <w:tcPr>
            <w:tcW w:w="2620" w:type="dxa"/>
            <w:vAlign w:val="bottom"/>
            <w:gridSpan w:val="2"/>
            <w:shd w:val="clear" w:color="auto" w:fill="0E2A35"/>
          </w:tcPr>
          <w:p>
            <w:pPr>
              <w:jc w:val="right"/>
              <w:ind w:right="831"/>
              <w:spacing w:after="0"/>
              <w:rPr>
                <w:sz w:val="20"/>
                <w:szCs w:val="20"/>
                <w:color w:val="auto"/>
              </w:rPr>
            </w:pPr>
            <w:r>
              <w:rPr>
                <w:rFonts w:ascii="Arial" w:cs="Arial" w:eastAsia="Arial" w:hAnsi="Arial"/>
                <w:sz w:val="13"/>
                <w:szCs w:val="13"/>
                <w:b w:val="1"/>
                <w:bCs w:val="1"/>
                <w:color w:val="FFFFFF"/>
              </w:rPr>
              <w:t>As of October 19, 2023</w:t>
            </w:r>
          </w:p>
        </w:tc>
        <w:tc>
          <w:tcPr>
            <w:tcW w:w="620" w:type="dxa"/>
            <w:vAlign w:val="bottom"/>
            <w:shd w:val="clear" w:color="auto" w:fill="0E2A35"/>
          </w:tcPr>
          <w:p>
            <w:pPr>
              <w:spacing w:after="0"/>
              <w:rPr>
                <w:sz w:val="22"/>
                <w:szCs w:val="22"/>
                <w:color w:val="auto"/>
              </w:rPr>
            </w:pPr>
          </w:p>
        </w:tc>
        <w:tc>
          <w:tcPr>
            <w:tcW w:w="2660" w:type="dxa"/>
            <w:vAlign w:val="bottom"/>
            <w:gridSpan w:val="3"/>
            <w:shd w:val="clear" w:color="auto" w:fill="0E2A35"/>
          </w:tcPr>
          <w:p>
            <w:pPr>
              <w:jc w:val="right"/>
              <w:ind w:right="528"/>
              <w:spacing w:after="0"/>
              <w:rPr>
                <w:sz w:val="20"/>
                <w:szCs w:val="20"/>
                <w:color w:val="auto"/>
              </w:rPr>
            </w:pPr>
            <w:r>
              <w:rPr>
                <w:rFonts w:ascii="Arial" w:cs="Arial" w:eastAsia="Arial" w:hAnsi="Arial"/>
                <w:sz w:val="13"/>
                <w:szCs w:val="13"/>
                <w:b w:val="1"/>
                <w:bCs w:val="1"/>
                <w:color w:val="FFFFFF"/>
              </w:rPr>
              <w:t>After Approval of Restated Plan</w:t>
            </w:r>
          </w:p>
        </w:tc>
        <w:tc>
          <w:tcPr>
            <w:tcW w:w="0" w:type="dxa"/>
            <w:vAlign w:val="bottom"/>
          </w:tcPr>
          <w:p>
            <w:pPr>
              <w:spacing w:after="0"/>
              <w:rPr>
                <w:sz w:val="1"/>
                <w:szCs w:val="1"/>
                <w:color w:val="auto"/>
              </w:rPr>
            </w:pPr>
          </w:p>
        </w:tc>
      </w:tr>
      <w:tr>
        <w:trPr>
          <w:trHeight w:val="175"/>
        </w:trPr>
        <w:tc>
          <w:tcPr>
            <w:tcW w:w="2680" w:type="dxa"/>
            <w:vAlign w:val="bottom"/>
            <w:shd w:val="clear" w:color="auto" w:fill="0E2A35"/>
          </w:tcPr>
          <w:p>
            <w:pPr>
              <w:spacing w:after="0"/>
              <w:rPr>
                <w:sz w:val="15"/>
                <w:szCs w:val="15"/>
                <w:color w:val="auto"/>
              </w:rPr>
            </w:pPr>
          </w:p>
        </w:tc>
        <w:tc>
          <w:tcPr>
            <w:tcW w:w="1640" w:type="dxa"/>
            <w:vAlign w:val="bottom"/>
            <w:gridSpan w:val="2"/>
            <w:shd w:val="clear" w:color="auto" w:fill="0E2A35"/>
          </w:tcPr>
          <w:p>
            <w:pPr>
              <w:jc w:val="center"/>
              <w:ind w:left="73"/>
              <w:spacing w:after="0"/>
              <w:rPr>
                <w:sz w:val="20"/>
                <w:szCs w:val="20"/>
                <w:color w:val="auto"/>
              </w:rPr>
            </w:pPr>
            <w:r>
              <w:rPr>
                <w:rFonts w:ascii="Arial" w:cs="Arial" w:eastAsia="Arial" w:hAnsi="Arial"/>
                <w:sz w:val="13"/>
                <w:szCs w:val="13"/>
                <w:b w:val="1"/>
                <w:bCs w:val="1"/>
                <w:color w:val="FFFFFF"/>
                <w:w w:val="96"/>
              </w:rPr>
              <w:t>Shares Reserved</w:t>
            </w:r>
          </w:p>
        </w:tc>
        <w:tc>
          <w:tcPr>
            <w:tcW w:w="1680" w:type="dxa"/>
            <w:vAlign w:val="bottom"/>
            <w:shd w:val="clear" w:color="auto" w:fill="0E2A35"/>
          </w:tcPr>
          <w:p>
            <w:pPr>
              <w:spacing w:after="0"/>
              <w:rPr>
                <w:sz w:val="15"/>
                <w:szCs w:val="15"/>
                <w:color w:val="auto"/>
              </w:rPr>
            </w:pPr>
          </w:p>
        </w:tc>
        <w:tc>
          <w:tcPr>
            <w:tcW w:w="620" w:type="dxa"/>
            <w:vAlign w:val="bottom"/>
            <w:shd w:val="clear" w:color="auto" w:fill="0E2A35"/>
          </w:tcPr>
          <w:p>
            <w:pPr>
              <w:spacing w:after="0"/>
              <w:rPr>
                <w:sz w:val="15"/>
                <w:szCs w:val="15"/>
                <w:color w:val="auto"/>
              </w:rPr>
            </w:pPr>
          </w:p>
        </w:tc>
        <w:tc>
          <w:tcPr>
            <w:tcW w:w="1120" w:type="dxa"/>
            <w:vAlign w:val="bottom"/>
            <w:shd w:val="clear" w:color="auto" w:fill="0E2A35"/>
          </w:tcPr>
          <w:p>
            <w:pPr>
              <w:spacing w:after="0"/>
              <w:rPr>
                <w:sz w:val="15"/>
                <w:szCs w:val="15"/>
                <w:color w:val="auto"/>
              </w:rPr>
            </w:pPr>
          </w:p>
        </w:tc>
        <w:tc>
          <w:tcPr>
            <w:tcW w:w="700" w:type="dxa"/>
            <w:vAlign w:val="bottom"/>
            <w:shd w:val="clear" w:color="auto" w:fill="0E2A35"/>
          </w:tcPr>
          <w:p>
            <w:pPr>
              <w:spacing w:after="0"/>
              <w:rPr>
                <w:sz w:val="15"/>
                <w:szCs w:val="15"/>
                <w:color w:val="auto"/>
              </w:rPr>
            </w:pPr>
          </w:p>
        </w:tc>
        <w:tc>
          <w:tcPr>
            <w:tcW w:w="840" w:type="dxa"/>
            <w:vAlign w:val="bottom"/>
            <w:shd w:val="clear" w:color="auto" w:fill="0E2A35"/>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80" w:type="dxa"/>
            <w:vAlign w:val="bottom"/>
            <w:shd w:val="clear" w:color="auto" w:fill="0E2A35"/>
          </w:tcPr>
          <w:p>
            <w:pPr>
              <w:spacing w:after="0"/>
              <w:rPr>
                <w:sz w:val="14"/>
                <w:szCs w:val="14"/>
                <w:color w:val="auto"/>
              </w:rPr>
            </w:pPr>
          </w:p>
        </w:tc>
        <w:tc>
          <w:tcPr>
            <w:tcW w:w="1640" w:type="dxa"/>
            <w:vAlign w:val="bottom"/>
            <w:gridSpan w:val="2"/>
            <w:shd w:val="clear" w:color="auto" w:fill="0E2A35"/>
          </w:tcPr>
          <w:p>
            <w:pPr>
              <w:jc w:val="center"/>
              <w:ind w:left="73"/>
              <w:spacing w:after="0"/>
              <w:rPr>
                <w:sz w:val="20"/>
                <w:szCs w:val="20"/>
                <w:color w:val="auto"/>
              </w:rPr>
            </w:pPr>
            <w:r>
              <w:rPr>
                <w:rFonts w:ascii="Arial" w:cs="Arial" w:eastAsia="Arial" w:hAnsi="Arial"/>
                <w:sz w:val="13"/>
                <w:szCs w:val="13"/>
                <w:b w:val="1"/>
                <w:bCs w:val="1"/>
                <w:color w:val="FFFFFF"/>
                <w:w w:val="97"/>
              </w:rPr>
              <w:t>for Issuance of</w:t>
            </w:r>
          </w:p>
        </w:tc>
        <w:tc>
          <w:tcPr>
            <w:tcW w:w="1680" w:type="dxa"/>
            <w:vAlign w:val="bottom"/>
            <w:vMerge w:val="restart"/>
            <w:shd w:val="clear" w:color="auto" w:fill="0E2A35"/>
          </w:tcPr>
          <w:p>
            <w:pPr>
              <w:jc w:val="right"/>
              <w:ind w:right="191"/>
              <w:spacing w:after="0"/>
              <w:rPr>
                <w:sz w:val="20"/>
                <w:szCs w:val="20"/>
                <w:color w:val="auto"/>
              </w:rPr>
            </w:pPr>
            <w:r>
              <w:rPr>
                <w:rFonts w:ascii="Arial" w:cs="Arial" w:eastAsia="Arial" w:hAnsi="Arial"/>
                <w:sz w:val="13"/>
                <w:szCs w:val="13"/>
                <w:b w:val="1"/>
                <w:bCs w:val="1"/>
                <w:color w:val="FFFFFF"/>
              </w:rPr>
              <w:t>Shares Available for</w:t>
            </w:r>
          </w:p>
        </w:tc>
        <w:tc>
          <w:tcPr>
            <w:tcW w:w="17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Shares Reserved for</w:t>
            </w:r>
          </w:p>
        </w:tc>
        <w:tc>
          <w:tcPr>
            <w:tcW w:w="1540" w:type="dxa"/>
            <w:vAlign w:val="bottom"/>
            <w:gridSpan w:val="2"/>
            <w:vMerge w:val="restart"/>
            <w:shd w:val="clear" w:color="auto" w:fill="0E2A35"/>
          </w:tcPr>
          <w:p>
            <w:pPr>
              <w:jc w:val="center"/>
              <w:ind w:left="92"/>
              <w:spacing w:after="0"/>
              <w:rPr>
                <w:sz w:val="20"/>
                <w:szCs w:val="20"/>
                <w:color w:val="auto"/>
              </w:rPr>
            </w:pPr>
            <w:r>
              <w:rPr>
                <w:rFonts w:ascii="Arial" w:cs="Arial" w:eastAsia="Arial" w:hAnsi="Arial"/>
                <w:sz w:val="13"/>
                <w:szCs w:val="13"/>
                <w:b w:val="1"/>
                <w:bCs w:val="1"/>
                <w:color w:val="FFFFFF"/>
                <w:w w:val="97"/>
              </w:rPr>
              <w:t>Shares Available for</w:t>
            </w:r>
          </w:p>
        </w:tc>
        <w:tc>
          <w:tcPr>
            <w:tcW w:w="0" w:type="dxa"/>
            <w:vAlign w:val="bottom"/>
          </w:tcPr>
          <w:p>
            <w:pPr>
              <w:spacing w:after="0"/>
              <w:rPr>
                <w:sz w:val="1"/>
                <w:szCs w:val="1"/>
                <w:color w:val="auto"/>
              </w:rPr>
            </w:pPr>
          </w:p>
        </w:tc>
      </w:tr>
      <w:tr>
        <w:trPr>
          <w:trHeight w:val="135"/>
        </w:trPr>
        <w:tc>
          <w:tcPr>
            <w:tcW w:w="2680" w:type="dxa"/>
            <w:vAlign w:val="bottom"/>
            <w:shd w:val="clear" w:color="auto" w:fill="0E2A35"/>
          </w:tcPr>
          <w:p>
            <w:pPr>
              <w:spacing w:after="0"/>
              <w:rPr>
                <w:sz w:val="11"/>
                <w:szCs w:val="11"/>
                <w:color w:val="auto"/>
              </w:rPr>
            </w:pPr>
          </w:p>
        </w:tc>
        <w:tc>
          <w:tcPr>
            <w:tcW w:w="1640" w:type="dxa"/>
            <w:vAlign w:val="bottom"/>
            <w:gridSpan w:val="2"/>
            <w:shd w:val="clear" w:color="auto" w:fill="0E2A35"/>
          </w:tcPr>
          <w:p>
            <w:pPr>
              <w:jc w:val="center"/>
              <w:ind w:left="73"/>
              <w:spacing w:after="0" w:line="135" w:lineRule="exact"/>
              <w:rPr>
                <w:sz w:val="20"/>
                <w:szCs w:val="20"/>
                <w:color w:val="auto"/>
              </w:rPr>
            </w:pPr>
            <w:r>
              <w:rPr>
                <w:rFonts w:ascii="Arial" w:cs="Arial" w:eastAsia="Arial" w:hAnsi="Arial"/>
                <w:sz w:val="13"/>
                <w:szCs w:val="13"/>
                <w:b w:val="1"/>
                <w:bCs w:val="1"/>
                <w:color w:val="FFFFFF"/>
                <w:w w:val="96"/>
              </w:rPr>
              <w:t>Outstanding</w:t>
            </w:r>
          </w:p>
        </w:tc>
        <w:tc>
          <w:tcPr>
            <w:tcW w:w="1680" w:type="dxa"/>
            <w:vAlign w:val="bottom"/>
            <w:vMerge w:val="continue"/>
            <w:shd w:val="clear" w:color="auto" w:fill="0E2A35"/>
          </w:tcPr>
          <w:p>
            <w:pPr>
              <w:spacing w:after="0"/>
              <w:rPr>
                <w:sz w:val="11"/>
                <w:szCs w:val="11"/>
                <w:color w:val="auto"/>
              </w:rPr>
            </w:pPr>
          </w:p>
        </w:tc>
        <w:tc>
          <w:tcPr>
            <w:tcW w:w="1740" w:type="dxa"/>
            <w:vAlign w:val="bottom"/>
            <w:gridSpan w:val="2"/>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Issuance of</w:t>
            </w:r>
          </w:p>
        </w:tc>
        <w:tc>
          <w:tcPr>
            <w:tcW w:w="1540" w:type="dxa"/>
            <w:vAlign w:val="bottom"/>
            <w:gridSpan w:val="2"/>
            <w:vMerge w:val="continue"/>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680" w:type="dxa"/>
            <w:vAlign w:val="bottom"/>
            <w:shd w:val="clear" w:color="auto" w:fill="0E2A35"/>
          </w:tcPr>
          <w:p>
            <w:pPr>
              <w:spacing w:after="0"/>
              <w:rPr>
                <w:sz w:val="17"/>
                <w:szCs w:val="17"/>
                <w:color w:val="auto"/>
              </w:rPr>
            </w:pPr>
          </w:p>
        </w:tc>
        <w:tc>
          <w:tcPr>
            <w:tcW w:w="1640" w:type="dxa"/>
            <w:vAlign w:val="bottom"/>
            <w:gridSpan w:val="2"/>
            <w:shd w:val="clear" w:color="auto" w:fill="0E2A35"/>
          </w:tcPr>
          <w:p>
            <w:pPr>
              <w:jc w:val="center"/>
              <w:ind w:left="113"/>
              <w:spacing w:after="0" w:line="203" w:lineRule="exact"/>
              <w:rPr>
                <w:sz w:val="20"/>
                <w:szCs w:val="20"/>
                <w:color w:val="auto"/>
              </w:rPr>
            </w:pPr>
            <w:r>
              <w:rPr>
                <w:rFonts w:ascii="Arial" w:cs="Arial" w:eastAsia="Arial" w:hAnsi="Arial"/>
                <w:sz w:val="13"/>
                <w:szCs w:val="13"/>
                <w:b w:val="1"/>
                <w:bCs w:val="1"/>
                <w:color w:val="FFFFFF"/>
                <w:w w:val="91"/>
              </w:rPr>
              <w:t>Awards</w:t>
            </w:r>
            <w:r>
              <w:rPr>
                <w:rFonts w:ascii="Arial" w:cs="Arial" w:eastAsia="Arial" w:hAnsi="Arial"/>
                <w:sz w:val="20"/>
                <w:szCs w:val="20"/>
                <w:b w:val="1"/>
                <w:bCs w:val="1"/>
                <w:color w:val="FFFFFF"/>
                <w:w w:val="91"/>
                <w:vertAlign w:val="superscript"/>
              </w:rPr>
              <w:t>(1)</w:t>
            </w:r>
          </w:p>
        </w:tc>
        <w:tc>
          <w:tcPr>
            <w:tcW w:w="1680" w:type="dxa"/>
            <w:vAlign w:val="bottom"/>
            <w:shd w:val="clear" w:color="auto" w:fill="0E2A35"/>
          </w:tcPr>
          <w:p>
            <w:pPr>
              <w:jc w:val="right"/>
              <w:ind w:right="331"/>
              <w:spacing w:after="0"/>
              <w:rPr>
                <w:sz w:val="20"/>
                <w:szCs w:val="20"/>
                <w:color w:val="auto"/>
              </w:rPr>
            </w:pPr>
            <w:r>
              <w:rPr>
                <w:rFonts w:ascii="Arial" w:cs="Arial" w:eastAsia="Arial" w:hAnsi="Arial"/>
                <w:sz w:val="13"/>
                <w:szCs w:val="13"/>
                <w:b w:val="1"/>
                <w:bCs w:val="1"/>
                <w:color w:val="FFFFFF"/>
              </w:rPr>
              <w:t>Future Awards</w:t>
            </w:r>
          </w:p>
        </w:tc>
        <w:tc>
          <w:tcPr>
            <w:tcW w:w="1740" w:type="dxa"/>
            <w:vAlign w:val="bottom"/>
            <w:gridSpan w:val="2"/>
            <w:shd w:val="clear" w:color="auto" w:fill="0E2A35"/>
          </w:tcPr>
          <w:p>
            <w:pPr>
              <w:jc w:val="center"/>
              <w:spacing w:after="0"/>
              <w:rPr>
                <w:sz w:val="20"/>
                <w:szCs w:val="20"/>
                <w:color w:val="auto"/>
              </w:rPr>
            </w:pPr>
            <w:r>
              <w:rPr>
                <w:rFonts w:ascii="Arial" w:cs="Arial" w:eastAsia="Arial" w:hAnsi="Arial"/>
                <w:sz w:val="13"/>
                <w:szCs w:val="13"/>
                <w:b w:val="1"/>
                <w:bCs w:val="1"/>
                <w:color w:val="FFFFFF"/>
                <w:w w:val="95"/>
              </w:rPr>
              <w:t>Outstanding Awards</w:t>
            </w:r>
          </w:p>
        </w:tc>
        <w:tc>
          <w:tcPr>
            <w:tcW w:w="1540" w:type="dxa"/>
            <w:vAlign w:val="bottom"/>
            <w:gridSpan w:val="2"/>
            <w:shd w:val="clear" w:color="auto" w:fill="0E2A35"/>
          </w:tcPr>
          <w:p>
            <w:pPr>
              <w:jc w:val="center"/>
              <w:ind w:left="112"/>
              <w:spacing w:after="0"/>
              <w:rPr>
                <w:sz w:val="20"/>
                <w:szCs w:val="20"/>
                <w:color w:val="auto"/>
              </w:rPr>
            </w:pPr>
            <w:r>
              <w:rPr>
                <w:rFonts w:ascii="Arial" w:cs="Arial" w:eastAsia="Arial" w:hAnsi="Arial"/>
                <w:sz w:val="13"/>
                <w:szCs w:val="13"/>
                <w:b w:val="1"/>
                <w:bCs w:val="1"/>
                <w:color w:val="FFFFFF"/>
                <w:w w:val="96"/>
              </w:rPr>
              <w:t>Future Awards</w:t>
            </w:r>
          </w:p>
        </w:tc>
        <w:tc>
          <w:tcPr>
            <w:tcW w:w="0" w:type="dxa"/>
            <w:vAlign w:val="bottom"/>
          </w:tcPr>
          <w:p>
            <w:pPr>
              <w:spacing w:after="0"/>
              <w:rPr>
                <w:sz w:val="1"/>
                <w:szCs w:val="1"/>
                <w:color w:val="auto"/>
              </w:rPr>
            </w:pPr>
          </w:p>
        </w:tc>
      </w:tr>
      <w:tr>
        <w:trPr>
          <w:trHeight w:val="236"/>
        </w:trPr>
        <w:tc>
          <w:tcPr>
            <w:tcW w:w="2680" w:type="dxa"/>
            <w:vAlign w:val="bottom"/>
            <w:tcBorders>
              <w:bottom w:val="single" w:sz="8" w:color="0E2A35"/>
            </w:tcBorders>
          </w:tcPr>
          <w:p>
            <w:pPr>
              <w:ind w:left="60"/>
              <w:spacing w:after="0"/>
              <w:rPr>
                <w:sz w:val="20"/>
                <w:szCs w:val="20"/>
                <w:color w:val="auto"/>
              </w:rPr>
            </w:pPr>
            <w:r>
              <w:rPr>
                <w:rFonts w:ascii="Arial" w:cs="Arial" w:eastAsia="Arial" w:hAnsi="Arial"/>
                <w:sz w:val="14"/>
                <w:szCs w:val="14"/>
                <w:b w:val="1"/>
                <w:bCs w:val="1"/>
                <w:color w:val="0E2A35"/>
              </w:rPr>
              <w:t>2014 Plan</w:t>
            </w:r>
          </w:p>
        </w:tc>
        <w:tc>
          <w:tcPr>
            <w:tcW w:w="700" w:type="dxa"/>
            <w:vAlign w:val="bottom"/>
            <w:tcBorders>
              <w:bottom w:val="single" w:sz="8" w:color="0E2A35"/>
            </w:tcBorders>
          </w:tcPr>
          <w:p>
            <w:pPr>
              <w:ind w:left="620"/>
              <w:spacing w:after="0"/>
              <w:rPr>
                <w:sz w:val="20"/>
                <w:szCs w:val="20"/>
                <w:color w:val="auto"/>
              </w:rPr>
            </w:pPr>
            <w:r>
              <w:rPr>
                <w:rFonts w:ascii="Arial" w:cs="Arial" w:eastAsia="Arial" w:hAnsi="Arial"/>
                <w:sz w:val="14"/>
                <w:szCs w:val="14"/>
                <w:b w:val="1"/>
                <w:bCs w:val="1"/>
                <w:color w:val="0E2A35"/>
              </w:rPr>
              <w:t>​</w:t>
            </w:r>
          </w:p>
        </w:tc>
        <w:tc>
          <w:tcPr>
            <w:tcW w:w="940" w:type="dxa"/>
            <w:vAlign w:val="bottom"/>
            <w:tcBorders>
              <w:bottom w:val="single" w:sz="8" w:color="0E2A35"/>
            </w:tcBorders>
          </w:tcPr>
          <w:p>
            <w:pPr>
              <w:jc w:val="right"/>
              <w:ind w:right="310"/>
              <w:spacing w:after="0"/>
              <w:rPr>
                <w:sz w:val="20"/>
                <w:szCs w:val="20"/>
                <w:color w:val="auto"/>
              </w:rPr>
            </w:pPr>
            <w:r>
              <w:rPr>
                <w:rFonts w:ascii="Arial" w:cs="Arial" w:eastAsia="Arial" w:hAnsi="Arial"/>
                <w:sz w:val="14"/>
                <w:szCs w:val="14"/>
                <w:color w:val="0E2A35"/>
              </w:rPr>
              <w:t>224,212</w:t>
            </w:r>
          </w:p>
        </w:tc>
        <w:tc>
          <w:tcPr>
            <w:tcW w:w="1680" w:type="dxa"/>
            <w:vAlign w:val="bottom"/>
            <w:tcBorders>
              <w:bottom w:val="single" w:sz="8" w:color="0E2A35"/>
            </w:tcBorders>
          </w:tcPr>
          <w:p>
            <w:pPr>
              <w:jc w:val="right"/>
              <w:ind w:right="451"/>
              <w:spacing w:after="0"/>
              <w:rPr>
                <w:sz w:val="20"/>
                <w:szCs w:val="20"/>
                <w:color w:val="auto"/>
              </w:rPr>
            </w:pPr>
            <w:r>
              <w:rPr>
                <w:rFonts w:ascii="Arial" w:cs="Arial" w:eastAsia="Arial" w:hAnsi="Arial"/>
                <w:sz w:val="14"/>
                <w:szCs w:val="14"/>
                <w:color w:val="0E2A35"/>
              </w:rPr>
              <w:t>0</w:t>
            </w:r>
          </w:p>
        </w:tc>
        <w:tc>
          <w:tcPr>
            <w:tcW w:w="620" w:type="dxa"/>
            <w:vAlign w:val="bottom"/>
            <w:tcBorders>
              <w:bottom w:val="single" w:sz="8" w:color="0E2A35"/>
            </w:tcBorders>
          </w:tcPr>
          <w:p>
            <w:pPr>
              <w:ind w:left="540"/>
              <w:spacing w:after="0"/>
              <w:rPr>
                <w:sz w:val="20"/>
                <w:szCs w:val="20"/>
                <w:color w:val="auto"/>
              </w:rPr>
            </w:pPr>
            <w:r>
              <w:rPr>
                <w:rFonts w:ascii="Arial" w:cs="Arial" w:eastAsia="Arial" w:hAnsi="Arial"/>
                <w:sz w:val="14"/>
                <w:szCs w:val="14"/>
                <w:color w:val="0E2A35"/>
              </w:rPr>
              <w:t>​</w:t>
            </w:r>
          </w:p>
        </w:tc>
        <w:tc>
          <w:tcPr>
            <w:tcW w:w="1120" w:type="dxa"/>
            <w:vAlign w:val="bottom"/>
            <w:tcBorders>
              <w:bottom w:val="single" w:sz="8" w:color="0E2A35"/>
            </w:tcBorders>
          </w:tcPr>
          <w:p>
            <w:pPr>
              <w:jc w:val="right"/>
              <w:ind w:right="490"/>
              <w:spacing w:after="0"/>
              <w:rPr>
                <w:sz w:val="20"/>
                <w:szCs w:val="20"/>
                <w:color w:val="auto"/>
              </w:rPr>
            </w:pPr>
            <w:r>
              <w:rPr>
                <w:rFonts w:ascii="Arial" w:cs="Arial" w:eastAsia="Arial" w:hAnsi="Arial"/>
                <w:sz w:val="14"/>
                <w:szCs w:val="14"/>
                <w:color w:val="0E2A35"/>
              </w:rPr>
              <w:t>224,212</w:t>
            </w:r>
          </w:p>
        </w:tc>
        <w:tc>
          <w:tcPr>
            <w:tcW w:w="700" w:type="dxa"/>
            <w:vAlign w:val="bottom"/>
            <w:tcBorders>
              <w:bottom w:val="single" w:sz="8" w:color="0E2A35"/>
            </w:tcBorders>
          </w:tcPr>
          <w:p>
            <w:pPr>
              <w:ind w:left="480"/>
              <w:spacing w:after="0"/>
              <w:rPr>
                <w:sz w:val="20"/>
                <w:szCs w:val="20"/>
                <w:color w:val="auto"/>
              </w:rPr>
            </w:pPr>
            <w:r>
              <w:rPr>
                <w:rFonts w:ascii="Arial" w:cs="Arial" w:eastAsia="Arial" w:hAnsi="Arial"/>
                <w:sz w:val="14"/>
                <w:szCs w:val="14"/>
                <w:color w:val="0E2A35"/>
              </w:rPr>
              <w:t>​</w:t>
            </w:r>
          </w:p>
        </w:tc>
        <w:tc>
          <w:tcPr>
            <w:tcW w:w="840" w:type="dxa"/>
            <w:vAlign w:val="bottom"/>
            <w:tcBorders>
              <w:bottom w:val="single" w:sz="8" w:color="0E2A35"/>
            </w:tcBorders>
          </w:tcPr>
          <w:p>
            <w:pPr>
              <w:jc w:val="right"/>
              <w:ind w:right="328"/>
              <w:spacing w:after="0"/>
              <w:rPr>
                <w:sz w:val="20"/>
                <w:szCs w:val="20"/>
                <w:color w:val="auto"/>
              </w:rPr>
            </w:pPr>
            <w:r>
              <w:rPr>
                <w:rFonts w:ascii="Arial" w:cs="Arial" w:eastAsia="Arial" w:hAnsi="Arial"/>
                <w:sz w:val="14"/>
                <w:szCs w:val="14"/>
                <w:color w:val="0E2A35"/>
              </w:rPr>
              <w:t>0</w:t>
            </w:r>
          </w:p>
        </w:tc>
        <w:tc>
          <w:tcPr>
            <w:tcW w:w="0" w:type="dxa"/>
            <w:vAlign w:val="bottom"/>
          </w:tcPr>
          <w:p>
            <w:pPr>
              <w:spacing w:after="0"/>
              <w:rPr>
                <w:sz w:val="1"/>
                <w:szCs w:val="1"/>
                <w:color w:val="auto"/>
              </w:rPr>
            </w:pPr>
          </w:p>
        </w:tc>
      </w:tr>
      <w:tr>
        <w:trPr>
          <w:trHeight w:val="237"/>
        </w:trPr>
        <w:tc>
          <w:tcPr>
            <w:tcW w:w="2680" w:type="dxa"/>
            <w:vAlign w:val="bottom"/>
            <w:tcBorders>
              <w:bottom w:val="single" w:sz="8" w:color="0E2A35"/>
            </w:tcBorders>
          </w:tcPr>
          <w:p>
            <w:pPr>
              <w:ind w:left="60"/>
              <w:spacing w:after="0"/>
              <w:rPr>
                <w:sz w:val="20"/>
                <w:szCs w:val="20"/>
                <w:color w:val="auto"/>
              </w:rPr>
            </w:pPr>
            <w:r>
              <w:rPr>
                <w:rFonts w:ascii="Arial" w:cs="Arial" w:eastAsia="Arial" w:hAnsi="Arial"/>
                <w:sz w:val="14"/>
                <w:szCs w:val="14"/>
                <w:b w:val="1"/>
                <w:bCs w:val="1"/>
                <w:color w:val="0E2A35"/>
              </w:rPr>
              <w:t>2019 Plan</w:t>
            </w:r>
          </w:p>
        </w:tc>
        <w:tc>
          <w:tcPr>
            <w:tcW w:w="700" w:type="dxa"/>
            <w:vAlign w:val="bottom"/>
            <w:tcBorders>
              <w:bottom w:val="single" w:sz="8" w:color="0E2A35"/>
            </w:tcBorders>
          </w:tcPr>
          <w:p>
            <w:pPr>
              <w:ind w:left="620"/>
              <w:spacing w:after="0"/>
              <w:rPr>
                <w:sz w:val="20"/>
                <w:szCs w:val="20"/>
                <w:color w:val="auto"/>
              </w:rPr>
            </w:pPr>
            <w:r>
              <w:rPr>
                <w:rFonts w:ascii="Arial" w:cs="Arial" w:eastAsia="Arial" w:hAnsi="Arial"/>
                <w:sz w:val="14"/>
                <w:szCs w:val="14"/>
                <w:b w:val="1"/>
                <w:bCs w:val="1"/>
                <w:color w:val="0E2A35"/>
              </w:rPr>
              <w:t>​</w:t>
            </w:r>
          </w:p>
        </w:tc>
        <w:tc>
          <w:tcPr>
            <w:tcW w:w="940" w:type="dxa"/>
            <w:vAlign w:val="bottom"/>
            <w:tcBorders>
              <w:bottom w:val="single" w:sz="8" w:color="0E2A35"/>
            </w:tcBorders>
          </w:tcPr>
          <w:p>
            <w:pPr>
              <w:jc w:val="right"/>
              <w:ind w:right="310"/>
              <w:spacing w:after="0"/>
              <w:rPr>
                <w:sz w:val="20"/>
                <w:szCs w:val="20"/>
                <w:color w:val="auto"/>
              </w:rPr>
            </w:pPr>
            <w:r>
              <w:rPr>
                <w:rFonts w:ascii="Arial" w:cs="Arial" w:eastAsia="Arial" w:hAnsi="Arial"/>
                <w:sz w:val="14"/>
                <w:szCs w:val="14"/>
                <w:color w:val="0E2A35"/>
              </w:rPr>
              <w:t>935,102</w:t>
            </w:r>
          </w:p>
        </w:tc>
        <w:tc>
          <w:tcPr>
            <w:tcW w:w="1680" w:type="dxa"/>
            <w:vAlign w:val="bottom"/>
            <w:tcBorders>
              <w:bottom w:val="single" w:sz="8" w:color="0E2A35"/>
            </w:tcBorders>
          </w:tcPr>
          <w:p>
            <w:pPr>
              <w:jc w:val="right"/>
              <w:ind w:right="451"/>
              <w:spacing w:after="0"/>
              <w:rPr>
                <w:sz w:val="20"/>
                <w:szCs w:val="20"/>
                <w:color w:val="auto"/>
              </w:rPr>
            </w:pPr>
            <w:r>
              <w:rPr>
                <w:rFonts w:ascii="Arial" w:cs="Arial" w:eastAsia="Arial" w:hAnsi="Arial"/>
                <w:sz w:val="14"/>
                <w:szCs w:val="14"/>
                <w:color w:val="0E2A35"/>
              </w:rPr>
              <w:t>​1,271,008</w:t>
            </w:r>
          </w:p>
        </w:tc>
        <w:tc>
          <w:tcPr>
            <w:tcW w:w="620" w:type="dxa"/>
            <w:vAlign w:val="bottom"/>
            <w:tcBorders>
              <w:bottom w:val="single" w:sz="8" w:color="0E2A35"/>
            </w:tcBorders>
          </w:tcPr>
          <w:p>
            <w:pPr>
              <w:spacing w:after="0"/>
              <w:rPr>
                <w:sz w:val="20"/>
                <w:szCs w:val="20"/>
                <w:color w:val="auto"/>
              </w:rPr>
            </w:pPr>
          </w:p>
        </w:tc>
        <w:tc>
          <w:tcPr>
            <w:tcW w:w="1120" w:type="dxa"/>
            <w:vAlign w:val="bottom"/>
            <w:tcBorders>
              <w:bottom w:val="single" w:sz="8" w:color="0E2A35"/>
            </w:tcBorders>
          </w:tcPr>
          <w:p>
            <w:pPr>
              <w:jc w:val="right"/>
              <w:ind w:right="490"/>
              <w:spacing w:after="0"/>
              <w:rPr>
                <w:sz w:val="20"/>
                <w:szCs w:val="20"/>
                <w:color w:val="auto"/>
              </w:rPr>
            </w:pPr>
            <w:r>
              <w:rPr>
                <w:rFonts w:ascii="Arial" w:cs="Arial" w:eastAsia="Arial" w:hAnsi="Arial"/>
                <w:sz w:val="14"/>
                <w:szCs w:val="14"/>
                <w:color w:val="0E2A35"/>
              </w:rPr>
              <w:t>N/A</w:t>
            </w:r>
          </w:p>
        </w:tc>
        <w:tc>
          <w:tcPr>
            <w:tcW w:w="700" w:type="dxa"/>
            <w:vAlign w:val="bottom"/>
            <w:tcBorders>
              <w:bottom w:val="single" w:sz="8" w:color="0E2A35"/>
            </w:tcBorders>
          </w:tcPr>
          <w:p>
            <w:pPr>
              <w:spacing w:after="0"/>
              <w:rPr>
                <w:sz w:val="20"/>
                <w:szCs w:val="20"/>
                <w:color w:val="auto"/>
              </w:rPr>
            </w:pPr>
          </w:p>
        </w:tc>
        <w:tc>
          <w:tcPr>
            <w:tcW w:w="840" w:type="dxa"/>
            <w:vAlign w:val="bottom"/>
            <w:tcBorders>
              <w:bottom w:val="single" w:sz="8" w:color="0E2A35"/>
            </w:tcBorders>
          </w:tcPr>
          <w:p>
            <w:pPr>
              <w:jc w:val="right"/>
              <w:ind w:right="348"/>
              <w:spacing w:after="0"/>
              <w:rPr>
                <w:sz w:val="20"/>
                <w:szCs w:val="20"/>
                <w:color w:val="auto"/>
              </w:rPr>
            </w:pPr>
            <w:r>
              <w:rPr>
                <w:rFonts w:ascii="Arial" w:cs="Arial" w:eastAsia="Arial" w:hAnsi="Arial"/>
                <w:sz w:val="14"/>
                <w:szCs w:val="14"/>
                <w:color w:val="0E2A35"/>
              </w:rPr>
              <w:t>N/A</w:t>
            </w:r>
          </w:p>
        </w:tc>
        <w:tc>
          <w:tcPr>
            <w:tcW w:w="0" w:type="dxa"/>
            <w:vAlign w:val="bottom"/>
          </w:tcPr>
          <w:p>
            <w:pPr>
              <w:spacing w:after="0"/>
              <w:rPr>
                <w:sz w:val="1"/>
                <w:szCs w:val="1"/>
                <w:color w:val="auto"/>
              </w:rPr>
            </w:pPr>
          </w:p>
        </w:tc>
      </w:tr>
      <w:tr>
        <w:trPr>
          <w:trHeight w:val="270"/>
        </w:trPr>
        <w:tc>
          <w:tcPr>
            <w:tcW w:w="2680" w:type="dxa"/>
            <w:vAlign w:val="bottom"/>
            <w:tcBorders>
              <w:bottom w:val="single" w:sz="8" w:color="0E2A35"/>
            </w:tcBorders>
          </w:tcPr>
          <w:p>
            <w:pPr>
              <w:ind w:left="60"/>
              <w:spacing w:after="0"/>
              <w:rPr>
                <w:sz w:val="20"/>
                <w:szCs w:val="20"/>
                <w:color w:val="auto"/>
              </w:rPr>
            </w:pPr>
            <w:r>
              <w:rPr>
                <w:rFonts w:ascii="Arial" w:cs="Arial" w:eastAsia="Arial" w:hAnsi="Arial"/>
                <w:sz w:val="14"/>
                <w:szCs w:val="14"/>
                <w:b w:val="1"/>
                <w:bCs w:val="1"/>
                <w:color w:val="0E2A35"/>
              </w:rPr>
              <w:t>Restated Plan</w:t>
            </w:r>
          </w:p>
        </w:tc>
        <w:tc>
          <w:tcPr>
            <w:tcW w:w="700" w:type="dxa"/>
            <w:vAlign w:val="bottom"/>
            <w:tcBorders>
              <w:bottom w:val="single" w:sz="8" w:color="0E2A35"/>
            </w:tcBorders>
          </w:tcPr>
          <w:p>
            <w:pPr>
              <w:spacing w:after="0"/>
              <w:rPr>
                <w:sz w:val="23"/>
                <w:szCs w:val="23"/>
                <w:color w:val="auto"/>
              </w:rPr>
            </w:pPr>
          </w:p>
        </w:tc>
        <w:tc>
          <w:tcPr>
            <w:tcW w:w="940" w:type="dxa"/>
            <w:vAlign w:val="bottom"/>
            <w:tcBorders>
              <w:bottom w:val="single" w:sz="8" w:color="0E2A35"/>
            </w:tcBorders>
          </w:tcPr>
          <w:p>
            <w:pPr>
              <w:jc w:val="right"/>
              <w:ind w:right="310"/>
              <w:spacing w:after="0"/>
              <w:rPr>
                <w:sz w:val="20"/>
                <w:szCs w:val="20"/>
                <w:color w:val="auto"/>
              </w:rPr>
            </w:pPr>
            <w:r>
              <w:rPr>
                <w:rFonts w:ascii="Arial" w:cs="Arial" w:eastAsia="Arial" w:hAnsi="Arial"/>
                <w:sz w:val="14"/>
                <w:szCs w:val="14"/>
                <w:color w:val="0E2A35"/>
              </w:rPr>
              <w:t>N/A</w:t>
            </w:r>
          </w:p>
        </w:tc>
        <w:tc>
          <w:tcPr>
            <w:tcW w:w="1680" w:type="dxa"/>
            <w:vAlign w:val="bottom"/>
            <w:tcBorders>
              <w:bottom w:val="single" w:sz="8" w:color="0E2A35"/>
            </w:tcBorders>
          </w:tcPr>
          <w:p>
            <w:pPr>
              <w:jc w:val="right"/>
              <w:ind w:right="451"/>
              <w:spacing w:after="0"/>
              <w:rPr>
                <w:sz w:val="20"/>
                <w:szCs w:val="20"/>
                <w:color w:val="auto"/>
              </w:rPr>
            </w:pPr>
            <w:r>
              <w:rPr>
                <w:rFonts w:ascii="Arial" w:cs="Arial" w:eastAsia="Arial" w:hAnsi="Arial"/>
                <w:sz w:val="14"/>
                <w:szCs w:val="14"/>
                <w:color w:val="0E2A35"/>
              </w:rPr>
              <w:t>N/A</w:t>
            </w:r>
          </w:p>
        </w:tc>
        <w:tc>
          <w:tcPr>
            <w:tcW w:w="620" w:type="dxa"/>
            <w:vAlign w:val="bottom"/>
            <w:tcBorders>
              <w:bottom w:val="single" w:sz="8" w:color="0E2A35"/>
            </w:tcBorders>
          </w:tcPr>
          <w:p>
            <w:pPr>
              <w:ind w:left="540"/>
              <w:spacing w:after="0"/>
              <w:rPr>
                <w:sz w:val="20"/>
                <w:szCs w:val="20"/>
                <w:color w:val="auto"/>
              </w:rPr>
            </w:pPr>
            <w:r>
              <w:rPr>
                <w:rFonts w:ascii="Arial" w:cs="Arial" w:eastAsia="Arial" w:hAnsi="Arial"/>
                <w:sz w:val="14"/>
                <w:szCs w:val="14"/>
                <w:color w:val="0E2A35"/>
              </w:rPr>
              <w:t>​</w:t>
            </w:r>
          </w:p>
        </w:tc>
        <w:tc>
          <w:tcPr>
            <w:tcW w:w="1120" w:type="dxa"/>
            <w:vAlign w:val="bottom"/>
            <w:tcBorders>
              <w:bottom w:val="single" w:sz="8" w:color="0E2A35"/>
            </w:tcBorders>
          </w:tcPr>
          <w:p>
            <w:pPr>
              <w:jc w:val="right"/>
              <w:ind w:right="490"/>
              <w:spacing w:after="0"/>
              <w:rPr>
                <w:sz w:val="20"/>
                <w:szCs w:val="20"/>
                <w:color w:val="auto"/>
              </w:rPr>
            </w:pPr>
            <w:r>
              <w:rPr>
                <w:rFonts w:ascii="Arial" w:cs="Arial" w:eastAsia="Arial" w:hAnsi="Arial"/>
                <w:sz w:val="14"/>
                <w:szCs w:val="14"/>
                <w:color w:val="0E2A35"/>
              </w:rPr>
              <w:t>934,734</w:t>
            </w:r>
          </w:p>
        </w:tc>
        <w:tc>
          <w:tcPr>
            <w:tcW w:w="1540" w:type="dxa"/>
            <w:vAlign w:val="bottom"/>
            <w:tcBorders>
              <w:bottom w:val="single" w:sz="8" w:color="0E2A35"/>
            </w:tcBorders>
            <w:gridSpan w:val="2"/>
          </w:tcPr>
          <w:p>
            <w:pPr>
              <w:ind w:left="480"/>
              <w:spacing w:after="0"/>
              <w:rPr>
                <w:sz w:val="20"/>
                <w:szCs w:val="20"/>
                <w:color w:val="auto"/>
              </w:rPr>
            </w:pPr>
            <w:r>
              <w:rPr>
                <w:rFonts w:ascii="Arial" w:cs="Arial" w:eastAsia="Arial" w:hAnsi="Arial"/>
                <w:sz w:val="14"/>
                <w:szCs w:val="14"/>
                <w:color w:val="0E2A35"/>
              </w:rPr>
              <w:t>​3,668,060</w:t>
            </w:r>
            <w:r>
              <w:rPr>
                <w:rFonts w:ascii="Arial" w:cs="Arial" w:eastAsia="Arial" w:hAnsi="Arial"/>
                <w:sz w:val="23"/>
                <w:szCs w:val="23"/>
                <w:color w:val="0E2A35"/>
                <w:vertAlign w:val="superscript"/>
              </w:rPr>
              <w:t>(2)(3)</w:t>
            </w:r>
          </w:p>
        </w:tc>
        <w:tc>
          <w:tcPr>
            <w:tcW w:w="0" w:type="dxa"/>
            <w:vAlign w:val="bottom"/>
          </w:tcPr>
          <w:p>
            <w:pPr>
              <w:spacing w:after="0"/>
              <w:rPr>
                <w:sz w:val="1"/>
                <w:szCs w:val="1"/>
                <w:color w:val="auto"/>
              </w:rPr>
            </w:pPr>
          </w:p>
        </w:tc>
      </w:tr>
      <w:tr>
        <w:trPr>
          <w:trHeight w:val="341"/>
        </w:trPr>
        <w:tc>
          <w:tcPr>
            <w:tcW w:w="2680" w:type="dxa"/>
            <w:vAlign w:val="bottom"/>
          </w:tcPr>
          <w:p>
            <w:pPr>
              <w:ind w:left="60"/>
              <w:spacing w:after="0"/>
              <w:rPr>
                <w:sz w:val="20"/>
                <w:szCs w:val="20"/>
                <w:color w:val="auto"/>
              </w:rPr>
            </w:pPr>
            <w:r>
              <w:rPr>
                <w:rFonts w:ascii="Arial" w:cs="Arial" w:eastAsia="Arial" w:hAnsi="Arial"/>
                <w:sz w:val="14"/>
                <w:szCs w:val="14"/>
                <w:b w:val="1"/>
                <w:bCs w:val="1"/>
                <w:color w:val="0E2A35"/>
              </w:rPr>
              <w:t>Total</w:t>
            </w:r>
          </w:p>
        </w:tc>
        <w:tc>
          <w:tcPr>
            <w:tcW w:w="16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0E2A35"/>
              </w:rPr>
              <w:t>​</w:t>
            </w:r>
            <w:r>
              <w:rPr>
                <w:rFonts w:ascii="Arial" w:cs="Arial" w:eastAsia="Arial" w:hAnsi="Arial"/>
                <w:sz w:val="14"/>
                <w:szCs w:val="14"/>
                <w:color w:val="0E2A35"/>
              </w:rPr>
              <w:t>1,159,314</w:t>
            </w:r>
          </w:p>
        </w:tc>
        <w:tc>
          <w:tcPr>
            <w:tcW w:w="1680" w:type="dxa"/>
            <w:vAlign w:val="bottom"/>
          </w:tcPr>
          <w:p>
            <w:pPr>
              <w:jc w:val="right"/>
              <w:ind w:right="451"/>
              <w:spacing w:after="0"/>
              <w:rPr>
                <w:sz w:val="20"/>
                <w:szCs w:val="20"/>
                <w:color w:val="auto"/>
              </w:rPr>
            </w:pPr>
            <w:r>
              <w:rPr>
                <w:rFonts w:ascii="Arial" w:cs="Arial" w:eastAsia="Arial" w:hAnsi="Arial"/>
                <w:sz w:val="14"/>
                <w:szCs w:val="14"/>
                <w:color w:val="0E2A35"/>
              </w:rPr>
              <w:t>1,271,008​</w:t>
            </w:r>
          </w:p>
        </w:tc>
        <w:tc>
          <w:tcPr>
            <w:tcW w:w="1740" w:type="dxa"/>
            <w:vAlign w:val="bottom"/>
            <w:gridSpan w:val="2"/>
          </w:tcPr>
          <w:p>
            <w:pPr>
              <w:jc w:val="right"/>
              <w:ind w:right="490"/>
              <w:spacing w:after="0"/>
              <w:rPr>
                <w:sz w:val="20"/>
                <w:szCs w:val="20"/>
                <w:color w:val="auto"/>
              </w:rPr>
            </w:pPr>
            <w:r>
              <w:rPr>
                <w:rFonts w:ascii="Arial" w:cs="Arial" w:eastAsia="Arial" w:hAnsi="Arial"/>
                <w:sz w:val="14"/>
                <w:szCs w:val="14"/>
                <w:color w:val="0E2A35"/>
              </w:rPr>
              <w:t>1,158,946​</w:t>
            </w:r>
          </w:p>
        </w:tc>
        <w:tc>
          <w:tcPr>
            <w:tcW w:w="1540" w:type="dxa"/>
            <w:vAlign w:val="bottom"/>
            <w:gridSpan w:val="2"/>
          </w:tcPr>
          <w:p>
            <w:pPr>
              <w:ind w:left="480"/>
              <w:spacing w:after="0"/>
              <w:rPr>
                <w:sz w:val="20"/>
                <w:szCs w:val="20"/>
                <w:color w:val="auto"/>
              </w:rPr>
            </w:pPr>
            <w:r>
              <w:rPr>
                <w:rFonts w:ascii="Arial" w:cs="Arial" w:eastAsia="Arial" w:hAnsi="Arial"/>
                <w:sz w:val="14"/>
                <w:szCs w:val="14"/>
                <w:color w:val="0E2A35"/>
              </w:rPr>
              <w:t>​3,668,060</w:t>
            </w:r>
            <w:r>
              <w:rPr>
                <w:rFonts w:ascii="Arial" w:cs="Arial" w:eastAsia="Arial" w:hAnsi="Arial"/>
                <w:sz w:val="23"/>
                <w:szCs w:val="23"/>
                <w:color w:val="0E2A35"/>
                <w:vertAlign w:val="superscript"/>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978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78" w:lineRule="exact"/>
        <w:rPr>
          <w:sz w:val="20"/>
          <w:szCs w:val="20"/>
          <w:color w:val="auto"/>
        </w:rPr>
      </w:pPr>
    </w:p>
    <w:p>
      <w:pPr>
        <w:ind w:left="360" w:hanging="360"/>
        <w:spacing w:after="0"/>
        <w:tabs>
          <w:tab w:leader="none" w:pos="360" w:val="left"/>
        </w:tabs>
        <w:numPr>
          <w:ilvl w:val="0"/>
          <w:numId w:val="60"/>
        </w:numPr>
        <w:rPr>
          <w:rFonts w:ascii="Arial" w:cs="Arial" w:eastAsia="Arial" w:hAnsi="Arial"/>
          <w:sz w:val="13"/>
          <w:szCs w:val="13"/>
          <w:color w:val="0E2A35"/>
        </w:rPr>
      </w:pPr>
      <w:r>
        <w:rPr>
          <w:rFonts w:ascii="Arial" w:cs="Arial" w:eastAsia="Arial" w:hAnsi="Arial"/>
          <w:sz w:val="13"/>
          <w:szCs w:val="13"/>
          <w:color w:val="0E2A35"/>
        </w:rPr>
        <w:t>Shares reserved for issuance of outstanding awards at October 19, 2023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93980</wp:posOffset>
            </wp:positionV>
            <wp:extent cx="1405890" cy="6083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05890" cy="608330"/>
                    </a:xfrm>
                    <a:prstGeom prst="rect">
                      <a:avLst/>
                    </a:prstGeom>
                    <a:noFill/>
                  </pic:spPr>
                </pic:pic>
              </a:graphicData>
            </a:graphic>
          </wp:anchor>
        </w:drawing>
      </w:r>
    </w:p>
    <w:p>
      <w:pPr>
        <w:spacing w:after="0" w:line="128" w:lineRule="exact"/>
        <w:rPr>
          <w:sz w:val="20"/>
          <w:szCs w:val="20"/>
          <w:color w:val="auto"/>
        </w:rPr>
      </w:pPr>
    </w:p>
    <w:tbl>
      <w:tblPr>
        <w:tblLayout w:type="fixed"/>
        <w:tblInd w:w="360" w:type="dxa"/>
        <w:tblCellMar>
          <w:top w:w="0" w:type="dxa"/>
          <w:left w:w="0" w:type="dxa"/>
          <w:bottom w:w="0" w:type="dxa"/>
          <w:right w:w="0" w:type="dxa"/>
        </w:tblCellMar>
      </w:tblPr>
      <w:tr>
        <w:trPr>
          <w:trHeight w:val="213"/>
        </w:trPr>
        <w:tc>
          <w:tcPr>
            <w:tcW w:w="1160" w:type="dxa"/>
            <w:vAlign w:val="bottom"/>
            <w:vMerge w:val="restart"/>
            <w:shd w:val="clear" w:color="auto" w:fill="0E2A35"/>
          </w:tcPr>
          <w:p>
            <w:pPr>
              <w:ind w:left="60"/>
              <w:spacing w:after="0"/>
              <w:rPr>
                <w:sz w:val="20"/>
                <w:szCs w:val="20"/>
                <w:color w:val="auto"/>
              </w:rPr>
            </w:pPr>
            <w:r>
              <w:rPr>
                <w:rFonts w:ascii="Arial" w:cs="Arial" w:eastAsia="Arial" w:hAnsi="Arial"/>
                <w:sz w:val="16"/>
                <w:szCs w:val="16"/>
                <w:color w:val="FFFFFF"/>
              </w:rPr>
              <w:t>​</w:t>
            </w:r>
          </w:p>
        </w:tc>
        <w:tc>
          <w:tcPr>
            <w:tcW w:w="1180" w:type="dxa"/>
            <w:vAlign w:val="bottom"/>
            <w:shd w:val="clear" w:color="auto" w:fill="0E2A35"/>
          </w:tcPr>
          <w:p>
            <w:pPr>
              <w:ind w:left="1060"/>
              <w:spacing w:after="0"/>
              <w:rPr>
                <w:sz w:val="20"/>
                <w:szCs w:val="20"/>
                <w:color w:val="auto"/>
              </w:rPr>
            </w:pPr>
            <w:r>
              <w:rPr>
                <w:rFonts w:ascii="Arial" w:cs="Arial" w:eastAsia="Arial" w:hAnsi="Arial"/>
                <w:sz w:val="4"/>
                <w:szCs w:val="4"/>
                <w:color w:val="auto"/>
              </w:rPr>
              <w:t>​</w:t>
            </w:r>
          </w:p>
        </w:tc>
        <w:tc>
          <w:tcPr>
            <w:tcW w:w="260" w:type="dxa"/>
            <w:vAlign w:val="bottom"/>
            <w:shd w:val="clear" w:color="auto" w:fill="0E2A35"/>
          </w:tcPr>
          <w:p>
            <w:pPr>
              <w:ind w:left="120"/>
              <w:spacing w:after="0"/>
              <w:rPr>
                <w:sz w:val="20"/>
                <w:szCs w:val="20"/>
                <w:color w:val="auto"/>
              </w:rPr>
            </w:pPr>
            <w:r>
              <w:rPr>
                <w:rFonts w:ascii="Arial" w:cs="Arial" w:eastAsia="Arial" w:hAnsi="Arial"/>
                <w:sz w:val="4"/>
                <w:szCs w:val="4"/>
                <w:color w:val="auto"/>
              </w:rPr>
              <w:t>​</w:t>
            </w:r>
          </w:p>
        </w:tc>
        <w:tc>
          <w:tcPr>
            <w:tcW w:w="2680" w:type="dxa"/>
            <w:vAlign w:val="bottom"/>
            <w:gridSpan w:val="3"/>
            <w:vMerge w:val="restart"/>
            <w:shd w:val="clear" w:color="auto" w:fill="0E2A35"/>
          </w:tcPr>
          <w:p>
            <w:pPr>
              <w:ind w:left="900"/>
              <w:spacing w:after="0"/>
              <w:rPr>
                <w:sz w:val="20"/>
                <w:szCs w:val="20"/>
                <w:color w:val="auto"/>
              </w:rPr>
            </w:pPr>
            <w:r>
              <w:rPr>
                <w:rFonts w:ascii="Arial" w:cs="Arial" w:eastAsia="Arial" w:hAnsi="Arial"/>
                <w:sz w:val="13"/>
                <w:szCs w:val="13"/>
                <w:b w:val="1"/>
                <w:bCs w:val="1"/>
                <w:color w:val="FFFFFF"/>
              </w:rPr>
              <w:t>Types of Awards</w:t>
            </w:r>
          </w:p>
        </w:tc>
        <w:tc>
          <w:tcPr>
            <w:tcW w:w="160" w:type="dxa"/>
            <w:vAlign w:val="bottom"/>
            <w:shd w:val="clear" w:color="auto" w:fill="0E2A35"/>
          </w:tcPr>
          <w:p>
            <w:pPr>
              <w:ind w:left="20"/>
              <w:spacing w:after="0"/>
              <w:rPr>
                <w:sz w:val="20"/>
                <w:szCs w:val="20"/>
                <w:color w:val="auto"/>
              </w:rPr>
            </w:pPr>
            <w:r>
              <w:rPr>
                <w:rFonts w:ascii="Arial" w:cs="Arial" w:eastAsia="Arial" w:hAnsi="Arial"/>
                <w:sz w:val="4"/>
                <w:szCs w:val="4"/>
                <w:color w:val="auto"/>
              </w:rPr>
              <w:t>​</w:t>
            </w:r>
          </w:p>
        </w:tc>
        <w:tc>
          <w:tcPr>
            <w:tcW w:w="260" w:type="dxa"/>
            <w:vAlign w:val="bottom"/>
            <w:shd w:val="clear" w:color="auto" w:fill="0E2A35"/>
          </w:tcPr>
          <w:p>
            <w:pPr>
              <w:ind w:left="100"/>
              <w:spacing w:after="0"/>
              <w:rPr>
                <w:sz w:val="20"/>
                <w:szCs w:val="20"/>
                <w:color w:val="auto"/>
              </w:rPr>
            </w:pPr>
            <w:r>
              <w:rPr>
                <w:rFonts w:ascii="Arial" w:cs="Arial" w:eastAsia="Arial" w:hAnsi="Arial"/>
                <w:sz w:val="4"/>
                <w:szCs w:val="4"/>
                <w:color w:val="auto"/>
              </w:rPr>
              <w:t>​</w:t>
            </w:r>
          </w:p>
        </w:tc>
        <w:tc>
          <w:tcPr>
            <w:tcW w:w="1300" w:type="dxa"/>
            <w:vAlign w:val="bottom"/>
            <w:shd w:val="clear" w:color="auto" w:fill="0E2A35"/>
          </w:tcPr>
          <w:p>
            <w:pPr>
              <w:spacing w:after="0"/>
              <w:rPr>
                <w:sz w:val="18"/>
                <w:szCs w:val="18"/>
                <w:color w:val="auto"/>
              </w:rPr>
            </w:pPr>
          </w:p>
        </w:tc>
        <w:tc>
          <w:tcPr>
            <w:tcW w:w="180" w:type="dxa"/>
            <w:vAlign w:val="bottom"/>
            <w:shd w:val="clear" w:color="auto" w:fill="0E2A35"/>
          </w:tcPr>
          <w:p>
            <w:pPr>
              <w:ind w:left="60"/>
              <w:spacing w:after="0"/>
              <w:rPr>
                <w:sz w:val="20"/>
                <w:szCs w:val="20"/>
                <w:color w:val="auto"/>
              </w:rPr>
            </w:pPr>
            <w:r>
              <w:rPr>
                <w:rFonts w:ascii="Arial" w:cs="Arial" w:eastAsia="Arial" w:hAnsi="Arial"/>
                <w:sz w:val="4"/>
                <w:szCs w:val="4"/>
                <w:color w:val="auto"/>
              </w:rPr>
              <w:t>​</w:t>
            </w:r>
          </w:p>
        </w:tc>
        <w:tc>
          <w:tcPr>
            <w:tcW w:w="300" w:type="dxa"/>
            <w:vAlign w:val="bottom"/>
            <w:shd w:val="clear" w:color="auto" w:fill="0E2A35"/>
          </w:tcPr>
          <w:p>
            <w:pPr>
              <w:ind w:left="120"/>
              <w:spacing w:after="0"/>
              <w:rPr>
                <w:sz w:val="20"/>
                <w:szCs w:val="20"/>
                <w:color w:val="auto"/>
              </w:rPr>
            </w:pPr>
            <w:r>
              <w:rPr>
                <w:rFonts w:ascii="Arial" w:cs="Arial" w:eastAsia="Arial" w:hAnsi="Arial"/>
                <w:sz w:val="4"/>
                <w:szCs w:val="4"/>
                <w:color w:val="auto"/>
              </w:rPr>
              <w:t>​</w:t>
            </w:r>
          </w:p>
        </w:tc>
        <w:tc>
          <w:tcPr>
            <w:tcW w:w="1440" w:type="dxa"/>
            <w:vAlign w:val="bottom"/>
            <w:vMerge w:val="restart"/>
            <w:shd w:val="clear" w:color="auto" w:fill="0E2A35"/>
          </w:tcPr>
          <w:p>
            <w:pPr>
              <w:ind w:left="760"/>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05"/>
        </w:trPr>
        <w:tc>
          <w:tcPr>
            <w:tcW w:w="1160" w:type="dxa"/>
            <w:vAlign w:val="bottom"/>
            <w:tcBorders>
              <w:bottom w:val="single" w:sz="8" w:color="0E2A35"/>
            </w:tcBorders>
            <w:vMerge w:val="continue"/>
            <w:shd w:val="clear" w:color="auto" w:fill="0E2A35"/>
          </w:tcPr>
          <w:p>
            <w:pPr>
              <w:spacing w:after="0"/>
              <w:rPr>
                <w:sz w:val="9"/>
                <w:szCs w:val="9"/>
                <w:color w:val="auto"/>
              </w:rPr>
            </w:pPr>
          </w:p>
        </w:tc>
        <w:tc>
          <w:tcPr>
            <w:tcW w:w="1180" w:type="dxa"/>
            <w:vAlign w:val="bottom"/>
            <w:tcBorders>
              <w:bottom w:val="single" w:sz="8" w:color="0E2A35"/>
            </w:tcBorders>
            <w:shd w:val="clear" w:color="auto" w:fill="0E2A35"/>
          </w:tcPr>
          <w:p>
            <w:pPr>
              <w:spacing w:after="0"/>
              <w:rPr>
                <w:sz w:val="9"/>
                <w:szCs w:val="9"/>
                <w:color w:val="auto"/>
              </w:rPr>
            </w:pPr>
          </w:p>
        </w:tc>
        <w:tc>
          <w:tcPr>
            <w:tcW w:w="260" w:type="dxa"/>
            <w:vAlign w:val="bottom"/>
            <w:tcBorders>
              <w:bottom w:val="single" w:sz="8" w:color="0E2A35"/>
            </w:tcBorders>
            <w:shd w:val="clear" w:color="auto" w:fill="0E2A35"/>
          </w:tcPr>
          <w:p>
            <w:pPr>
              <w:spacing w:after="0"/>
              <w:rPr>
                <w:sz w:val="9"/>
                <w:szCs w:val="9"/>
                <w:color w:val="auto"/>
              </w:rPr>
            </w:pPr>
          </w:p>
        </w:tc>
        <w:tc>
          <w:tcPr>
            <w:tcW w:w="2680" w:type="dxa"/>
            <w:vAlign w:val="bottom"/>
            <w:tcBorders>
              <w:bottom w:val="single" w:sz="8" w:color="0E2A35"/>
            </w:tcBorders>
            <w:gridSpan w:val="3"/>
            <w:vMerge w:val="continue"/>
            <w:shd w:val="clear" w:color="auto" w:fill="0E2A35"/>
          </w:tcPr>
          <w:p>
            <w:pPr>
              <w:spacing w:after="0"/>
              <w:rPr>
                <w:sz w:val="9"/>
                <w:szCs w:val="9"/>
                <w:color w:val="auto"/>
              </w:rPr>
            </w:pPr>
          </w:p>
        </w:tc>
        <w:tc>
          <w:tcPr>
            <w:tcW w:w="160" w:type="dxa"/>
            <w:vAlign w:val="bottom"/>
            <w:tcBorders>
              <w:bottom w:val="single" w:sz="8" w:color="0E2A35"/>
            </w:tcBorders>
            <w:shd w:val="clear" w:color="auto" w:fill="0E2A35"/>
          </w:tcPr>
          <w:p>
            <w:pPr>
              <w:spacing w:after="0"/>
              <w:rPr>
                <w:sz w:val="9"/>
                <w:szCs w:val="9"/>
                <w:color w:val="auto"/>
              </w:rPr>
            </w:pPr>
          </w:p>
        </w:tc>
        <w:tc>
          <w:tcPr>
            <w:tcW w:w="260" w:type="dxa"/>
            <w:vAlign w:val="bottom"/>
            <w:tcBorders>
              <w:bottom w:val="single" w:sz="8" w:color="0E2A35"/>
            </w:tcBorders>
            <w:shd w:val="clear" w:color="auto" w:fill="0E2A35"/>
          </w:tcPr>
          <w:p>
            <w:pPr>
              <w:spacing w:after="0"/>
              <w:rPr>
                <w:sz w:val="9"/>
                <w:szCs w:val="9"/>
                <w:color w:val="auto"/>
              </w:rPr>
            </w:pPr>
          </w:p>
        </w:tc>
        <w:tc>
          <w:tcPr>
            <w:tcW w:w="1300" w:type="dxa"/>
            <w:vAlign w:val="bottom"/>
            <w:tcBorders>
              <w:bottom w:val="single" w:sz="8" w:color="0E2A35"/>
            </w:tcBorders>
            <w:shd w:val="clear" w:color="auto" w:fill="0E2A35"/>
          </w:tcPr>
          <w:p>
            <w:pPr>
              <w:spacing w:after="0"/>
              <w:rPr>
                <w:sz w:val="9"/>
                <w:szCs w:val="9"/>
                <w:color w:val="auto"/>
              </w:rPr>
            </w:pPr>
          </w:p>
        </w:tc>
        <w:tc>
          <w:tcPr>
            <w:tcW w:w="180" w:type="dxa"/>
            <w:vAlign w:val="bottom"/>
            <w:tcBorders>
              <w:bottom w:val="single" w:sz="8" w:color="0E2A35"/>
            </w:tcBorders>
            <w:shd w:val="clear" w:color="auto" w:fill="0E2A35"/>
          </w:tcPr>
          <w:p>
            <w:pPr>
              <w:spacing w:after="0"/>
              <w:rPr>
                <w:sz w:val="9"/>
                <w:szCs w:val="9"/>
                <w:color w:val="auto"/>
              </w:rPr>
            </w:pPr>
          </w:p>
        </w:tc>
        <w:tc>
          <w:tcPr>
            <w:tcW w:w="300" w:type="dxa"/>
            <w:vAlign w:val="bottom"/>
            <w:tcBorders>
              <w:bottom w:val="single" w:sz="8" w:color="0E2A35"/>
            </w:tcBorders>
            <w:shd w:val="clear" w:color="auto" w:fill="0E2A35"/>
          </w:tcPr>
          <w:p>
            <w:pPr>
              <w:spacing w:after="0"/>
              <w:rPr>
                <w:sz w:val="9"/>
                <w:szCs w:val="9"/>
                <w:color w:val="auto"/>
              </w:rPr>
            </w:pPr>
          </w:p>
        </w:tc>
        <w:tc>
          <w:tcPr>
            <w:tcW w:w="1440" w:type="dxa"/>
            <w:vAlign w:val="bottom"/>
            <w:tcBorders>
              <w:bottom w:val="single" w:sz="8" w:color="0E2A35"/>
            </w:tcBorders>
            <w:vMerge w:val="continue"/>
            <w:shd w:val="clear" w:color="auto" w:fill="0E2A35"/>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left="57"/>
              <w:spacing w:after="0"/>
              <w:rPr>
                <w:sz w:val="20"/>
                <w:szCs w:val="20"/>
                <w:color w:val="auto"/>
              </w:rPr>
            </w:pPr>
            <w:r>
              <w:rPr>
                <w:rFonts w:ascii="Arial" w:cs="Arial" w:eastAsia="Arial" w:hAnsi="Arial"/>
                <w:sz w:val="13"/>
                <w:szCs w:val="13"/>
                <w:b w:val="1"/>
                <w:bCs w:val="1"/>
                <w:color w:val="FFFFFF"/>
                <w:w w:val="96"/>
              </w:rPr>
              <w:t>Weighted Average</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FFFFFF"/>
                <w:w w:val="95"/>
              </w:rPr>
              <w:t>Weighted Average</w:t>
            </w:r>
          </w:p>
        </w:tc>
        <w:tc>
          <w:tcPr>
            <w:tcW w:w="0" w:type="dxa"/>
            <w:vAlign w:val="bottom"/>
          </w:tcPr>
          <w:p>
            <w:pPr>
              <w:spacing w:after="0"/>
              <w:rPr>
                <w:sz w:val="1"/>
                <w:szCs w:val="1"/>
                <w:color w:val="auto"/>
              </w:rPr>
            </w:pPr>
          </w:p>
        </w:tc>
      </w:tr>
      <w:tr>
        <w:trPr>
          <w:trHeight w:val="151"/>
        </w:trPr>
        <w:tc>
          <w:tcPr>
            <w:tcW w:w="1160" w:type="dxa"/>
            <w:vAlign w:val="bottom"/>
          </w:tcPr>
          <w:p>
            <w:pPr>
              <w:spacing w:after="0"/>
              <w:rPr>
                <w:sz w:val="13"/>
                <w:szCs w:val="13"/>
                <w:color w:val="auto"/>
              </w:rPr>
            </w:pPr>
          </w:p>
        </w:tc>
        <w:tc>
          <w:tcPr>
            <w:tcW w:w="1180" w:type="dxa"/>
            <w:vAlign w:val="bottom"/>
          </w:tcPr>
          <w:p>
            <w:pPr>
              <w:ind w:left="1060"/>
              <w:spacing w:after="0"/>
              <w:rPr>
                <w:sz w:val="20"/>
                <w:szCs w:val="20"/>
                <w:color w:val="auto"/>
              </w:rPr>
            </w:pPr>
            <w:r>
              <w:rPr>
                <w:rFonts w:ascii="Arial" w:cs="Arial" w:eastAsia="Arial" w:hAnsi="Arial"/>
                <w:sz w:val="4"/>
                <w:szCs w:val="4"/>
                <w:color w:val="auto"/>
              </w:rPr>
              <w:t>​</w:t>
            </w:r>
          </w:p>
        </w:tc>
        <w:tc>
          <w:tcPr>
            <w:tcW w:w="260" w:type="dxa"/>
            <w:vAlign w:val="bottom"/>
          </w:tcPr>
          <w:p>
            <w:pPr>
              <w:ind w:left="120"/>
              <w:spacing w:after="0"/>
              <w:rPr>
                <w:sz w:val="20"/>
                <w:szCs w:val="20"/>
                <w:color w:val="auto"/>
              </w:rPr>
            </w:pPr>
            <w:r>
              <w:rPr>
                <w:rFonts w:ascii="Arial" w:cs="Arial" w:eastAsia="Arial" w:hAnsi="Arial"/>
                <w:sz w:val="4"/>
                <w:szCs w:val="4"/>
                <w:color w:val="auto"/>
              </w:rPr>
              <w:t>​</w:t>
            </w:r>
          </w:p>
        </w:tc>
        <w:tc>
          <w:tcPr>
            <w:tcW w:w="1140" w:type="dxa"/>
            <w:vAlign w:val="bottom"/>
          </w:tcPr>
          <w:p>
            <w:pPr>
              <w:ind w:left="1020"/>
              <w:spacing w:after="0"/>
              <w:rPr>
                <w:sz w:val="20"/>
                <w:szCs w:val="20"/>
                <w:color w:val="auto"/>
              </w:rPr>
            </w:pPr>
            <w:r>
              <w:rPr>
                <w:rFonts w:ascii="Arial" w:cs="Arial" w:eastAsia="Arial" w:hAnsi="Arial"/>
                <w:sz w:val="4"/>
                <w:szCs w:val="4"/>
                <w:color w:val="auto"/>
              </w:rPr>
              <w:t>​</w:t>
            </w:r>
          </w:p>
        </w:tc>
        <w:tc>
          <w:tcPr>
            <w:tcW w:w="280" w:type="dxa"/>
            <w:vAlign w:val="bottom"/>
          </w:tcPr>
          <w:p>
            <w:pPr>
              <w:ind w:left="120"/>
              <w:spacing w:after="0"/>
              <w:rPr>
                <w:sz w:val="20"/>
                <w:szCs w:val="20"/>
                <w:color w:val="auto"/>
              </w:rPr>
            </w:pPr>
            <w:r>
              <w:rPr>
                <w:rFonts w:ascii="Arial" w:cs="Arial" w:eastAsia="Arial" w:hAnsi="Arial"/>
                <w:sz w:val="4"/>
                <w:szCs w:val="4"/>
                <w:color w:val="auto"/>
              </w:rPr>
              <w:t>​</w:t>
            </w:r>
          </w:p>
        </w:tc>
        <w:tc>
          <w:tcPr>
            <w:tcW w:w="126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4"/>
                <w:szCs w:val="4"/>
                <w:color w:val="auto"/>
              </w:rPr>
              <w:t>​</w:t>
            </w:r>
          </w:p>
        </w:tc>
        <w:tc>
          <w:tcPr>
            <w:tcW w:w="260" w:type="dxa"/>
            <w:vAlign w:val="bottom"/>
          </w:tcPr>
          <w:p>
            <w:pPr>
              <w:ind w:left="100"/>
              <w:spacing w:after="0"/>
              <w:rPr>
                <w:sz w:val="20"/>
                <w:szCs w:val="20"/>
                <w:color w:val="auto"/>
              </w:rPr>
            </w:pPr>
            <w:r>
              <w:rPr>
                <w:rFonts w:ascii="Arial" w:cs="Arial" w:eastAsia="Arial" w:hAnsi="Arial"/>
                <w:sz w:val="4"/>
                <w:szCs w:val="4"/>
                <w:color w:val="auto"/>
              </w:rPr>
              <w:t>​</w:t>
            </w:r>
          </w:p>
        </w:tc>
        <w:tc>
          <w:tcPr>
            <w:tcW w:w="1300" w:type="dxa"/>
            <w:vAlign w:val="bottom"/>
          </w:tcPr>
          <w:p>
            <w:pPr>
              <w:jc w:val="center"/>
              <w:ind w:left="57"/>
              <w:spacing w:after="0"/>
              <w:rPr>
                <w:sz w:val="20"/>
                <w:szCs w:val="20"/>
                <w:color w:val="auto"/>
              </w:rPr>
            </w:pPr>
            <w:r>
              <w:rPr>
                <w:rFonts w:ascii="Arial" w:cs="Arial" w:eastAsia="Arial" w:hAnsi="Arial"/>
                <w:sz w:val="13"/>
                <w:szCs w:val="13"/>
                <w:b w:val="1"/>
                <w:bCs w:val="1"/>
                <w:color w:val="FFFFFF"/>
                <w:w w:val="97"/>
              </w:rPr>
              <w:t>Exercise Price of</w:t>
            </w:r>
          </w:p>
        </w:tc>
        <w:tc>
          <w:tcPr>
            <w:tcW w:w="180" w:type="dxa"/>
            <w:vAlign w:val="bottom"/>
          </w:tcPr>
          <w:p>
            <w:pPr>
              <w:ind w:left="60"/>
              <w:spacing w:after="0"/>
              <w:rPr>
                <w:sz w:val="20"/>
                <w:szCs w:val="20"/>
                <w:color w:val="auto"/>
              </w:rPr>
            </w:pPr>
            <w:r>
              <w:rPr>
                <w:rFonts w:ascii="Arial" w:cs="Arial" w:eastAsia="Arial" w:hAnsi="Arial"/>
                <w:sz w:val="4"/>
                <w:szCs w:val="4"/>
                <w:color w:val="auto"/>
              </w:rPr>
              <w:t>​</w:t>
            </w:r>
          </w:p>
        </w:tc>
        <w:tc>
          <w:tcPr>
            <w:tcW w:w="300" w:type="dxa"/>
            <w:vAlign w:val="bottom"/>
          </w:tcPr>
          <w:p>
            <w:pPr>
              <w:ind w:left="120"/>
              <w:spacing w:after="0"/>
              <w:rPr>
                <w:sz w:val="20"/>
                <w:szCs w:val="20"/>
                <w:color w:val="auto"/>
              </w:rPr>
            </w:pPr>
            <w:r>
              <w:rPr>
                <w:rFonts w:ascii="Arial" w:cs="Arial" w:eastAsia="Arial" w:hAnsi="Arial"/>
                <w:sz w:val="4"/>
                <w:szCs w:val="4"/>
                <w:color w:val="auto"/>
              </w:rPr>
              <w:t>​</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FFFFFF"/>
                <w:w w:val="96"/>
              </w:rPr>
              <w:t>Remaining Term for</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vMerge w:val="restart"/>
          </w:tcPr>
          <w:p>
            <w:pPr>
              <w:ind w:left="140"/>
              <w:spacing w:after="0"/>
              <w:rPr>
                <w:sz w:val="20"/>
                <w:szCs w:val="20"/>
                <w:color w:val="auto"/>
              </w:rPr>
            </w:pPr>
            <w:r>
              <w:rPr>
                <w:rFonts w:ascii="Arial" w:cs="Arial" w:eastAsia="Arial" w:hAnsi="Arial"/>
                <w:sz w:val="13"/>
                <w:szCs w:val="13"/>
                <w:b w:val="1"/>
                <w:bCs w:val="1"/>
                <w:color w:val="FFFFFF"/>
              </w:rPr>
              <w:t>Options/SARs</w:t>
            </w:r>
          </w:p>
        </w:tc>
        <w:tc>
          <w:tcPr>
            <w:tcW w:w="280" w:type="dxa"/>
            <w:vAlign w:val="bottom"/>
          </w:tcPr>
          <w:p>
            <w:pPr>
              <w:spacing w:after="0"/>
              <w:rPr>
                <w:sz w:val="10"/>
                <w:szCs w:val="10"/>
                <w:color w:val="auto"/>
              </w:rPr>
            </w:pPr>
          </w:p>
        </w:tc>
        <w:tc>
          <w:tcPr>
            <w:tcW w:w="1260" w:type="dxa"/>
            <w:vAlign w:val="bottom"/>
            <w:vMerge w:val="restart"/>
          </w:tcPr>
          <w:p>
            <w:pPr>
              <w:ind w:left="140"/>
              <w:spacing w:after="0"/>
              <w:rPr>
                <w:sz w:val="20"/>
                <w:szCs w:val="20"/>
                <w:color w:val="auto"/>
              </w:rPr>
            </w:pPr>
            <w:r>
              <w:rPr>
                <w:rFonts w:ascii="Arial" w:cs="Arial" w:eastAsia="Arial" w:hAnsi="Arial"/>
                <w:sz w:val="13"/>
                <w:szCs w:val="13"/>
                <w:b w:val="1"/>
                <w:bCs w:val="1"/>
                <w:color w:val="FFFFFF"/>
                <w:w w:val="98"/>
              </w:rPr>
              <w:t>Full Value Awards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jc w:val="center"/>
              <w:ind w:left="77"/>
              <w:spacing w:after="0" w:line="119" w:lineRule="exact"/>
              <w:rPr>
                <w:sz w:val="20"/>
                <w:szCs w:val="20"/>
                <w:color w:val="auto"/>
              </w:rPr>
            </w:pPr>
            <w:r>
              <w:rPr>
                <w:rFonts w:ascii="Arial" w:cs="Arial" w:eastAsia="Arial" w:hAnsi="Arial"/>
                <w:sz w:val="13"/>
                <w:szCs w:val="13"/>
                <w:b w:val="1"/>
                <w:bCs w:val="1"/>
                <w:color w:val="FFFFFF"/>
                <w:w w:val="96"/>
              </w:rPr>
              <w:t>Options/SARs</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jc w:val="center"/>
              <w:ind w:left="17"/>
              <w:spacing w:after="0" w:line="119" w:lineRule="exact"/>
              <w:rPr>
                <w:sz w:val="20"/>
                <w:szCs w:val="20"/>
                <w:color w:val="auto"/>
              </w:rPr>
            </w:pPr>
            <w:r>
              <w:rPr>
                <w:rFonts w:ascii="Arial" w:cs="Arial" w:eastAsia="Arial" w:hAnsi="Arial"/>
                <w:sz w:val="13"/>
                <w:szCs w:val="13"/>
                <w:b w:val="1"/>
                <w:bCs w:val="1"/>
                <w:color w:val="FFFFFF"/>
                <w:w w:val="96"/>
              </w:rPr>
              <w:t>Options/SARs</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left="77"/>
              <w:spacing w:after="0"/>
              <w:rPr>
                <w:sz w:val="20"/>
                <w:szCs w:val="20"/>
                <w:color w:val="auto"/>
              </w:rPr>
            </w:pPr>
            <w:r>
              <w:rPr>
                <w:rFonts w:ascii="Arial" w:cs="Arial" w:eastAsia="Arial" w:hAnsi="Arial"/>
                <w:sz w:val="13"/>
                <w:szCs w:val="13"/>
                <w:b w:val="1"/>
                <w:bCs w:val="1"/>
                <w:color w:val="FFFFFF"/>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center"/>
              <w:ind w:left="17"/>
              <w:spacing w:after="0"/>
              <w:rPr>
                <w:sz w:val="20"/>
                <w:szCs w:val="20"/>
                <w:color w:val="auto"/>
              </w:rPr>
            </w:pPr>
            <w:r>
              <w:rPr>
                <w:rFonts w:ascii="Arial" w:cs="Arial" w:eastAsia="Arial" w:hAnsi="Arial"/>
                <w:sz w:val="13"/>
                <w:szCs w:val="13"/>
                <w:b w:val="1"/>
                <w:bCs w:val="1"/>
                <w:color w:val="FFFFFF"/>
                <w:w w:val="93"/>
              </w:rPr>
              <w:t>(years)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1637030</wp:posOffset>
            </wp:positionH>
            <wp:positionV relativeFrom="paragraph">
              <wp:posOffset>-379730</wp:posOffset>
            </wp:positionV>
            <wp:extent cx="4260215" cy="3943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260215" cy="39433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49"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0E2A35"/>
        </w:rPr>
        <w:t>2014</w:t>
      </w:r>
      <w:r>
        <w:rPr>
          <w:rFonts w:ascii="Arial" w:cs="Arial" w:eastAsia="Arial" w:hAnsi="Arial"/>
          <w:sz w:val="12"/>
          <w:szCs w:val="12"/>
          <w:b w:val="1"/>
          <w:bCs w:val="1"/>
          <w:color w:val="0E2A35"/>
        </w:rPr>
        <w:t>​</w:t>
      </w:r>
      <w:r>
        <w:rPr>
          <w:rFonts w:ascii="Arial" w:cs="Arial" w:eastAsia="Arial" w:hAnsi="Arial"/>
          <w:sz w:val="14"/>
          <w:szCs w:val="14"/>
          <w:b w:val="1"/>
          <w:bCs w:val="1"/>
          <w:color w:val="0E2A35"/>
        </w:rPr>
        <w:t xml:space="preserve"> Plan</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0E2A35"/>
        </w:rPr>
        <w:t>2019 Plan</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0E2A35"/>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820" w:type="dxa"/>
            <w:vAlign w:val="bottom"/>
          </w:tcPr>
          <w:p>
            <w:pPr>
              <w:ind w:left="200"/>
              <w:spacing w:after="0" w:line="143" w:lineRule="exact"/>
              <w:rPr>
                <w:sz w:val="20"/>
                <w:szCs w:val="20"/>
                <w:color w:val="auto"/>
              </w:rPr>
            </w:pPr>
            <w:r>
              <w:rPr>
                <w:rFonts w:ascii="Arial" w:cs="Arial" w:eastAsia="Arial" w:hAnsi="Arial"/>
                <w:sz w:val="14"/>
                <w:szCs w:val="14"/>
                <w:b w:val="1"/>
                <w:bCs w:val="1"/>
                <w:color w:val="0E2A35"/>
              </w:rPr>
              <w:t>​</w:t>
            </w:r>
            <w:r>
              <w:rPr>
                <w:rFonts w:ascii="Arial" w:cs="Arial" w:eastAsia="Arial" w:hAnsi="Arial"/>
                <w:sz w:val="14"/>
                <w:szCs w:val="14"/>
                <w:color w:val="0E2A35"/>
              </w:rPr>
              <w:t>184,727</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ind w:left="260"/>
              <w:spacing w:after="0" w:line="143" w:lineRule="exact"/>
              <w:rPr>
                <w:sz w:val="20"/>
                <w:szCs w:val="20"/>
                <w:color w:val="auto"/>
              </w:rPr>
            </w:pPr>
            <w:r>
              <w:rPr>
                <w:rFonts w:ascii="Arial" w:cs="Arial" w:eastAsia="Arial" w:hAnsi="Arial"/>
                <w:sz w:val="14"/>
                <w:szCs w:val="14"/>
                <w:color w:val="0E2A35"/>
              </w:rPr>
              <w:t>​ 39,485</w:t>
            </w:r>
          </w:p>
        </w:tc>
        <w:tc>
          <w:tcPr>
            <w:tcW w:w="320" w:type="dxa"/>
            <w:vAlign w:val="bottom"/>
          </w:tcPr>
          <w:p>
            <w:pPr>
              <w:ind w:left="180"/>
              <w:spacing w:after="0"/>
              <w:rPr>
                <w:sz w:val="20"/>
                <w:szCs w:val="20"/>
                <w:color w:val="auto"/>
              </w:rPr>
            </w:pPr>
            <w:r>
              <w:rPr>
                <w:rFonts w:ascii="Arial" w:cs="Arial" w:eastAsia="Arial" w:hAnsi="Arial"/>
                <w:sz w:val="4"/>
                <w:szCs w:val="4"/>
                <w:color w:val="auto"/>
              </w:rPr>
              <w:t>​</w:t>
            </w:r>
          </w:p>
        </w:tc>
        <w:tc>
          <w:tcPr>
            <w:tcW w:w="440" w:type="dxa"/>
            <w:vAlign w:val="bottom"/>
          </w:tcPr>
          <w:p>
            <w:pPr>
              <w:ind w:left="100"/>
              <w:spacing w:after="0"/>
              <w:rPr>
                <w:sz w:val="20"/>
                <w:szCs w:val="20"/>
                <w:color w:val="auto"/>
              </w:rPr>
            </w:pPr>
            <w:r>
              <w:rPr>
                <w:rFonts w:ascii="Arial" w:cs="Arial" w:eastAsia="Arial" w:hAnsi="Arial"/>
                <w:sz w:val="4"/>
                <w:szCs w:val="4"/>
                <w:color w:val="auto"/>
              </w:rPr>
              <w:t>​</w:t>
            </w:r>
          </w:p>
        </w:tc>
        <w:tc>
          <w:tcPr>
            <w:tcW w:w="480" w:type="dxa"/>
            <w:vAlign w:val="bottom"/>
          </w:tcPr>
          <w:p>
            <w:pPr>
              <w:ind w:left="320"/>
              <w:spacing w:after="0" w:line="143" w:lineRule="exact"/>
              <w:rPr>
                <w:sz w:val="20"/>
                <w:szCs w:val="20"/>
                <w:color w:val="auto"/>
              </w:rPr>
            </w:pPr>
            <w:r>
              <w:rPr>
                <w:rFonts w:ascii="Arial" w:cs="Arial" w:eastAsia="Arial" w:hAnsi="Arial"/>
                <w:sz w:val="14"/>
                <w:szCs w:val="14"/>
                <w:color w:val="0E2A35"/>
                <w:w w:val="89"/>
              </w:rPr>
              <w:t>34​</w:t>
            </w:r>
          </w:p>
        </w:tc>
        <w:tc>
          <w:tcPr>
            <w:tcW w:w="460" w:type="dxa"/>
            <w:vAlign w:val="bottom"/>
          </w:tcPr>
          <w:p>
            <w:pPr>
              <w:jc w:val="right"/>
              <w:ind w:right="188"/>
              <w:spacing w:after="0" w:line="143" w:lineRule="exact"/>
              <w:rPr>
                <w:sz w:val="20"/>
                <w:szCs w:val="20"/>
                <w:color w:val="auto"/>
              </w:rPr>
            </w:pPr>
            <w:r>
              <w:rPr>
                <w:rFonts w:ascii="Arial" w:cs="Arial" w:eastAsia="Arial" w:hAnsi="Arial"/>
                <w:sz w:val="14"/>
                <w:szCs w:val="14"/>
                <w:color w:val="0E2A35"/>
                <w:w w:val="92"/>
              </w:rPr>
              <w:t>.54</w:t>
            </w:r>
          </w:p>
        </w:tc>
        <w:tc>
          <w:tcPr>
            <w:tcW w:w="360" w:type="dxa"/>
            <w:vAlign w:val="bottom"/>
          </w:tcPr>
          <w:p>
            <w:pPr>
              <w:ind w:left="240"/>
              <w:spacing w:after="0"/>
              <w:rPr>
                <w:sz w:val="20"/>
                <w:szCs w:val="20"/>
                <w:color w:val="auto"/>
              </w:rPr>
            </w:pPr>
            <w:r>
              <w:rPr>
                <w:rFonts w:ascii="Arial" w:cs="Arial" w:eastAsia="Arial" w:hAnsi="Arial"/>
                <w:sz w:val="4"/>
                <w:szCs w:val="4"/>
                <w:color w:val="auto"/>
              </w:rPr>
              <w:t>​</w:t>
            </w:r>
          </w:p>
        </w:tc>
        <w:tc>
          <w:tcPr>
            <w:tcW w:w="50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0E2A35"/>
              </w:rPr>
              <w:t>4.38</w:t>
            </w:r>
          </w:p>
        </w:tc>
      </w:tr>
      <w:tr>
        <w:trPr>
          <w:trHeight w:val="257"/>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820" w:type="dxa"/>
            <w:vAlign w:val="bottom"/>
          </w:tcPr>
          <w:p>
            <w:pPr>
              <w:ind w:left="200"/>
              <w:spacing w:after="0"/>
              <w:rPr>
                <w:sz w:val="20"/>
                <w:szCs w:val="20"/>
                <w:color w:val="auto"/>
              </w:rPr>
            </w:pPr>
            <w:r>
              <w:rPr>
                <w:rFonts w:ascii="Arial" w:cs="Arial" w:eastAsia="Arial" w:hAnsi="Arial"/>
                <w:sz w:val="14"/>
                <w:szCs w:val="14"/>
                <w:b w:val="1"/>
                <w:bCs w:val="1"/>
                <w:color w:val="0E2A35"/>
              </w:rPr>
              <w:t>​</w:t>
            </w:r>
            <w:r>
              <w:rPr>
                <w:rFonts w:ascii="Arial" w:cs="Arial" w:eastAsia="Arial" w:hAnsi="Arial"/>
                <w:sz w:val="14"/>
                <w:szCs w:val="14"/>
                <w:color w:val="0E2A35"/>
              </w:rPr>
              <w:t>274,552</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ind w:left="260"/>
              <w:spacing w:after="0"/>
              <w:rPr>
                <w:sz w:val="20"/>
                <w:szCs w:val="20"/>
                <w:color w:val="auto"/>
              </w:rPr>
            </w:pPr>
            <w:r>
              <w:rPr>
                <w:rFonts w:ascii="Arial" w:cs="Arial" w:eastAsia="Arial" w:hAnsi="Arial"/>
                <w:sz w:val="14"/>
                <w:szCs w:val="14"/>
                <w:color w:val="0E2A35"/>
              </w:rPr>
              <w:t>660,550​</w:t>
            </w:r>
          </w:p>
        </w:tc>
        <w:tc>
          <w:tcPr>
            <w:tcW w:w="320" w:type="dxa"/>
            <w:vAlign w:val="bottom"/>
          </w:tcPr>
          <w:p>
            <w:pPr>
              <w:ind w:left="180"/>
              <w:spacing w:after="0"/>
              <w:rPr>
                <w:sz w:val="20"/>
                <w:szCs w:val="20"/>
                <w:color w:val="auto"/>
              </w:rPr>
            </w:pPr>
            <w:r>
              <w:rPr>
                <w:rFonts w:ascii="Arial" w:cs="Arial" w:eastAsia="Arial" w:hAnsi="Arial"/>
                <w:sz w:val="4"/>
                <w:szCs w:val="4"/>
                <w:color w:val="auto"/>
              </w:rPr>
              <w:t>​</w:t>
            </w:r>
          </w:p>
        </w:tc>
        <w:tc>
          <w:tcPr>
            <w:tcW w:w="440" w:type="dxa"/>
            <w:vAlign w:val="bottom"/>
          </w:tcPr>
          <w:p>
            <w:pPr>
              <w:ind w:left="100"/>
              <w:spacing w:after="0"/>
              <w:rPr>
                <w:sz w:val="20"/>
                <w:szCs w:val="20"/>
                <w:color w:val="auto"/>
              </w:rPr>
            </w:pPr>
            <w:r>
              <w:rPr>
                <w:rFonts w:ascii="Arial" w:cs="Arial" w:eastAsia="Arial" w:hAnsi="Arial"/>
                <w:sz w:val="4"/>
                <w:szCs w:val="4"/>
                <w:color w:val="auto"/>
              </w:rPr>
              <w:t>​</w:t>
            </w:r>
          </w:p>
        </w:tc>
        <w:tc>
          <w:tcPr>
            <w:tcW w:w="480" w:type="dxa"/>
            <w:vAlign w:val="bottom"/>
          </w:tcPr>
          <w:p>
            <w:pPr>
              <w:ind w:left="320"/>
              <w:spacing w:after="0"/>
              <w:rPr>
                <w:sz w:val="20"/>
                <w:szCs w:val="20"/>
                <w:color w:val="auto"/>
              </w:rPr>
            </w:pPr>
            <w:r>
              <w:rPr>
                <w:rFonts w:ascii="Arial" w:cs="Arial" w:eastAsia="Arial" w:hAnsi="Arial"/>
                <w:sz w:val="14"/>
                <w:szCs w:val="14"/>
                <w:color w:val="0E2A35"/>
                <w:w w:val="89"/>
              </w:rPr>
              <w:t>57​</w:t>
            </w:r>
          </w:p>
        </w:tc>
        <w:tc>
          <w:tcPr>
            <w:tcW w:w="460" w:type="dxa"/>
            <w:vAlign w:val="bottom"/>
          </w:tcPr>
          <w:p>
            <w:pPr>
              <w:jc w:val="right"/>
              <w:ind w:right="188"/>
              <w:spacing w:after="0"/>
              <w:rPr>
                <w:sz w:val="20"/>
                <w:szCs w:val="20"/>
                <w:color w:val="auto"/>
              </w:rPr>
            </w:pPr>
            <w:r>
              <w:rPr>
                <w:rFonts w:ascii="Arial" w:cs="Arial" w:eastAsia="Arial" w:hAnsi="Arial"/>
                <w:sz w:val="14"/>
                <w:szCs w:val="14"/>
                <w:color w:val="0E2A35"/>
                <w:w w:val="92"/>
              </w:rPr>
              <w:t>.95</w:t>
            </w:r>
          </w:p>
        </w:tc>
        <w:tc>
          <w:tcPr>
            <w:tcW w:w="360" w:type="dxa"/>
            <w:vAlign w:val="bottom"/>
          </w:tcPr>
          <w:p>
            <w:pPr>
              <w:ind w:left="240"/>
              <w:spacing w:after="0"/>
              <w:rPr>
                <w:sz w:val="20"/>
                <w:szCs w:val="20"/>
                <w:color w:val="auto"/>
              </w:rPr>
            </w:pPr>
            <w:r>
              <w:rPr>
                <w:rFonts w:ascii="Arial" w:cs="Arial" w:eastAsia="Arial" w:hAnsi="Arial"/>
                <w:sz w:val="4"/>
                <w:szCs w:val="4"/>
                <w:color w:val="auto"/>
              </w:rPr>
              <w:t>​</w:t>
            </w:r>
          </w:p>
        </w:tc>
        <w:tc>
          <w:tcPr>
            <w:tcW w:w="50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0E2A35"/>
              </w:rPr>
              <w:t>8.48</w:t>
            </w:r>
          </w:p>
        </w:tc>
      </w:tr>
      <w:tr>
        <w:trPr>
          <w:trHeight w:val="256"/>
        </w:trPr>
        <w:tc>
          <w:tcPr>
            <w:tcW w:w="120" w:type="dxa"/>
            <w:vAlign w:val="bottom"/>
          </w:tcPr>
          <w:p>
            <w:pPr>
              <w:spacing w:after="0"/>
              <w:rPr>
                <w:sz w:val="20"/>
                <w:szCs w:val="20"/>
                <w:color w:val="auto"/>
              </w:rPr>
            </w:pPr>
            <w:r>
              <w:rPr>
                <w:rFonts w:ascii="Arial" w:cs="Arial" w:eastAsia="Arial" w:hAnsi="Arial"/>
                <w:sz w:val="4"/>
                <w:szCs w:val="4"/>
                <w:color w:val="auto"/>
              </w:rPr>
              <w:t>​</w:t>
            </w:r>
          </w:p>
        </w:tc>
        <w:tc>
          <w:tcPr>
            <w:tcW w:w="340" w:type="dxa"/>
            <w:vAlign w:val="bottom"/>
          </w:tcPr>
          <w:p>
            <w:pPr>
              <w:ind w:left="120"/>
              <w:spacing w:after="0"/>
              <w:rPr>
                <w:sz w:val="20"/>
                <w:szCs w:val="20"/>
                <w:color w:val="auto"/>
              </w:rPr>
            </w:pPr>
            <w:r>
              <w:rPr>
                <w:rFonts w:ascii="Arial" w:cs="Arial" w:eastAsia="Arial" w:hAnsi="Arial"/>
                <w:sz w:val="4"/>
                <w:szCs w:val="4"/>
                <w:color w:val="auto"/>
              </w:rPr>
              <w:t>​</w:t>
            </w:r>
          </w:p>
        </w:tc>
        <w:tc>
          <w:tcPr>
            <w:tcW w:w="820" w:type="dxa"/>
            <w:vAlign w:val="bottom"/>
          </w:tcPr>
          <w:p>
            <w:pPr>
              <w:ind w:left="200"/>
              <w:spacing w:after="0"/>
              <w:rPr>
                <w:sz w:val="20"/>
                <w:szCs w:val="20"/>
                <w:color w:val="auto"/>
              </w:rPr>
            </w:pPr>
            <w:r>
              <w:rPr>
                <w:rFonts w:ascii="Arial" w:cs="Arial" w:eastAsia="Arial" w:hAnsi="Arial"/>
                <w:sz w:val="14"/>
                <w:szCs w:val="14"/>
                <w:color w:val="0E2A35"/>
              </w:rPr>
              <w:t>459,279</w:t>
            </w:r>
          </w:p>
        </w:tc>
        <w:tc>
          <w:tcPr>
            <w:tcW w:w="240" w:type="dxa"/>
            <w:vAlign w:val="bottom"/>
          </w:tcPr>
          <w:p>
            <w:pPr>
              <w:ind w:left="120"/>
              <w:spacing w:after="0"/>
              <w:rPr>
                <w:sz w:val="20"/>
                <w:szCs w:val="20"/>
                <w:color w:val="auto"/>
              </w:rPr>
            </w:pPr>
            <w:r>
              <w:rPr>
                <w:rFonts w:ascii="Arial" w:cs="Arial" w:eastAsia="Arial" w:hAnsi="Arial"/>
                <w:sz w:val="4"/>
                <w:szCs w:val="4"/>
                <w:color w:val="auto"/>
              </w:rPr>
              <w:t>​</w:t>
            </w:r>
          </w:p>
        </w:tc>
        <w:tc>
          <w:tcPr>
            <w:tcW w:w="400" w:type="dxa"/>
            <w:vAlign w:val="bottom"/>
          </w:tcPr>
          <w:p>
            <w:pPr>
              <w:ind w:left="120"/>
              <w:spacing w:after="0"/>
              <w:rPr>
                <w:sz w:val="20"/>
                <w:szCs w:val="20"/>
                <w:color w:val="auto"/>
              </w:rPr>
            </w:pPr>
            <w:r>
              <w:rPr>
                <w:rFonts w:ascii="Arial" w:cs="Arial" w:eastAsia="Arial" w:hAnsi="Arial"/>
                <w:sz w:val="4"/>
                <w:szCs w:val="4"/>
                <w:color w:val="auto"/>
              </w:rPr>
              <w:t>​</w:t>
            </w:r>
          </w:p>
        </w:tc>
        <w:tc>
          <w:tcPr>
            <w:tcW w:w="980" w:type="dxa"/>
            <w:vAlign w:val="bottom"/>
          </w:tcPr>
          <w:p>
            <w:pPr>
              <w:ind w:left="260"/>
              <w:spacing w:after="0"/>
              <w:rPr>
                <w:sz w:val="20"/>
                <w:szCs w:val="20"/>
                <w:color w:val="auto"/>
              </w:rPr>
            </w:pPr>
            <w:r>
              <w:rPr>
                <w:rFonts w:ascii="Arial" w:cs="Arial" w:eastAsia="Arial" w:hAnsi="Arial"/>
                <w:sz w:val="14"/>
                <w:szCs w:val="14"/>
                <w:color w:val="0E2A35"/>
              </w:rPr>
              <w:t>700,035​</w:t>
            </w:r>
          </w:p>
        </w:tc>
        <w:tc>
          <w:tcPr>
            <w:tcW w:w="320" w:type="dxa"/>
            <w:vAlign w:val="bottom"/>
          </w:tcPr>
          <w:p>
            <w:pPr>
              <w:ind w:left="180"/>
              <w:spacing w:after="0"/>
              <w:rPr>
                <w:sz w:val="20"/>
                <w:szCs w:val="20"/>
                <w:color w:val="auto"/>
              </w:rPr>
            </w:pPr>
            <w:r>
              <w:rPr>
                <w:rFonts w:ascii="Arial" w:cs="Arial" w:eastAsia="Arial" w:hAnsi="Arial"/>
                <w:sz w:val="4"/>
                <w:szCs w:val="4"/>
                <w:color w:val="auto"/>
              </w:rPr>
              <w:t>​</w:t>
            </w:r>
          </w:p>
        </w:tc>
        <w:tc>
          <w:tcPr>
            <w:tcW w:w="440" w:type="dxa"/>
            <w:vAlign w:val="bottom"/>
          </w:tcPr>
          <w:p>
            <w:pPr>
              <w:ind w:left="100"/>
              <w:spacing w:after="0"/>
              <w:rPr>
                <w:sz w:val="20"/>
                <w:szCs w:val="20"/>
                <w:color w:val="auto"/>
              </w:rPr>
            </w:pPr>
            <w:r>
              <w:rPr>
                <w:rFonts w:ascii="Arial" w:cs="Arial" w:eastAsia="Arial" w:hAnsi="Arial"/>
                <w:sz w:val="4"/>
                <w:szCs w:val="4"/>
                <w:color w:val="auto"/>
              </w:rPr>
              <w:t>​</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0E2A35"/>
              </w:rPr>
              <w:t>48.53</w:t>
            </w:r>
          </w:p>
        </w:tc>
        <w:tc>
          <w:tcPr>
            <w:tcW w:w="360" w:type="dxa"/>
            <w:vAlign w:val="bottom"/>
          </w:tcPr>
          <w:p>
            <w:pPr>
              <w:ind w:left="240"/>
              <w:spacing w:after="0"/>
              <w:rPr>
                <w:sz w:val="20"/>
                <w:szCs w:val="20"/>
                <w:color w:val="auto"/>
              </w:rPr>
            </w:pPr>
            <w:r>
              <w:rPr>
                <w:rFonts w:ascii="Arial" w:cs="Arial" w:eastAsia="Arial" w:hAnsi="Arial"/>
                <w:sz w:val="4"/>
                <w:szCs w:val="4"/>
                <w:color w:val="auto"/>
              </w:rPr>
              <w:t>​</w:t>
            </w:r>
          </w:p>
        </w:tc>
        <w:tc>
          <w:tcPr>
            <w:tcW w:w="500" w:type="dxa"/>
            <w:vAlign w:val="bottom"/>
          </w:tcPr>
          <w:p>
            <w:pPr>
              <w:ind w:left="120"/>
              <w:spacing w:after="0"/>
              <w:rPr>
                <w:sz w:val="20"/>
                <w:szCs w:val="20"/>
                <w:color w:val="auto"/>
              </w:rPr>
            </w:pPr>
            <w:r>
              <w:rPr>
                <w:rFonts w:ascii="Arial" w:cs="Arial" w:eastAsia="Arial" w:hAnsi="Arial"/>
                <w:sz w:val="4"/>
                <w:szCs w:val="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0E2A35"/>
              </w:rPr>
              <w:t>7.44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113665</wp:posOffset>
            </wp:positionV>
            <wp:extent cx="566610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-1406525</wp:posOffset>
            </wp:positionH>
            <wp:positionV relativeFrom="paragraph">
              <wp:posOffset>-91440</wp:posOffset>
            </wp:positionV>
            <wp:extent cx="566610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-1406525</wp:posOffset>
            </wp:positionH>
            <wp:positionV relativeFrom="paragraph">
              <wp:posOffset>-254000</wp:posOffset>
            </wp:positionV>
            <wp:extent cx="56661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256" w:lineRule="exact"/>
        <w:rPr>
          <w:sz w:val="20"/>
          <w:szCs w:val="20"/>
          <w:color w:val="auto"/>
        </w:rPr>
      </w:pPr>
    </w:p>
    <w:p>
      <w:pPr>
        <w:sectPr>
          <w:pgSz w:w="11900" w:h="16838" w:orient="portrait"/>
          <w:cols w:equalWidth="0" w:num="2">
            <w:col w:w="1860" w:space="720"/>
            <w:col w:w="6700"/>
          </w:cols>
          <w:pgMar w:left="1300" w:top="265" w:right="1319" w:bottom="1440" w:gutter="0" w:footer="0" w:header="0"/>
          <w:type w:val="continuous"/>
        </w:sectPr>
      </w:pPr>
    </w:p>
    <w:p>
      <w:pPr>
        <w:spacing w:after="0" w:line="30" w:lineRule="exact"/>
        <w:rPr>
          <w:sz w:val="20"/>
          <w:szCs w:val="20"/>
          <w:color w:val="auto"/>
        </w:rPr>
      </w:pPr>
    </w:p>
    <w:p>
      <w:pPr>
        <w:ind w:left="360" w:hanging="360"/>
        <w:spacing w:after="0" w:line="230" w:lineRule="auto"/>
        <w:tabs>
          <w:tab w:leader="none" w:pos="360" w:val="left"/>
        </w:tabs>
        <w:numPr>
          <w:ilvl w:val="0"/>
          <w:numId w:val="61"/>
        </w:numPr>
        <w:rPr>
          <w:rFonts w:ascii="Arial" w:cs="Arial" w:eastAsia="Arial" w:hAnsi="Arial"/>
          <w:sz w:val="13"/>
          <w:szCs w:val="13"/>
          <w:color w:val="0E2A35"/>
        </w:rPr>
      </w:pPr>
      <w:r>
        <w:rPr>
          <w:rFonts w:ascii="Arial" w:cs="Arial" w:eastAsia="Arial" w:hAnsi="Arial"/>
          <w:sz w:val="13"/>
          <w:szCs w:val="13"/>
          <w:color w:val="0E2A35"/>
        </w:rPr>
        <w:t>We also issue stock units pursuant to our Directors Deferred Plan. The Directors’ Deferred Plan does not limit the number of shares of common stock issuable thereunder. The number of stock units to be distributed pursuant to the Directors’ Deferred Plan upon a director’s separation from service of the Company will be based upon the amount of the participating director’s deferred compensation and the per share price at the time of deferral.</w:t>
      </w:r>
    </w:p>
    <w:p>
      <w:pPr>
        <w:spacing w:after="0" w:line="29" w:lineRule="exact"/>
        <w:rPr>
          <w:rFonts w:ascii="Arial" w:cs="Arial" w:eastAsia="Arial" w:hAnsi="Arial"/>
          <w:sz w:val="13"/>
          <w:szCs w:val="13"/>
          <w:color w:val="0E2A35"/>
        </w:rPr>
      </w:pPr>
    </w:p>
    <w:p>
      <w:pPr>
        <w:ind w:left="360" w:right="320" w:hanging="360"/>
        <w:spacing w:after="0" w:line="236" w:lineRule="auto"/>
        <w:tabs>
          <w:tab w:leader="none" w:pos="360" w:val="left"/>
        </w:tabs>
        <w:numPr>
          <w:ilvl w:val="0"/>
          <w:numId w:val="61"/>
        </w:numPr>
        <w:rPr>
          <w:rFonts w:ascii="Arial" w:cs="Arial" w:eastAsia="Arial" w:hAnsi="Arial"/>
          <w:sz w:val="13"/>
          <w:szCs w:val="13"/>
          <w:color w:val="0E2A35"/>
        </w:rPr>
      </w:pPr>
      <w:r>
        <w:rPr>
          <w:rFonts w:ascii="Arial" w:cs="Arial" w:eastAsia="Arial" w:hAnsi="Arial"/>
          <w:sz w:val="13"/>
          <w:szCs w:val="13"/>
          <w:color w:val="0E2A35"/>
        </w:rPr>
        <w:t>No further equity awards may be granted under the 2014 Plan; however, any shares that would return to the 2014 Plan as a result of an award terminating, expiring or being forfeited or being settled in cash in lieu of shares are instead available under the Restated Plan.</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Historical Equity Granting Practices</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6"/>
          <w:szCs w:val="16"/>
          <w:color w:val="0E2A35"/>
        </w:rPr>
        <w:t>Our three-year average value-adjusted “burn rate” calculated based on our understanding of the methodology utilized by a major proxy advisory firm was 0.9% for fiscal 2021 through fiscal 2023, whereby full value awards are valued using our actual stock price, stock options are valued using the Black-Scholes value for stock options, and the weighted-average shares outstanding are valued using our stock price. We believe our historical burn rate is lower than the average for our industry.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Estimated Duration of Shares Available for Issuance under the Restated Plan</w:t>
      </w:r>
    </w:p>
    <w:p>
      <w:pPr>
        <w:spacing w:after="0" w:line="18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0E2A35"/>
        </w:rPr>
        <w:t>We expect to continue making equity awards consistent with our practices over the past three years and to maintain an average annual burn rate over the next three years in line with our average for the 2021 to 2023 period. On that basis, we expect that shares currently remaining available for awards under the 2019 Plan will likely be insufficient to continue making awards beyond 2024, but that the shares of common stock available for future awards if the Restated Plan is approved by shareholders would be sufficient to cover awards for approximately four years.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Expected Dilution</w:t>
      </w:r>
    </w:p>
    <w:p>
      <w:pPr>
        <w:spacing w:after="0" w:line="18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0E2A35"/>
        </w:rPr>
        <w:t>As of September 1, 2023, our existing share capital dilution was 8.13%. We define existing share capital dilution as the sum of (i) the total number of shares of our common stock subject to outstanding awards under the 2014 Plan and the 2019 Plan, and (ii) the total number of shares available for future grants under the 2019 Plan, divided by the number of our common shares outstanding. Our projected share capital dilution as of that same date would be 16.16%, based on including the 2,400,000 additional share reserve under the Restated Plan in the formula. In light of the expected duration of the Restated Plan’s share reserve, we believe the expected dilution that will result from the Restated Plan is reasonable for a company of our size in our industry.</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Key Compensation Practices</w:t>
      </w:r>
    </w:p>
    <w:p>
      <w:pPr>
        <w:spacing w:after="0" w:line="188"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0E2A35"/>
        </w:rPr>
        <w:t>The content of the Restated Plan is substantively similar to our 2019 Plan. Accordingly, the Restated Plan continues to include a number of features of our 2019 Plan that we believe are consistent with the interests of our shareholders and sensible corporate governance practices, including the following:</w:t>
      </w:r>
    </w:p>
    <w:p>
      <w:pPr>
        <w:spacing w:after="0" w:line="152" w:lineRule="exact"/>
        <w:rPr>
          <w:sz w:val="20"/>
          <w:szCs w:val="20"/>
          <w:color w:val="auto"/>
        </w:rPr>
      </w:pPr>
    </w:p>
    <w:p>
      <w:pPr>
        <w:ind w:left="720" w:right="240" w:hanging="360"/>
        <w:spacing w:after="0" w:line="263" w:lineRule="auto"/>
        <w:tabs>
          <w:tab w:leader="none" w:pos="720" w:val="left"/>
        </w:tabs>
        <w:numPr>
          <w:ilvl w:val="0"/>
          <w:numId w:val="62"/>
        </w:numPr>
        <w:rPr>
          <w:rFonts w:ascii="Arial" w:cs="Arial" w:eastAsia="Arial" w:hAnsi="Arial"/>
          <w:sz w:val="16"/>
          <w:szCs w:val="16"/>
          <w:color w:val="C7D265"/>
        </w:rPr>
      </w:pPr>
      <w:r>
        <w:rPr>
          <w:rFonts w:ascii="Arial" w:cs="Arial" w:eastAsia="Arial" w:hAnsi="Arial"/>
          <w:sz w:val="16"/>
          <w:szCs w:val="16"/>
          <w:i w:val="1"/>
          <w:iCs w:val="1"/>
          <w:color w:val="0E2A35"/>
        </w:rPr>
        <w:t>Incorporates a fungible share design</w:t>
      </w:r>
      <w:r>
        <w:rPr>
          <w:rFonts w:ascii="Arial" w:cs="Arial" w:eastAsia="Arial" w:hAnsi="Arial"/>
          <w:sz w:val="16"/>
          <w:szCs w:val="16"/>
          <w:color w:val="0E2A35"/>
        </w:rPr>
        <w:t>. Full value awards (such as restricted stock units and performance stock units),</w:t>
      </w:r>
      <w:r>
        <w:rPr>
          <w:rFonts w:ascii="Arial" w:cs="Arial" w:eastAsia="Arial" w:hAnsi="Arial"/>
          <w:sz w:val="16"/>
          <w:szCs w:val="16"/>
          <w:i w:val="1"/>
          <w:iCs w:val="1"/>
          <w:color w:val="0E2A35"/>
        </w:rPr>
        <w:t xml:space="preserve"> </w:t>
      </w:r>
      <w:r>
        <w:rPr>
          <w:rFonts w:ascii="Arial" w:cs="Arial" w:eastAsia="Arial" w:hAnsi="Arial"/>
          <w:sz w:val="16"/>
          <w:szCs w:val="16"/>
          <w:color w:val="0E2A35"/>
        </w:rPr>
        <w:t>count against the shares reserved for issuance at a 2:1 ratio, while appreciation awards (such as SARs and stock options) count against the share reserve at a 1:1 ratio.</w:t>
      </w:r>
    </w:p>
    <w:p>
      <w:pPr>
        <w:spacing w:after="0" w:line="137" w:lineRule="exact"/>
        <w:rPr>
          <w:rFonts w:ascii="Arial" w:cs="Arial" w:eastAsia="Arial" w:hAnsi="Arial"/>
          <w:sz w:val="16"/>
          <w:szCs w:val="16"/>
          <w:color w:val="C7D265"/>
        </w:rPr>
      </w:pPr>
    </w:p>
    <w:p>
      <w:pPr>
        <w:ind w:left="720" w:right="600" w:hanging="360"/>
        <w:spacing w:after="0" w:line="281" w:lineRule="auto"/>
        <w:tabs>
          <w:tab w:leader="none" w:pos="720" w:val="left"/>
        </w:tabs>
        <w:numPr>
          <w:ilvl w:val="0"/>
          <w:numId w:val="62"/>
        </w:numPr>
        <w:rPr>
          <w:rFonts w:ascii="Arial" w:cs="Arial" w:eastAsia="Arial" w:hAnsi="Arial"/>
          <w:sz w:val="16"/>
          <w:szCs w:val="16"/>
          <w:color w:val="C7D265"/>
        </w:rPr>
      </w:pPr>
      <w:r>
        <w:rPr>
          <w:rFonts w:ascii="Arial" w:cs="Arial" w:eastAsia="Arial" w:hAnsi="Arial"/>
          <w:sz w:val="16"/>
          <w:szCs w:val="16"/>
          <w:i w:val="1"/>
          <w:iCs w:val="1"/>
          <w:color w:val="0E2A35"/>
        </w:rPr>
        <w:t xml:space="preserve">Minimum vesting or performance period for all awards. </w:t>
      </w:r>
      <w:r>
        <w:rPr>
          <w:rFonts w:ascii="Arial" w:cs="Arial" w:eastAsia="Arial" w:hAnsi="Arial"/>
          <w:sz w:val="16"/>
          <w:szCs w:val="16"/>
          <w:color w:val="0E2A35"/>
        </w:rPr>
        <w:t>A minimum vesting or performance period of one year is</w:t>
      </w:r>
      <w:r>
        <w:rPr>
          <w:rFonts w:ascii="Arial" w:cs="Arial" w:eastAsia="Arial" w:hAnsi="Arial"/>
          <w:sz w:val="16"/>
          <w:szCs w:val="16"/>
          <w:i w:val="1"/>
          <w:iCs w:val="1"/>
          <w:color w:val="0E2A35"/>
        </w:rPr>
        <w:t xml:space="preserve"> </w:t>
      </w:r>
      <w:r>
        <w:rPr>
          <w:rFonts w:ascii="Arial" w:cs="Arial" w:eastAsia="Arial" w:hAnsi="Arial"/>
          <w:sz w:val="16"/>
          <w:szCs w:val="16"/>
          <w:color w:val="0E2A35"/>
        </w:rPr>
        <w:t>prescribed for all awards, subject to limited exceptions.</w:t>
      </w:r>
    </w:p>
    <w:p>
      <w:pPr>
        <w:spacing w:after="0" w:line="122" w:lineRule="exact"/>
        <w:rPr>
          <w:rFonts w:ascii="Arial" w:cs="Arial" w:eastAsia="Arial" w:hAnsi="Arial"/>
          <w:sz w:val="16"/>
          <w:szCs w:val="16"/>
          <w:color w:val="C7D265"/>
        </w:rPr>
      </w:pPr>
    </w:p>
    <w:p>
      <w:pPr>
        <w:ind w:left="720" w:hanging="360"/>
        <w:spacing w:after="0" w:line="255" w:lineRule="auto"/>
        <w:tabs>
          <w:tab w:leader="none" w:pos="720" w:val="left"/>
        </w:tabs>
        <w:numPr>
          <w:ilvl w:val="0"/>
          <w:numId w:val="62"/>
        </w:numPr>
        <w:rPr>
          <w:rFonts w:ascii="Arial" w:cs="Arial" w:eastAsia="Arial" w:hAnsi="Arial"/>
          <w:sz w:val="16"/>
          <w:szCs w:val="16"/>
          <w:color w:val="C7D265"/>
        </w:rPr>
      </w:pPr>
      <w:r>
        <w:rPr>
          <w:rFonts w:ascii="Arial" w:cs="Arial" w:eastAsia="Arial" w:hAnsi="Arial"/>
          <w:sz w:val="16"/>
          <w:szCs w:val="16"/>
          <w:i w:val="1"/>
          <w:iCs w:val="1"/>
          <w:color w:val="0E2A35"/>
        </w:rPr>
        <w:t>Restrictions on dividends and dividend equivalents</w:t>
      </w:r>
      <w:r>
        <w:rPr>
          <w:rFonts w:ascii="Arial" w:cs="Arial" w:eastAsia="Arial" w:hAnsi="Arial"/>
          <w:sz w:val="16"/>
          <w:szCs w:val="16"/>
          <w:color w:val="0E2A35"/>
        </w:rPr>
        <w:t>. The Restated Plan prohibits the payment of dividends or dividend</w:t>
      </w:r>
      <w:r>
        <w:rPr>
          <w:rFonts w:ascii="Arial" w:cs="Arial" w:eastAsia="Arial" w:hAnsi="Arial"/>
          <w:sz w:val="16"/>
          <w:szCs w:val="16"/>
          <w:i w:val="1"/>
          <w:iCs w:val="1"/>
          <w:color w:val="0E2A35"/>
        </w:rPr>
        <w:t xml:space="preserve"> </w:t>
      </w:r>
      <w:r>
        <w:rPr>
          <w:rFonts w:ascii="Arial" w:cs="Arial" w:eastAsia="Arial" w:hAnsi="Arial"/>
          <w:sz w:val="16"/>
          <w:szCs w:val="16"/>
          <w:color w:val="0E2A35"/>
        </w:rPr>
        <w:t>equivalents on stock options and stock appreciation rights (“SARs”), and provides that, any dividends or dividend equivalents payable with respect to shares or share equivalents subject to the unvested portion of a full value award will be subject to the same restrictions and risk of forfeiture as the shares or share equivalents to which such dividends or dividend equivalents relate, including any performance conditions.</w:t>
      </w:r>
    </w:p>
    <w:p>
      <w:pPr>
        <w:spacing w:after="0" w:line="156" w:lineRule="exact"/>
        <w:rPr>
          <w:rFonts w:ascii="Arial" w:cs="Arial" w:eastAsia="Arial" w:hAnsi="Arial"/>
          <w:sz w:val="16"/>
          <w:szCs w:val="16"/>
          <w:color w:val="C7D265"/>
        </w:rPr>
      </w:pPr>
    </w:p>
    <w:p>
      <w:pPr>
        <w:ind w:left="720" w:right="260" w:hanging="360"/>
        <w:spacing w:after="0" w:line="263" w:lineRule="auto"/>
        <w:tabs>
          <w:tab w:leader="none" w:pos="720" w:val="left"/>
        </w:tabs>
        <w:numPr>
          <w:ilvl w:val="0"/>
          <w:numId w:val="62"/>
        </w:numPr>
        <w:rPr>
          <w:rFonts w:ascii="Arial" w:cs="Arial" w:eastAsia="Arial" w:hAnsi="Arial"/>
          <w:sz w:val="16"/>
          <w:szCs w:val="16"/>
          <w:color w:val="C7D265"/>
        </w:rPr>
      </w:pPr>
      <w:r>
        <w:rPr>
          <w:rFonts w:ascii="Arial" w:cs="Arial" w:eastAsia="Arial" w:hAnsi="Arial"/>
          <w:sz w:val="16"/>
          <w:szCs w:val="16"/>
          <w:i w:val="1"/>
          <w:iCs w:val="1"/>
          <w:color w:val="0E2A35"/>
        </w:rPr>
        <w:t xml:space="preserve">No liberal definition of “change in control.” </w:t>
      </w:r>
      <w:r>
        <w:rPr>
          <w:rFonts w:ascii="Arial" w:cs="Arial" w:eastAsia="Arial" w:hAnsi="Arial"/>
          <w:sz w:val="16"/>
          <w:szCs w:val="16"/>
          <w:color w:val="0E2A35"/>
        </w:rPr>
        <w:t>No change in control would be triggered by shareholder approval of a</w:t>
      </w:r>
      <w:r>
        <w:rPr>
          <w:rFonts w:ascii="Arial" w:cs="Arial" w:eastAsia="Arial" w:hAnsi="Arial"/>
          <w:sz w:val="16"/>
          <w:szCs w:val="16"/>
          <w:i w:val="1"/>
          <w:iCs w:val="1"/>
          <w:color w:val="0E2A35"/>
        </w:rPr>
        <w:t xml:space="preserve"> </w:t>
      </w:r>
      <w:r>
        <w:rPr>
          <w:rFonts w:ascii="Arial" w:cs="Arial" w:eastAsia="Arial" w:hAnsi="Arial"/>
          <w:sz w:val="16"/>
          <w:szCs w:val="16"/>
          <w:color w:val="0E2A35"/>
        </w:rPr>
        <w:t>business combination transaction, the announcement or commencement of a tender offer, or any board assessment that a change in control may be imminent.</w:t>
      </w:r>
    </w:p>
    <w:p>
      <w:pPr>
        <w:spacing w:after="0" w:line="137" w:lineRule="exact"/>
        <w:rPr>
          <w:rFonts w:ascii="Arial" w:cs="Arial" w:eastAsia="Arial" w:hAnsi="Arial"/>
          <w:sz w:val="16"/>
          <w:szCs w:val="16"/>
          <w:color w:val="C7D265"/>
        </w:rPr>
      </w:pPr>
    </w:p>
    <w:p>
      <w:pPr>
        <w:ind w:left="720" w:right="20" w:hanging="360"/>
        <w:spacing w:after="0" w:line="253" w:lineRule="auto"/>
        <w:tabs>
          <w:tab w:leader="none" w:pos="720" w:val="left"/>
        </w:tabs>
        <w:numPr>
          <w:ilvl w:val="0"/>
          <w:numId w:val="62"/>
        </w:numPr>
        <w:rPr>
          <w:rFonts w:ascii="Arial" w:cs="Arial" w:eastAsia="Arial" w:hAnsi="Arial"/>
          <w:sz w:val="16"/>
          <w:szCs w:val="16"/>
          <w:color w:val="C7D265"/>
        </w:rPr>
      </w:pPr>
      <w:r>
        <w:rPr>
          <w:rFonts w:ascii="Arial" w:cs="Arial" w:eastAsia="Arial" w:hAnsi="Arial"/>
          <w:sz w:val="16"/>
          <w:szCs w:val="16"/>
          <w:i w:val="1"/>
          <w:iCs w:val="1"/>
          <w:color w:val="0E2A35"/>
        </w:rPr>
        <w:t>“Double trigger” acceleration of equity awards upon a Change in Control</w:t>
      </w:r>
      <w:r>
        <w:rPr>
          <w:rFonts w:ascii="Arial" w:cs="Arial" w:eastAsia="Arial" w:hAnsi="Arial"/>
          <w:sz w:val="16"/>
          <w:szCs w:val="16"/>
          <w:color w:val="0E2A35"/>
        </w:rPr>
        <w:t>. The Restated Plan provides for vesting of</w:t>
      </w:r>
      <w:r>
        <w:rPr>
          <w:rFonts w:ascii="Arial" w:cs="Arial" w:eastAsia="Arial" w:hAnsi="Arial"/>
          <w:sz w:val="16"/>
          <w:szCs w:val="16"/>
          <w:i w:val="1"/>
          <w:iCs w:val="1"/>
          <w:color w:val="0E2A35"/>
        </w:rPr>
        <w:t xml:space="preserve"> </w:t>
      </w:r>
      <w:r>
        <w:rPr>
          <w:rFonts w:ascii="Arial" w:cs="Arial" w:eastAsia="Arial" w:hAnsi="Arial"/>
          <w:sz w:val="16"/>
          <w:szCs w:val="16"/>
          <w:color w:val="0E2A35"/>
        </w:rPr>
        <w:t>time-based equity awards or performance-based equity awards based on both (1) the occurrence of a change in control and (2) an accompanying involuntary termination of service without cause or, if so provided by the Committee, a termination for good reason, within 24 months of the consummation of the change in control (other than in the event awards are not continued, assumed, or replaced in connection with a corporate transaction, in which case they will accelerate upon the change in control).</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720" w:right="40" w:hanging="360"/>
        <w:spacing w:after="0" w:line="251" w:lineRule="auto"/>
        <w:tabs>
          <w:tab w:leader="none" w:pos="720" w:val="left"/>
        </w:tabs>
        <w:numPr>
          <w:ilvl w:val="0"/>
          <w:numId w:val="63"/>
        </w:numPr>
        <w:rPr>
          <w:rFonts w:ascii="Arial" w:cs="Arial" w:eastAsia="Arial" w:hAnsi="Arial"/>
          <w:sz w:val="16"/>
          <w:szCs w:val="16"/>
          <w:color w:val="C7D265"/>
        </w:rPr>
      </w:pPr>
      <w:r>
        <w:rPr>
          <w:rFonts w:ascii="Arial" w:cs="Arial" w:eastAsia="Arial" w:hAnsi="Arial"/>
          <w:sz w:val="16"/>
          <w:szCs w:val="16"/>
          <w:i w:val="1"/>
          <w:iCs w:val="1"/>
          <w:color w:val="0E2A35"/>
        </w:rPr>
        <w:t>No parachute payment gross-ups; net best cutbacks</w:t>
      </w:r>
      <w:r>
        <w:rPr>
          <w:rFonts w:ascii="Arial" w:cs="Arial" w:eastAsia="Arial" w:hAnsi="Arial"/>
          <w:sz w:val="16"/>
          <w:szCs w:val="16"/>
          <w:color w:val="0E2A35"/>
        </w:rPr>
        <w:t>. The Restated Plan does not provide any parachute payment</w:t>
      </w:r>
      <w:r>
        <w:rPr>
          <w:rFonts w:ascii="Arial" w:cs="Arial" w:eastAsia="Arial" w:hAnsi="Arial"/>
          <w:sz w:val="16"/>
          <w:szCs w:val="16"/>
          <w:i w:val="1"/>
          <w:iCs w:val="1"/>
          <w:color w:val="0E2A35"/>
        </w:rPr>
        <w:t xml:space="preserve"> </w:t>
      </w:r>
      <w:r>
        <w:rPr>
          <w:rFonts w:ascii="Arial" w:cs="Arial" w:eastAsia="Arial" w:hAnsi="Arial"/>
          <w:sz w:val="16"/>
          <w:szCs w:val="16"/>
          <w:color w:val="0E2A35"/>
        </w:rPr>
        <w:t>gross-ups to its participants. The Restated Plan provides that if any benefits provided to a participant under the Restated Plan or other Company compensation arrangements in connection with a change in control would constitute “parachute payments” within the meaning of Code Section 280G and result in the imposition of an excise tax on the participant under Code Section 4999, then the amount of such payments and benefits will either (i) be reduced to the extent necessary to avoid characterization as parachute payments and the imposition of the excise tax, or (ii) be paid in full and remain subject to the imposition of the excise tax, whichever results in the participant’s receipt on an after-tax basis of the greatest amount of payments and benefits.</w:t>
      </w:r>
    </w:p>
    <w:p>
      <w:pPr>
        <w:spacing w:after="0" w:line="161" w:lineRule="exact"/>
        <w:rPr>
          <w:rFonts w:ascii="Arial" w:cs="Arial" w:eastAsia="Arial" w:hAnsi="Arial"/>
          <w:sz w:val="16"/>
          <w:szCs w:val="16"/>
          <w:color w:val="C7D265"/>
        </w:rPr>
      </w:pPr>
    </w:p>
    <w:p>
      <w:pPr>
        <w:ind w:left="720" w:right="180" w:hanging="360"/>
        <w:spacing w:after="0" w:line="263" w:lineRule="auto"/>
        <w:tabs>
          <w:tab w:leader="none" w:pos="720" w:val="left"/>
        </w:tabs>
        <w:numPr>
          <w:ilvl w:val="0"/>
          <w:numId w:val="63"/>
        </w:numPr>
        <w:rPr>
          <w:rFonts w:ascii="Arial" w:cs="Arial" w:eastAsia="Arial" w:hAnsi="Arial"/>
          <w:sz w:val="16"/>
          <w:szCs w:val="16"/>
          <w:color w:val="C7D265"/>
        </w:rPr>
      </w:pPr>
      <w:r>
        <w:rPr>
          <w:rFonts w:ascii="Arial" w:cs="Arial" w:eastAsia="Arial" w:hAnsi="Arial"/>
          <w:sz w:val="16"/>
          <w:szCs w:val="16"/>
          <w:i w:val="1"/>
          <w:iCs w:val="1"/>
          <w:color w:val="0E2A35"/>
        </w:rPr>
        <w:t xml:space="preserve">No repricing of underwater options or stock appreciation rights without shareholder approval. </w:t>
      </w:r>
      <w:r>
        <w:rPr>
          <w:rFonts w:ascii="Arial" w:cs="Arial" w:eastAsia="Arial" w:hAnsi="Arial"/>
          <w:sz w:val="16"/>
          <w:szCs w:val="16"/>
          <w:color w:val="0E2A35"/>
        </w:rPr>
        <w:t>The Restated Plan</w:t>
      </w:r>
      <w:r>
        <w:rPr>
          <w:rFonts w:ascii="Arial" w:cs="Arial" w:eastAsia="Arial" w:hAnsi="Arial"/>
          <w:sz w:val="16"/>
          <w:szCs w:val="16"/>
          <w:i w:val="1"/>
          <w:iCs w:val="1"/>
          <w:color w:val="0E2A35"/>
        </w:rPr>
        <w:t xml:space="preserve"> </w:t>
      </w:r>
      <w:r>
        <w:rPr>
          <w:rFonts w:ascii="Arial" w:cs="Arial" w:eastAsia="Arial" w:hAnsi="Arial"/>
          <w:sz w:val="16"/>
          <w:szCs w:val="16"/>
          <w:color w:val="0E2A35"/>
        </w:rPr>
        <w:t>prohibits, without shareholder approval, actions to reprice, replace, or repurchase options or SARs when the exercise price per share of an option or SAR exceeds the fair market value of a share of our common stock.</w:t>
      </w:r>
    </w:p>
    <w:p>
      <w:pPr>
        <w:spacing w:after="0" w:line="137" w:lineRule="exact"/>
        <w:rPr>
          <w:rFonts w:ascii="Arial" w:cs="Arial" w:eastAsia="Arial" w:hAnsi="Arial"/>
          <w:sz w:val="16"/>
          <w:szCs w:val="16"/>
          <w:color w:val="C7D265"/>
        </w:rPr>
      </w:pPr>
    </w:p>
    <w:p>
      <w:pPr>
        <w:ind w:left="720" w:right="40" w:hanging="360"/>
        <w:spacing w:after="0" w:line="281" w:lineRule="auto"/>
        <w:tabs>
          <w:tab w:leader="none" w:pos="720" w:val="left"/>
        </w:tabs>
        <w:numPr>
          <w:ilvl w:val="0"/>
          <w:numId w:val="63"/>
        </w:numPr>
        <w:rPr>
          <w:rFonts w:ascii="Arial" w:cs="Arial" w:eastAsia="Arial" w:hAnsi="Arial"/>
          <w:sz w:val="16"/>
          <w:szCs w:val="16"/>
          <w:color w:val="C7D265"/>
        </w:rPr>
      </w:pPr>
      <w:r>
        <w:rPr>
          <w:rFonts w:ascii="Arial" w:cs="Arial" w:eastAsia="Arial" w:hAnsi="Arial"/>
          <w:sz w:val="16"/>
          <w:szCs w:val="16"/>
          <w:i w:val="1"/>
          <w:iCs w:val="1"/>
          <w:color w:val="0E2A35"/>
        </w:rPr>
        <w:t>Limit on non</w:t>
      </w:r>
      <w:r>
        <w:rPr>
          <w:rFonts w:ascii="Arial" w:cs="Arial" w:eastAsia="Arial" w:hAnsi="Arial"/>
          <w:sz w:val="16"/>
          <w:szCs w:val="16"/>
          <w:color w:val="0E2A35"/>
        </w:rPr>
        <w:t>-</w:t>
      </w:r>
      <w:r>
        <w:rPr>
          <w:rFonts w:ascii="Arial" w:cs="Arial" w:eastAsia="Arial" w:hAnsi="Arial"/>
          <w:sz w:val="16"/>
          <w:szCs w:val="16"/>
          <w:i w:val="1"/>
          <w:iCs w:val="1"/>
          <w:color w:val="0E2A35"/>
        </w:rPr>
        <w:t>employee director awards</w:t>
      </w:r>
      <w:r>
        <w:rPr>
          <w:rFonts w:ascii="Arial" w:cs="Arial" w:eastAsia="Arial" w:hAnsi="Arial"/>
          <w:sz w:val="16"/>
          <w:szCs w:val="16"/>
          <w:color w:val="0E2A35"/>
        </w:rPr>
        <w:t>. The Restated Plan subjects awards to individual non-employee directors under</w:t>
      </w:r>
      <w:r>
        <w:rPr>
          <w:rFonts w:ascii="Arial" w:cs="Arial" w:eastAsia="Arial" w:hAnsi="Arial"/>
          <w:sz w:val="16"/>
          <w:szCs w:val="16"/>
          <w:i w:val="1"/>
          <w:iCs w:val="1"/>
          <w:color w:val="0E2A35"/>
        </w:rPr>
        <w:t xml:space="preserve"> </w:t>
      </w:r>
      <w:r>
        <w:rPr>
          <w:rFonts w:ascii="Arial" w:cs="Arial" w:eastAsia="Arial" w:hAnsi="Arial"/>
          <w:sz w:val="16"/>
          <w:szCs w:val="16"/>
          <w:color w:val="0E2A35"/>
        </w:rPr>
        <w:t>the Restated Plan to an annual limit of $400,000.</w:t>
      </w:r>
    </w:p>
    <w:p>
      <w:pPr>
        <w:spacing w:after="0" w:line="122" w:lineRule="exact"/>
        <w:rPr>
          <w:rFonts w:ascii="Arial" w:cs="Arial" w:eastAsia="Arial" w:hAnsi="Arial"/>
          <w:sz w:val="16"/>
          <w:szCs w:val="16"/>
          <w:color w:val="C7D265"/>
        </w:rPr>
      </w:pPr>
    </w:p>
    <w:p>
      <w:pPr>
        <w:ind w:left="720" w:right="120" w:hanging="360"/>
        <w:spacing w:after="0" w:line="263" w:lineRule="auto"/>
        <w:tabs>
          <w:tab w:leader="none" w:pos="720" w:val="left"/>
        </w:tabs>
        <w:numPr>
          <w:ilvl w:val="0"/>
          <w:numId w:val="63"/>
        </w:numPr>
        <w:rPr>
          <w:rFonts w:ascii="Arial" w:cs="Arial" w:eastAsia="Arial" w:hAnsi="Arial"/>
          <w:sz w:val="16"/>
          <w:szCs w:val="16"/>
          <w:color w:val="C7D265"/>
        </w:rPr>
      </w:pPr>
      <w:r>
        <w:rPr>
          <w:rFonts w:ascii="Arial" w:cs="Arial" w:eastAsia="Arial" w:hAnsi="Arial"/>
          <w:sz w:val="16"/>
          <w:szCs w:val="16"/>
          <w:i w:val="1"/>
          <w:iCs w:val="1"/>
          <w:color w:val="0E2A35"/>
        </w:rPr>
        <w:t xml:space="preserve">Clawback provisions. </w:t>
      </w:r>
      <w:r>
        <w:rPr>
          <w:rFonts w:ascii="Arial" w:cs="Arial" w:eastAsia="Arial" w:hAnsi="Arial"/>
          <w:sz w:val="16"/>
          <w:szCs w:val="16"/>
          <w:color w:val="0E2A35"/>
        </w:rPr>
        <w:t>All awards under the Restated Plan are subject to our compensation forfeiture and recoupment</w:t>
      </w:r>
      <w:r>
        <w:rPr>
          <w:rFonts w:ascii="Arial" w:cs="Arial" w:eastAsia="Arial" w:hAnsi="Arial"/>
          <w:sz w:val="16"/>
          <w:szCs w:val="16"/>
          <w:i w:val="1"/>
          <w:iCs w:val="1"/>
          <w:color w:val="0E2A35"/>
        </w:rPr>
        <w:t xml:space="preserve"> </w:t>
      </w:r>
      <w:r>
        <w:rPr>
          <w:rFonts w:ascii="Arial" w:cs="Arial" w:eastAsia="Arial" w:hAnsi="Arial"/>
          <w:sz w:val="16"/>
          <w:szCs w:val="16"/>
          <w:color w:val="0E2A35"/>
        </w:rPr>
        <w:t>policies, including with respect to our clawback policy adopted in compliance with the final SEC rules and NYSE listing requirements.</w:t>
      </w:r>
    </w:p>
    <w:p>
      <w:pPr>
        <w:spacing w:after="0" w:line="151" w:lineRule="exact"/>
        <w:rPr>
          <w:rFonts w:ascii="Arial" w:cs="Arial" w:eastAsia="Arial" w:hAnsi="Arial"/>
          <w:sz w:val="16"/>
          <w:szCs w:val="16"/>
          <w:color w:val="C7D265"/>
        </w:rPr>
      </w:pPr>
    </w:p>
    <w:p>
      <w:pPr>
        <w:ind w:left="720" w:right="100" w:hanging="360"/>
        <w:spacing w:after="0" w:line="263" w:lineRule="auto"/>
        <w:tabs>
          <w:tab w:leader="none" w:pos="720" w:val="left"/>
        </w:tabs>
        <w:numPr>
          <w:ilvl w:val="0"/>
          <w:numId w:val="63"/>
        </w:numPr>
        <w:rPr>
          <w:rFonts w:ascii="Arial" w:cs="Arial" w:eastAsia="Arial" w:hAnsi="Arial"/>
          <w:sz w:val="16"/>
          <w:szCs w:val="16"/>
          <w:color w:val="C7D265"/>
        </w:rPr>
      </w:pPr>
      <w:r>
        <w:rPr>
          <w:rFonts w:ascii="Arial" w:cs="Arial" w:eastAsia="Arial" w:hAnsi="Arial"/>
          <w:sz w:val="16"/>
          <w:szCs w:val="16"/>
          <w:i w:val="1"/>
          <w:iCs w:val="1"/>
          <w:color w:val="0E2A35"/>
        </w:rPr>
        <w:t xml:space="preserve">No discounted option or SAR grants. </w:t>
      </w:r>
      <w:r>
        <w:rPr>
          <w:rFonts w:ascii="Arial" w:cs="Arial" w:eastAsia="Arial" w:hAnsi="Arial"/>
          <w:sz w:val="16"/>
          <w:szCs w:val="16"/>
          <w:color w:val="0E2A35"/>
        </w:rPr>
        <w:t>The Restated Plan requires that the exercise price of options or SARs be at least</w:t>
      </w:r>
      <w:r>
        <w:rPr>
          <w:rFonts w:ascii="Arial" w:cs="Arial" w:eastAsia="Arial" w:hAnsi="Arial"/>
          <w:sz w:val="16"/>
          <w:szCs w:val="16"/>
          <w:i w:val="1"/>
          <w:iCs w:val="1"/>
          <w:color w:val="0E2A35"/>
        </w:rPr>
        <w:t xml:space="preserve"> </w:t>
      </w:r>
      <w:r>
        <w:rPr>
          <w:rFonts w:ascii="Arial" w:cs="Arial" w:eastAsia="Arial" w:hAnsi="Arial"/>
          <w:sz w:val="16"/>
          <w:szCs w:val="16"/>
          <w:color w:val="0E2A35"/>
        </w:rPr>
        <w:t>equal to the fair market value of our common stock on the date of grant (except in the limited case of “substitute awards” as described below).</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Description of the Amended and Restated 2019 Omnibus Incentive Plan</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0E2A35"/>
        </w:rPr>
        <w:t>The material changes to the 2019 Plan proposed in the Restated Plan are:</w:t>
      </w:r>
    </w:p>
    <w:p>
      <w:pPr>
        <w:spacing w:after="0" w:line="194" w:lineRule="exact"/>
        <w:rPr>
          <w:sz w:val="20"/>
          <w:szCs w:val="20"/>
          <w:color w:val="auto"/>
        </w:rPr>
      </w:pPr>
    </w:p>
    <w:p>
      <w:pPr>
        <w:ind w:left="720" w:hanging="360"/>
        <w:spacing w:after="0"/>
        <w:tabs>
          <w:tab w:leader="none" w:pos="720" w:val="left"/>
        </w:tabs>
        <w:numPr>
          <w:ilvl w:val="0"/>
          <w:numId w:val="64"/>
        </w:numPr>
        <w:rPr>
          <w:rFonts w:ascii="Arial" w:cs="Arial" w:eastAsia="Arial" w:hAnsi="Arial"/>
          <w:sz w:val="16"/>
          <w:szCs w:val="16"/>
          <w:color w:val="C7D265"/>
        </w:rPr>
      </w:pPr>
      <w:r>
        <w:rPr>
          <w:rFonts w:ascii="Arial" w:cs="Arial" w:eastAsia="Arial" w:hAnsi="Arial"/>
          <w:sz w:val="16"/>
          <w:szCs w:val="16"/>
          <w:color w:val="0E2A35"/>
        </w:rPr>
        <w:t>Increase the number of shares authorized for issuance by 2,400,000;</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64"/>
        </w:numPr>
        <w:rPr>
          <w:rFonts w:ascii="Arial" w:cs="Arial" w:eastAsia="Arial" w:hAnsi="Arial"/>
          <w:sz w:val="16"/>
          <w:szCs w:val="16"/>
          <w:color w:val="C7D265"/>
        </w:rPr>
      </w:pPr>
      <w:r>
        <w:rPr>
          <w:rFonts w:ascii="Arial" w:cs="Arial" w:eastAsia="Arial" w:hAnsi="Arial"/>
          <w:sz w:val="16"/>
          <w:szCs w:val="16"/>
          <w:color w:val="0E2A35"/>
        </w:rPr>
        <w:t>Extend the term of the Restated Plan to the date that is 10 years after shareholder approval of the Restated Plan;</w:t>
      </w:r>
    </w:p>
    <w:p>
      <w:pPr>
        <w:spacing w:after="0" w:line="180" w:lineRule="exact"/>
        <w:rPr>
          <w:rFonts w:ascii="Arial" w:cs="Arial" w:eastAsia="Arial" w:hAnsi="Arial"/>
          <w:sz w:val="16"/>
          <w:szCs w:val="16"/>
          <w:color w:val="C7D265"/>
        </w:rPr>
      </w:pPr>
    </w:p>
    <w:p>
      <w:pPr>
        <w:jc w:val="both"/>
        <w:ind w:left="720" w:right="320" w:hanging="360"/>
        <w:spacing w:after="0" w:line="261" w:lineRule="auto"/>
        <w:tabs>
          <w:tab w:leader="none" w:pos="720" w:val="left"/>
        </w:tabs>
        <w:numPr>
          <w:ilvl w:val="0"/>
          <w:numId w:val="64"/>
        </w:numPr>
        <w:rPr>
          <w:rFonts w:ascii="Arial" w:cs="Arial" w:eastAsia="Arial" w:hAnsi="Arial"/>
          <w:sz w:val="16"/>
          <w:szCs w:val="16"/>
          <w:color w:val="C7D265"/>
        </w:rPr>
      </w:pPr>
      <w:r>
        <w:rPr>
          <w:rFonts w:ascii="Arial" w:cs="Arial" w:eastAsia="Arial" w:hAnsi="Arial"/>
          <w:sz w:val="16"/>
          <w:szCs w:val="16"/>
          <w:color w:val="0E2A35"/>
        </w:rPr>
        <w:t>Eliminate a legacy provision that set forth a sub-limit on the number of awards that could be granted to a participant (other than a non-employee director), which provision was previously required to comply with Section 162(m) of the Code; and</w:t>
      </w:r>
    </w:p>
    <w:p>
      <w:pPr>
        <w:spacing w:after="0" w:line="155" w:lineRule="exact"/>
        <w:rPr>
          <w:rFonts w:ascii="Arial" w:cs="Arial" w:eastAsia="Arial" w:hAnsi="Arial"/>
          <w:sz w:val="16"/>
          <w:szCs w:val="16"/>
          <w:color w:val="C7D265"/>
        </w:rPr>
      </w:pPr>
    </w:p>
    <w:p>
      <w:pPr>
        <w:ind w:left="720" w:hanging="360"/>
        <w:spacing w:after="0" w:line="276" w:lineRule="auto"/>
        <w:tabs>
          <w:tab w:leader="none" w:pos="720" w:val="left"/>
        </w:tabs>
        <w:numPr>
          <w:ilvl w:val="0"/>
          <w:numId w:val="64"/>
        </w:numPr>
        <w:rPr>
          <w:rFonts w:ascii="Arial" w:cs="Arial" w:eastAsia="Arial" w:hAnsi="Arial"/>
          <w:sz w:val="16"/>
          <w:szCs w:val="16"/>
          <w:color w:val="C7D265"/>
        </w:rPr>
      </w:pPr>
      <w:r>
        <w:rPr>
          <w:rFonts w:ascii="Arial" w:cs="Arial" w:eastAsia="Arial" w:hAnsi="Arial"/>
          <w:sz w:val="16"/>
          <w:szCs w:val="16"/>
          <w:color w:val="0E2A35"/>
        </w:rPr>
        <w:t>Increase the annual maximum value of awards that may be granted to individual non-employee directors from $300,000 to $400,000</w:t>
      </w:r>
    </w:p>
    <w:p>
      <w:pPr>
        <w:spacing w:after="0" w:line="130"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0E2A35"/>
        </w:rPr>
        <w:t>In addition to the material changes described above, the Restated Plan also incorporates certain administrative changes and updates.</w:t>
      </w:r>
    </w:p>
    <w:p>
      <w:pPr>
        <w:spacing w:after="0" w:line="130"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0E2A35"/>
        </w:rPr>
        <w:t>The major features of the Restated Plan are summarized below. The summary is qualified in its entirety by reference to the full text of the Restated Plan, which is attached to this proxy statement as Appendix A.</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Eligible Participants</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0E2A35"/>
        </w:rPr>
        <w:t>Employees, consultants, and advisors of the Company or its affiliates, as well as non-employee directors of the Company, will be eligible to receive awards under the Restated Plan. As of October 19, 2023, there were approximately 6,176 employees of the Company and its affiliates and nine non-employee directors of the Company who would be eligible to receive awards under the Restated Plan.</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Administration</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6"/>
          <w:szCs w:val="16"/>
          <w:color w:val="0E2A35"/>
        </w:rPr>
        <w:t>The Restated Plan will be administered by the Committee. To the extent not inconsistent with applicable law or stock exchange rules, the Committee may delegate its authority under the Restated Plan to any one or more of its members, or, with respect to awards to participants who are not themselves our directors or executive officers, to one or more of our directors or executive officers or to a committee of the Board comprised of one or more directors. The Committee may also delegate non-discretionary administrative duties to other persons as it deems advisable. The full Board will perform the duties and have the responsibilities of the Committee with respect to awards under the Restated Plan that are made to our non-employee directors.</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16"/>
          <w:szCs w:val="16"/>
          <w:color w:val="0E2A35"/>
        </w:rPr>
        <w:t>The Committee has the authority to determine the persons to whom awards will be granted, the timing of awards, the type and number of shares covered by each award, the terms, conditions, performance criteria, and restrictions of the awards as well as the manner in which awards are paid and settled. The Committee may also establish, rescind, and modify rules to administer the Restated Plan, adopt sub-plans or special provisions applicable to certain awards, interpret the Restated Plan, any award and any related award agreement, reconcile any inconsistency, correct any defect or supply an omission in the Restated Plan and any related award agreement, cancel or suspend an award, determine in what circumstances an award will be forfeited, accelerate the vesting (subject to certain minimum vesting provisions) or extend the exercise period of an award (whether by amendment or other action), grant substitute awards in accordance with the Restated Plan, and require or permit the deferral of the settlement of an award.</w:t>
      </w:r>
    </w:p>
    <w:p>
      <w:pPr>
        <w:spacing w:after="0" w:line="152"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0E2A35"/>
        </w:rPr>
        <w:t>Except in connection with equity restructurings and other situations in which share adjustments are specifically authorized, the Restated Plan prohibits the Committee from repricing any outstanding option or SAR awards without the prior approval of our shareholders. For these purposes, a “repricing” includes amending the terms of an option or SAR award to lower the exercise price, canceling an option or SAR award in conjunction with granting a replacement option or SAR award with a lower exercise price, canceling an option or SAR award in exchange for cash, other property or grant of a new full value award at a time when the per share exercise price of the option or SAR award is greater than the fair market value of a share of our common stock, or otherwise making an option or SAR award subject to any action that would be treated under accounting rules as a “repricing.”</w:t>
      </w:r>
    </w:p>
    <w:p>
      <w:pPr>
        <w:spacing w:after="0" w:line="165"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0E2A35"/>
        </w:rPr>
        <w:t>Subject to certain limitations set forth in the Restated Plan, the Committee may also modify the terms of awards under the Restated Plan with respect to participants who reside outside of the United States or who are employed by a non-United States subsidiary of the Company in order to comply with local legal or regulatory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Available Shares and Limitations on Awards</w:t>
      </w:r>
    </w:p>
    <w:p>
      <w:pPr>
        <w:spacing w:after="0" w:line="189"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color w:val="0E2A35"/>
        </w:rPr>
        <w:t>A maximum of 3,668,060 shares of our common stock may be the subject of awards and issued under the Restated Plan. The shares of common stock issuable under the Restated Plan may come from authorized and unissued shares or treasury shares. Full value awards granted under the Restated Plan will count as 2 shares against the Restated Plan’s authorized share reserve, whereas options and SARs will continue to count as one share against the authorized share reserve.</w:t>
      </w:r>
    </w:p>
    <w:p>
      <w:pPr>
        <w:spacing w:after="0" w:line="160"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0E2A35"/>
        </w:rPr>
        <w:t>Under the terms of the Restated Plan, the aggregate grant date fair value of awards granted under the Restated Plan during a calendar year to any one of our non-employee directors (excluding awards granted at his or her election in lieu of any portion of retainers or fees otherwise payable in cash) may not exceed $400,000.</w:t>
      </w:r>
    </w:p>
    <w:p>
      <w:pPr>
        <w:spacing w:after="0" w:line="142"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color w:val="0E2A35"/>
        </w:rPr>
        <w:t>The share limitations under the Restated Plan are subject to adjustment for changes in our corporate structure or shares, as described below.</w:t>
      </w:r>
    </w:p>
    <w:p>
      <w:pPr>
        <w:spacing w:after="0" w:line="13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0E2A35"/>
        </w:rPr>
        <w:t>If any shares of our common stock subject to any award under the Restated Plan, or to an award under the 2014 Plan that was outstanding on the date our shareholders originally approved the 2019 Plan, that expires, is forfeited or cancelled, or is settled or paid in cash will, to the extent of such expiration, forfeiture, cancellation or cash settlement, become available again for future awards under the Restated Plan. Each share that again becomes available for awards in such manner will increase the share reserve, with shares subject to full value awards increasing the share reserve by 2 shares and shares subject to options and SARs increasing the share reserve by one share. However, shares tendered or withheld in payment of the purchase price of a stock option, shares tendered or withheld to satisfy a tax withholding obligation, shares repurchased with proceeds received by the Company from exercise of a stock option and shares subject to a stock appreciation right that are not issued in connection with the stock settlement of the stock appreciation right may not be used again under the Restated Plan.</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0E2A35"/>
        </w:rPr>
        <w:t>Any shares of common stock issuable during the term of the Restated Plan as a result of the reinvestment of dividends or the deemed reinvestment of dividend equivalents in connection with an award under the Restated Plan or our Restated Plan or 2014 Plan that are forfeited also will automatically replenish the Restated Plan share reserve to the extent of such forfeiture.</w:t>
      </w:r>
    </w:p>
    <w:p>
      <w:pPr>
        <w:spacing w:after="0" w:line="15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Awards granted or shares of our common stock issued under the Restated Plan upon the assumption of, or in substitution or exchange for, outstanding equity awards previously granted by an entity acquired by us or any of our affiliates or with which we or any of our affiliates combines (referred to as “substitute awards”) will not reduce the share reserve under the Restated Plan and will not reduce the shares authorized for grant to a participant in any calendar year.</w:t>
      </w:r>
    </w:p>
    <w:p>
      <w:pPr>
        <w:spacing w:after="0" w:line="14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0E2A35"/>
        </w:rPr>
        <w:t>Additionally, if a company acquired by us or any of our subsidiaries or with which we or any of our subsidiaries combines has shares available under a pre-existing plan approved by its shareholders and not adopted in contemplation of such acquisition or combination, the shares available for grant pursuant to the terms of that pre-existing plan may be used for awards under the Restated Plan and will supplement the share reserve under the Restated Plan, but only if the awards are made to individuals who were not employed by, or serving as a non-employee director of, us or any of our subsidiaries prior to such acquisition or combination.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Share Adjustment Provisions</w:t>
      </w:r>
    </w:p>
    <w:p>
      <w:pPr>
        <w:spacing w:after="0" w:line="18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0E2A35"/>
        </w:rPr>
        <w:t>If certain equity transactions occur that cause the per share value of our common stock to change, such as stock dividends, stock splits, spin-offs, rights offerings, or certain recapitalizations (referred to as “equity restructurings”), the Committee will make adjustments as it deems equitable and appropriate to: (i) the aggregate number and kind of shares or other securities issued or reserved for issuance under the Restated Plan, (ii) the number and kind of shares or other securities subject to outstanding awards, (iii) the exercise price of outstanding options and SAR awards, and (iv) award limitations prescribed by the Restated Plan. Other types of transactions may also affect our common stock, such as a reorganization, merger, consolidation or partial or complete liquidation of our Company. If there is such a transaction and the Committee determines that adjustments of the type previously described in connection with equity restructurings would be appropriate to prevent any dilution or enlargement of benefits under the Restated Plan, the Committee may make such adjustments as it deems equitable.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Types of Awards</w:t>
      </w:r>
    </w:p>
    <w:p>
      <w:pPr>
        <w:spacing w:after="0" w:line="202"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0E2A35"/>
        </w:rPr>
        <w:t>The Restated Plan permits us to award stock options, SARs, restricted stock awards, stock unit awards, and other stock-based awards to eligible recipients. These types of awards are described in more detail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Stock Options</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0E2A35"/>
        </w:rPr>
        <w:t>Employees of the Company or any subsidiary may be granted options to purchase common stock that qualify as “incentive stock options” within the meaning of Section 422 of the Code, and any eligible recipient may be granted options to purchase common stock that do not qualify as incentive stock options, referred to as “nonqualified stock options.” The per share exercise price to be paid by a participant at the time an option is exercised may not be less than 100% of the fair market value of one share of our common stock on the date of grant, unless the option is granted as a substitute award as described above. “Fair market value” under the Restated Plan as of any date generally means the closing sale price of a share of our common stock on the NYSE on that date.</w:t>
      </w:r>
    </w:p>
    <w:p>
      <w:pPr>
        <w:spacing w:after="0" w:line="165"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0E2A35"/>
        </w:rPr>
        <w:t>The total purchase price of the shares to be purchased upon exercise of an option will be paid by the participant in cash unless the Committee permits exercise payments to be made, in whole or in part, (i) by means of a broker-assisted sale and remittance program, (ii) by delivery to us (or attestation as to ownership) of shares of common stock already owned by the participant, or (iii) by a “net exercise” of the option in which a portion of the shares otherwise issuable upon exercise of the option are withheld by us. Any shares delivered or withheld in payment of an exercise price will be valued at their fair market value on the exercise date and have an aggregate value equal to the purchase price of the shares being purchased.</w:t>
      </w:r>
    </w:p>
    <w:p>
      <w:pPr>
        <w:spacing w:after="0" w:line="150" w:lineRule="exact"/>
        <w:rPr>
          <w:sz w:val="20"/>
          <w:szCs w:val="20"/>
          <w:color w:val="auto"/>
        </w:rPr>
      </w:pPr>
    </w:p>
    <w:p>
      <w:pPr>
        <w:ind w:right="460"/>
        <w:spacing w:after="0" w:line="261" w:lineRule="auto"/>
        <w:rPr>
          <w:sz w:val="20"/>
          <w:szCs w:val="20"/>
          <w:color w:val="auto"/>
        </w:rPr>
      </w:pPr>
      <w:r>
        <w:rPr>
          <w:rFonts w:ascii="Arial" w:cs="Arial" w:eastAsia="Arial" w:hAnsi="Arial"/>
          <w:sz w:val="16"/>
          <w:szCs w:val="16"/>
          <w:color w:val="0E2A35"/>
        </w:rPr>
        <w:t>An option will vest and become exercisable at such time, in such installments and subject to such conditions as may be determined by the Committee, and no option may have a term greater than ten years from its date of grant. No dividends or dividend equivalents may be paid or credited with respect to shares subject to an option award.</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0E2A35"/>
        </w:rPr>
        <w:t>The aggregate fair market value of shares of our common stock with respect to which incentive stock options granted to any participant may first become exercisable during any calendar year may not exceed $100,000. Any incentive stock options that become exercisable in excess of this amount will be treated as nonqualified stock options. The maximum number of shares that may be issued upon the exercise of incentive stock option awards under the Restated Plan is the same number of shares which may be issued under the plan.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Stock Appreciation Rights</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6"/>
          <w:szCs w:val="16"/>
          <w:color w:val="0E2A35"/>
        </w:rPr>
        <w:t>A SAR award provides the right to receive, in cash and/or shares of our common stock (as determined by the Committee), an amount equal to the difference between (i) the fair market value as of the date of exercise of the number of shares of our common stock as to which the SAR is being exercised, and (ii) the aggregate exercise price of that number of shares. The exercise price per share of a SAR award will be determined by the Committee, but may not be less than 100% of the fair market value of one share of our common stock on the date of grant, unless the SAR is granted as a substitute award as described above. No dividends or dividend equivalents may be paid or credited with respect to shares subject to a SAR award. A SAR award may not have a term greater than ten years from its date of grant, and will be subject to such other terms and conditions, consistent with the terms of the Restated Plan, as may be determined by the Committee.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Restricted Stock Awards</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0E2A35"/>
        </w:rPr>
        <w:t>A restricted stock award is an award of our common stock that vests at such times and in such installments as may be determined by the Committee. Until it vests, the shares subject to the award are subject to restrictions on transferability and the possibility of forfeiture. The Committee may impose such restrictions or conditions to the vesting of restricted stock awards as it deems appropriate, including that we, or any of our subsidiaries or business units, satisfy specified performance goals. Dividends or distributions payable with respect to shares that are subject to the unvested portion of a restricted stock award will be subject to the same restrictions and risk of forfeiture as the shares to which such dividends or distributions relate. Unless otherwise provided in an award agreement, participants are entitled to vote restricted shares prior to the time they vest.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Stock Unit Awards</w:t>
      </w:r>
    </w:p>
    <w:p>
      <w:pPr>
        <w:spacing w:after="0" w:line="18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0E2A35"/>
        </w:rPr>
        <w:t>A stock unit award is a right to receive the fair market value of a specified number of shares of our common stock, payable in cash, shares, or a combination of both, that vests at such times, in such installments and subject to such conditions as may be determined by the Committee, including the satisfaction of specified performance goals. Until it vests, a stock unit award is subject to restrictions and the possibility of forfeiture. Following the vesting of a stock unit award, settlement of the award and payment to the participant will be made at such time as determined by the Committee. Stock unit awards will be subject to such other terms and conditions, consistent with the other provisions of the Restated Plan, as may be determined by the Committee. The Committee may provide for the payment of dividend equivalents on stock unit awards and other stock-based awards and any such dividend equivalents will be subject to the same restrictions and risk of forfeiture as the underlying units or other awards to which such dividend equivalents relate.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Other Stock-Based Awards</w:t>
      </w:r>
    </w:p>
    <w:p>
      <w:pPr>
        <w:spacing w:after="0" w:line="20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0E2A35"/>
        </w:rPr>
        <w:t>The Committee may grant awards of common stock and other awards that are valued by reference to and/or payable in shares of our common stock under the Restated Plan. The Committee has discretion in determining the terms and conditions of such awards, consistent with the terms and purposes of the Restated Plan.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Minimum Vesting Periods</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6"/>
          <w:szCs w:val="16"/>
          <w:color w:val="0E2A35"/>
        </w:rPr>
        <w:t>Awards that vest based solely on the satisfaction of service-based vesting conditions are subject to a minimum vesting period of one year from the date of grant, and awards whose grant or vesting is subject to performance-based vesting conditions must be subject to a performance period of not less than one year. These required vesting and performance periods will not apply: (i) to awards granted to our non-employee directors in payment of or in exchange for other compensation that is already earned and payable, (ii) upon certain specified instances of a change in control, (iii) upon termination of service due to death or disability, (iv) to a substitute award that does not reduce the vesting period of the award being replaced, or (v) to awards involving an aggregate</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420"/>
        <w:spacing w:after="0" w:line="261" w:lineRule="auto"/>
        <w:rPr>
          <w:sz w:val="20"/>
          <w:szCs w:val="20"/>
          <w:color w:val="auto"/>
        </w:rPr>
      </w:pPr>
      <w:r>
        <w:rPr>
          <w:rFonts w:ascii="Arial" w:cs="Arial" w:eastAsia="Arial" w:hAnsi="Arial"/>
          <w:sz w:val="16"/>
          <w:szCs w:val="16"/>
          <w:color w:val="0E2A35"/>
        </w:rPr>
        <w:t>number of shares not in excess of 5% of the Restated Plan’s share reserve. For purposes of awards made to non-employee directors, a vesting period will be deemed to be one year if it runs from the date of one annual meeting of the Company’s shareholders to the date of the next annual meeting of the Company’s shareholders.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Transferability of Awards</w:t>
      </w:r>
    </w:p>
    <w:p>
      <w:pPr>
        <w:spacing w:after="0" w:line="20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0E2A35"/>
        </w:rPr>
        <w:t>In general, no right or interest in any award under the Restated Plan may be sold, assigned, transferred, exchanged or encumbered by a participant, voluntarily or involuntarily, except by will or the laws of descent and distribution. However, the Committee may provide that an award (other than an incentive stock option) may be transferable by gift to a participant’s family member or pursuant to a domestic relations order. Any award held by such permitted transferee will remain subject to the same terms and conditions that were applicable to the award before the transfer thereof.</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Performance-Based Compensation</w:t>
      </w:r>
    </w:p>
    <w:p>
      <w:pPr>
        <w:spacing w:after="0" w:line="18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0E2A35"/>
        </w:rPr>
        <w:t>The Committee may grant awards under the Restated Plan as a performance-based award if the Committee establishes performance goals to be attained based on one or more performance measures, and the performance period over which the specified performance is to be attained, as a condition to the grant, vesting, exercisability, lapse of restrictions and/or settlement in cash or shares of such award. Performance measures may include one or more of the following: (i) stock price measures (including but not limited to growth measures and total shareholder return); (ii) earnings per share (actual or targeted growth); (iii) earnings before interest, taxes, depreciation, and amortization (EBITDA); (iv) economic value added (EVA); (v) net income measures (including but not limited to income after capital costs and income before or after taxes); (vi) revenue and/or sales (gross or net) and margins; (vii) operating income; (viii) cash flow and working capital measures; (ix) return measures (including but not limited to return on assets, equity and/or invested capital); (x) growth measures (including revenue or sales growth);</w:t>
      </w:r>
    </w:p>
    <w:p>
      <w:pPr>
        <w:spacing w:after="0" w:line="2" w:lineRule="exact"/>
        <w:rPr>
          <w:sz w:val="20"/>
          <w:szCs w:val="20"/>
          <w:color w:val="auto"/>
        </w:rPr>
      </w:pPr>
    </w:p>
    <w:p>
      <w:pPr>
        <w:spacing w:after="0" w:line="248" w:lineRule="auto"/>
        <w:tabs>
          <w:tab w:leader="none" w:pos="270" w:val="left"/>
        </w:tabs>
        <w:numPr>
          <w:ilvl w:val="0"/>
          <w:numId w:val="65"/>
        </w:numPr>
        <w:rPr>
          <w:rFonts w:ascii="Arial" w:cs="Arial" w:eastAsia="Arial" w:hAnsi="Arial"/>
          <w:sz w:val="16"/>
          <w:szCs w:val="16"/>
          <w:color w:val="0E2A35"/>
        </w:rPr>
      </w:pPr>
      <w:r>
        <w:rPr>
          <w:rFonts w:ascii="Arial" w:cs="Arial" w:eastAsia="Arial" w:hAnsi="Arial"/>
          <w:sz w:val="16"/>
          <w:szCs w:val="16"/>
          <w:color w:val="0E2A35"/>
        </w:rPr>
        <w:t>market share; (xii) product quality and customer satisfaction measures; (xiii) corporate values and strategic measures (including but not limited to ethics compliance, environmental, safety, strategic and succession planning); and (xiv) any other financial, operational or strategic measure approved by the Committee. Any performance goal based on one or more of the foregoing performance measures may be expressed in absolute amounts, on a per share basis (basic or diluted), relative to one or more other performance measures, as a growth rate or change from preceding periods, or as a comparison to the performance of specified companies, indices or other external measures, and may relate to one or any combination of the Company, its affiliates, divisions, business segments, business units or individual performance.</w:t>
      </w:r>
    </w:p>
    <w:p>
      <w:pPr>
        <w:spacing w:after="0" w:line="16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0E2A35"/>
        </w:rPr>
        <w:t>For each performance-based award, the Committee will select the applicable performance measure(s), specify the performance goal(s) based on those performance measures for any performance period, specify in terms of a formula or standard the method for calculating the amount payable to a participant if the performance goal(s) are satisfied, and determine the degree to which applicable performance goals have been satisfied and any amount that vests and is payable in connection with such award. When specifying performance goals in an award, the Committee may provide that one or more adjustments will be made to the performance measures on which the performance goals are based, which may include adjustments that would cause such measures to be considered “non-GAAP” financial measures. The Committee also may provide, in an agreement or otherwise, for the modification of a performance period and/or adjustments to or waivers of the achievement of performance goals under specified circumstances such as the occurrence of events that are unusual in nature or infrequently occurring, such as a change in control, certain equity restructurings, acquisitions, divestitures, restructuring activities, recapitalizations, or asset write-downs, changes in applicable tax laws or accounting principles, or a participant’s death or disability. The Committee may, in its discretion and based on such considerations as it deems appropriate, adjust any amount otherwise determined by the application of the performance goals to be otherwise payable in connection with an award.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Change in Control</w:t>
      </w:r>
    </w:p>
    <w:p>
      <w:pPr>
        <w:spacing w:after="0" w:line="18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0E2A35"/>
        </w:rPr>
        <w:t>If a change in control of the Company that involves a corporate transaction occurs, then the consequences will be as described below unless the Committee provides otherwise in an applicable award or other agreement with a participant. If outstanding awards are continued, assumed or replaced by the surviving or successor entity in connection with a corporate transaction, and if within 24 months after the corporate transaction a participant’s employment or other service is involuntarily terminated without cause, or, if so provided in the discretion of the Committee in an award agreement, the participant terminates his or her employment or other service for good</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0E2A35"/>
        </w:rPr>
        <w:t>reason, (i) each of the participant’s outstanding options and SARs will become fully vested and exercisable and will remain exercisable for one year, and (ii) each of the participant’s unvested full value awards will fully vest. To the extent vesting of any award continued, assumed or replaced is subject to satisfaction of specified performance goals, those goals will be deemed to be achieved as of the date of the corporate transaction at the target level of performance, or, in the discretion of the Committee, at the actual level of performance (if determinable), and such Awards will continue to be subject to any continuing service requirements.</w:t>
      </w:r>
    </w:p>
    <w:p>
      <w:pPr>
        <w:spacing w:after="0" w:line="200" w:lineRule="exact"/>
        <w:rPr>
          <w:sz w:val="20"/>
          <w:szCs w:val="20"/>
          <w:color w:val="auto"/>
        </w:rPr>
      </w:pPr>
    </w:p>
    <w:p>
      <w:pPr>
        <w:spacing w:after="0" w:line="26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0E2A35"/>
        </w:rPr>
        <w:t>If any outstanding award is not continued, assumed or replaced in connection with a change in control involving a corporate transaction, then (i) all outstanding options and SARs will become fully vested and exercisable for a period of time prior to the effective time of the corporate transaction and will then terminate at the effective time of the corporate transaction, and (ii) all full value awards will fully vest immediately prior to the effective time of the corporate transaction. For these purposes, a performance-based award will be considered fully vested at the greater of target level of performance or actual level of performance (if determinable) and the vested portion of the Award at that level of performance is proportionate to the portion of the performance period that has elapsed prior to the corporate transaction. Alternatively, if outstanding awards are not continued, assumed or replaced, the Committee may elect to cancel such awards at or immediately prior to the effective time of the corporate transaction in exchange for a payment with respect to each award in an amount equal to the excess, if any, between the fair market value of the consideration that would otherwise be received in the corporate transaction for the same number of shares over the aggregate exercise price (if any) for the shares subject to such award (or, if there is no excess, such award may be terminated without payment).</w:t>
      </w:r>
    </w:p>
    <w:p>
      <w:pPr>
        <w:spacing w:after="0" w:line="153"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0E2A35"/>
        </w:rPr>
        <w:t>In the event of a change in control of the Company that does not involve a corporate transaction, if within 24 months after the change in control a participant’s employment or other service is involuntarily terminated without cause, or, if so provided in the discretion of the Committee in an award agreement, the participant terminates his or her employment or other service for good reason, (i) each of the participant’s outstanding options and SARs will become fully vested and exercisable and remain exercisable for one year, and (ii) each of the participant’s unvested full value awards will fully vest. For these purposes, a performance-based award will be considered fully vested at the greater of target level of performance or actual level of performance (if determinable) and the vested portion of the Award at that level of performance is proportionate to the portion of the performance period that has elapsed prior to the participant’s termination of employment or other service.</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6"/>
          <w:szCs w:val="16"/>
          <w:color w:val="0E2A35"/>
        </w:rPr>
        <w:t>The Restated Plan also provides that if any payments or benefits provided to a participant under the Restated Plan or any other Company compensation programs or arrangements in connection with a change in control would constitute “parachute payments” within the meaning of Code Section 280G, and would otherwise result in the imposition of an excise tax under Code</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6"/>
          <w:szCs w:val="16"/>
          <w:color w:val="0E2A35"/>
        </w:rPr>
        <w:t>Section 4999, then the amount of such payments and benefits will either (i) be reduced to the extent necessary to avoid characterization as parachute payments and the imposition of the excise tax, or (ii) be paid in full and remain subject to the imposition of the excise tax, whichever results in the participant’s receipt on an after-tax basis of the greatest amount of payments and benefits.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0E2A35"/>
        </w:rPr>
        <w:t>For purposes of the Restated Plan, the following terms have the meanings indicated:</w:t>
      </w:r>
    </w:p>
    <w:p>
      <w:pPr>
        <w:spacing w:after="0" w:line="140" w:lineRule="exact"/>
        <w:rPr>
          <w:sz w:val="20"/>
          <w:szCs w:val="20"/>
          <w:color w:val="auto"/>
        </w:rPr>
      </w:pPr>
    </w:p>
    <w:p>
      <w:pPr>
        <w:ind w:left="720" w:right="80" w:hanging="360"/>
        <w:spacing w:after="0" w:line="253" w:lineRule="auto"/>
        <w:tabs>
          <w:tab w:leader="none" w:pos="720" w:val="left"/>
        </w:tabs>
        <w:numPr>
          <w:ilvl w:val="0"/>
          <w:numId w:val="66"/>
        </w:numPr>
        <w:rPr>
          <w:rFonts w:ascii="Arial" w:cs="Arial" w:eastAsia="Arial" w:hAnsi="Arial"/>
          <w:sz w:val="16"/>
          <w:szCs w:val="16"/>
          <w:color w:val="C7D265"/>
        </w:rPr>
      </w:pPr>
      <w:r>
        <w:rPr>
          <w:rFonts w:ascii="Arial" w:cs="Arial" w:eastAsia="Arial" w:hAnsi="Arial"/>
          <w:sz w:val="16"/>
          <w:szCs w:val="16"/>
          <w:color w:val="0E2A35"/>
        </w:rPr>
        <w:t>A “change in control” generally refers to the acquisition by a person or group of beneficial ownership of 30% or more of the combined voting power of our voting securities, our continuing directors ceasing to constitute a majority of our Board, or the consummation of a corporate transaction as defined below (unless immediately following such corporate transaction all or substantially all of our previous holders of voting securities beneficially own 50% or more of the combined voting power of the resulting entity in substantially the same proportions).</w:t>
      </w:r>
    </w:p>
    <w:p>
      <w:pPr>
        <w:spacing w:after="0" w:line="123" w:lineRule="exact"/>
        <w:rPr>
          <w:rFonts w:ascii="Arial" w:cs="Arial" w:eastAsia="Arial" w:hAnsi="Arial"/>
          <w:sz w:val="16"/>
          <w:szCs w:val="16"/>
          <w:color w:val="C7D265"/>
        </w:rPr>
      </w:pPr>
    </w:p>
    <w:p>
      <w:pPr>
        <w:ind w:left="720" w:right="340" w:hanging="360"/>
        <w:spacing w:after="0" w:line="276" w:lineRule="auto"/>
        <w:tabs>
          <w:tab w:leader="none" w:pos="720" w:val="left"/>
        </w:tabs>
        <w:numPr>
          <w:ilvl w:val="0"/>
          <w:numId w:val="66"/>
        </w:numPr>
        <w:rPr>
          <w:rFonts w:ascii="Arial" w:cs="Arial" w:eastAsia="Arial" w:hAnsi="Arial"/>
          <w:sz w:val="16"/>
          <w:szCs w:val="16"/>
          <w:color w:val="C7D265"/>
        </w:rPr>
      </w:pPr>
      <w:r>
        <w:rPr>
          <w:rFonts w:ascii="Arial" w:cs="Arial" w:eastAsia="Arial" w:hAnsi="Arial"/>
          <w:sz w:val="16"/>
          <w:szCs w:val="16"/>
          <w:color w:val="0E2A35"/>
        </w:rPr>
        <w:t>A “corporate transaction” generally means (i) a sale or other disposition of all or substantially all of the assets of the Company, or (ii) a merger, consolidation, share exchange or similar transaction involving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Effect of Termination of Employment or Other Service</w:t>
      </w:r>
    </w:p>
    <w:p>
      <w:pPr>
        <w:spacing w:after="0" w:line="20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0E2A35"/>
        </w:rPr>
        <w:t>Unless otherwise set forth in an applicable award agreement, if a participant ceases to be employed by or provide other services to us and our affiliates, awards under the Restated Plan will be treated as set forth in the Restated Plan. Upon termination for cause or upon conduct that would constitute cause during any post-termination exercise period, all unexercised option and SAR awards and all unvested portions of any other outstanding awards</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0E2A35"/>
        </w:rPr>
        <w:t>will be immediately forfeited without consideration. If a participant's service is terminated due to his or her death or disability, all unvested portions of any outstanding awards will vest in full immediately and the currently vested and exercisable portions of option and SAR awards may be exercised for a period of one year after the date of such termination. Upon termination for any reason other than death, disability or cause, all unvested and unexercisable portions of any outstanding awards will be immediately forfeited without consideration and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w:t>
      </w:r>
    </w:p>
    <w:p>
      <w:pPr>
        <w:spacing w:after="0" w:line="27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0E2A35"/>
        </w:rPr>
        <w:t>Under the Restated Plan, “cause” is generally defined as (i) material failure to perform satisfactorily the duties reasonably required of such person; (ii) material violation of any law, rule, regulation, court order or regulatory directive (other than traffic violations, misdemeanors or other minor offenses), including but not limited to, a violation of any federal or state securities laws, rules or regulations or of any rule or other requirement of any securities exchanges on which our common stock may, at the time, be listed; (iii) material breach of our business conduct or ethics code or of any fiduciary duty or nondisclosure, non-solicitation, non-competition or similar obligation owed to the Company or any of its affiliates; (iv) engaging in any act or practice that involves personal dishonesty or demonstrates a willful and continuing disregard for the best interests of the Company and its affiliates; or</w:t>
      </w:r>
    </w:p>
    <w:p>
      <w:pPr>
        <w:spacing w:after="0" w:line="4" w:lineRule="exact"/>
        <w:rPr>
          <w:sz w:val="20"/>
          <w:szCs w:val="20"/>
          <w:color w:val="auto"/>
        </w:rPr>
      </w:pPr>
    </w:p>
    <w:p>
      <w:pPr>
        <w:ind w:right="20"/>
        <w:spacing w:after="0" w:line="253" w:lineRule="auto"/>
        <w:tabs>
          <w:tab w:leader="none" w:pos="234" w:val="left"/>
        </w:tabs>
        <w:numPr>
          <w:ilvl w:val="0"/>
          <w:numId w:val="67"/>
        </w:numPr>
        <w:rPr>
          <w:rFonts w:ascii="Arial" w:cs="Arial" w:eastAsia="Arial" w:hAnsi="Arial"/>
          <w:sz w:val="16"/>
          <w:szCs w:val="16"/>
          <w:color w:val="0E2A35"/>
        </w:rPr>
      </w:pPr>
      <w:r>
        <w:rPr>
          <w:rFonts w:ascii="Arial" w:cs="Arial" w:eastAsia="Arial" w:hAnsi="Arial"/>
          <w:sz w:val="16"/>
          <w:szCs w:val="16"/>
          <w:color w:val="0E2A35"/>
        </w:rPr>
        <w:t>engaging in dishonorable or disruptive behavior, practices or acts which would be reasonably expected to harm or bring disrepute to the Company or any of its affiliates, their business or any of their customers, employees or vendors, provided that if a participant has another then-effective written agreement with the Company that defines “cause”, that definition will control.</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Effective Date and Term of the Restated Plan</w:t>
      </w:r>
    </w:p>
    <w:p>
      <w:pPr>
        <w:spacing w:after="0" w:line="201"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0E2A35"/>
        </w:rPr>
        <w:t>The Restated Plan will become effective on the date it is approved by the Company’s shareholders. No awards will be made under the Restated Plan prior to its effective date. Unless terminated earlier, the Restated Plan will terminate on the tenth anniversary of its effective date. Awards outstanding under the Restated Plan at the time it is terminated will continue in accordance with their terms and the terms of the Restated Plan unless otherwise provided in the applicable agreements.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Amendment of the Plan</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0E2A35"/>
        </w:rPr>
        <w:t>Our Board may amend the Restated Plan from time to time, but no amendments to the Restated Plan will be effective without shareholder approval if such approval is required under applicable laws, regulations or stock exchange rules. Our Board also may suspend or terminate the Restated Plan at any time. No termination, suspension or amendment of the Restated Plan may materially impair the rights of any participant under a previously granted award without the consent of the affected participant, unless such action is necessary to comply with applicable laws or stock exchange rules.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Amendment of Awards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6"/>
          <w:szCs w:val="16"/>
          <w:color w:val="0E2A35"/>
        </w:rPr>
        <w:t>The Committee may amend the terms of any award subject to certain limitations, however, no such amendment may materially impair the rights of any participant under a previously granted award without the consent of the affected participant, except for amendments necessary to comply with applicable laws, stock exchange rules or any compensation recovery policy as provided in the Restated Plan.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Forfeiture and Clawback</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0E2A35"/>
        </w:rPr>
        <w:t>All awards under the Restated Plan and any compensation associated therewith will be subject to forfeiture, recovery by the Company or other action pursuant to any compensation recovery policy or policies adopted by the Board or the Committee at any time, as amended from time to time, including but not limited to, any compensation recovery policy adopted by the Board or the Committee in response to the rules of the SEC and listing standards of the NYSE, or other rules and regulations implementing the foregoing or as otherwise required by law.</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6"/>
          <w:szCs w:val="16"/>
          <w:color w:val="0E2A35"/>
        </w:rPr>
        <w:t>In addition, the Committee may specify in an award agreement that a participant’s rights, payments, and benefits under the award will be subject to reduction, cancellation, forfeiture or recovery by the Company upon the occurrence of certain other specified events, which may include termination of service for cause; violation of any material Company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United States Federal Income Tax Consequences</w:t>
      </w:r>
    </w:p>
    <w:p>
      <w:pPr>
        <w:spacing w:after="0" w:line="18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0E2A35"/>
        </w:rPr>
        <w:t>The following is a summary of the principal United States federal income tax consequences to the Company and to participants subject to United States taxation with respect to awards granted under the Restated Plan, based on statutes, regulations and interpretations in effect as of the date of this proxy statement.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Non-Qualified Stock Options</w:t>
      </w:r>
    </w:p>
    <w:p>
      <w:pPr>
        <w:spacing w:after="0" w:line="20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0E2A35"/>
        </w:rPr>
        <w:t>If a participant is granted a non-qualified stock option under the Restated Plan, the participant will not recognize taxable income upon the grant of the option. Generally, the participant will recognize ordinary income at the time of exercise in an amount equal to the difference between the fair market value of the shares acquired at the time of exercise and the exercise price paid. The participant’s basis in the common stock for purposes of determining gain or loss on a subsequent sale or disposition of such shares generally will be the fair market value of our common stock on the date the option was exercised. Any subsequent gain or loss will be taxable as a capital gain or loss. The Company will generally be entitled to a federal income tax deduction at the time and for the same amount as the participant recognizes as ordinary income.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Incentive Stock Options</w:t>
      </w:r>
    </w:p>
    <w:p>
      <w:pPr>
        <w:spacing w:after="0" w:line="18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0E2A35"/>
        </w:rPr>
        <w:t>If a participant is granted an incentive stock option under the Restated Plan, the participant will not recognize taxable income upon grant of the option. Generally, the participant will not recognize taxable income at the time of exercise. However, the excess of the fair market value of the shares acquired at the time of exercise over the aggregate exercise price is an item of tax preference income potentially subject to the alternative minimum tax. If shares acquired upon exercise of an incentive stock option satisfy applicable holding period requirements (a minimum of two years from the date of grant and one year from the date of exercise), the gain or loss (in an amount equal to the difference between the fair market value on the date of sale and the exercise price) upon disposition of the shares will be treated as a long-term capital gain or loss, and the Company will not be entitled to any deduction. Except in the event of death, if the holding period requirements are not met, the incentive stock option will be treated as one that does not meet the requirements of the Code for incentive stock options and the tax consequences described for nonqualified stock options will generally apply.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Other Awards</w:t>
      </w:r>
    </w:p>
    <w:p>
      <w:pPr>
        <w:spacing w:after="0" w:line="18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0E2A35"/>
        </w:rPr>
        <w:t>The current federal income tax consequences of other awards authorized under the Restated Plan generally follow certain basic patterns. An award of restricted stock results in income recognition by a participant in an amount equal to the fair market value of the shares received at the time the restrictions lapse and the shares vest, unless the participant elects under Code Section 83(b) to accelerate income recognition and the taxability of the award to the date of grant. Stock unit awards generally result in income recognition by a participant at the time payment of such an award is made in an amount equal to the amount paid in cash or the then-current fair market value of the shares received, as applicable. SAR awards result in income recognition by a participant at the time such an award is exercised in an amount equal to the amount of cash or the then-current fair market value of the shares received by the participant, as applicable. In each of the foregoing cases, the Company will generally have a corresponding deduction at the time the participant recognizes ordinary income, subject to Code Section 162(m) with respect to covered employees.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Section 162(m) of the Code</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0E2A35"/>
        </w:rPr>
        <w:t>Any awards the Company grants pursuant to the Restated Plan to “covered employees” are subject to a $1 million limit on the amount of annual compensation that a public company is permitted to deduct. “Covered employees” include any person who served as CEO or CFO of the Company at any time during a calendar year, the three other most highly compensated executive officers of the Company as of the end of that calendar year, and any other person who was considered a covered employee in a previous taxable year (in 2017 or any subsequent year).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Section 409A of the Code</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6"/>
          <w:szCs w:val="16"/>
          <w:color w:val="0E2A35"/>
        </w:rPr>
        <w:t>The foregoing discussion of tax consequences of awards under the Restated Plan assumes that the award discussed is either not considered a “deferred compensation arrangement” subject to Section 409A of the Code, or has been structured to comply with its requirements. If an award is considered a deferred compensation arrangement subject to Section 409A but fails to comply, in operation or form, with the requirements of Section 409A, the affected participant would generally be required to include in income when the award vests the amount deemed “deferred,” would be required to pay an additional 20 percent income tax on such amount, and would be required to pay interest on the tax that would have been paid but for the deferral.</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Awards Under the Restated Plan</w:t>
      </w:r>
    </w:p>
    <w:p>
      <w:pPr>
        <w:spacing w:after="0" w:line="20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0E2A35"/>
        </w:rPr>
        <w:t xml:space="preserve">Since all awards under the Restated Plan are made in the discretion of the Committee, neither the number nor types of future Restated Plan awards to be received by or allocated to particular participants or groups of participants is presently determinable. Information regarding awards made under the 2019 Plan during fiscal 2023 to our NEOs is provided under the caption “Grants of Plan-Based Awards Table” on page </w:t>
      </w:r>
      <w:r>
        <w:rPr>
          <w:rFonts w:ascii="Arial" w:cs="Arial" w:eastAsia="Arial" w:hAnsi="Arial"/>
          <w:sz w:val="16"/>
          <w:szCs w:val="16"/>
          <w:u w:val="single" w:color="auto"/>
          <w:color w:val="0000EE"/>
        </w:rPr>
        <w:t>52</w:t>
      </w:r>
      <w:r>
        <w:rPr>
          <w:rFonts w:ascii="Arial" w:cs="Arial" w:eastAsia="Arial" w:hAnsi="Arial"/>
          <w:sz w:val="16"/>
          <w:szCs w:val="16"/>
          <w:color w:val="0E2A35"/>
        </w:rPr>
        <w:t xml:space="preserve"> of this proxy statement and to our nonemployee directors under the caption “Director Compensation” on page </w:t>
      </w:r>
      <w:r>
        <w:rPr>
          <w:rFonts w:ascii="Arial" w:cs="Arial" w:eastAsia="Arial" w:hAnsi="Arial"/>
          <w:sz w:val="16"/>
          <w:szCs w:val="16"/>
          <w:u w:val="single" w:color="auto"/>
          <w:color w:val="0000EE"/>
        </w:rPr>
        <w:t>25</w:t>
      </w:r>
      <w:r>
        <w:rPr>
          <w:rFonts w:ascii="Arial" w:cs="Arial" w:eastAsia="Arial" w:hAnsi="Arial"/>
          <w:sz w:val="16"/>
          <w:szCs w:val="16"/>
          <w:color w:val="0E2A35"/>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33655</wp:posOffset>
            </wp:positionV>
            <wp:extent cx="4714875" cy="6597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14875" cy="659765"/>
                    </a:xfrm>
                    <a:prstGeom prst="rect">
                      <a:avLst/>
                    </a:prstGeom>
                    <a:noFill/>
                  </pic:spPr>
                </pic:pic>
              </a:graphicData>
            </a:graphic>
          </wp:anchor>
        </w:drawing>
      </w:r>
    </w:p>
    <w:p>
      <w:pPr>
        <w:spacing w:after="0" w:line="243" w:lineRule="exact"/>
        <w:rPr>
          <w:sz w:val="20"/>
          <w:szCs w:val="20"/>
          <w:color w:val="auto"/>
        </w:rPr>
      </w:pPr>
    </w:p>
    <w:p>
      <w:pPr>
        <w:ind w:left="1480" w:hanging="616"/>
        <w:spacing w:after="0"/>
        <w:tabs>
          <w:tab w:leader="none" w:pos="1480" w:val="left"/>
        </w:tabs>
        <w:numPr>
          <w:ilvl w:val="0"/>
          <w:numId w:val="68"/>
        </w:numPr>
        <w:rPr>
          <w:rFonts w:ascii="MS PGothic" w:cs="MS PGothic" w:eastAsia="MS PGothic" w:hAnsi="MS PGothic"/>
          <w:sz w:val="22"/>
          <w:szCs w:val="22"/>
          <w:color w:val="FFFFFF"/>
        </w:rPr>
      </w:pPr>
      <w:r>
        <w:rPr>
          <w:rFonts w:ascii="Arial" w:cs="Arial" w:eastAsia="Arial" w:hAnsi="Arial"/>
          <w:sz w:val="13"/>
          <w:szCs w:val="13"/>
          <w:b w:val="1"/>
          <w:bCs w:val="1"/>
          <w:color w:val="FFFFFF"/>
        </w:rPr>
        <w:t>approval</w:t>
      </w:r>
      <w:r>
        <w:rPr>
          <w:rFonts w:ascii="Arial" w:cs="Arial" w:eastAsia="Arial" w:hAnsi="Arial"/>
          <w:sz w:val="19"/>
          <w:szCs w:val="19"/>
          <w:b w:val="1"/>
          <w:bCs w:val="1"/>
          <w:color w:val="FFFFFF"/>
          <w:vertAlign w:val="subscript"/>
        </w:rPr>
        <w:t>Plan.</w:t>
      </w:r>
      <w:r>
        <w:rPr>
          <w:rFonts w:ascii="Arial" w:cs="Arial" w:eastAsia="Arial" w:hAnsi="Arial"/>
          <w:sz w:val="13"/>
          <w:szCs w:val="13"/>
          <w:b w:val="1"/>
          <w:bCs w:val="1"/>
          <w:color w:val="FFFFFF"/>
        </w:rPr>
        <w:t xml:space="preserve"> of the Amended and Restated 2019 Omnibus Incentive</w:t>
      </w:r>
      <w:r>
        <w:rPr>
          <w:rFonts w:ascii="Arial" w:cs="Arial" w:eastAsia="Arial" w:hAnsi="Arial"/>
          <w:sz w:val="19"/>
          <w:szCs w:val="19"/>
          <w:b w:val="1"/>
          <w:bCs w:val="1"/>
          <w:color w:val="FFFFFF"/>
          <w:vertAlign w:val="superscript"/>
        </w:rPr>
        <w:t>TheBoardunanimouslyrecommendsthatyouvoteFORthe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ind w:right="860"/>
        <w:spacing w:after="0" w:line="292" w:lineRule="auto"/>
        <w:rPr>
          <w:sz w:val="20"/>
          <w:szCs w:val="20"/>
          <w:color w:val="auto"/>
        </w:rPr>
      </w:pPr>
      <w:r>
        <w:rPr>
          <w:rFonts w:ascii="Arial" w:cs="Arial" w:eastAsia="Arial" w:hAnsi="Arial"/>
          <w:sz w:val="27"/>
          <w:szCs w:val="27"/>
          <w:b w:val="1"/>
          <w:bCs w:val="1"/>
          <w:color w:val="0E2A35"/>
        </w:rPr>
        <w:t>Proposal 5 – Approval of Amended and Restated Employee Stock Purchase Plan</w:t>
      </w:r>
    </w:p>
    <w:p>
      <w:pPr>
        <w:spacing w:after="0" w:line="66"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0E2A35"/>
        </w:rPr>
        <w:t>On May 17, 2023, our Board, at the recommendation of our Human Resources Committee (the Committee), approved the amendment and restatement of the Winnebago Industries, Inc. Employee Stock Purchase Plan (the ESPP), subject to approval by our shareholders at the Annual Meeting. The amendment and restatement of the ESPP will become effective on the date it is approved by our shareholders.</w:t>
      </w:r>
    </w:p>
    <w:p>
      <w:pPr>
        <w:spacing w:after="0" w:line="16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0E2A35"/>
        </w:rPr>
        <w:t>Shareholder approval of the amendment and restatement of the ESPP is being sought in order to satisfy the shareholder approval requirements of the NYSE of certain amendments to the ESPP, including the increase in the number of shares of our common stock available for issuance under the ESPP by an additional 400,000 shares for purchase upon the exercise of options under the ESPP. The ESPP, as proposed to be amended and restated, is referred to as the Restated ESPP.</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Factors Considered in Requesting Share Reserve Increase</w:t>
      </w:r>
    </w:p>
    <w:p>
      <w:pPr>
        <w:spacing w:after="0" w:line="201"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0E2A35"/>
        </w:rPr>
        <w:t>In setting the proposed number of additional shares to be reserved and issuable under the Restated ESPP, the Committee and our Board considered the factors described below. The number of shares of common stock reserved for purchase under the ESPP was previously set at 250,000 shares, of which no more than 150,000 shares could be issued pursuant to options under the ESPP and no more than 100,000 shares could be issued pursuant to a restricted stock feature available under the ESPP.</w:t>
      </w:r>
    </w:p>
    <w:p>
      <w:pPr>
        <w:spacing w:after="0" w:line="14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0E2A35"/>
        </w:rPr>
        <w:t>Participation in the ESPP has increased since the ESPP was originally adopted, due in part to additional employees who have joined our company as a result of acquisitions we have made since December 2017. We continue to believe that the ESPP is an important tool to provide our employees with direct ownership of our common stock, which provides a strong incentive for our employees to remain with our Company and work towards its success.</w:t>
      </w:r>
    </w:p>
    <w:p>
      <w:pPr>
        <w:spacing w:after="0" w:line="14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0E2A35"/>
        </w:rPr>
        <w:t>Prior to Board approval of the Restated ESPP on May 17, 2023, 4,330 shares remained available for the issuance of options under the ESPP, leading to approval by our Board to approve the Restated ESPP and increase the shares available for issuance of options by 400,000 shares, which additional shares are subject to shareholder approval. As of May 17, 2023, 33,357 shares were available for issuance of restricted stock under the ESPP, at which time the Board terminated the restricted stock feature such that none of these shares could be issued. As a result of terminating the restricted stock feature, the ESPP is no longer an equity compensation plan. Accordingly, the share reserve under the ESPP, and the additional shares requested for the Restated ESPP, are summarized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80" w:type="dxa"/>
            <w:vAlign w:val="bottom"/>
            <w:shd w:val="clear" w:color="auto" w:fill="0E2A35"/>
          </w:tcPr>
          <w:p>
            <w:pPr>
              <w:spacing w:after="0"/>
              <w:rPr>
                <w:sz w:val="19"/>
                <w:szCs w:val="19"/>
                <w:color w:val="auto"/>
              </w:rPr>
            </w:pPr>
          </w:p>
        </w:tc>
        <w:tc>
          <w:tcPr>
            <w:tcW w:w="17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Shares Available</w:t>
            </w:r>
          </w:p>
        </w:tc>
        <w:tc>
          <w:tcPr>
            <w:tcW w:w="2320" w:type="dxa"/>
            <w:vAlign w:val="bottom"/>
            <w:shd w:val="clear" w:color="auto" w:fill="0E2A35"/>
          </w:tcPr>
          <w:p>
            <w:pPr>
              <w:jc w:val="center"/>
              <w:ind w:left="272"/>
              <w:spacing w:after="0"/>
              <w:rPr>
                <w:sz w:val="20"/>
                <w:szCs w:val="20"/>
                <w:color w:val="auto"/>
              </w:rPr>
            </w:pPr>
            <w:r>
              <w:rPr>
                <w:rFonts w:ascii="Arial" w:cs="Arial" w:eastAsia="Arial" w:hAnsi="Arial"/>
                <w:sz w:val="13"/>
                <w:szCs w:val="13"/>
                <w:b w:val="1"/>
                <w:bCs w:val="1"/>
                <w:color w:val="FFFFFF"/>
                <w:w w:val="97"/>
              </w:rPr>
              <w:t>Shares Available for</w:t>
            </w:r>
          </w:p>
        </w:tc>
      </w:tr>
      <w:tr>
        <w:trPr>
          <w:trHeight w:val="135"/>
        </w:trPr>
        <w:tc>
          <w:tcPr>
            <w:tcW w:w="5180" w:type="dxa"/>
            <w:vAlign w:val="bottom"/>
            <w:shd w:val="clear" w:color="auto" w:fill="0E2A35"/>
          </w:tcPr>
          <w:p>
            <w:pPr>
              <w:spacing w:after="0"/>
              <w:rPr>
                <w:sz w:val="11"/>
                <w:szCs w:val="11"/>
                <w:color w:val="auto"/>
              </w:rPr>
            </w:pPr>
          </w:p>
        </w:tc>
        <w:tc>
          <w:tcPr>
            <w:tcW w:w="178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for Options</w:t>
            </w:r>
          </w:p>
        </w:tc>
        <w:tc>
          <w:tcPr>
            <w:tcW w:w="2320" w:type="dxa"/>
            <w:vAlign w:val="bottom"/>
            <w:shd w:val="clear" w:color="auto" w:fill="0E2A35"/>
          </w:tcPr>
          <w:p>
            <w:pPr>
              <w:jc w:val="center"/>
              <w:ind w:left="272"/>
              <w:spacing w:after="0" w:line="135" w:lineRule="exact"/>
              <w:rPr>
                <w:sz w:val="20"/>
                <w:szCs w:val="20"/>
                <w:color w:val="auto"/>
              </w:rPr>
            </w:pPr>
            <w:r>
              <w:rPr>
                <w:rFonts w:ascii="Arial" w:cs="Arial" w:eastAsia="Arial" w:hAnsi="Arial"/>
                <w:sz w:val="13"/>
                <w:szCs w:val="13"/>
                <w:b w:val="1"/>
                <w:bCs w:val="1"/>
                <w:color w:val="FFFFFF"/>
                <w:w w:val="96"/>
              </w:rPr>
              <w:t>Restricted Stock under</w:t>
            </w:r>
          </w:p>
        </w:tc>
      </w:tr>
      <w:tr>
        <w:trPr>
          <w:trHeight w:val="176"/>
        </w:trPr>
        <w:tc>
          <w:tcPr>
            <w:tcW w:w="5180" w:type="dxa"/>
            <w:vAlign w:val="bottom"/>
            <w:shd w:val="clear" w:color="auto" w:fill="0E2A35"/>
          </w:tcPr>
          <w:p>
            <w:pPr>
              <w:spacing w:after="0"/>
              <w:rPr>
                <w:sz w:val="15"/>
                <w:szCs w:val="15"/>
                <w:color w:val="auto"/>
              </w:rPr>
            </w:pPr>
          </w:p>
        </w:tc>
        <w:tc>
          <w:tcPr>
            <w:tcW w:w="178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under the ESPP</w:t>
            </w:r>
          </w:p>
        </w:tc>
        <w:tc>
          <w:tcPr>
            <w:tcW w:w="2320" w:type="dxa"/>
            <w:vAlign w:val="bottom"/>
            <w:shd w:val="clear" w:color="auto" w:fill="0E2A35"/>
          </w:tcPr>
          <w:p>
            <w:pPr>
              <w:jc w:val="center"/>
              <w:ind w:left="292"/>
              <w:spacing w:after="0"/>
              <w:rPr>
                <w:sz w:val="20"/>
                <w:szCs w:val="20"/>
                <w:color w:val="auto"/>
              </w:rPr>
            </w:pPr>
            <w:r>
              <w:rPr>
                <w:rFonts w:ascii="Arial" w:cs="Arial" w:eastAsia="Arial" w:hAnsi="Arial"/>
                <w:sz w:val="13"/>
                <w:szCs w:val="13"/>
                <w:b w:val="1"/>
                <w:bCs w:val="1"/>
                <w:color w:val="FFFFFF"/>
                <w:w w:val="96"/>
              </w:rPr>
              <w:t>the ESPP</w:t>
            </w:r>
          </w:p>
        </w:tc>
      </w:tr>
      <w:tr>
        <w:trPr>
          <w:trHeight w:val="89"/>
        </w:trPr>
        <w:tc>
          <w:tcPr>
            <w:tcW w:w="5180" w:type="dxa"/>
            <w:vAlign w:val="bottom"/>
            <w:shd w:val="clear" w:color="auto" w:fill="0E2A35"/>
          </w:tcPr>
          <w:p>
            <w:pPr>
              <w:spacing w:after="0"/>
              <w:rPr>
                <w:sz w:val="7"/>
                <w:szCs w:val="7"/>
                <w:color w:val="auto"/>
              </w:rPr>
            </w:pPr>
          </w:p>
        </w:tc>
        <w:tc>
          <w:tcPr>
            <w:tcW w:w="1780" w:type="dxa"/>
            <w:vAlign w:val="bottom"/>
            <w:shd w:val="clear" w:color="auto" w:fill="0E2A35"/>
          </w:tcPr>
          <w:p>
            <w:pPr>
              <w:spacing w:after="0"/>
              <w:rPr>
                <w:sz w:val="7"/>
                <w:szCs w:val="7"/>
                <w:color w:val="auto"/>
              </w:rPr>
            </w:pPr>
          </w:p>
        </w:tc>
        <w:tc>
          <w:tcPr>
            <w:tcW w:w="2320" w:type="dxa"/>
            <w:vAlign w:val="bottom"/>
            <w:shd w:val="clear" w:color="auto" w:fill="0E2A35"/>
          </w:tcPr>
          <w:p>
            <w:pPr>
              <w:spacing w:after="0"/>
              <w:rPr>
                <w:sz w:val="7"/>
                <w:szCs w:val="7"/>
                <w:color w:val="auto"/>
              </w:rPr>
            </w:pPr>
          </w:p>
        </w:tc>
      </w:tr>
      <w:tr>
        <w:trPr>
          <w:trHeight w:val="295"/>
        </w:trPr>
        <w:tc>
          <w:tcPr>
            <w:tcW w:w="5180" w:type="dxa"/>
            <w:vAlign w:val="bottom"/>
          </w:tcPr>
          <w:p>
            <w:pPr>
              <w:ind w:left="60"/>
              <w:spacing w:after="0"/>
              <w:rPr>
                <w:sz w:val="20"/>
                <w:szCs w:val="20"/>
                <w:color w:val="auto"/>
              </w:rPr>
            </w:pPr>
            <w:r>
              <w:rPr>
                <w:rFonts w:ascii="Arial" w:cs="Arial" w:eastAsia="Arial" w:hAnsi="Arial"/>
                <w:sz w:val="14"/>
                <w:szCs w:val="14"/>
                <w:b w:val="1"/>
                <w:bCs w:val="1"/>
                <w:color w:val="0E2A35"/>
              </w:rPr>
              <w:t>Original ESPP – December 12, 2017</w:t>
            </w:r>
          </w:p>
        </w:tc>
        <w:tc>
          <w:tcPr>
            <w:tcW w:w="1780" w:type="dxa"/>
            <w:vAlign w:val="bottom"/>
          </w:tcPr>
          <w:p>
            <w:pPr>
              <w:ind w:left="360"/>
              <w:spacing w:after="0"/>
              <w:rPr>
                <w:sz w:val="20"/>
                <w:szCs w:val="20"/>
                <w:color w:val="auto"/>
              </w:rPr>
            </w:pPr>
            <w:r>
              <w:rPr>
                <w:rFonts w:ascii="Arial" w:cs="Arial" w:eastAsia="Arial" w:hAnsi="Arial"/>
                <w:sz w:val="14"/>
                <w:szCs w:val="14"/>
                <w:color w:val="0E2A35"/>
              </w:rPr>
              <w:t>150,000</w:t>
            </w:r>
          </w:p>
        </w:tc>
        <w:tc>
          <w:tcPr>
            <w:tcW w:w="2320" w:type="dxa"/>
            <w:vAlign w:val="bottom"/>
          </w:tcPr>
          <w:p>
            <w:pPr>
              <w:ind w:left="380"/>
              <w:spacing w:after="0"/>
              <w:rPr>
                <w:sz w:val="20"/>
                <w:szCs w:val="20"/>
                <w:color w:val="auto"/>
              </w:rPr>
            </w:pPr>
            <w:r>
              <w:rPr>
                <w:rFonts w:ascii="Arial" w:cs="Arial" w:eastAsia="Arial" w:hAnsi="Arial"/>
                <w:sz w:val="14"/>
                <w:szCs w:val="14"/>
                <w:color w:val="0E2A35"/>
              </w:rPr>
              <w:t>100,000</w:t>
            </w:r>
          </w:p>
        </w:tc>
      </w:tr>
      <w:tr>
        <w:trPr>
          <w:trHeight w:val="83"/>
        </w:trPr>
        <w:tc>
          <w:tcPr>
            <w:tcW w:w="5180" w:type="dxa"/>
            <w:vAlign w:val="bottom"/>
            <w:tcBorders>
              <w:bottom w:val="single" w:sz="8" w:color="0E2A35"/>
            </w:tcBorders>
          </w:tcPr>
          <w:p>
            <w:pPr>
              <w:spacing w:after="0"/>
              <w:rPr>
                <w:sz w:val="7"/>
                <w:szCs w:val="7"/>
                <w:color w:val="auto"/>
              </w:rPr>
            </w:pPr>
          </w:p>
        </w:tc>
        <w:tc>
          <w:tcPr>
            <w:tcW w:w="1780" w:type="dxa"/>
            <w:vAlign w:val="bottom"/>
            <w:tcBorders>
              <w:bottom w:val="single" w:sz="8" w:color="0E2A35"/>
            </w:tcBorders>
          </w:tcPr>
          <w:p>
            <w:pPr>
              <w:spacing w:after="0"/>
              <w:rPr>
                <w:sz w:val="7"/>
                <w:szCs w:val="7"/>
                <w:color w:val="auto"/>
              </w:rPr>
            </w:pPr>
          </w:p>
        </w:tc>
        <w:tc>
          <w:tcPr>
            <w:tcW w:w="2320" w:type="dxa"/>
            <w:vAlign w:val="bottom"/>
            <w:tcBorders>
              <w:bottom w:val="single" w:sz="8" w:color="0E2A35"/>
            </w:tcBorders>
          </w:tcPr>
          <w:p>
            <w:pPr>
              <w:spacing w:after="0"/>
              <w:rPr>
                <w:sz w:val="7"/>
                <w:szCs w:val="7"/>
                <w:color w:val="auto"/>
              </w:rPr>
            </w:pPr>
          </w:p>
        </w:tc>
      </w:tr>
      <w:tr>
        <w:trPr>
          <w:trHeight w:val="250"/>
        </w:trPr>
        <w:tc>
          <w:tcPr>
            <w:tcW w:w="5180" w:type="dxa"/>
            <w:vAlign w:val="bottom"/>
          </w:tcPr>
          <w:p>
            <w:pPr>
              <w:ind w:left="60"/>
              <w:spacing w:after="0"/>
              <w:rPr>
                <w:sz w:val="20"/>
                <w:szCs w:val="20"/>
                <w:color w:val="auto"/>
              </w:rPr>
            </w:pPr>
            <w:r>
              <w:rPr>
                <w:rFonts w:ascii="Arial" w:cs="Arial" w:eastAsia="Arial" w:hAnsi="Arial"/>
                <w:sz w:val="14"/>
                <w:szCs w:val="14"/>
                <w:b w:val="1"/>
                <w:bCs w:val="1"/>
                <w:color w:val="0E2A35"/>
              </w:rPr>
              <w:t>Immediately Prior to Board Approval of Restated ESPP on May 17,</w:t>
            </w:r>
          </w:p>
        </w:tc>
        <w:tc>
          <w:tcPr>
            <w:tcW w:w="178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00"/>
        </w:trPr>
        <w:tc>
          <w:tcPr>
            <w:tcW w:w="5180" w:type="dxa"/>
            <w:vAlign w:val="bottom"/>
          </w:tcPr>
          <w:p>
            <w:pPr>
              <w:ind w:left="220"/>
              <w:spacing w:after="0"/>
              <w:rPr>
                <w:sz w:val="20"/>
                <w:szCs w:val="20"/>
                <w:color w:val="auto"/>
              </w:rPr>
            </w:pPr>
            <w:r>
              <w:rPr>
                <w:rFonts w:ascii="Arial" w:cs="Arial" w:eastAsia="Arial" w:hAnsi="Arial"/>
                <w:sz w:val="14"/>
                <w:szCs w:val="14"/>
                <w:b w:val="1"/>
                <w:bCs w:val="1"/>
                <w:color w:val="0E2A35"/>
              </w:rPr>
              <w:t>2023</w:t>
            </w:r>
          </w:p>
        </w:tc>
        <w:tc>
          <w:tcPr>
            <w:tcW w:w="1780" w:type="dxa"/>
            <w:vAlign w:val="bottom"/>
          </w:tcPr>
          <w:p>
            <w:pPr>
              <w:ind w:left="360"/>
              <w:spacing w:after="0"/>
              <w:rPr>
                <w:sz w:val="20"/>
                <w:szCs w:val="20"/>
                <w:color w:val="auto"/>
              </w:rPr>
            </w:pPr>
            <w:r>
              <w:rPr>
                <w:rFonts w:ascii="Arial" w:cs="Arial" w:eastAsia="Arial" w:hAnsi="Arial"/>
                <w:sz w:val="14"/>
                <w:szCs w:val="14"/>
                <w:color w:val="0E2A35"/>
              </w:rPr>
              <w:t>4,330​</w:t>
            </w:r>
          </w:p>
        </w:tc>
        <w:tc>
          <w:tcPr>
            <w:tcW w:w="2320" w:type="dxa"/>
            <w:vAlign w:val="bottom"/>
          </w:tcPr>
          <w:p>
            <w:pPr>
              <w:ind w:left="380"/>
              <w:spacing w:after="0"/>
              <w:rPr>
                <w:sz w:val="20"/>
                <w:szCs w:val="20"/>
                <w:color w:val="auto"/>
              </w:rPr>
            </w:pPr>
            <w:r>
              <w:rPr>
                <w:rFonts w:ascii="Arial" w:cs="Arial" w:eastAsia="Arial" w:hAnsi="Arial"/>
                <w:sz w:val="14"/>
                <w:szCs w:val="14"/>
                <w:color w:val="0E2A35"/>
              </w:rPr>
              <w:t>33,357​</w:t>
            </w:r>
          </w:p>
        </w:tc>
      </w:tr>
      <w:tr>
        <w:trPr>
          <w:trHeight w:val="83"/>
        </w:trPr>
        <w:tc>
          <w:tcPr>
            <w:tcW w:w="5180" w:type="dxa"/>
            <w:vAlign w:val="bottom"/>
            <w:tcBorders>
              <w:bottom w:val="single" w:sz="8" w:color="0E2A35"/>
            </w:tcBorders>
          </w:tcPr>
          <w:p>
            <w:pPr>
              <w:spacing w:after="0"/>
              <w:rPr>
                <w:sz w:val="7"/>
                <w:szCs w:val="7"/>
                <w:color w:val="auto"/>
              </w:rPr>
            </w:pPr>
          </w:p>
        </w:tc>
        <w:tc>
          <w:tcPr>
            <w:tcW w:w="1780" w:type="dxa"/>
            <w:vAlign w:val="bottom"/>
            <w:tcBorders>
              <w:bottom w:val="single" w:sz="8" w:color="0E2A35"/>
            </w:tcBorders>
          </w:tcPr>
          <w:p>
            <w:pPr>
              <w:spacing w:after="0"/>
              <w:rPr>
                <w:sz w:val="7"/>
                <w:szCs w:val="7"/>
                <w:color w:val="auto"/>
              </w:rPr>
            </w:pPr>
          </w:p>
        </w:tc>
        <w:tc>
          <w:tcPr>
            <w:tcW w:w="2320" w:type="dxa"/>
            <w:vAlign w:val="bottom"/>
            <w:tcBorders>
              <w:bottom w:val="single" w:sz="8" w:color="0E2A35"/>
            </w:tcBorders>
          </w:tcPr>
          <w:p>
            <w:pPr>
              <w:spacing w:after="0"/>
              <w:rPr>
                <w:sz w:val="7"/>
                <w:szCs w:val="7"/>
                <w:color w:val="auto"/>
              </w:rPr>
            </w:pPr>
          </w:p>
        </w:tc>
      </w:tr>
      <w:tr>
        <w:trPr>
          <w:trHeight w:val="250"/>
        </w:trPr>
        <w:tc>
          <w:tcPr>
            <w:tcW w:w="5180" w:type="dxa"/>
            <w:vAlign w:val="bottom"/>
          </w:tcPr>
          <w:p>
            <w:pPr>
              <w:ind w:left="60"/>
              <w:spacing w:after="0"/>
              <w:rPr>
                <w:sz w:val="20"/>
                <w:szCs w:val="20"/>
                <w:color w:val="auto"/>
              </w:rPr>
            </w:pPr>
            <w:r>
              <w:rPr>
                <w:rFonts w:ascii="Arial" w:cs="Arial" w:eastAsia="Arial" w:hAnsi="Arial"/>
                <w:sz w:val="14"/>
                <w:szCs w:val="14"/>
                <w:b w:val="1"/>
                <w:bCs w:val="1"/>
                <w:color w:val="0E2A35"/>
              </w:rPr>
              <w:t>Following Board Approval on May 17, 2023 (400,000 shares subject to</w:t>
            </w:r>
          </w:p>
        </w:tc>
        <w:tc>
          <w:tcPr>
            <w:tcW w:w="178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00"/>
        </w:trPr>
        <w:tc>
          <w:tcPr>
            <w:tcW w:w="5180" w:type="dxa"/>
            <w:vAlign w:val="bottom"/>
          </w:tcPr>
          <w:p>
            <w:pPr>
              <w:ind w:left="220"/>
              <w:spacing w:after="0"/>
              <w:rPr>
                <w:sz w:val="20"/>
                <w:szCs w:val="20"/>
                <w:color w:val="auto"/>
              </w:rPr>
            </w:pPr>
            <w:r>
              <w:rPr>
                <w:rFonts w:ascii="Arial" w:cs="Arial" w:eastAsia="Arial" w:hAnsi="Arial"/>
                <w:sz w:val="14"/>
                <w:szCs w:val="14"/>
                <w:b w:val="1"/>
                <w:bCs w:val="1"/>
                <w:color w:val="0E2A35"/>
              </w:rPr>
              <w:t>shareholder approval)</w:t>
            </w:r>
          </w:p>
        </w:tc>
        <w:tc>
          <w:tcPr>
            <w:tcW w:w="1780" w:type="dxa"/>
            <w:vAlign w:val="bottom"/>
          </w:tcPr>
          <w:p>
            <w:pPr>
              <w:ind w:left="360"/>
              <w:spacing w:after="0"/>
              <w:rPr>
                <w:sz w:val="20"/>
                <w:szCs w:val="20"/>
                <w:color w:val="auto"/>
              </w:rPr>
            </w:pPr>
            <w:r>
              <w:rPr>
                <w:rFonts w:ascii="Arial" w:cs="Arial" w:eastAsia="Arial" w:hAnsi="Arial"/>
                <w:sz w:val="14"/>
                <w:szCs w:val="14"/>
                <w:color w:val="0E2A35"/>
              </w:rPr>
              <w:t>​404,330</w:t>
            </w:r>
          </w:p>
        </w:tc>
        <w:tc>
          <w:tcPr>
            <w:tcW w:w="2320" w:type="dxa"/>
            <w:vAlign w:val="bottom"/>
          </w:tcPr>
          <w:p>
            <w:pPr>
              <w:ind w:left="380"/>
              <w:spacing w:after="0"/>
              <w:rPr>
                <w:sz w:val="20"/>
                <w:szCs w:val="20"/>
                <w:color w:val="auto"/>
              </w:rPr>
            </w:pPr>
            <w:r>
              <w:rPr>
                <w:rFonts w:ascii="Arial" w:cs="Arial" w:eastAsia="Arial" w:hAnsi="Arial"/>
                <w:sz w:val="14"/>
                <w:szCs w:val="14"/>
                <w:color w:val="0E2A35"/>
              </w:rPr>
              <w:t>None – feature terminated</w:t>
            </w:r>
          </w:p>
        </w:tc>
      </w:tr>
      <w:tr>
        <w:trPr>
          <w:trHeight w:val="83"/>
        </w:trPr>
        <w:tc>
          <w:tcPr>
            <w:tcW w:w="5180" w:type="dxa"/>
            <w:vAlign w:val="bottom"/>
            <w:tcBorders>
              <w:bottom w:val="single" w:sz="8" w:color="0E2A35"/>
            </w:tcBorders>
          </w:tcPr>
          <w:p>
            <w:pPr>
              <w:spacing w:after="0"/>
              <w:rPr>
                <w:sz w:val="7"/>
                <w:szCs w:val="7"/>
                <w:color w:val="auto"/>
              </w:rPr>
            </w:pPr>
          </w:p>
        </w:tc>
        <w:tc>
          <w:tcPr>
            <w:tcW w:w="1780" w:type="dxa"/>
            <w:vAlign w:val="bottom"/>
            <w:tcBorders>
              <w:bottom w:val="single" w:sz="8" w:color="0E2A35"/>
            </w:tcBorders>
          </w:tcPr>
          <w:p>
            <w:pPr>
              <w:spacing w:after="0"/>
              <w:rPr>
                <w:sz w:val="7"/>
                <w:szCs w:val="7"/>
                <w:color w:val="auto"/>
              </w:rPr>
            </w:pPr>
          </w:p>
        </w:tc>
        <w:tc>
          <w:tcPr>
            <w:tcW w:w="2320" w:type="dxa"/>
            <w:vAlign w:val="bottom"/>
            <w:tcBorders>
              <w:bottom w:val="single" w:sz="8" w:color="0E2A35"/>
            </w:tcBorders>
          </w:tcPr>
          <w:p>
            <w:pPr>
              <w:spacing w:after="0"/>
              <w:rPr>
                <w:sz w:val="7"/>
                <w:szCs w:val="7"/>
                <w:color w:val="auto"/>
              </w:rPr>
            </w:pPr>
          </w:p>
        </w:tc>
      </w:tr>
      <w:tr>
        <w:trPr>
          <w:trHeight w:val="408"/>
        </w:trPr>
        <w:tc>
          <w:tcPr>
            <w:tcW w:w="5180" w:type="dxa"/>
            <w:vAlign w:val="bottom"/>
          </w:tcPr>
          <w:p>
            <w:pPr>
              <w:ind w:left="60"/>
              <w:spacing w:after="0"/>
              <w:rPr>
                <w:sz w:val="20"/>
                <w:szCs w:val="20"/>
                <w:color w:val="auto"/>
              </w:rPr>
            </w:pPr>
            <w:r>
              <w:rPr>
                <w:rFonts w:ascii="Arial" w:cs="Arial" w:eastAsia="Arial" w:hAnsi="Arial"/>
                <w:sz w:val="14"/>
                <w:szCs w:val="14"/>
                <w:b w:val="1"/>
                <w:bCs w:val="1"/>
                <w:color w:val="0E2A35"/>
              </w:rPr>
              <w:t>October 19, 2023</w:t>
            </w:r>
          </w:p>
        </w:tc>
        <w:tc>
          <w:tcPr>
            <w:tcW w:w="1780" w:type="dxa"/>
            <w:vAlign w:val="bottom"/>
          </w:tcPr>
          <w:p>
            <w:pPr>
              <w:ind w:left="360"/>
              <w:spacing w:after="0"/>
              <w:rPr>
                <w:sz w:val="20"/>
                <w:szCs w:val="20"/>
                <w:color w:val="auto"/>
              </w:rPr>
            </w:pPr>
            <w:r>
              <w:rPr>
                <w:rFonts w:ascii="Arial" w:cs="Arial" w:eastAsia="Arial" w:hAnsi="Arial"/>
                <w:sz w:val="14"/>
                <w:szCs w:val="14"/>
                <w:color w:val="0E2A35"/>
              </w:rPr>
              <w:t>​400,409</w:t>
            </w:r>
            <w:r>
              <w:rPr>
                <w:rFonts w:ascii="Arial" w:cs="Arial" w:eastAsia="Arial" w:hAnsi="Arial"/>
                <w:sz w:val="23"/>
                <w:szCs w:val="23"/>
                <w:color w:val="0E2A35"/>
                <w:vertAlign w:val="superscript"/>
              </w:rPr>
              <w:t>(1)</w:t>
            </w:r>
          </w:p>
        </w:tc>
        <w:tc>
          <w:tcPr>
            <w:tcW w:w="2320" w:type="dxa"/>
            <w:vAlign w:val="bottom"/>
          </w:tcPr>
          <w:p>
            <w:pPr>
              <w:ind w:left="380"/>
              <w:spacing w:after="0"/>
              <w:rPr>
                <w:sz w:val="20"/>
                <w:szCs w:val="20"/>
                <w:color w:val="auto"/>
              </w:rPr>
            </w:pPr>
            <w:r>
              <w:rPr>
                <w:rFonts w:ascii="Arial" w:cs="Arial" w:eastAsia="Arial" w:hAnsi="Arial"/>
                <w:sz w:val="14"/>
                <w:szCs w:val="14"/>
                <w:color w:val="0E2A35"/>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978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78" w:lineRule="exact"/>
        <w:rPr>
          <w:sz w:val="20"/>
          <w:szCs w:val="20"/>
          <w:color w:val="auto"/>
        </w:rPr>
      </w:pPr>
    </w:p>
    <w:p>
      <w:pPr>
        <w:ind w:left="360" w:right="120" w:hanging="360"/>
        <w:spacing w:after="0" w:line="236" w:lineRule="auto"/>
        <w:tabs>
          <w:tab w:leader="none" w:pos="360" w:val="left"/>
        </w:tabs>
        <w:numPr>
          <w:ilvl w:val="0"/>
          <w:numId w:val="69"/>
        </w:numPr>
        <w:rPr>
          <w:rFonts w:ascii="Arial" w:cs="Arial" w:eastAsia="Arial" w:hAnsi="Arial"/>
          <w:sz w:val="13"/>
          <w:szCs w:val="13"/>
          <w:color w:val="0E2A35"/>
        </w:rPr>
      </w:pPr>
      <w:r>
        <w:rPr>
          <w:rFonts w:ascii="Arial" w:cs="Arial" w:eastAsia="Arial" w:hAnsi="Arial"/>
          <w:sz w:val="13"/>
          <w:szCs w:val="13"/>
          <w:color w:val="0E2A35"/>
        </w:rPr>
        <w:t>Reflects 3,921 shares of common stock purchased under the Restated ESPP during the offering period that began on January 1, 2023 and ended on June 30, 2023.</w:t>
      </w:r>
    </w:p>
    <w:p>
      <w:pPr>
        <w:spacing w:after="0" w:line="16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0E2A35"/>
        </w:rPr>
        <w:t>The current offering period for options under the ESPP is fully contingent upon shareholder approval of the additional shares requested under this proposal. If shareholders do not approve the Restated ESPP, no options will be exercised and no shares will be purchased. The closing price of one share of our common stock as reported on the NYSE on October 19, 2023 was $57.26.</w:t>
      </w:r>
    </w:p>
    <w:p>
      <w:pPr>
        <w:spacing w:after="0" w:line="142"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0E2A35"/>
        </w:rPr>
        <w:t>The Company estimates that the additional shares will be sufficient to cover purchases made under the Restated ESPP for an additional four years. The total shares available under the Restated ESPP would constitute less than 1.3% of our total outstanding shares of common stock as of October 19, 2023.</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Description of the Amended and Restated Employee Stock Purchase Plan</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0E2A35"/>
        </w:rPr>
        <w:t>The material changes to the ESPP proposed in the Restated ESPP are:</w:t>
      </w:r>
    </w:p>
    <w:p>
      <w:pPr>
        <w:spacing w:after="0" w:line="194" w:lineRule="exact"/>
        <w:rPr>
          <w:sz w:val="20"/>
          <w:szCs w:val="20"/>
          <w:color w:val="auto"/>
        </w:rPr>
      </w:pPr>
    </w:p>
    <w:p>
      <w:pPr>
        <w:ind w:left="720" w:hanging="360"/>
        <w:spacing w:after="0"/>
        <w:tabs>
          <w:tab w:leader="none" w:pos="720" w:val="left"/>
        </w:tabs>
        <w:numPr>
          <w:ilvl w:val="0"/>
          <w:numId w:val="70"/>
        </w:numPr>
        <w:rPr>
          <w:rFonts w:ascii="Arial" w:cs="Arial" w:eastAsia="Arial" w:hAnsi="Arial"/>
          <w:sz w:val="16"/>
          <w:szCs w:val="16"/>
          <w:color w:val="C7D265"/>
        </w:rPr>
      </w:pPr>
      <w:r>
        <w:rPr>
          <w:rFonts w:ascii="Arial" w:cs="Arial" w:eastAsia="Arial" w:hAnsi="Arial"/>
          <w:sz w:val="16"/>
          <w:szCs w:val="16"/>
          <w:color w:val="0E2A35"/>
        </w:rPr>
        <w:t>Increase the number of shares authorized for issuance by 400,000;</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70"/>
        </w:numPr>
        <w:rPr>
          <w:rFonts w:ascii="Arial" w:cs="Arial" w:eastAsia="Arial" w:hAnsi="Arial"/>
          <w:sz w:val="16"/>
          <w:szCs w:val="16"/>
          <w:color w:val="C7D265"/>
        </w:rPr>
      </w:pPr>
      <w:r>
        <w:rPr>
          <w:rFonts w:ascii="Arial" w:cs="Arial" w:eastAsia="Arial" w:hAnsi="Arial"/>
          <w:sz w:val="16"/>
          <w:szCs w:val="16"/>
          <w:color w:val="0E2A35"/>
        </w:rPr>
        <w:t>Eliminate the restricted stock feature under the ESPP; and</w:t>
      </w:r>
    </w:p>
    <w:p>
      <w:pPr>
        <w:spacing w:after="0" w:line="180" w:lineRule="exact"/>
        <w:rPr>
          <w:rFonts w:ascii="Arial" w:cs="Arial" w:eastAsia="Arial" w:hAnsi="Arial"/>
          <w:sz w:val="16"/>
          <w:szCs w:val="16"/>
          <w:color w:val="C7D265"/>
        </w:rPr>
      </w:pPr>
    </w:p>
    <w:p>
      <w:pPr>
        <w:ind w:left="720" w:right="40" w:hanging="360"/>
        <w:spacing w:after="0" w:line="276" w:lineRule="auto"/>
        <w:tabs>
          <w:tab w:leader="none" w:pos="720" w:val="left"/>
        </w:tabs>
        <w:numPr>
          <w:ilvl w:val="0"/>
          <w:numId w:val="70"/>
        </w:numPr>
        <w:rPr>
          <w:rFonts w:ascii="Arial" w:cs="Arial" w:eastAsia="Arial" w:hAnsi="Arial"/>
          <w:sz w:val="16"/>
          <w:szCs w:val="16"/>
          <w:color w:val="C7D265"/>
        </w:rPr>
      </w:pPr>
      <w:r>
        <w:rPr>
          <w:rFonts w:ascii="Arial" w:cs="Arial" w:eastAsia="Arial" w:hAnsi="Arial"/>
          <w:sz w:val="16"/>
          <w:szCs w:val="16"/>
          <w:color w:val="0E2A35"/>
        </w:rPr>
        <w:t>Eliminate the December 31, 2027 termination date, such that the Restated ESPP can continue until all available shares have been issued.</w:t>
      </w:r>
    </w:p>
    <w:p>
      <w:pPr>
        <w:spacing w:after="0" w:line="144"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0E2A35"/>
        </w:rPr>
        <w:t>In addition to the material changes described above, the Restated ESPP also incorporates certain administrative changes and updates.</w:t>
      </w:r>
    </w:p>
    <w:p>
      <w:pPr>
        <w:spacing w:after="0" w:line="130"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0E2A35"/>
        </w:rPr>
        <w:t>The major features of the Restated ESPP are summarized below. The summary is qualified in its entirety by reference to the full text of the Restated ESPP, which is attached to this proxy statement as Appendix B.</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Eligible Participants</w:t>
      </w:r>
    </w:p>
    <w:p>
      <w:pPr>
        <w:spacing w:after="0" w:line="18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0E2A35"/>
        </w:rPr>
        <w:t>Subject to certain limitations in the Restated ESPP, any employee of Winnebago Industries or any participating subsidiary who is customarily employed for more than 20 hours per week, more than five months in a calendar year, and has completed three or more months of continuous employment service prior to the first day of the applicable offering period is eligible to participate in the Restated ESPP for such offering period. As of October 19, 2023, there were approximately 6,105 employees of the Company and its affiliates who would be eligible to participate in the Restated ESPP.</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Administration</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0E2A35"/>
        </w:rPr>
        <w:t>The Restated ESPP will be administered by the Committee. To the extent not inconsistent with the terms of the Restated ESPP, applicable law or stock exchange rules, the Committee may delegate non-discretionary administrative duties associated with the administration of the Restated ESPP to any one or more of the Company’s executive officers, employees or agents as the Committee deems advisable.</w:t>
      </w:r>
    </w:p>
    <w:p>
      <w:pPr>
        <w:spacing w:after="0" w:line="14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0E2A35"/>
        </w:rPr>
        <w:t>The Committee has the authority to determine the offering periods and the terms and conditions related to the offering periods under the Restated ESPP. The Committee may also designate subsidiaries of the Company that are eligible to participate in the Restated ESPP, interpret the Restated ESPP, establish, amend and revoke rules, regulations and procedures to administer the Restated ESPP, correct any defect, omission or inconsistency in the Restated ESPP, adopt rules, procedures and sub-plans applicable to participants who are foreign nationals or employed outside of the United States by a non-United States subsidiary of the Company in order to comply with local legal or regulatory requirements, and adopt and amend rules and procedures restricting the sale of common stock purchased by a participant under the Restated ESPP.</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Share Reserve</w:t>
      </w:r>
    </w:p>
    <w:p>
      <w:pPr>
        <w:spacing w:after="0" w:line="189"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0E2A35"/>
        </w:rPr>
        <w:t>A maximum of 550,000 shares of common stock may be available for issuance under the Restated ESPP. This number includes 150,000 shares that were initially reserved for the exercise of options under the ESPP. As described above, there were 400,409 shares available as of October 19, 2023, of which 400,000 are subject to shareholder approval of the Restated ESPP.</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Participation</w:t>
      </w:r>
    </w:p>
    <w:p>
      <w:pPr>
        <w:spacing w:after="0" w:line="20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0E2A35"/>
        </w:rPr>
        <w:t>While the Committee has discretion to establish different offering periods, shares generally will be offered under the Restated ESPP through two offering periods of approximately six months that generally commence with the first trading day on or after January 1 and terminate on the following June 30 (or the last trading day prior to such date) and then again commence on the first trading day on or after July 1 and end on the following December 31 (or the last trading day prior to such date). To participate in the Restated ESPP, eligible employees must complete a subscription agreement that authorizes payroll deductions of a fixed dollar amount not to exceed 15% percent of the participant’s base salary (or such other maximum amount established by the Committee for the offering</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380"/>
        <w:spacing w:after="0" w:line="261" w:lineRule="auto"/>
        <w:rPr>
          <w:sz w:val="20"/>
          <w:szCs w:val="20"/>
          <w:color w:val="auto"/>
        </w:rPr>
      </w:pPr>
      <w:r>
        <w:rPr>
          <w:rFonts w:ascii="Arial" w:cs="Arial" w:eastAsia="Arial" w:hAnsi="Arial"/>
          <w:sz w:val="16"/>
          <w:szCs w:val="16"/>
          <w:color w:val="0E2A35"/>
        </w:rPr>
        <w:t>period). Once an eligible employee becomes a participant in the Restated ESPP, the employee’s subscription agreement will remain in effect for successive offering periods unless terminated or modified; provided that, during an offering period, participants cannot increase or decrease the amount of payroll deductions but may withdraw from participation.</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Stock Purchase Limits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0E2A35"/>
        </w:rPr>
        <w:t>No participant may be granted an option to purchase shares of common stock under the Restated ESPP if such participant’s options under the Restated ESPP and any other employee stock purchase plan of the Company and its subsidiaries has an aggregate fair market value in excess of $25,000 in any calendar year or if the participant’s option under the Restated ESPP is in excess of 10,000 shares in any offering period. In addition, no participant may be granted an option under the Restated ESPP if the participant, immediately after the grant of the option, would own stock (including stock subject to the option) constituting in the aggregate 5% or more of the total combined voting power or value of all classes of issued and outstanding stock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Purchase Price</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The purchase price of each share of common stock sold pursuant to the Restated ESPP will be equal to the lesser of 85% of the fair market value of common stock on the first day of the relevant offering period or 85% of the fair market value common stock on the last day of the relevant offering period. The fair market value of a share of common stock on these measurement dates will be equal to the closing sales price for such stock as reported on the NYSE for that date.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Grant and Exercise of Options</w:t>
      </w:r>
    </w:p>
    <w:p>
      <w:pPr>
        <w:spacing w:after="0" w:line="18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0E2A35"/>
        </w:rPr>
        <w:t>Effective on the first day of each offering period, a participant will be granted an option to purchase shares of common stock, the number of which is determined by dividing the participant’s total payroll deductions made during the offering period and retained in the participant’s Restated ESPP account as of the purchase date by the applicable purchase price without adjustment for changes in the participant’s compensation.</w:t>
      </w:r>
    </w:p>
    <w:p>
      <w:pPr>
        <w:spacing w:after="0" w:line="14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0E2A35"/>
        </w:rPr>
        <w:t>Unless a participant terminates employment or otherwise withdraws from the Restated ESPP, the participant’s option to purchase shares of common stock will be exercised automatically on the purchase date and the maximum number of whole shares subject to the option will be purchased for such participant at the applicable purchase price with the accumulated payroll deductions in the participant’s Restated ESPP account. Shares will thereafter as promptly as practicable be delivered to the participant or the participant’s broker.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Withdrawal and Termination of Employment</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0E2A35"/>
        </w:rPr>
        <w:t>A participant may withdraw from the Restated ESPP at any time on or before 30 calendar days prior to the purchase date, in which case the Company will pay to the participant in cash all of the participant’s payroll deductions credited to the participant’s account under the Restated ESPP, without interest. Withdrawal from an offering period will not impact the participant’s eligibility to participate in any succeeding offering period thereafter. A participant whose employment terminates during an offering period and before a purchase date will be deemed to immediately withdraw from the Restated ESPP and that participant’s payroll deductions during that offering period will be refunded without interest in the same manner as described above for a withdrawal.</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Transferability</w:t>
      </w:r>
    </w:p>
    <w:p>
      <w:pPr>
        <w:spacing w:after="0" w:line="202"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0E2A35"/>
        </w:rPr>
        <w:t>No payroll deductions credited to a participant’s Restated ESPP account, rights to exercise options or rights to receive shares of common stock under the Restated ESPP will be transferable by the participant, except by will, the laws of descent and distribution or in accordance with the beneficiary designation requirements of the Restated ESPP.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Share Adjustment Provisions</w:t>
      </w:r>
    </w:p>
    <w:p>
      <w:pPr>
        <w:spacing w:after="0" w:line="189"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0E2A35"/>
        </w:rPr>
        <w:t>If any change is made in our capitalization during an offering period, such as a stock split, reverse stock split, stock dividend, consolidation, separation, reorganization or reclassification of the common stock, or any other increase or decrease in the number of shares of common stock effected without receipt of consideration by the Company, appropriate adjustments will be made to the number of shares authorized for issuance under the Restated ESPP,</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0E2A35"/>
        </w:rPr>
        <w:t>the maximum number of shares that may be purchased by a participant during any offering period, the purchase price and the number of shares covered by each option under the Restated ESPP that has not yet been exercised, in each case as determined by the Committee, to continue to qualify as an option under Sections 423 and 424 of the Code.</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0E2A35"/>
        </w:rPr>
        <w:t>Change of Control</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0E2A35"/>
        </w:rPr>
        <w:t>If all or substantially all of the Company’s assets are sold or there is a merger of the Company with or into another corporation, or a similar transaction, in which the Company is not the surviving corporation, then all outstanding options will be assumed or substituted by the successor corporation. If the outstanding options are not assumed or substituted by the successor corporation, or if there is a dissolution or liquidation of the Company, then the offering period will be shortened, and all outstanding options will automatically be exercised immediately prior to the effective date of the transaction unless the participant terminates employment or withdraws from the shortened offering period pursuant to the terms of the Restated ESPP before the purchase date.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Effective Date and Term of the Restated ESPP</w:t>
      </w:r>
    </w:p>
    <w:p>
      <w:pPr>
        <w:spacing w:after="0" w:line="18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0E2A35"/>
        </w:rPr>
        <w:t>The Restated ESPP will become effective on the date it is approved by the Company’s shareholders; provided such approval is obtained by May 17, 2024. Unless terminated earlier at the discretion of the Committee, the Restated ESPP will terminate on the date that all the shares reserved for issuance under the Restated ESPP have been purchased.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Amendment and Termination of the Restated ESPP</w:t>
      </w:r>
    </w:p>
    <w:p>
      <w:pPr>
        <w:spacing w:after="0" w:line="18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0E2A35"/>
        </w:rPr>
        <w:t>The Committee may, at any time and for any reason, terminate, amend or suspend the Restated ESPP; however, such termination, amendment or suspension may not affect previously granted options, except that an offering period may be terminated by the Board if it determines that such termination is in the best interests of the Company and its shareholders, and may not make any change that would adversely affect the rights of any participant. No amendment may be made to the Restated ESPP without the approval or ratification of our shareholders if such amendment would require shareholder approval under Section 423 of the Code or any other applicable law, regulation or NYSE rule.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United States Federal Income Tax Consequences</w:t>
      </w:r>
    </w:p>
    <w:p>
      <w:pPr>
        <w:spacing w:after="0" w:line="20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0E2A35"/>
        </w:rPr>
        <w:t>The following summary is intended only as a general guide as to federal income tax consequences, under current United States tax law, of participation in the Restated ESPP, and does not attempt to describe all potential tax consequences. This discussion is intended for the information of our shareholders considering how to vote at the Annual Meeting and not as tax guidance to individuals who participate in the Restated ESPP. The following is not intended or written to be used, and cannot be used, for the purposes of avoiding taxpayer penalties. Tax consequences are subject to change, and a taxpayer’s particular situation may be such that some variation in application of the desired rules is applicable. Furthermore, Restated ESPP participants who are not subject to United States tax law will be subject to the tax rules of their respective jurisdictions, which are not described here. Accordingly, participants are advised to consult their own tax advisors with respect to the tax consequences of participating in the Restated ESPP.</w:t>
      </w:r>
    </w:p>
    <w:p>
      <w:pPr>
        <w:spacing w:after="0" w:line="152"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0E2A35"/>
        </w:rPr>
        <w:t>The Restated ESPP is intended to be an “employee stock purchase plan” within the meaning of Section 423 of the Code for Restated ESPP participants who are subject to United States tax law. With respect to these participants, no taxable income will be reportable by a participant, and no deductions will be allowable to us, due to the grant of the option at the beginning of the offering or at the purchase of shares at the end of an offering. A participant subject to United States tax law will, however, recognize taxable income in the year in which the shares purchased under the Restated ESPP are sold or otherwise made the subject of disposition.</w:t>
      </w:r>
    </w:p>
    <w:p>
      <w:pPr>
        <w:spacing w:after="0" w:line="150"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0E2A35"/>
        </w:rPr>
        <w:t>A sale or other disposition of shares purchased under the Restated ESPP will be a “disqualifying disposition” for a participant subject to United States tax law if such sale or disposition occurs prior to the later of (i) two years after the date the option is granted (i.e., the commencement date of the offering period to which the option pertains) and (ii) one year after the date of the purchase of the applicable shares. If the participant makes a disqualifying disposition of shares purchased under the Restated ESPP, the excess of the fair market value of the shares on the</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6"/>
          <w:szCs w:val="16"/>
          <w:color w:val="0E2A35"/>
        </w:rPr>
        <w:t>date of purchase over the purchase price will be treated as ordinary income to the participant at the time of such disposition, and any additional gain (or loss) on the disposition (after adding the amount treated as ordinary income to the participant’s basis in the shares) will be a capital gain (or loss) to the participant. We will be entitled to an income tax deduction for the amount treated as ordinary income to the participant for the taxable year in which the disposition occurs, although the income tax deduction may be limited by the deductibility of compensation paid to certain of our officers under Section 162(m) of the Code. In no other instance will we be allowed a deduction with respect to the participant’s disposition of the purchased shares based on current United States tax law.</w:t>
      </w:r>
    </w:p>
    <w:p>
      <w:pPr>
        <w:spacing w:after="0" w:line="273" w:lineRule="exact"/>
        <w:rPr>
          <w:sz w:val="20"/>
          <w:szCs w:val="20"/>
          <w:color w:val="auto"/>
        </w:rPr>
      </w:pPr>
    </w:p>
    <w:p>
      <w:pPr>
        <w:spacing w:after="0" w:line="250" w:lineRule="auto"/>
        <w:rPr>
          <w:sz w:val="20"/>
          <w:szCs w:val="20"/>
          <w:color w:val="auto"/>
        </w:rPr>
      </w:pPr>
      <w:r>
        <w:rPr>
          <w:rFonts w:ascii="Arial" w:cs="Arial" w:eastAsia="Arial" w:hAnsi="Arial"/>
          <w:sz w:val="16"/>
          <w:szCs w:val="16"/>
          <w:color w:val="0E2A35"/>
        </w:rPr>
        <w:t>If the participant subject to United States tax law sells or otherwise disposes of shares purchased under the Restated ESPP after satisfying the holding period outlined above (i.e., a qualifying disposition), then the participant will realize ordinary income in the year of disposition equal to the excess of the lesser of (i) the fair market value of the shares on the date of disposition over the purchase price for the shares, or (ii) the greater of (a) the fair market value of the shares on the date the option relating to the disposed shares was first granted over the purchase price and (b) the fair market value of the shares on the day immediately prior to the consummation of the transaction over the purchase price. Any additional gain (or loss) on the disposition (after adding the amount treated as ordinary income to the participant’s basis in the shares) will be long-term capital gain (or loss) to the participant. We will not be entitled to an income tax deduction for any amount with respect to the issuance or exercise of the option or the sale of the underlying shares.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Plan Benefits Under the Restated Plan</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0E2A35"/>
        </w:rPr>
        <w:t>Future benefits that will be provided to eligible employees under the Restated ESPP cannot be determined at this time because the amount of contributions set aside to purchase shares of our common stock under the Restated ESPP (subject to the limitations discussed above) is entirely within the discretion of each participant and the value of such stock is subject to change.</w:t>
      </w:r>
    </w:p>
    <w:p>
      <w:pPr>
        <w:spacing w:after="0" w:line="142" w:lineRule="exact"/>
        <w:rPr>
          <w:sz w:val="20"/>
          <w:szCs w:val="20"/>
          <w:color w:val="auto"/>
        </w:rPr>
      </w:pPr>
    </w:p>
    <w:p>
      <w:pPr>
        <w:spacing w:after="0" w:line="249" w:lineRule="auto"/>
        <w:rPr>
          <w:sz w:val="20"/>
          <w:szCs w:val="20"/>
          <w:color w:val="auto"/>
        </w:rPr>
      </w:pPr>
      <w:r>
        <w:rPr>
          <w:rFonts w:ascii="Arial" w:cs="Arial" w:eastAsia="Arial" w:hAnsi="Arial"/>
          <w:sz w:val="16"/>
          <w:szCs w:val="16"/>
          <w:color w:val="0E2A35"/>
        </w:rPr>
        <w:t>The exercise of options to purchase common stock granted under the Restated ESPP to our participating employees during the offering period that began on July 1, 2023 and ends on December 31, 2023 is contingent upon shareholder approval of the Restated ESPP. With respect to the offering period that began on July 1, 2023 and ends on December 31, 2023, based on current elections by participating employees, and assuming that the option price will be 85% of the fair market value of a share of common stock on the applicable date of grant (i.e., July 1, 2023), the number of shares of common stock that would be purchased under the Restated ESPP for such offering period by all participating employees would be 22,749 (780 current participants). If current participants do not reduce their election or withdraw from the offering and the fair market value of a share of common stock on the last day of such offering period (i.e., December 31, 2023) is less than the fair market value of a share of common stock on July 1, 2023, the number of shares of common stock that will be purchased under the Restated ESPP for such offering period by all participating employees will increase by an undeterminable number. Six of our executive officers currently participate in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165735</wp:posOffset>
            </wp:positionV>
            <wp:extent cx="4714875" cy="6597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714875" cy="65976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480" w:hanging="616"/>
        <w:spacing w:after="0"/>
        <w:tabs>
          <w:tab w:leader="none" w:pos="1480" w:val="left"/>
        </w:tabs>
        <w:numPr>
          <w:ilvl w:val="0"/>
          <w:numId w:val="71"/>
        </w:numPr>
        <w:rPr>
          <w:rFonts w:ascii="MS PGothic" w:cs="MS PGothic" w:eastAsia="MS PGothic" w:hAnsi="MS PGothic"/>
          <w:sz w:val="22"/>
          <w:szCs w:val="22"/>
          <w:color w:val="FFFFFF"/>
        </w:rPr>
      </w:pPr>
      <w:r>
        <w:rPr>
          <w:rFonts w:ascii="Arial" w:cs="Arial" w:eastAsia="Arial" w:hAnsi="Arial"/>
          <w:sz w:val="13"/>
          <w:szCs w:val="13"/>
          <w:b w:val="1"/>
          <w:bCs w:val="1"/>
          <w:color w:val="FFFFFF"/>
        </w:rPr>
        <w:t>approval</w:t>
      </w:r>
      <w:r>
        <w:rPr>
          <w:rFonts w:ascii="Arial" w:cs="Arial" w:eastAsia="Arial" w:hAnsi="Arial"/>
          <w:sz w:val="19"/>
          <w:szCs w:val="19"/>
          <w:b w:val="1"/>
          <w:bCs w:val="1"/>
          <w:color w:val="FFFFFF"/>
          <w:vertAlign w:val="subscript"/>
        </w:rPr>
        <w:t>Plan.</w:t>
      </w:r>
      <w:r>
        <w:rPr>
          <w:rFonts w:ascii="Arial" w:cs="Arial" w:eastAsia="Arial" w:hAnsi="Arial"/>
          <w:sz w:val="13"/>
          <w:szCs w:val="13"/>
          <w:b w:val="1"/>
          <w:bCs w:val="1"/>
          <w:color w:val="FFFFFF"/>
        </w:rPr>
        <w:t xml:space="preserve"> of the Amended and Restated Employee Stock Purchase</w:t>
      </w:r>
      <w:r>
        <w:rPr>
          <w:rFonts w:ascii="Arial" w:cs="Arial" w:eastAsia="Arial" w:hAnsi="Arial"/>
          <w:sz w:val="19"/>
          <w:szCs w:val="19"/>
          <w:b w:val="1"/>
          <w:bCs w:val="1"/>
          <w:color w:val="FFFFFF"/>
          <w:vertAlign w:val="superscript"/>
        </w:rPr>
        <w:t>TheBoardunanimouslyrecommendsthatyouvoteFORthe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ind w:right="100"/>
        <w:spacing w:after="0" w:line="312" w:lineRule="auto"/>
        <w:rPr>
          <w:sz w:val="20"/>
          <w:szCs w:val="20"/>
          <w:color w:val="auto"/>
        </w:rPr>
      </w:pPr>
      <w:r>
        <w:rPr>
          <w:rFonts w:ascii="Arial" w:cs="Arial" w:eastAsia="Arial" w:hAnsi="Arial"/>
          <w:sz w:val="26"/>
          <w:szCs w:val="26"/>
          <w:b w:val="1"/>
          <w:bCs w:val="1"/>
          <w:color w:val="0E2A35"/>
        </w:rPr>
        <w:t>Proposal 6 – Ratification of the Appointment of Independent Registered Public Accountant for the Fiscal Year Ending August 31, 2024</w:t>
      </w:r>
    </w:p>
    <w:p>
      <w:pPr>
        <w:spacing w:after="0" w:line="44" w:lineRule="exact"/>
        <w:rPr>
          <w:sz w:val="20"/>
          <w:szCs w:val="20"/>
          <w:color w:val="auto"/>
        </w:rPr>
      </w:pPr>
    </w:p>
    <w:p>
      <w:pPr>
        <w:spacing w:after="0" w:line="251" w:lineRule="auto"/>
        <w:rPr>
          <w:sz w:val="20"/>
          <w:szCs w:val="20"/>
          <w:color w:val="auto"/>
        </w:rPr>
      </w:pPr>
      <w:r>
        <w:rPr>
          <w:rFonts w:ascii="Arial" w:cs="Arial" w:eastAsia="Arial" w:hAnsi="Arial"/>
          <w:sz w:val="16"/>
          <w:szCs w:val="16"/>
          <w:color w:val="0E2A35"/>
        </w:rPr>
        <w:t>Deloitte &amp; Touche LLP (Deloitte) was appointed by the Audit Committee as our independent registered public accountant for the fiscal year ending August 31, 2024. We are asking our shareholders to ratify the appointment of Deloitte, who has served as our independent registered public accountant for over 25 years. Representatives of Deloitte will be present at the Annual Meeting and will be given the opportunity to make a statement if they so desire and will be available to respond to any shareholder questions that may be asked. For a description of the fees for services rendered by Deloitte in fiscal 2022 and 2023, and a description of our policy regarding the approval of independent registered public accountant provision of audit and non-audit services, see “Independent Registered Public Accountant’s Fees and Services” below.</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6"/>
          <w:szCs w:val="16"/>
          <w:color w:val="0E2A35"/>
        </w:rPr>
        <w:t>Although ratification by the shareholders is not required by law, the Board has determined that it is desirable to request approval of this selection by the shareholders. If our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accountant at any time during the year if it determines that such a change would be in the Company's best interests and those of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33655</wp:posOffset>
            </wp:positionV>
            <wp:extent cx="4714875" cy="7969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714875" cy="796925"/>
                    </a:xfrm>
                    <a:prstGeom prst="rect">
                      <a:avLst/>
                    </a:prstGeom>
                    <a:noFill/>
                  </pic:spPr>
                </pic:pic>
              </a:graphicData>
            </a:graphic>
          </wp:anchor>
        </w:drawing>
      </w:r>
    </w:p>
    <w:p>
      <w:pPr>
        <w:spacing w:after="0" w:line="145" w:lineRule="exact"/>
        <w:rPr>
          <w:sz w:val="20"/>
          <w:szCs w:val="20"/>
          <w:color w:val="auto"/>
        </w:rPr>
      </w:pPr>
    </w:p>
    <w:p>
      <w:pPr>
        <w:ind w:left="1480"/>
        <w:spacing w:after="0"/>
        <w:rPr>
          <w:sz w:val="20"/>
          <w:szCs w:val="20"/>
          <w:color w:val="auto"/>
        </w:rPr>
      </w:pPr>
      <w:r>
        <w:rPr>
          <w:rFonts w:ascii="Arial" w:cs="Arial" w:eastAsia="Arial" w:hAnsi="Arial"/>
          <w:sz w:val="20"/>
          <w:szCs w:val="20"/>
          <w:b w:val="1"/>
          <w:bCs w:val="1"/>
          <w:color w:val="FFFFFF"/>
        </w:rPr>
        <w:t>The Board unanimously recommends that you vote FOR the</w:t>
      </w:r>
    </w:p>
    <w:p>
      <w:pPr>
        <w:spacing w:after="0" w:line="49" w:lineRule="exact"/>
        <w:rPr>
          <w:sz w:val="20"/>
          <w:szCs w:val="20"/>
          <w:color w:val="auto"/>
        </w:rPr>
      </w:pPr>
    </w:p>
    <w:p>
      <w:pPr>
        <w:ind w:left="1480" w:right="1480" w:hanging="616"/>
        <w:spacing w:after="0" w:line="185" w:lineRule="auto"/>
        <w:tabs>
          <w:tab w:leader="none" w:pos="1480" w:val="left"/>
        </w:tabs>
        <w:numPr>
          <w:ilvl w:val="0"/>
          <w:numId w:val="72"/>
        </w:numPr>
        <w:rPr>
          <w:rFonts w:ascii="MS PGothic" w:cs="MS PGothic" w:eastAsia="MS PGothic" w:hAnsi="MS PGothic"/>
          <w:sz w:val="48"/>
          <w:szCs w:val="48"/>
          <w:color w:val="FFFFFF"/>
        </w:rPr>
      </w:pPr>
      <w:r>
        <w:rPr>
          <w:rFonts w:ascii="Arial" w:cs="Arial" w:eastAsia="Arial" w:hAnsi="Arial"/>
          <w:sz w:val="19"/>
          <w:szCs w:val="19"/>
          <w:b w:val="1"/>
          <w:bCs w:val="1"/>
          <w:color w:val="FFFFFF"/>
        </w:rPr>
        <w:t>ratification of the appointment of Deloitte &amp; Touche LLP as our independent registered public accountant for the fiscal year ending August 31, 2024.</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Report of the Audit Committee</w:t>
      </w:r>
    </w:p>
    <w:p>
      <w:pPr>
        <w:spacing w:after="0" w:line="201"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0E2A35"/>
        </w:rPr>
        <w:t>The Audit Committee serves as the representative of the Board for general oversight of our financial accounting and reporting, systems of internal control and audit process, and monitoring compliance with laws, regulations, and standards of business conduct.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0E2A35"/>
        </w:rPr>
        <w:t>Management is responsible for the financial statements and the reporting process, including the system of internal controls.</w:t>
      </w:r>
    </w:p>
    <w:p>
      <w:pPr>
        <w:spacing w:after="0" w:line="181"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0E2A35"/>
        </w:rPr>
        <w:t>We retained PricewaterhouseCoopers LLP (PwC) to act as our internal audit function. In this role, PwC assisted management with completing its assessment of our internal control over financial reporting by testing and reviewing our internal control processes. Deloitte, our independent registered public accountant, is responsible for expressing an opinion on the conformity of the audited financial statements with accounting principles generally accepted in the United States and an assessment of our internal controls over financial reporting in accordance with the standards of the United States Public Company Accounting Oversight Board (PCAOB).</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0E2A35"/>
        </w:rPr>
        <w:t>The Audit Committee reviews the Company's financial reporting process on behalf of the Board. In fulfilling its responsibilities, the Audit Committee has reviewed and discussed the Company's audited financial statements to be included in the 2023 Form 10-K with management and the independent accountants. The Audit Committee reports as follows:</w:t>
      </w:r>
    </w:p>
    <w:p>
      <w:pPr>
        <w:spacing w:after="0" w:line="156" w:lineRule="exact"/>
        <w:rPr>
          <w:sz w:val="20"/>
          <w:szCs w:val="20"/>
          <w:color w:val="auto"/>
        </w:rPr>
      </w:pPr>
    </w:p>
    <w:p>
      <w:pPr>
        <w:ind w:left="720" w:right="20" w:hanging="360"/>
        <w:spacing w:after="0" w:line="276" w:lineRule="auto"/>
        <w:tabs>
          <w:tab w:leader="none" w:pos="720" w:val="left"/>
        </w:tabs>
        <w:numPr>
          <w:ilvl w:val="0"/>
          <w:numId w:val="73"/>
        </w:numPr>
        <w:rPr>
          <w:rFonts w:ascii="Arial" w:cs="Arial" w:eastAsia="Arial" w:hAnsi="Arial"/>
          <w:sz w:val="16"/>
          <w:szCs w:val="16"/>
          <w:color w:val="C7D265"/>
        </w:rPr>
      </w:pPr>
      <w:r>
        <w:rPr>
          <w:rFonts w:ascii="Arial" w:cs="Arial" w:eastAsia="Arial" w:hAnsi="Arial"/>
          <w:sz w:val="16"/>
          <w:szCs w:val="16"/>
          <w:color w:val="0E2A35"/>
        </w:rPr>
        <w:t>The Audit Committee has reviewed and discussed the Company’s audited financial statements for the fiscal year ended August 26, 2023 with the Company’s management.</w:t>
      </w:r>
    </w:p>
    <w:p>
      <w:pPr>
        <w:spacing w:after="0" w:line="130" w:lineRule="exact"/>
        <w:rPr>
          <w:rFonts w:ascii="Arial" w:cs="Arial" w:eastAsia="Arial" w:hAnsi="Arial"/>
          <w:sz w:val="16"/>
          <w:szCs w:val="16"/>
          <w:color w:val="C7D265"/>
        </w:rPr>
      </w:pPr>
    </w:p>
    <w:p>
      <w:pPr>
        <w:ind w:left="720" w:right="140" w:hanging="360"/>
        <w:spacing w:after="0" w:line="276" w:lineRule="auto"/>
        <w:tabs>
          <w:tab w:leader="none" w:pos="720" w:val="left"/>
        </w:tabs>
        <w:numPr>
          <w:ilvl w:val="0"/>
          <w:numId w:val="73"/>
        </w:numPr>
        <w:rPr>
          <w:rFonts w:ascii="Arial" w:cs="Arial" w:eastAsia="Arial" w:hAnsi="Arial"/>
          <w:sz w:val="16"/>
          <w:szCs w:val="16"/>
          <w:color w:val="C7D265"/>
        </w:rPr>
      </w:pPr>
      <w:r>
        <w:rPr>
          <w:rFonts w:ascii="Arial" w:cs="Arial" w:eastAsia="Arial" w:hAnsi="Arial"/>
          <w:sz w:val="16"/>
          <w:szCs w:val="16"/>
          <w:color w:val="0E2A35"/>
        </w:rPr>
        <w:t>The Audit Committee has discussed with Deloitte the matters required to be discussed by the applicable requirements of the PCAOB and the SEC.</w:t>
      </w:r>
    </w:p>
    <w:p>
      <w:pPr>
        <w:spacing w:after="0" w:line="130" w:lineRule="exact"/>
        <w:rPr>
          <w:rFonts w:ascii="Arial" w:cs="Arial" w:eastAsia="Arial" w:hAnsi="Arial"/>
          <w:sz w:val="16"/>
          <w:szCs w:val="16"/>
          <w:color w:val="C7D265"/>
        </w:rPr>
      </w:pPr>
    </w:p>
    <w:p>
      <w:pPr>
        <w:ind w:left="720" w:right="120" w:hanging="360"/>
        <w:spacing w:after="0" w:line="261" w:lineRule="auto"/>
        <w:tabs>
          <w:tab w:leader="none" w:pos="720" w:val="left"/>
        </w:tabs>
        <w:numPr>
          <w:ilvl w:val="0"/>
          <w:numId w:val="73"/>
        </w:numPr>
        <w:rPr>
          <w:rFonts w:ascii="Arial" w:cs="Arial" w:eastAsia="Arial" w:hAnsi="Arial"/>
          <w:sz w:val="16"/>
          <w:szCs w:val="16"/>
          <w:color w:val="C7D265"/>
        </w:rPr>
      </w:pPr>
      <w:r>
        <w:rPr>
          <w:rFonts w:ascii="Arial" w:cs="Arial" w:eastAsia="Arial" w:hAnsi="Arial"/>
          <w:sz w:val="16"/>
          <w:szCs w:val="16"/>
          <w:color w:val="0E2A35"/>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156"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0E2A35"/>
        </w:rPr>
        <w:t>Based on the review and discussion referred to in the bullet points above, the Audit Committee recommended to the Board that the audited financial statements be included in our 2023 Form 10-K, for filing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0E2A35"/>
        </w:rPr>
        <w:t>The Audit Committee: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0E2A35"/>
        </w:rPr>
        <w:t>Richard D. Moss,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Christopher J. Braun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Kevin E. Bryant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0E2A35"/>
        </w:rPr>
        <w:t>William C. Fisher</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Independent Registered Public Accountant’s Fees and Services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0E2A35"/>
        </w:rPr>
        <w:t>The following table presents fees for professional audit services rendered by Deloitte for the audit of our annual financial statements for fiscal years ended August 26, 2023 and August 27, 2022, and fees billed for other services rendered by Deloitte during those periods.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80" w:type="dxa"/>
            <w:vAlign w:val="bottom"/>
            <w:shd w:val="clear" w:color="auto" w:fill="0E2A35"/>
          </w:tcPr>
          <w:p>
            <w:pPr>
              <w:spacing w:after="0"/>
              <w:rPr>
                <w:sz w:val="19"/>
                <w:szCs w:val="19"/>
                <w:color w:val="auto"/>
              </w:rPr>
            </w:pPr>
          </w:p>
        </w:tc>
        <w:tc>
          <w:tcPr>
            <w:tcW w:w="3240" w:type="dxa"/>
            <w:vAlign w:val="bottom"/>
            <w:shd w:val="clear" w:color="auto" w:fill="0E2A35"/>
          </w:tcPr>
          <w:p>
            <w:pPr>
              <w:ind w:left="2860"/>
              <w:spacing w:after="0"/>
              <w:rPr>
                <w:sz w:val="20"/>
                <w:szCs w:val="20"/>
                <w:color w:val="auto"/>
              </w:rPr>
            </w:pPr>
            <w:r>
              <w:rPr>
                <w:rFonts w:ascii="Arial" w:cs="Arial" w:eastAsia="Arial" w:hAnsi="Arial"/>
                <w:sz w:val="13"/>
                <w:szCs w:val="13"/>
                <w:b w:val="1"/>
                <w:bCs w:val="1"/>
                <w:color w:val="FFFFFF"/>
                <w:w w:val="97"/>
              </w:rPr>
              <w:t>Fiscal​</w:t>
            </w:r>
          </w:p>
        </w:tc>
        <w:tc>
          <w:tcPr>
            <w:tcW w:w="680" w:type="dxa"/>
            <w:vAlign w:val="bottom"/>
            <w:shd w:val="clear" w:color="auto" w:fill="0E2A35"/>
          </w:tcPr>
          <w:p>
            <w:pPr>
              <w:jc w:val="right"/>
              <w:ind w:right="313"/>
              <w:spacing w:after="0"/>
              <w:rPr>
                <w:sz w:val="20"/>
                <w:szCs w:val="20"/>
                <w:color w:val="auto"/>
              </w:rPr>
            </w:pPr>
            <w:r>
              <w:rPr>
                <w:rFonts w:ascii="Arial" w:cs="Arial" w:eastAsia="Arial" w:hAnsi="Arial"/>
                <w:sz w:val="13"/>
                <w:szCs w:val="13"/>
                <w:b w:val="1"/>
                <w:bCs w:val="1"/>
                <w:color w:val="FFFFFF"/>
                <w:w w:val="96"/>
              </w:rPr>
              <w:t>2023</w:t>
            </w:r>
          </w:p>
        </w:tc>
        <w:tc>
          <w:tcPr>
            <w:tcW w:w="740" w:type="dxa"/>
            <w:vAlign w:val="bottom"/>
            <w:shd w:val="clear" w:color="auto" w:fill="0E2A35"/>
          </w:tcPr>
          <w:p>
            <w:pPr>
              <w:ind w:left="380"/>
              <w:spacing w:after="0"/>
              <w:rPr>
                <w:sz w:val="20"/>
                <w:szCs w:val="20"/>
                <w:color w:val="auto"/>
              </w:rPr>
            </w:pPr>
            <w:r>
              <w:rPr>
                <w:rFonts w:ascii="Arial" w:cs="Arial" w:eastAsia="Arial" w:hAnsi="Arial"/>
                <w:sz w:val="13"/>
                <w:szCs w:val="13"/>
                <w:b w:val="1"/>
                <w:bCs w:val="1"/>
                <w:color w:val="FFFFFF"/>
                <w:w w:val="92"/>
              </w:rPr>
              <w:t>Fiscal​</w:t>
            </w:r>
          </w:p>
        </w:tc>
        <w:tc>
          <w:tcPr>
            <w:tcW w:w="340" w:type="dxa"/>
            <w:vAlign w:val="bottom"/>
            <w:shd w:val="clear" w:color="auto" w:fill="0E2A35"/>
          </w:tcPr>
          <w:p>
            <w:pPr>
              <w:jc w:val="right"/>
              <w:spacing w:after="0"/>
              <w:rPr>
                <w:sz w:val="20"/>
                <w:szCs w:val="20"/>
                <w:color w:val="auto"/>
              </w:rPr>
            </w:pPr>
            <w:r>
              <w:rPr>
                <w:rFonts w:ascii="Arial" w:cs="Arial" w:eastAsia="Arial" w:hAnsi="Arial"/>
                <w:sz w:val="13"/>
                <w:szCs w:val="13"/>
                <w:b w:val="1"/>
                <w:bCs w:val="1"/>
                <w:color w:val="FFFFFF"/>
                <w:w w:val="96"/>
              </w:rPr>
              <w:t>2022</w:t>
            </w:r>
          </w:p>
        </w:tc>
      </w:tr>
      <w:tr>
        <w:trPr>
          <w:trHeight w:val="176"/>
        </w:trPr>
        <w:tc>
          <w:tcPr>
            <w:tcW w:w="4280" w:type="dxa"/>
            <w:vAlign w:val="bottom"/>
            <w:shd w:val="clear" w:color="auto" w:fill="0E2A35"/>
          </w:tcPr>
          <w:p>
            <w:pPr>
              <w:spacing w:after="0"/>
              <w:rPr>
                <w:sz w:val="15"/>
                <w:szCs w:val="15"/>
                <w:color w:val="auto"/>
              </w:rPr>
            </w:pPr>
          </w:p>
        </w:tc>
        <w:tc>
          <w:tcPr>
            <w:tcW w:w="3920" w:type="dxa"/>
            <w:vAlign w:val="bottom"/>
            <w:gridSpan w:val="2"/>
            <w:shd w:val="clear" w:color="auto" w:fill="0E2A35"/>
          </w:tcPr>
          <w:p>
            <w:pPr>
              <w:jc w:val="right"/>
              <w:ind w:right="573"/>
              <w:spacing w:after="0"/>
              <w:rPr>
                <w:sz w:val="20"/>
                <w:szCs w:val="20"/>
                <w:color w:val="auto"/>
              </w:rPr>
            </w:pPr>
            <w:r>
              <w:rPr>
                <w:rFonts w:ascii="Arial" w:cs="Arial" w:eastAsia="Arial" w:hAnsi="Arial"/>
                <w:sz w:val="13"/>
                <w:szCs w:val="13"/>
                <w:b w:val="1"/>
                <w:bCs w:val="1"/>
                <w:color w:val="FFFFFF"/>
              </w:rPr>
              <w:t>($)</w:t>
            </w:r>
          </w:p>
        </w:tc>
        <w:tc>
          <w:tcPr>
            <w:tcW w:w="1080" w:type="dxa"/>
            <w:vAlign w:val="bottom"/>
            <w:gridSpan w:val="2"/>
            <w:shd w:val="clear" w:color="auto" w:fill="0E2A35"/>
          </w:tcPr>
          <w:p>
            <w:pPr>
              <w:jc w:val="right"/>
              <w:ind w:right="211"/>
              <w:spacing w:after="0"/>
              <w:rPr>
                <w:sz w:val="20"/>
                <w:szCs w:val="20"/>
                <w:color w:val="auto"/>
              </w:rPr>
            </w:pPr>
            <w:r>
              <w:rPr>
                <w:rFonts w:ascii="Arial" w:cs="Arial" w:eastAsia="Arial" w:hAnsi="Arial"/>
                <w:sz w:val="13"/>
                <w:szCs w:val="13"/>
                <w:b w:val="1"/>
                <w:bCs w:val="1"/>
                <w:color w:val="FFFFFF"/>
              </w:rPr>
              <w:t>($)</w:t>
            </w:r>
          </w:p>
        </w:tc>
      </w:tr>
      <w:tr>
        <w:trPr>
          <w:trHeight w:val="89"/>
        </w:trPr>
        <w:tc>
          <w:tcPr>
            <w:tcW w:w="4280" w:type="dxa"/>
            <w:vAlign w:val="bottom"/>
            <w:shd w:val="clear" w:color="auto" w:fill="0E2A35"/>
          </w:tcPr>
          <w:p>
            <w:pPr>
              <w:spacing w:after="0"/>
              <w:rPr>
                <w:sz w:val="7"/>
                <w:szCs w:val="7"/>
                <w:color w:val="auto"/>
              </w:rPr>
            </w:pPr>
          </w:p>
        </w:tc>
        <w:tc>
          <w:tcPr>
            <w:tcW w:w="3920" w:type="dxa"/>
            <w:vAlign w:val="bottom"/>
            <w:gridSpan w:val="2"/>
            <w:shd w:val="clear" w:color="auto" w:fill="0E2A35"/>
          </w:tcPr>
          <w:p>
            <w:pPr>
              <w:spacing w:after="0"/>
              <w:rPr>
                <w:sz w:val="7"/>
                <w:szCs w:val="7"/>
                <w:color w:val="auto"/>
              </w:rPr>
            </w:pPr>
          </w:p>
        </w:tc>
        <w:tc>
          <w:tcPr>
            <w:tcW w:w="1080" w:type="dxa"/>
            <w:vAlign w:val="bottom"/>
            <w:gridSpan w:val="2"/>
            <w:shd w:val="clear" w:color="auto" w:fill="0E2A35"/>
          </w:tcPr>
          <w:p>
            <w:pPr>
              <w:spacing w:after="0"/>
              <w:rPr>
                <w:sz w:val="7"/>
                <w:szCs w:val="7"/>
                <w:color w:val="auto"/>
              </w:rPr>
            </w:pPr>
          </w:p>
        </w:tc>
      </w:tr>
      <w:tr>
        <w:trPr>
          <w:trHeight w:val="405"/>
        </w:trPr>
        <w:tc>
          <w:tcPr>
            <w:tcW w:w="428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Audit Fees</w:t>
            </w:r>
            <w:r>
              <w:rPr>
                <w:rFonts w:ascii="Arial" w:cs="Arial" w:eastAsia="Arial" w:hAnsi="Arial"/>
                <w:sz w:val="23"/>
                <w:szCs w:val="23"/>
                <w:color w:val="0E2A35"/>
                <w:vertAlign w:val="superscript"/>
              </w:rPr>
              <w:t>(1)</w:t>
            </w:r>
          </w:p>
        </w:tc>
        <w:tc>
          <w:tcPr>
            <w:tcW w:w="3920" w:type="dxa"/>
            <w:vAlign w:val="bottom"/>
            <w:tcBorders>
              <w:bottom w:val="single" w:sz="8" w:color="0E2A35"/>
            </w:tcBorders>
            <w:gridSpan w:val="2"/>
          </w:tcPr>
          <w:p>
            <w:pPr>
              <w:jc w:val="right"/>
              <w:ind w:right="353"/>
              <w:spacing w:after="0"/>
              <w:rPr>
                <w:sz w:val="20"/>
                <w:szCs w:val="20"/>
                <w:color w:val="auto"/>
              </w:rPr>
            </w:pPr>
            <w:r>
              <w:rPr>
                <w:rFonts w:ascii="Arial" w:cs="Arial" w:eastAsia="Arial" w:hAnsi="Arial"/>
                <w:sz w:val="14"/>
                <w:szCs w:val="14"/>
                <w:color w:val="0E2A35"/>
              </w:rPr>
              <w:t>1,648,000​</w:t>
            </w:r>
          </w:p>
        </w:tc>
        <w:tc>
          <w:tcPr>
            <w:tcW w:w="1080" w:type="dxa"/>
            <w:vAlign w:val="bottom"/>
            <w:tcBorders>
              <w:bottom w:val="single" w:sz="8" w:color="0E2A35"/>
            </w:tcBorders>
            <w:gridSpan w:val="2"/>
          </w:tcPr>
          <w:p>
            <w:pPr>
              <w:jc w:val="right"/>
              <w:spacing w:after="0"/>
              <w:rPr>
                <w:sz w:val="20"/>
                <w:szCs w:val="20"/>
                <w:color w:val="auto"/>
              </w:rPr>
            </w:pPr>
            <w:r>
              <w:rPr>
                <w:rFonts w:ascii="Arial" w:cs="Arial" w:eastAsia="Arial" w:hAnsi="Arial"/>
                <w:sz w:val="14"/>
                <w:szCs w:val="14"/>
                <w:color w:val="0E2A35"/>
              </w:rPr>
              <w:t>1,667,000</w:t>
            </w:r>
          </w:p>
        </w:tc>
      </w:tr>
      <w:tr>
        <w:trPr>
          <w:trHeight w:val="398"/>
        </w:trPr>
        <w:tc>
          <w:tcPr>
            <w:tcW w:w="428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Audit-Related Fees</w:t>
            </w:r>
            <w:r>
              <w:rPr>
                <w:rFonts w:ascii="Arial" w:cs="Arial" w:eastAsia="Arial" w:hAnsi="Arial"/>
                <w:sz w:val="23"/>
                <w:szCs w:val="23"/>
                <w:color w:val="0E2A35"/>
                <w:vertAlign w:val="superscript"/>
              </w:rPr>
              <w:t>(2)</w:t>
            </w:r>
          </w:p>
        </w:tc>
        <w:tc>
          <w:tcPr>
            <w:tcW w:w="3920" w:type="dxa"/>
            <w:vAlign w:val="bottom"/>
            <w:tcBorders>
              <w:bottom w:val="single" w:sz="8" w:color="0E2A35"/>
            </w:tcBorders>
            <w:gridSpan w:val="2"/>
          </w:tcPr>
          <w:p>
            <w:pPr>
              <w:jc w:val="right"/>
              <w:ind w:right="353"/>
              <w:spacing w:after="0"/>
              <w:rPr>
                <w:sz w:val="20"/>
                <w:szCs w:val="20"/>
                <w:color w:val="auto"/>
              </w:rPr>
            </w:pPr>
            <w:r>
              <w:rPr>
                <w:rFonts w:ascii="Arial" w:cs="Arial" w:eastAsia="Arial" w:hAnsi="Arial"/>
                <w:sz w:val="14"/>
                <w:szCs w:val="14"/>
                <w:color w:val="0E2A35"/>
              </w:rPr>
              <w:t>89,000​</w:t>
            </w:r>
          </w:p>
        </w:tc>
        <w:tc>
          <w:tcPr>
            <w:tcW w:w="1080" w:type="dxa"/>
            <w:vAlign w:val="bottom"/>
            <w:tcBorders>
              <w:bottom w:val="single" w:sz="8" w:color="0E2A35"/>
            </w:tcBorders>
            <w:gridSpan w:val="2"/>
          </w:tcPr>
          <w:p>
            <w:pPr>
              <w:jc w:val="right"/>
              <w:spacing w:after="0"/>
              <w:rPr>
                <w:sz w:val="20"/>
                <w:szCs w:val="20"/>
                <w:color w:val="auto"/>
              </w:rPr>
            </w:pPr>
            <w:r>
              <w:rPr>
                <w:rFonts w:ascii="Arial" w:cs="Arial" w:eastAsia="Arial" w:hAnsi="Arial"/>
                <w:sz w:val="14"/>
                <w:szCs w:val="14"/>
                <w:color w:val="0E2A35"/>
              </w:rPr>
              <w:t>32,000</w:t>
            </w:r>
          </w:p>
        </w:tc>
      </w:tr>
      <w:tr>
        <w:trPr>
          <w:trHeight w:val="398"/>
        </w:trPr>
        <w:tc>
          <w:tcPr>
            <w:tcW w:w="428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Tax Fees</w:t>
            </w:r>
            <w:r>
              <w:rPr>
                <w:rFonts w:ascii="Arial" w:cs="Arial" w:eastAsia="Arial" w:hAnsi="Arial"/>
                <w:sz w:val="23"/>
                <w:szCs w:val="23"/>
                <w:color w:val="0E2A35"/>
                <w:vertAlign w:val="superscript"/>
              </w:rPr>
              <w:t>(3)</w:t>
            </w:r>
          </w:p>
        </w:tc>
        <w:tc>
          <w:tcPr>
            <w:tcW w:w="3240" w:type="dxa"/>
            <w:vAlign w:val="bottom"/>
            <w:tcBorders>
              <w:bottom w:val="single" w:sz="8" w:color="0E2A35"/>
            </w:tcBorders>
          </w:tcPr>
          <w:p>
            <w:pPr>
              <w:spacing w:after="0"/>
              <w:rPr>
                <w:sz w:val="24"/>
                <w:szCs w:val="24"/>
                <w:color w:val="auto"/>
              </w:rPr>
            </w:pPr>
          </w:p>
        </w:tc>
        <w:tc>
          <w:tcPr>
            <w:tcW w:w="680" w:type="dxa"/>
            <w:vAlign w:val="bottom"/>
            <w:tcBorders>
              <w:bottom w:val="single" w:sz="8" w:color="0E2A35"/>
            </w:tcBorders>
          </w:tcPr>
          <w:p>
            <w:pPr>
              <w:jc w:val="right"/>
              <w:ind w:right="353"/>
              <w:spacing w:after="0"/>
              <w:rPr>
                <w:sz w:val="20"/>
                <w:szCs w:val="20"/>
                <w:color w:val="auto"/>
              </w:rPr>
            </w:pPr>
            <w:r>
              <w:rPr>
                <w:rFonts w:ascii="Arial" w:cs="Arial" w:eastAsia="Arial" w:hAnsi="Arial"/>
                <w:sz w:val="14"/>
                <w:szCs w:val="14"/>
                <w:color w:val="0E2A35"/>
              </w:rPr>
              <w:t>—</w:t>
            </w:r>
          </w:p>
        </w:tc>
        <w:tc>
          <w:tcPr>
            <w:tcW w:w="740" w:type="dxa"/>
            <w:vAlign w:val="bottom"/>
            <w:tcBorders>
              <w:bottom w:val="single" w:sz="8" w:color="0E2A35"/>
            </w:tcBorders>
          </w:tcPr>
          <w:p>
            <w:pPr>
              <w:spacing w:after="0"/>
              <w:rPr>
                <w:sz w:val="24"/>
                <w:szCs w:val="24"/>
                <w:color w:val="auto"/>
              </w:rPr>
            </w:pPr>
          </w:p>
        </w:tc>
        <w:tc>
          <w:tcPr>
            <w:tcW w:w="34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w:t>
            </w:r>
          </w:p>
        </w:tc>
      </w:tr>
      <w:tr>
        <w:trPr>
          <w:trHeight w:val="398"/>
        </w:trPr>
        <w:tc>
          <w:tcPr>
            <w:tcW w:w="4280" w:type="dxa"/>
            <w:vAlign w:val="bottom"/>
            <w:tcBorders>
              <w:bottom w:val="single" w:sz="8" w:color="0E2A35"/>
            </w:tcBorders>
          </w:tcPr>
          <w:p>
            <w:pPr>
              <w:ind w:left="60"/>
              <w:spacing w:after="0"/>
              <w:rPr>
                <w:sz w:val="20"/>
                <w:szCs w:val="20"/>
                <w:color w:val="auto"/>
              </w:rPr>
            </w:pPr>
            <w:r>
              <w:rPr>
                <w:rFonts w:ascii="Arial" w:cs="Arial" w:eastAsia="Arial" w:hAnsi="Arial"/>
                <w:sz w:val="14"/>
                <w:szCs w:val="14"/>
                <w:color w:val="0E2A35"/>
              </w:rPr>
              <w:t>All Other Fees</w:t>
            </w:r>
            <w:r>
              <w:rPr>
                <w:rFonts w:ascii="Arial" w:cs="Arial" w:eastAsia="Arial" w:hAnsi="Arial"/>
                <w:sz w:val="23"/>
                <w:szCs w:val="23"/>
                <w:color w:val="0E2A35"/>
                <w:vertAlign w:val="superscript"/>
              </w:rPr>
              <w:t>(4)</w:t>
            </w:r>
          </w:p>
        </w:tc>
        <w:tc>
          <w:tcPr>
            <w:tcW w:w="3920" w:type="dxa"/>
            <w:vAlign w:val="bottom"/>
            <w:tcBorders>
              <w:bottom w:val="single" w:sz="8" w:color="0E2A35"/>
            </w:tcBorders>
            <w:gridSpan w:val="2"/>
          </w:tcPr>
          <w:p>
            <w:pPr>
              <w:jc w:val="right"/>
              <w:ind w:right="353"/>
              <w:spacing w:after="0"/>
              <w:rPr>
                <w:sz w:val="20"/>
                <w:szCs w:val="20"/>
                <w:color w:val="auto"/>
              </w:rPr>
            </w:pPr>
            <w:r>
              <w:rPr>
                <w:rFonts w:ascii="Arial" w:cs="Arial" w:eastAsia="Arial" w:hAnsi="Arial"/>
                <w:sz w:val="14"/>
                <w:szCs w:val="14"/>
                <w:color w:val="0E2A35"/>
              </w:rPr>
              <w:t>​  67,000</w:t>
            </w:r>
          </w:p>
        </w:tc>
        <w:tc>
          <w:tcPr>
            <w:tcW w:w="740" w:type="dxa"/>
            <w:vAlign w:val="bottom"/>
            <w:tcBorders>
              <w:bottom w:val="single" w:sz="8" w:color="0E2A35"/>
            </w:tcBorders>
          </w:tcPr>
          <w:p>
            <w:pPr>
              <w:spacing w:after="0"/>
              <w:rPr>
                <w:sz w:val="24"/>
                <w:szCs w:val="24"/>
                <w:color w:val="auto"/>
              </w:rPr>
            </w:pPr>
          </w:p>
        </w:tc>
        <w:tc>
          <w:tcPr>
            <w:tcW w:w="340" w:type="dxa"/>
            <w:vAlign w:val="bottom"/>
            <w:tcBorders>
              <w:bottom w:val="single" w:sz="8" w:color="0E2A35"/>
            </w:tcBorders>
          </w:tcPr>
          <w:p>
            <w:pPr>
              <w:jc w:val="right"/>
              <w:spacing w:after="0"/>
              <w:rPr>
                <w:sz w:val="20"/>
                <w:szCs w:val="20"/>
                <w:color w:val="auto"/>
              </w:rPr>
            </w:pPr>
            <w:r>
              <w:rPr>
                <w:rFonts w:ascii="Arial" w:cs="Arial" w:eastAsia="Arial" w:hAnsi="Arial"/>
                <w:sz w:val="14"/>
                <w:szCs w:val="14"/>
                <w:color w:val="0E2A35"/>
              </w:rPr>
              <w:t>—</w:t>
            </w:r>
          </w:p>
        </w:tc>
      </w:tr>
      <w:tr>
        <w:trPr>
          <w:trHeight w:val="278"/>
        </w:trPr>
        <w:tc>
          <w:tcPr>
            <w:tcW w:w="4280" w:type="dxa"/>
            <w:vAlign w:val="bottom"/>
          </w:tcPr>
          <w:p>
            <w:pPr>
              <w:ind w:left="60"/>
              <w:spacing w:after="0"/>
              <w:rPr>
                <w:sz w:val="20"/>
                <w:szCs w:val="20"/>
                <w:color w:val="auto"/>
              </w:rPr>
            </w:pPr>
            <w:r>
              <w:rPr>
                <w:rFonts w:ascii="Arial" w:cs="Arial" w:eastAsia="Arial" w:hAnsi="Arial"/>
                <w:sz w:val="14"/>
                <w:szCs w:val="14"/>
                <w:color w:val="0E2A35"/>
              </w:rPr>
              <w:t>Total</w:t>
            </w:r>
          </w:p>
        </w:tc>
        <w:tc>
          <w:tcPr>
            <w:tcW w:w="3920" w:type="dxa"/>
            <w:vAlign w:val="bottom"/>
            <w:gridSpan w:val="2"/>
          </w:tcPr>
          <w:p>
            <w:pPr>
              <w:jc w:val="right"/>
              <w:ind w:right="353"/>
              <w:spacing w:after="0"/>
              <w:rPr>
                <w:sz w:val="20"/>
                <w:szCs w:val="20"/>
                <w:color w:val="auto"/>
              </w:rPr>
            </w:pPr>
            <w:r>
              <w:rPr>
                <w:rFonts w:ascii="Arial" w:cs="Arial" w:eastAsia="Arial" w:hAnsi="Arial"/>
                <w:sz w:val="14"/>
                <w:szCs w:val="14"/>
                <w:color w:val="0E2A35"/>
              </w:rPr>
              <w:t>1,804,000​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0E2A35"/>
              </w:rPr>
              <w:t>1,699,000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58978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81" w:lineRule="exact"/>
        <w:rPr>
          <w:sz w:val="20"/>
          <w:szCs w:val="20"/>
          <w:color w:val="auto"/>
        </w:rPr>
      </w:pPr>
    </w:p>
    <w:p>
      <w:pPr>
        <w:ind w:left="360" w:right="360" w:hanging="360"/>
        <w:spacing w:after="0" w:line="236" w:lineRule="auto"/>
        <w:tabs>
          <w:tab w:leader="none" w:pos="360" w:val="left"/>
        </w:tabs>
        <w:numPr>
          <w:ilvl w:val="0"/>
          <w:numId w:val="74"/>
        </w:numPr>
        <w:rPr>
          <w:rFonts w:ascii="Arial" w:cs="Arial" w:eastAsia="Arial" w:hAnsi="Arial"/>
          <w:sz w:val="13"/>
          <w:szCs w:val="13"/>
          <w:color w:val="0E2A35"/>
        </w:rPr>
      </w:pPr>
      <w:r>
        <w:rPr>
          <w:rFonts w:ascii="Arial" w:cs="Arial" w:eastAsia="Arial" w:hAnsi="Arial"/>
          <w:sz w:val="13"/>
          <w:szCs w:val="13"/>
          <w:color w:val="0E2A35"/>
        </w:rPr>
        <w:t>Represents fees for professional services provided for the audit of our annual financial statements, the audit of our internal control over financial reporting, review of our interim financial information and review of other SEC filings.</w:t>
      </w:r>
    </w:p>
    <w:p>
      <w:pPr>
        <w:spacing w:after="0" w:line="29" w:lineRule="exact"/>
        <w:rPr>
          <w:rFonts w:ascii="Arial" w:cs="Arial" w:eastAsia="Arial" w:hAnsi="Arial"/>
          <w:sz w:val="13"/>
          <w:szCs w:val="13"/>
          <w:color w:val="0E2A35"/>
        </w:rPr>
      </w:pPr>
    </w:p>
    <w:p>
      <w:pPr>
        <w:ind w:left="360" w:hanging="360"/>
        <w:spacing w:after="0"/>
        <w:tabs>
          <w:tab w:leader="none" w:pos="360" w:val="left"/>
        </w:tabs>
        <w:numPr>
          <w:ilvl w:val="0"/>
          <w:numId w:val="74"/>
        </w:numPr>
        <w:rPr>
          <w:rFonts w:ascii="Arial" w:cs="Arial" w:eastAsia="Arial" w:hAnsi="Arial"/>
          <w:sz w:val="13"/>
          <w:szCs w:val="13"/>
          <w:color w:val="0E2A35"/>
        </w:rPr>
      </w:pPr>
      <w:r>
        <w:rPr>
          <w:rFonts w:ascii="Arial" w:cs="Arial" w:eastAsia="Arial" w:hAnsi="Arial"/>
          <w:sz w:val="13"/>
          <w:szCs w:val="13"/>
          <w:color w:val="0E2A35"/>
        </w:rPr>
        <w:t>Represents fees for professional services provided for the audit of our benefit plan and the opening balance sheet of Lithionics Battery.</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74"/>
        </w:numPr>
        <w:rPr>
          <w:rFonts w:ascii="Arial" w:cs="Arial" w:eastAsia="Arial" w:hAnsi="Arial"/>
          <w:sz w:val="13"/>
          <w:szCs w:val="13"/>
          <w:color w:val="0E2A35"/>
        </w:rPr>
      </w:pPr>
      <w:r>
        <w:rPr>
          <w:rFonts w:ascii="Arial" w:cs="Arial" w:eastAsia="Arial" w:hAnsi="Arial"/>
          <w:sz w:val="13"/>
          <w:szCs w:val="13"/>
          <w:color w:val="0E2A35"/>
        </w:rPr>
        <w:t>Represents fees for professional services related to tax compliance and tax planning.</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74"/>
        </w:numPr>
        <w:rPr>
          <w:rFonts w:ascii="Arial" w:cs="Arial" w:eastAsia="Arial" w:hAnsi="Arial"/>
          <w:sz w:val="13"/>
          <w:szCs w:val="13"/>
          <w:color w:val="0E2A35"/>
        </w:rPr>
      </w:pPr>
      <w:r>
        <w:rPr>
          <w:rFonts w:ascii="Arial" w:cs="Arial" w:eastAsia="Arial" w:hAnsi="Arial"/>
          <w:sz w:val="13"/>
          <w:szCs w:val="13"/>
          <w:color w:val="0E2A35"/>
        </w:rPr>
        <w:t>Represents fees for professional services related to ESG advisory services.</w:t>
      </w:r>
    </w:p>
    <w:p>
      <w:pPr>
        <w:spacing w:after="0" w:line="165" w:lineRule="exact"/>
        <w:rPr>
          <w:sz w:val="20"/>
          <w:szCs w:val="20"/>
          <w:color w:val="auto"/>
        </w:rPr>
      </w:pPr>
    </w:p>
    <w:p>
      <w:pPr>
        <w:jc w:val="both"/>
        <w:ind w:right="180"/>
        <w:spacing w:after="0" w:line="261" w:lineRule="auto"/>
        <w:rPr>
          <w:sz w:val="20"/>
          <w:szCs w:val="20"/>
          <w:color w:val="auto"/>
        </w:rPr>
      </w:pPr>
      <w:r>
        <w:rPr>
          <w:rFonts w:ascii="Arial" w:cs="Arial" w:eastAsia="Arial" w:hAnsi="Arial"/>
          <w:sz w:val="16"/>
          <w:szCs w:val="16"/>
          <w:color w:val="0E2A35"/>
        </w:rPr>
        <w:t>The Audit Committee considered whether the provision of tax, benefit plan audit and all other accounting consulting services by Deloitte are compatible with maintaining its independence and concluded that the independence of Deloitte is not compromised by the provision of such services.</w:t>
      </w:r>
    </w:p>
    <w:p>
      <w:pPr>
        <w:spacing w:after="0" w:line="160" w:lineRule="exact"/>
        <w:rPr>
          <w:sz w:val="20"/>
          <w:szCs w:val="20"/>
          <w:color w:val="auto"/>
        </w:rPr>
      </w:pPr>
    </w:p>
    <w:p>
      <w:pPr>
        <w:ind w:right="80"/>
        <w:spacing w:after="0" w:line="276" w:lineRule="auto"/>
        <w:rPr>
          <w:sz w:val="20"/>
          <w:szCs w:val="20"/>
          <w:color w:val="auto"/>
        </w:rPr>
      </w:pPr>
      <w:r>
        <w:rPr>
          <w:rFonts w:ascii="Arial" w:cs="Arial" w:eastAsia="Arial" w:hAnsi="Arial"/>
          <w:sz w:val="22"/>
          <w:szCs w:val="22"/>
          <w:b w:val="1"/>
          <w:bCs w:val="1"/>
          <w:color w:val="C7D265"/>
        </w:rPr>
        <w:t>Policy Regarding the Approval of Independent Registered Public Accountant Provision of Audit and Non-audit Services</w:t>
      </w:r>
    </w:p>
    <w:p>
      <w:pPr>
        <w:spacing w:after="0" w:line="11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0E2A35"/>
        </w:rPr>
        <w:t>The Audit Committee charter requires the committee to pre-approve the audit and non-audit fees and services that may be provided to us by Deloitte, our independent registered public accountant. The Audit Committee consults with management but does not delegate these responsibilities, except that pre-approvals of non-audit services may be delegated to a single member of the committee, who then informs the entire committee of the engagement of such services. The Audit Committee pre-approved under that policy all of the audit and non-audit fees and services provided by Deloitte for fiscal 2023 and 2022.</w:t>
      </w:r>
    </w:p>
    <w:p>
      <w:pPr>
        <w:spacing w:after="0" w:line="287"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200660</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39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Security Ownership of Certain Beneficial Owners and Management</w:t>
      </w:r>
    </w:p>
    <w:p>
      <w:pPr>
        <w:spacing w:after="0" w:line="20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0E2A35"/>
        </w:rPr>
        <w:t>The following table contains information with respect to the ownership of common stock by each person known to us who is the beneficial owner of more than 5% of our outstanding common stock. This information is based on ownership reported as of October 19, 2023 according to SEC filings of the beneficial owners listed below unless more recent information was appropriate to be used.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360" w:type="dxa"/>
            <w:vAlign w:val="bottom"/>
            <w:shd w:val="clear" w:color="auto" w:fill="0E2A35"/>
          </w:tcPr>
          <w:p>
            <w:pPr>
              <w:spacing w:after="0"/>
              <w:rPr>
                <w:sz w:val="22"/>
                <w:szCs w:val="22"/>
                <w:color w:val="auto"/>
              </w:rPr>
            </w:pPr>
          </w:p>
        </w:tc>
        <w:tc>
          <w:tcPr>
            <w:tcW w:w="3880" w:type="dxa"/>
            <w:vAlign w:val="bottom"/>
            <w:gridSpan w:val="2"/>
            <w:shd w:val="clear" w:color="auto" w:fill="0E2A35"/>
          </w:tcPr>
          <w:p>
            <w:pPr>
              <w:jc w:val="center"/>
              <w:ind w:left="1734"/>
              <w:spacing w:after="0"/>
              <w:rPr>
                <w:sz w:val="20"/>
                <w:szCs w:val="20"/>
                <w:color w:val="auto"/>
              </w:rPr>
            </w:pPr>
            <w:r>
              <w:rPr>
                <w:rFonts w:ascii="Arial" w:cs="Arial" w:eastAsia="Arial" w:hAnsi="Arial"/>
                <w:sz w:val="13"/>
                <w:szCs w:val="13"/>
                <w:b w:val="1"/>
                <w:bCs w:val="1"/>
                <w:color w:val="FFFFFF"/>
                <w:w w:val="96"/>
              </w:rPr>
              <w:t>Amount and Nature</w:t>
            </w:r>
          </w:p>
        </w:tc>
        <w:tc>
          <w:tcPr>
            <w:tcW w:w="1040" w:type="dxa"/>
            <w:vAlign w:val="bottom"/>
            <w:shd w:val="clear" w:color="auto" w:fill="0E2A35"/>
          </w:tcPr>
          <w:p>
            <w:pPr>
              <w:jc w:val="center"/>
              <w:ind w:left="312"/>
              <w:spacing w:after="0"/>
              <w:rPr>
                <w:sz w:val="20"/>
                <w:szCs w:val="20"/>
                <w:color w:val="auto"/>
              </w:rPr>
            </w:pPr>
            <w:r>
              <w:rPr>
                <w:rFonts w:ascii="Arial" w:cs="Arial" w:eastAsia="Arial" w:hAnsi="Arial"/>
                <w:sz w:val="13"/>
                <w:szCs w:val="13"/>
                <w:b w:val="1"/>
                <w:bCs w:val="1"/>
                <w:color w:val="FFFFFF"/>
                <w:w w:val="94"/>
              </w:rPr>
              <w:t>%​ of</w:t>
            </w:r>
          </w:p>
        </w:tc>
        <w:tc>
          <w:tcPr>
            <w:tcW w:w="0" w:type="dxa"/>
            <w:vAlign w:val="bottom"/>
          </w:tcPr>
          <w:p>
            <w:pPr>
              <w:spacing w:after="0"/>
              <w:rPr>
                <w:sz w:val="1"/>
                <w:szCs w:val="1"/>
                <w:color w:val="auto"/>
              </w:rPr>
            </w:pPr>
          </w:p>
        </w:tc>
      </w:tr>
      <w:tr>
        <w:trPr>
          <w:trHeight w:val="135"/>
        </w:trPr>
        <w:tc>
          <w:tcPr>
            <w:tcW w:w="4360" w:type="dxa"/>
            <w:vAlign w:val="bottom"/>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 and Address of Beneficial Owner</w:t>
            </w:r>
          </w:p>
        </w:tc>
        <w:tc>
          <w:tcPr>
            <w:tcW w:w="3880" w:type="dxa"/>
            <w:vAlign w:val="bottom"/>
            <w:gridSpan w:val="2"/>
            <w:shd w:val="clear" w:color="auto" w:fill="0E2A35"/>
          </w:tcPr>
          <w:p>
            <w:pPr>
              <w:jc w:val="center"/>
              <w:ind w:left="1734"/>
              <w:spacing w:after="0" w:line="135" w:lineRule="exact"/>
              <w:rPr>
                <w:sz w:val="20"/>
                <w:szCs w:val="20"/>
                <w:color w:val="auto"/>
              </w:rPr>
            </w:pPr>
            <w:r>
              <w:rPr>
                <w:rFonts w:ascii="Arial" w:cs="Arial" w:eastAsia="Arial" w:hAnsi="Arial"/>
                <w:sz w:val="13"/>
                <w:szCs w:val="13"/>
                <w:b w:val="1"/>
                <w:bCs w:val="1"/>
                <w:color w:val="FFFFFF"/>
                <w:w w:val="98"/>
              </w:rPr>
              <w:t>of Beneficial</w:t>
            </w:r>
          </w:p>
        </w:tc>
        <w:tc>
          <w:tcPr>
            <w:tcW w:w="1040" w:type="dxa"/>
            <w:vAlign w:val="bottom"/>
            <w:shd w:val="clear" w:color="auto" w:fill="0E2A35"/>
          </w:tcPr>
          <w:p>
            <w:pPr>
              <w:jc w:val="center"/>
              <w:ind w:left="312"/>
              <w:spacing w:after="0" w:line="135" w:lineRule="exact"/>
              <w:rPr>
                <w:sz w:val="20"/>
                <w:szCs w:val="20"/>
                <w:color w:val="auto"/>
              </w:rPr>
            </w:pPr>
            <w:r>
              <w:rPr>
                <w:rFonts w:ascii="Arial" w:cs="Arial" w:eastAsia="Arial" w:hAnsi="Arial"/>
                <w:sz w:val="13"/>
                <w:szCs w:val="13"/>
                <w:b w:val="1"/>
                <w:bCs w:val="1"/>
                <w:color w:val="FFFFFF"/>
                <w:w w:val="95"/>
              </w:rPr>
              <w:t>Common</w:t>
            </w:r>
          </w:p>
        </w:tc>
        <w:tc>
          <w:tcPr>
            <w:tcW w:w="0" w:type="dxa"/>
            <w:vAlign w:val="bottom"/>
          </w:tcPr>
          <w:p>
            <w:pPr>
              <w:spacing w:after="0"/>
              <w:rPr>
                <w:sz w:val="1"/>
                <w:szCs w:val="1"/>
                <w:color w:val="auto"/>
              </w:rPr>
            </w:pPr>
          </w:p>
        </w:tc>
      </w:tr>
      <w:tr>
        <w:trPr>
          <w:trHeight w:val="270"/>
        </w:trPr>
        <w:tc>
          <w:tcPr>
            <w:tcW w:w="4360" w:type="dxa"/>
            <w:vAlign w:val="bottom"/>
            <w:vMerge w:val="continue"/>
            <w:shd w:val="clear" w:color="auto" w:fill="0E2A35"/>
          </w:tcPr>
          <w:p>
            <w:pPr>
              <w:spacing w:after="0"/>
              <w:rPr>
                <w:sz w:val="23"/>
                <w:szCs w:val="23"/>
                <w:color w:val="auto"/>
              </w:rPr>
            </w:pPr>
          </w:p>
        </w:tc>
        <w:tc>
          <w:tcPr>
            <w:tcW w:w="3880" w:type="dxa"/>
            <w:vAlign w:val="bottom"/>
            <w:gridSpan w:val="2"/>
            <w:shd w:val="clear" w:color="auto" w:fill="0E2A35"/>
          </w:tcPr>
          <w:p>
            <w:pPr>
              <w:jc w:val="center"/>
              <w:ind w:left="1774"/>
              <w:spacing w:after="0"/>
              <w:rPr>
                <w:sz w:val="20"/>
                <w:szCs w:val="20"/>
                <w:color w:val="auto"/>
              </w:rPr>
            </w:pPr>
            <w:r>
              <w:rPr>
                <w:rFonts w:ascii="Arial" w:cs="Arial" w:eastAsia="Arial" w:hAnsi="Arial"/>
                <w:sz w:val="13"/>
                <w:szCs w:val="13"/>
                <w:b w:val="1"/>
                <w:bCs w:val="1"/>
                <w:color w:val="FFFFFF"/>
                <w:w w:val="95"/>
              </w:rPr>
              <w:t>Ownership</w:t>
            </w:r>
          </w:p>
        </w:tc>
        <w:tc>
          <w:tcPr>
            <w:tcW w:w="1040" w:type="dxa"/>
            <w:vAlign w:val="bottom"/>
            <w:shd w:val="clear" w:color="auto" w:fill="0E2A35"/>
          </w:tcPr>
          <w:p>
            <w:pPr>
              <w:jc w:val="center"/>
              <w:ind w:left="352"/>
              <w:spacing w:after="0"/>
              <w:rPr>
                <w:sz w:val="20"/>
                <w:szCs w:val="20"/>
                <w:color w:val="auto"/>
              </w:rPr>
            </w:pPr>
            <w:r>
              <w:rPr>
                <w:rFonts w:ascii="Arial" w:cs="Arial" w:eastAsia="Arial" w:hAnsi="Arial"/>
                <w:sz w:val="13"/>
                <w:szCs w:val="13"/>
                <w:b w:val="1"/>
                <w:bCs w:val="1"/>
                <w:color w:val="FFFFFF"/>
                <w:w w:val="88"/>
              </w:rPr>
              <w:t>Stock</w:t>
            </w:r>
            <w:r>
              <w:rPr>
                <w:rFonts w:ascii="Arial" w:cs="Arial" w:eastAsia="Arial" w:hAnsi="Arial"/>
                <w:sz w:val="20"/>
                <w:szCs w:val="20"/>
                <w:b w:val="1"/>
                <w:bCs w:val="1"/>
                <w:color w:val="FFFFFF"/>
                <w:w w:val="88"/>
                <w:vertAlign w:val="superscript"/>
              </w:rPr>
              <w:t>(1)</w:t>
            </w:r>
          </w:p>
        </w:tc>
        <w:tc>
          <w:tcPr>
            <w:tcW w:w="0" w:type="dxa"/>
            <w:vAlign w:val="bottom"/>
          </w:tcPr>
          <w:p>
            <w:pPr>
              <w:spacing w:after="0"/>
              <w:rPr>
                <w:sz w:val="1"/>
                <w:szCs w:val="1"/>
                <w:color w:val="auto"/>
              </w:rPr>
            </w:pPr>
          </w:p>
        </w:tc>
      </w:tr>
      <w:tr>
        <w:trPr>
          <w:trHeight w:val="262"/>
        </w:trPr>
        <w:tc>
          <w:tcPr>
            <w:tcW w:w="4360" w:type="dxa"/>
            <w:vAlign w:val="bottom"/>
          </w:tcPr>
          <w:p>
            <w:pPr>
              <w:ind w:left="60"/>
              <w:spacing w:after="0"/>
              <w:rPr>
                <w:sz w:val="20"/>
                <w:szCs w:val="20"/>
                <w:color w:val="auto"/>
              </w:rPr>
            </w:pPr>
            <w:r>
              <w:rPr>
                <w:rFonts w:ascii="Arial" w:cs="Arial" w:eastAsia="Arial" w:hAnsi="Arial"/>
                <w:sz w:val="14"/>
                <w:szCs w:val="14"/>
                <w:color w:val="0E2A35"/>
              </w:rPr>
              <w:t>BlackRock, Inc.</w:t>
            </w:r>
          </w:p>
        </w:tc>
        <w:tc>
          <w:tcPr>
            <w:tcW w:w="3880" w:type="dxa"/>
            <w:vAlign w:val="bottom"/>
            <w:gridSpan w:val="2"/>
          </w:tcPr>
          <w:p>
            <w:pPr>
              <w:ind w:left="1980"/>
              <w:spacing w:after="0"/>
              <w:rPr>
                <w:sz w:val="20"/>
                <w:szCs w:val="20"/>
                <w:color w:val="auto"/>
              </w:rPr>
            </w:pPr>
            <w:r>
              <w:rPr>
                <w:rFonts w:ascii="Arial" w:cs="Arial" w:eastAsia="Arial" w:hAnsi="Arial"/>
                <w:sz w:val="14"/>
                <w:szCs w:val="14"/>
                <w:color w:val="0E2A35"/>
              </w:rPr>
              <w:t>​5,428,900 shares of</w:t>
            </w:r>
          </w:p>
        </w:tc>
        <w:tc>
          <w:tcPr>
            <w:tcW w:w="1040" w:type="dxa"/>
            <w:vAlign w:val="bottom"/>
          </w:tcPr>
          <w:p>
            <w:pPr>
              <w:jc w:val="right"/>
              <w:spacing w:after="0"/>
              <w:rPr>
                <w:sz w:val="20"/>
                <w:szCs w:val="20"/>
                <w:color w:val="auto"/>
              </w:rPr>
            </w:pPr>
            <w:r>
              <w:rPr>
                <w:rFonts w:ascii="Arial" w:cs="Arial" w:eastAsia="Arial" w:hAnsi="Arial"/>
                <w:sz w:val="14"/>
                <w:szCs w:val="14"/>
                <w:color w:val="0E2A35"/>
              </w:rPr>
              <w:t>​18.15%</w:t>
            </w:r>
          </w:p>
        </w:tc>
        <w:tc>
          <w:tcPr>
            <w:tcW w:w="0" w:type="dxa"/>
            <w:vAlign w:val="bottom"/>
          </w:tcPr>
          <w:p>
            <w:pPr>
              <w:spacing w:after="0"/>
              <w:rPr>
                <w:sz w:val="1"/>
                <w:szCs w:val="1"/>
                <w:color w:val="auto"/>
              </w:rPr>
            </w:pPr>
          </w:p>
        </w:tc>
      </w:tr>
      <w:tr>
        <w:trPr>
          <w:trHeight w:val="170"/>
        </w:trPr>
        <w:tc>
          <w:tcPr>
            <w:tcW w:w="4360" w:type="dxa"/>
            <w:vAlign w:val="bottom"/>
          </w:tcPr>
          <w:p>
            <w:pPr>
              <w:ind w:left="60"/>
              <w:spacing w:after="0"/>
              <w:rPr>
                <w:sz w:val="20"/>
                <w:szCs w:val="20"/>
                <w:color w:val="auto"/>
              </w:rPr>
            </w:pPr>
            <w:r>
              <w:rPr>
                <w:rFonts w:ascii="Arial" w:cs="Arial" w:eastAsia="Arial" w:hAnsi="Arial"/>
                <w:sz w:val="14"/>
                <w:szCs w:val="14"/>
                <w:color w:val="0E2A35"/>
              </w:rPr>
              <w:t>55 East 52nd Street</w:t>
            </w:r>
          </w:p>
        </w:tc>
        <w:tc>
          <w:tcPr>
            <w:tcW w:w="3880" w:type="dxa"/>
            <w:vAlign w:val="bottom"/>
            <w:gridSpan w:val="2"/>
          </w:tcPr>
          <w:p>
            <w:pPr>
              <w:ind w:left="1980"/>
              <w:spacing w:after="0" w:line="171" w:lineRule="exact"/>
              <w:rPr>
                <w:sz w:val="20"/>
                <w:szCs w:val="20"/>
                <w:color w:val="auto"/>
              </w:rPr>
            </w:pPr>
            <w:r>
              <w:rPr>
                <w:rFonts w:ascii="Arial" w:cs="Arial" w:eastAsia="Arial" w:hAnsi="Arial"/>
                <w:sz w:val="12"/>
                <w:szCs w:val="12"/>
                <w:color w:val="0E2A35"/>
              </w:rPr>
              <w:t>common stock</w:t>
            </w:r>
            <w:r>
              <w:rPr>
                <w:rFonts w:ascii="Arial" w:cs="Arial" w:eastAsia="Arial" w:hAnsi="Arial"/>
                <w:sz w:val="19"/>
                <w:szCs w:val="19"/>
                <w:color w:val="0E2A35"/>
                <w:vertAlign w:val="superscript"/>
              </w:rPr>
              <w:t>(2)</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360" w:type="dxa"/>
            <w:vAlign w:val="bottom"/>
          </w:tcPr>
          <w:p>
            <w:pPr>
              <w:ind w:left="60"/>
              <w:spacing w:after="0"/>
              <w:rPr>
                <w:sz w:val="20"/>
                <w:szCs w:val="20"/>
                <w:color w:val="auto"/>
              </w:rPr>
            </w:pPr>
            <w:r>
              <w:rPr>
                <w:rFonts w:ascii="Arial" w:cs="Arial" w:eastAsia="Arial" w:hAnsi="Arial"/>
                <w:sz w:val="14"/>
                <w:szCs w:val="14"/>
                <w:color w:val="0E2A35"/>
              </w:rPr>
              <w:t>New York, NY 10055</w:t>
            </w:r>
          </w:p>
        </w:tc>
        <w:tc>
          <w:tcPr>
            <w:tcW w:w="2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360" w:type="dxa"/>
            <w:vAlign w:val="bottom"/>
            <w:tcBorders>
              <w:bottom w:val="single" w:sz="8" w:color="0E2A35"/>
            </w:tcBorders>
          </w:tcPr>
          <w:p>
            <w:pPr>
              <w:spacing w:after="0"/>
              <w:rPr>
                <w:sz w:val="7"/>
                <w:szCs w:val="7"/>
                <w:color w:val="auto"/>
              </w:rPr>
            </w:pPr>
          </w:p>
        </w:tc>
        <w:tc>
          <w:tcPr>
            <w:tcW w:w="2640" w:type="dxa"/>
            <w:vAlign w:val="bottom"/>
            <w:tcBorders>
              <w:bottom w:val="single" w:sz="8" w:color="0E2A35"/>
            </w:tcBorders>
          </w:tcPr>
          <w:p>
            <w:pPr>
              <w:spacing w:after="0"/>
              <w:rPr>
                <w:sz w:val="7"/>
                <w:szCs w:val="7"/>
                <w:color w:val="auto"/>
              </w:rPr>
            </w:pPr>
          </w:p>
        </w:tc>
        <w:tc>
          <w:tcPr>
            <w:tcW w:w="1240" w:type="dxa"/>
            <w:vAlign w:val="bottom"/>
            <w:tcBorders>
              <w:bottom w:val="single" w:sz="8" w:color="0E2A35"/>
            </w:tcBorders>
          </w:tcPr>
          <w:p>
            <w:pPr>
              <w:spacing w:after="0"/>
              <w:rPr>
                <w:sz w:val="7"/>
                <w:szCs w:val="7"/>
                <w:color w:val="auto"/>
              </w:rPr>
            </w:pPr>
          </w:p>
        </w:tc>
        <w:tc>
          <w:tcPr>
            <w:tcW w:w="10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4360" w:type="dxa"/>
            <w:vAlign w:val="bottom"/>
          </w:tcPr>
          <w:p>
            <w:pPr>
              <w:ind w:left="60"/>
              <w:spacing w:after="0"/>
              <w:rPr>
                <w:sz w:val="20"/>
                <w:szCs w:val="20"/>
                <w:color w:val="auto"/>
              </w:rPr>
            </w:pPr>
            <w:r>
              <w:rPr>
                <w:rFonts w:ascii="Arial" w:cs="Arial" w:eastAsia="Arial" w:hAnsi="Arial"/>
                <w:sz w:val="14"/>
                <w:szCs w:val="14"/>
                <w:color w:val="0E2A35"/>
              </w:rPr>
              <w:t>The Vanguard Group</w:t>
            </w:r>
          </w:p>
        </w:tc>
        <w:tc>
          <w:tcPr>
            <w:tcW w:w="2640" w:type="dxa"/>
            <w:vAlign w:val="bottom"/>
          </w:tcPr>
          <w:p>
            <w:pPr>
              <w:ind w:left="1980"/>
              <w:spacing w:after="0"/>
              <w:rPr>
                <w:sz w:val="20"/>
                <w:szCs w:val="20"/>
                <w:color w:val="auto"/>
              </w:rPr>
            </w:pPr>
            <w:r>
              <w:rPr>
                <w:rFonts w:ascii="Arial" w:cs="Arial" w:eastAsia="Arial" w:hAnsi="Arial"/>
                <w:sz w:val="14"/>
                <w:szCs w:val="14"/>
                <w:color w:val="0E2A35"/>
              </w:rPr>
              <w:t>2,383,176​</w:t>
            </w:r>
          </w:p>
        </w:tc>
        <w:tc>
          <w:tcPr>
            <w:tcW w:w="1240" w:type="dxa"/>
            <w:vAlign w:val="bottom"/>
          </w:tcPr>
          <w:p>
            <w:pPr>
              <w:ind w:left="20"/>
              <w:spacing w:after="0"/>
              <w:rPr>
                <w:sz w:val="20"/>
                <w:szCs w:val="20"/>
                <w:color w:val="auto"/>
              </w:rPr>
            </w:pPr>
            <w:r>
              <w:rPr>
                <w:rFonts w:ascii="Arial" w:cs="Arial" w:eastAsia="Arial" w:hAnsi="Arial"/>
                <w:sz w:val="14"/>
                <w:szCs w:val="14"/>
                <w:color w:val="0E2A35"/>
              </w:rPr>
              <w:t>shares of</w:t>
            </w:r>
          </w:p>
        </w:tc>
        <w:tc>
          <w:tcPr>
            <w:tcW w:w="1040" w:type="dxa"/>
            <w:vAlign w:val="bottom"/>
          </w:tcPr>
          <w:p>
            <w:pPr>
              <w:jc w:val="right"/>
              <w:spacing w:after="0"/>
              <w:rPr>
                <w:sz w:val="20"/>
                <w:szCs w:val="20"/>
                <w:color w:val="auto"/>
              </w:rPr>
            </w:pPr>
            <w:r>
              <w:rPr>
                <w:rFonts w:ascii="Arial" w:cs="Arial" w:eastAsia="Arial" w:hAnsi="Arial"/>
                <w:sz w:val="14"/>
                <w:szCs w:val="14"/>
                <w:color w:val="0E2A35"/>
              </w:rPr>
              <w:t>7​.97%</w:t>
            </w:r>
          </w:p>
        </w:tc>
        <w:tc>
          <w:tcPr>
            <w:tcW w:w="0" w:type="dxa"/>
            <w:vAlign w:val="bottom"/>
          </w:tcPr>
          <w:p>
            <w:pPr>
              <w:spacing w:after="0"/>
              <w:rPr>
                <w:sz w:val="1"/>
                <w:szCs w:val="1"/>
                <w:color w:val="auto"/>
              </w:rPr>
            </w:pPr>
          </w:p>
        </w:tc>
      </w:tr>
      <w:tr>
        <w:trPr>
          <w:trHeight w:val="170"/>
        </w:trPr>
        <w:tc>
          <w:tcPr>
            <w:tcW w:w="4360" w:type="dxa"/>
            <w:vAlign w:val="bottom"/>
          </w:tcPr>
          <w:p>
            <w:pPr>
              <w:ind w:left="60"/>
              <w:spacing w:after="0"/>
              <w:rPr>
                <w:sz w:val="20"/>
                <w:szCs w:val="20"/>
                <w:color w:val="auto"/>
              </w:rPr>
            </w:pPr>
            <w:r>
              <w:rPr>
                <w:rFonts w:ascii="Arial" w:cs="Arial" w:eastAsia="Arial" w:hAnsi="Arial"/>
                <w:sz w:val="14"/>
                <w:szCs w:val="14"/>
                <w:color w:val="0E2A35"/>
              </w:rPr>
              <w:t>100 Vanguard Blvd.</w:t>
            </w:r>
          </w:p>
        </w:tc>
        <w:tc>
          <w:tcPr>
            <w:tcW w:w="3880" w:type="dxa"/>
            <w:vAlign w:val="bottom"/>
            <w:gridSpan w:val="2"/>
          </w:tcPr>
          <w:p>
            <w:pPr>
              <w:ind w:left="1980"/>
              <w:spacing w:after="0" w:line="171" w:lineRule="exact"/>
              <w:rPr>
                <w:sz w:val="20"/>
                <w:szCs w:val="20"/>
                <w:color w:val="auto"/>
              </w:rPr>
            </w:pPr>
            <w:r>
              <w:rPr>
                <w:rFonts w:ascii="Arial" w:cs="Arial" w:eastAsia="Arial" w:hAnsi="Arial"/>
                <w:sz w:val="12"/>
                <w:szCs w:val="12"/>
                <w:color w:val="0E2A35"/>
              </w:rPr>
              <w:t>common stock</w:t>
            </w:r>
            <w:r>
              <w:rPr>
                <w:rFonts w:ascii="Arial" w:cs="Arial" w:eastAsia="Arial" w:hAnsi="Arial"/>
                <w:sz w:val="19"/>
                <w:szCs w:val="19"/>
                <w:color w:val="0E2A35"/>
                <w:vertAlign w:val="superscript"/>
              </w:rPr>
              <w:t>(3)</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360" w:type="dxa"/>
            <w:vAlign w:val="bottom"/>
          </w:tcPr>
          <w:p>
            <w:pPr>
              <w:ind w:left="60"/>
              <w:spacing w:after="0"/>
              <w:rPr>
                <w:sz w:val="20"/>
                <w:szCs w:val="20"/>
                <w:color w:val="auto"/>
              </w:rPr>
            </w:pPr>
            <w:r>
              <w:rPr>
                <w:rFonts w:ascii="Arial" w:cs="Arial" w:eastAsia="Arial" w:hAnsi="Arial"/>
                <w:sz w:val="14"/>
                <w:szCs w:val="14"/>
                <w:color w:val="0E2A35"/>
              </w:rPr>
              <w:t>Malvern, PA 19355</w:t>
            </w:r>
          </w:p>
        </w:tc>
        <w:tc>
          <w:tcPr>
            <w:tcW w:w="2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360" w:type="dxa"/>
            <w:vAlign w:val="bottom"/>
            <w:tcBorders>
              <w:bottom w:val="single" w:sz="8" w:color="0E2A35"/>
            </w:tcBorders>
          </w:tcPr>
          <w:p>
            <w:pPr>
              <w:spacing w:after="0"/>
              <w:rPr>
                <w:sz w:val="7"/>
                <w:szCs w:val="7"/>
                <w:color w:val="auto"/>
              </w:rPr>
            </w:pPr>
          </w:p>
        </w:tc>
        <w:tc>
          <w:tcPr>
            <w:tcW w:w="3880" w:type="dxa"/>
            <w:vAlign w:val="bottom"/>
            <w:tcBorders>
              <w:bottom w:val="single" w:sz="8" w:color="0E2A35"/>
            </w:tcBorders>
            <w:gridSpan w:val="2"/>
          </w:tcPr>
          <w:p>
            <w:pPr>
              <w:spacing w:after="0"/>
              <w:rPr>
                <w:sz w:val="7"/>
                <w:szCs w:val="7"/>
                <w:color w:val="auto"/>
              </w:rPr>
            </w:pPr>
          </w:p>
        </w:tc>
        <w:tc>
          <w:tcPr>
            <w:tcW w:w="1040" w:type="dxa"/>
            <w:vAlign w:val="bottom"/>
            <w:tcBorders>
              <w:bottom w:val="single" w:sz="8" w:color="0E2A35"/>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4360" w:type="dxa"/>
            <w:vAlign w:val="bottom"/>
          </w:tcPr>
          <w:p>
            <w:pPr>
              <w:ind w:left="60"/>
              <w:spacing w:after="0"/>
              <w:rPr>
                <w:sz w:val="20"/>
                <w:szCs w:val="20"/>
                <w:color w:val="auto"/>
              </w:rPr>
            </w:pPr>
            <w:r>
              <w:rPr>
                <w:rFonts w:ascii="Arial" w:cs="Arial" w:eastAsia="Arial" w:hAnsi="Arial"/>
                <w:sz w:val="14"/>
                <w:szCs w:val="14"/>
                <w:color w:val="0E2A35"/>
              </w:rPr>
              <w:t>Cooke &amp; Bieler LP</w:t>
            </w:r>
          </w:p>
        </w:tc>
        <w:tc>
          <w:tcPr>
            <w:tcW w:w="3880" w:type="dxa"/>
            <w:vAlign w:val="bottom"/>
            <w:gridSpan w:val="2"/>
          </w:tcPr>
          <w:p>
            <w:pPr>
              <w:ind w:left="1980"/>
              <w:spacing w:after="0"/>
              <w:rPr>
                <w:sz w:val="20"/>
                <w:szCs w:val="20"/>
                <w:color w:val="auto"/>
              </w:rPr>
            </w:pPr>
            <w:r>
              <w:rPr>
                <w:rFonts w:ascii="Arial" w:cs="Arial" w:eastAsia="Arial" w:hAnsi="Arial"/>
                <w:sz w:val="14"/>
                <w:szCs w:val="14"/>
                <w:color w:val="0E2A35"/>
              </w:rPr>
              <w:t>2,346,322 shares of</w:t>
            </w:r>
          </w:p>
        </w:tc>
        <w:tc>
          <w:tcPr>
            <w:tcW w:w="1040" w:type="dxa"/>
            <w:vAlign w:val="bottom"/>
          </w:tcPr>
          <w:p>
            <w:pPr>
              <w:jc w:val="right"/>
              <w:spacing w:after="0"/>
              <w:rPr>
                <w:sz w:val="20"/>
                <w:szCs w:val="20"/>
                <w:color w:val="auto"/>
              </w:rPr>
            </w:pPr>
            <w:r>
              <w:rPr>
                <w:rFonts w:ascii="Arial" w:cs="Arial" w:eastAsia="Arial" w:hAnsi="Arial"/>
                <w:sz w:val="14"/>
                <w:szCs w:val="14"/>
                <w:color w:val="0E2A35"/>
              </w:rPr>
              <w:t>7​.85%</w:t>
            </w:r>
          </w:p>
        </w:tc>
        <w:tc>
          <w:tcPr>
            <w:tcW w:w="0" w:type="dxa"/>
            <w:vAlign w:val="bottom"/>
          </w:tcPr>
          <w:p>
            <w:pPr>
              <w:spacing w:after="0"/>
              <w:rPr>
                <w:sz w:val="1"/>
                <w:szCs w:val="1"/>
                <w:color w:val="auto"/>
              </w:rPr>
            </w:pPr>
          </w:p>
        </w:tc>
      </w:tr>
      <w:tr>
        <w:trPr>
          <w:trHeight w:val="170"/>
        </w:trPr>
        <w:tc>
          <w:tcPr>
            <w:tcW w:w="4360" w:type="dxa"/>
            <w:vAlign w:val="bottom"/>
          </w:tcPr>
          <w:p>
            <w:pPr>
              <w:ind w:left="60"/>
              <w:spacing w:after="0"/>
              <w:rPr>
                <w:sz w:val="20"/>
                <w:szCs w:val="20"/>
                <w:color w:val="auto"/>
              </w:rPr>
            </w:pPr>
            <w:r>
              <w:rPr>
                <w:rFonts w:ascii="Arial" w:cs="Arial" w:eastAsia="Arial" w:hAnsi="Arial"/>
                <w:sz w:val="14"/>
                <w:szCs w:val="14"/>
                <w:color w:val="0E2A35"/>
              </w:rPr>
              <w:t>2001 Market Street</w:t>
            </w:r>
          </w:p>
        </w:tc>
        <w:tc>
          <w:tcPr>
            <w:tcW w:w="3880" w:type="dxa"/>
            <w:vAlign w:val="bottom"/>
            <w:gridSpan w:val="2"/>
          </w:tcPr>
          <w:p>
            <w:pPr>
              <w:ind w:left="1980"/>
              <w:spacing w:after="0" w:line="171" w:lineRule="exact"/>
              <w:rPr>
                <w:sz w:val="20"/>
                <w:szCs w:val="20"/>
                <w:color w:val="auto"/>
              </w:rPr>
            </w:pPr>
            <w:r>
              <w:rPr>
                <w:rFonts w:ascii="Arial" w:cs="Arial" w:eastAsia="Arial" w:hAnsi="Arial"/>
                <w:sz w:val="12"/>
                <w:szCs w:val="12"/>
                <w:color w:val="0E2A35"/>
              </w:rPr>
              <w:t>common stock</w:t>
            </w:r>
            <w:r>
              <w:rPr>
                <w:rFonts w:ascii="Arial" w:cs="Arial" w:eastAsia="Arial" w:hAnsi="Arial"/>
                <w:sz w:val="19"/>
                <w:szCs w:val="19"/>
                <w:color w:val="0E2A35"/>
                <w:vertAlign w:val="superscript"/>
              </w:rPr>
              <w:t>(4)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360" w:type="dxa"/>
            <w:vAlign w:val="bottom"/>
          </w:tcPr>
          <w:p>
            <w:pPr>
              <w:ind w:left="60"/>
              <w:spacing w:after="0" w:line="157" w:lineRule="exact"/>
              <w:rPr>
                <w:sz w:val="20"/>
                <w:szCs w:val="20"/>
                <w:color w:val="auto"/>
              </w:rPr>
            </w:pPr>
            <w:r>
              <w:rPr>
                <w:rFonts w:ascii="Arial" w:cs="Arial" w:eastAsia="Arial" w:hAnsi="Arial"/>
                <w:sz w:val="14"/>
                <w:szCs w:val="14"/>
                <w:color w:val="0E2A35"/>
              </w:rPr>
              <w:t>Suite 4000</w:t>
            </w:r>
          </w:p>
        </w:tc>
        <w:tc>
          <w:tcPr>
            <w:tcW w:w="2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360" w:type="dxa"/>
            <w:vAlign w:val="bottom"/>
          </w:tcPr>
          <w:p>
            <w:pPr>
              <w:ind w:left="60"/>
              <w:spacing w:after="0"/>
              <w:rPr>
                <w:sz w:val="20"/>
                <w:szCs w:val="20"/>
                <w:color w:val="auto"/>
              </w:rPr>
            </w:pPr>
            <w:r>
              <w:rPr>
                <w:rFonts w:ascii="Arial" w:cs="Arial" w:eastAsia="Arial" w:hAnsi="Arial"/>
                <w:sz w:val="14"/>
                <w:szCs w:val="14"/>
                <w:color w:val="0E2A35"/>
              </w:rPr>
              <w:t>Philadelphia, PA 19103</w:t>
            </w:r>
          </w:p>
        </w:tc>
        <w:tc>
          <w:tcPr>
            <w:tcW w:w="2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360" w:type="dxa"/>
            <w:vAlign w:val="bottom"/>
            <w:tcBorders>
              <w:bottom w:val="single" w:sz="8" w:color="0E2A35"/>
            </w:tcBorders>
          </w:tcPr>
          <w:p>
            <w:pPr>
              <w:spacing w:after="0"/>
              <w:rPr>
                <w:sz w:val="8"/>
                <w:szCs w:val="8"/>
                <w:color w:val="auto"/>
              </w:rPr>
            </w:pPr>
          </w:p>
        </w:tc>
        <w:tc>
          <w:tcPr>
            <w:tcW w:w="3880" w:type="dxa"/>
            <w:vAlign w:val="bottom"/>
            <w:tcBorders>
              <w:bottom w:val="single" w:sz="8" w:color="0E2A35"/>
            </w:tcBorders>
            <w:gridSpan w:val="2"/>
          </w:tcPr>
          <w:p>
            <w:pPr>
              <w:spacing w:after="0"/>
              <w:rPr>
                <w:sz w:val="8"/>
                <w:szCs w:val="8"/>
                <w:color w:val="auto"/>
              </w:rPr>
            </w:pPr>
          </w:p>
        </w:tc>
        <w:tc>
          <w:tcPr>
            <w:tcW w:w="104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4360" w:type="dxa"/>
            <w:vAlign w:val="bottom"/>
          </w:tcPr>
          <w:p>
            <w:pPr>
              <w:ind w:left="60"/>
              <w:spacing w:after="0"/>
              <w:rPr>
                <w:sz w:val="20"/>
                <w:szCs w:val="20"/>
                <w:color w:val="auto"/>
              </w:rPr>
            </w:pPr>
            <w:r>
              <w:rPr>
                <w:rFonts w:ascii="Arial" w:cs="Arial" w:eastAsia="Arial" w:hAnsi="Arial"/>
                <w:sz w:val="14"/>
                <w:szCs w:val="14"/>
                <w:color w:val="0E2A35"/>
              </w:rPr>
              <w:t>Dimensional Fund Advisors LP</w:t>
            </w:r>
          </w:p>
        </w:tc>
        <w:tc>
          <w:tcPr>
            <w:tcW w:w="3880" w:type="dxa"/>
            <w:vAlign w:val="bottom"/>
            <w:gridSpan w:val="2"/>
          </w:tcPr>
          <w:p>
            <w:pPr>
              <w:ind w:left="1980"/>
              <w:spacing w:after="0"/>
              <w:rPr>
                <w:sz w:val="20"/>
                <w:szCs w:val="20"/>
                <w:color w:val="auto"/>
              </w:rPr>
            </w:pPr>
            <w:r>
              <w:rPr>
                <w:rFonts w:ascii="Arial" w:cs="Arial" w:eastAsia="Arial" w:hAnsi="Arial"/>
                <w:sz w:val="14"/>
                <w:szCs w:val="14"/>
                <w:color w:val="0E2A35"/>
              </w:rPr>
              <w:t>2,107,604 shares of</w:t>
            </w:r>
          </w:p>
        </w:tc>
        <w:tc>
          <w:tcPr>
            <w:tcW w:w="1040" w:type="dxa"/>
            <w:vAlign w:val="bottom"/>
          </w:tcPr>
          <w:p>
            <w:pPr>
              <w:jc w:val="right"/>
              <w:spacing w:after="0"/>
              <w:rPr>
                <w:sz w:val="20"/>
                <w:szCs w:val="20"/>
                <w:color w:val="auto"/>
              </w:rPr>
            </w:pPr>
            <w:r>
              <w:rPr>
                <w:rFonts w:ascii="Arial" w:cs="Arial" w:eastAsia="Arial" w:hAnsi="Arial"/>
                <w:sz w:val="14"/>
                <w:szCs w:val="14"/>
                <w:color w:val="0E2A35"/>
              </w:rPr>
              <w:t>7​.05%</w:t>
            </w:r>
          </w:p>
        </w:tc>
        <w:tc>
          <w:tcPr>
            <w:tcW w:w="0" w:type="dxa"/>
            <w:vAlign w:val="bottom"/>
          </w:tcPr>
          <w:p>
            <w:pPr>
              <w:spacing w:after="0"/>
              <w:rPr>
                <w:sz w:val="1"/>
                <w:szCs w:val="1"/>
                <w:color w:val="auto"/>
              </w:rPr>
            </w:pPr>
          </w:p>
        </w:tc>
      </w:tr>
      <w:tr>
        <w:trPr>
          <w:trHeight w:val="170"/>
        </w:trPr>
        <w:tc>
          <w:tcPr>
            <w:tcW w:w="4360" w:type="dxa"/>
            <w:vAlign w:val="bottom"/>
          </w:tcPr>
          <w:p>
            <w:pPr>
              <w:ind w:left="60"/>
              <w:spacing w:after="0"/>
              <w:rPr>
                <w:sz w:val="20"/>
                <w:szCs w:val="20"/>
                <w:color w:val="auto"/>
              </w:rPr>
            </w:pPr>
            <w:r>
              <w:rPr>
                <w:rFonts w:ascii="Arial" w:cs="Arial" w:eastAsia="Arial" w:hAnsi="Arial"/>
                <w:sz w:val="14"/>
                <w:szCs w:val="14"/>
                <w:color w:val="0E2A35"/>
              </w:rPr>
              <w:t>6300 Bee Cave Road</w:t>
            </w:r>
          </w:p>
        </w:tc>
        <w:tc>
          <w:tcPr>
            <w:tcW w:w="3880" w:type="dxa"/>
            <w:vAlign w:val="bottom"/>
            <w:gridSpan w:val="2"/>
          </w:tcPr>
          <w:p>
            <w:pPr>
              <w:ind w:left="1980"/>
              <w:spacing w:after="0" w:line="171" w:lineRule="exact"/>
              <w:rPr>
                <w:sz w:val="20"/>
                <w:szCs w:val="20"/>
                <w:color w:val="auto"/>
              </w:rPr>
            </w:pPr>
            <w:r>
              <w:rPr>
                <w:rFonts w:ascii="Arial" w:cs="Arial" w:eastAsia="Arial" w:hAnsi="Arial"/>
                <w:sz w:val="12"/>
                <w:szCs w:val="12"/>
                <w:color w:val="0E2A35"/>
              </w:rPr>
              <w:t>common stock</w:t>
            </w:r>
            <w:r>
              <w:rPr>
                <w:rFonts w:ascii="Arial" w:cs="Arial" w:eastAsia="Arial" w:hAnsi="Arial"/>
                <w:sz w:val="19"/>
                <w:szCs w:val="19"/>
                <w:color w:val="0E2A35"/>
                <w:vertAlign w:val="superscript"/>
              </w:rPr>
              <w:t>(5)</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360" w:type="dxa"/>
            <w:vAlign w:val="bottom"/>
          </w:tcPr>
          <w:p>
            <w:pPr>
              <w:ind w:left="60"/>
              <w:spacing w:after="0"/>
              <w:rPr>
                <w:sz w:val="20"/>
                <w:szCs w:val="20"/>
                <w:color w:val="auto"/>
              </w:rPr>
            </w:pPr>
            <w:r>
              <w:rPr>
                <w:rFonts w:ascii="Arial" w:cs="Arial" w:eastAsia="Arial" w:hAnsi="Arial"/>
                <w:sz w:val="14"/>
                <w:szCs w:val="14"/>
                <w:color w:val="0E2A35"/>
              </w:rPr>
              <w:t>Building One</w:t>
            </w:r>
          </w:p>
        </w:tc>
        <w:tc>
          <w:tcPr>
            <w:tcW w:w="2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4"/>
          <w:szCs w:val="14"/>
          <w:color w:val="0E2A35"/>
        </w:rPr>
        <w:t>Austin, TX 78746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58978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92" w:lineRule="exact"/>
        <w:rPr>
          <w:sz w:val="20"/>
          <w:szCs w:val="20"/>
          <w:color w:val="auto"/>
        </w:rPr>
      </w:pPr>
    </w:p>
    <w:p>
      <w:pPr>
        <w:ind w:left="360" w:hanging="360"/>
        <w:spacing w:after="0"/>
        <w:tabs>
          <w:tab w:leader="none" w:pos="360" w:val="left"/>
        </w:tabs>
        <w:numPr>
          <w:ilvl w:val="0"/>
          <w:numId w:val="75"/>
        </w:numPr>
        <w:rPr>
          <w:rFonts w:ascii="Arial" w:cs="Arial" w:eastAsia="Arial" w:hAnsi="Arial"/>
          <w:sz w:val="13"/>
          <w:szCs w:val="13"/>
          <w:color w:val="0E2A35"/>
        </w:rPr>
      </w:pPr>
      <w:r>
        <w:rPr>
          <w:rFonts w:ascii="Arial" w:cs="Arial" w:eastAsia="Arial" w:hAnsi="Arial"/>
          <w:sz w:val="13"/>
          <w:szCs w:val="13"/>
          <w:color w:val="0E2A35"/>
        </w:rPr>
        <w:t>Based on 29,905,401 outstanding shares of common stock on October 19, 2023.</w:t>
      </w:r>
    </w:p>
    <w:p>
      <w:pPr>
        <w:spacing w:after="0" w:line="39" w:lineRule="exact"/>
        <w:rPr>
          <w:rFonts w:ascii="Arial" w:cs="Arial" w:eastAsia="Arial" w:hAnsi="Arial"/>
          <w:sz w:val="13"/>
          <w:szCs w:val="13"/>
          <w:color w:val="0E2A35"/>
        </w:rPr>
      </w:pPr>
    </w:p>
    <w:p>
      <w:pPr>
        <w:ind w:left="360" w:right="180" w:hanging="360"/>
        <w:spacing w:after="0" w:line="236" w:lineRule="auto"/>
        <w:tabs>
          <w:tab w:leader="none" w:pos="360" w:val="left"/>
        </w:tabs>
        <w:numPr>
          <w:ilvl w:val="0"/>
          <w:numId w:val="75"/>
        </w:numPr>
        <w:rPr>
          <w:rFonts w:ascii="Arial" w:cs="Arial" w:eastAsia="Arial" w:hAnsi="Arial"/>
          <w:sz w:val="13"/>
          <w:szCs w:val="13"/>
          <w:color w:val="0E2A35"/>
        </w:rPr>
      </w:pPr>
      <w:r>
        <w:rPr>
          <w:rFonts w:ascii="Arial" w:cs="Arial" w:eastAsia="Arial" w:hAnsi="Arial"/>
          <w:sz w:val="13"/>
          <w:szCs w:val="13"/>
          <w:color w:val="0E2A35"/>
        </w:rPr>
        <w:t>Based on information provided in a Schedule 13G filed with the SEC on January 24, 2023 by BlackRock, Inc., a parent holding company. BlackRock reported that it has sole voting power of 5,292,670 shares and sole dispositive power over 5,428,900 shares.</w:t>
      </w:r>
    </w:p>
    <w:p>
      <w:pPr>
        <w:spacing w:after="0" w:line="29" w:lineRule="exact"/>
        <w:rPr>
          <w:rFonts w:ascii="Arial" w:cs="Arial" w:eastAsia="Arial" w:hAnsi="Arial"/>
          <w:sz w:val="13"/>
          <w:szCs w:val="13"/>
          <w:color w:val="0E2A35"/>
        </w:rPr>
      </w:pPr>
    </w:p>
    <w:p>
      <w:pPr>
        <w:ind w:left="360" w:right="40" w:hanging="360"/>
        <w:spacing w:after="0" w:line="273" w:lineRule="auto"/>
        <w:tabs>
          <w:tab w:leader="none" w:pos="360" w:val="left"/>
        </w:tabs>
        <w:numPr>
          <w:ilvl w:val="0"/>
          <w:numId w:val="75"/>
        </w:numPr>
        <w:rPr>
          <w:rFonts w:ascii="Arial" w:cs="Arial" w:eastAsia="Arial" w:hAnsi="Arial"/>
          <w:sz w:val="12"/>
          <w:szCs w:val="12"/>
          <w:color w:val="0E2A35"/>
        </w:rPr>
      </w:pPr>
      <w:r>
        <w:rPr>
          <w:rFonts w:ascii="Arial" w:cs="Arial" w:eastAsia="Arial" w:hAnsi="Arial"/>
          <w:sz w:val="12"/>
          <w:szCs w:val="12"/>
          <w:color w:val="0E2A35"/>
        </w:rPr>
        <w:t>Based on information provided in a Schedule 13G filed with the SEC on February 9, 2023 by The Vanguard Group, an investment adviser. The Vanguard Group reported that it has shared voting power over 21,328 shares, sole dispositive power over 2,331,963 shares and shared dispositive power over 51,213 shares.</w:t>
      </w:r>
    </w:p>
    <w:p>
      <w:pPr>
        <w:spacing w:after="0" w:line="10" w:lineRule="exact"/>
        <w:rPr>
          <w:rFonts w:ascii="Arial" w:cs="Arial" w:eastAsia="Arial" w:hAnsi="Arial"/>
          <w:sz w:val="12"/>
          <w:szCs w:val="12"/>
          <w:color w:val="0E2A35"/>
        </w:rPr>
      </w:pPr>
    </w:p>
    <w:p>
      <w:pPr>
        <w:ind w:left="360" w:right="340" w:hanging="360"/>
        <w:spacing w:after="0" w:line="236" w:lineRule="auto"/>
        <w:tabs>
          <w:tab w:leader="none" w:pos="360" w:val="left"/>
        </w:tabs>
        <w:numPr>
          <w:ilvl w:val="0"/>
          <w:numId w:val="75"/>
        </w:numPr>
        <w:rPr>
          <w:rFonts w:ascii="Arial" w:cs="Arial" w:eastAsia="Arial" w:hAnsi="Arial"/>
          <w:sz w:val="13"/>
          <w:szCs w:val="13"/>
          <w:color w:val="0E2A35"/>
        </w:rPr>
      </w:pPr>
      <w:r>
        <w:rPr>
          <w:rFonts w:ascii="Arial" w:cs="Arial" w:eastAsia="Arial" w:hAnsi="Arial"/>
          <w:sz w:val="13"/>
          <w:szCs w:val="13"/>
          <w:color w:val="0E2A35"/>
        </w:rPr>
        <w:t>Based on information provided in a Schedule 13G/A filed with the SEC on February 14, 2023 by Cooke &amp; Bieler LP, an investment adviser. Cooke &amp; Bieler reported that it has shared voting power over 1,596,848 shares and shared dispositive power over 2,346,322 shares.</w:t>
      </w:r>
    </w:p>
    <w:p>
      <w:pPr>
        <w:spacing w:after="0" w:line="29" w:lineRule="exact"/>
        <w:rPr>
          <w:rFonts w:ascii="Arial" w:cs="Arial" w:eastAsia="Arial" w:hAnsi="Arial"/>
          <w:sz w:val="13"/>
          <w:szCs w:val="13"/>
          <w:color w:val="0E2A35"/>
        </w:rPr>
      </w:pPr>
    </w:p>
    <w:p>
      <w:pPr>
        <w:ind w:left="360" w:right="660" w:hanging="360"/>
        <w:spacing w:after="0" w:line="236" w:lineRule="auto"/>
        <w:tabs>
          <w:tab w:leader="none" w:pos="360" w:val="left"/>
        </w:tabs>
        <w:numPr>
          <w:ilvl w:val="0"/>
          <w:numId w:val="75"/>
        </w:numPr>
        <w:rPr>
          <w:rFonts w:ascii="Arial" w:cs="Arial" w:eastAsia="Arial" w:hAnsi="Arial"/>
          <w:sz w:val="13"/>
          <w:szCs w:val="13"/>
          <w:color w:val="0E2A35"/>
        </w:rPr>
      </w:pPr>
      <w:r>
        <w:rPr>
          <w:rFonts w:ascii="Arial" w:cs="Arial" w:eastAsia="Arial" w:hAnsi="Arial"/>
          <w:sz w:val="13"/>
          <w:szCs w:val="13"/>
          <w:color w:val="0E2A35"/>
        </w:rPr>
        <w:t>Based on information provided in a Schedule 13G filed with the SEC on February 10, 2023 by Dimensional Fund Advisors LP, an investment adviser. Dimensional Fund Advisors reported that it has sole voting power and sole dispositive power over 2,071,645 shares.</w:t>
      </w:r>
    </w:p>
    <w:p>
      <w:pPr>
        <w:spacing w:after="0" w:line="292"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200660</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39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0E2A35"/>
        </w:rPr>
        <w:t>The following table sets forth certain information known to us with respect to beneficial ownership of our common stock, as defined in Rule 13d-3 under the Exchange Act, at October 19, 2023 for (i) each of our directors and director nominees, (ii) each NEO listed in the Summary Compensation Table, and (iii) all current executive officers and directors as a group. Except as otherwise indicated, the named beneficial owner has sole voting and investment power with respect to the shares held by such beneficial owner.</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0" w:type="dxa"/>
            <w:vAlign w:val="bottom"/>
            <w:shd w:val="clear" w:color="auto" w:fill="0E2A35"/>
          </w:tcPr>
          <w:p>
            <w:pPr>
              <w:spacing w:after="0"/>
              <w:rPr>
                <w:sz w:val="19"/>
                <w:szCs w:val="19"/>
                <w:color w:val="auto"/>
              </w:rPr>
            </w:pPr>
          </w:p>
        </w:tc>
        <w:tc>
          <w:tcPr>
            <w:tcW w:w="2960" w:type="dxa"/>
            <w:vAlign w:val="bottom"/>
            <w:shd w:val="clear" w:color="auto" w:fill="0E2A35"/>
          </w:tcPr>
          <w:p>
            <w:pPr>
              <w:spacing w:after="0"/>
              <w:rPr>
                <w:sz w:val="19"/>
                <w:szCs w:val="19"/>
                <w:color w:val="auto"/>
              </w:rPr>
            </w:pPr>
          </w:p>
        </w:tc>
        <w:tc>
          <w:tcPr>
            <w:tcW w:w="11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Shares of</w:t>
            </w:r>
          </w:p>
        </w:tc>
        <w:tc>
          <w:tcPr>
            <w:tcW w:w="1240" w:type="dxa"/>
            <w:vAlign w:val="bottom"/>
            <w:shd w:val="clear" w:color="auto" w:fill="0E2A35"/>
          </w:tcPr>
          <w:p>
            <w:pPr>
              <w:spacing w:after="0"/>
              <w:rPr>
                <w:sz w:val="19"/>
                <w:szCs w:val="19"/>
                <w:color w:val="auto"/>
              </w:rPr>
            </w:pPr>
          </w:p>
        </w:tc>
        <w:tc>
          <w:tcPr>
            <w:tcW w:w="1260" w:type="dxa"/>
            <w:vAlign w:val="bottom"/>
            <w:shd w:val="clear" w:color="auto" w:fill="0E2A35"/>
          </w:tcPr>
          <w:p>
            <w:pPr>
              <w:spacing w:after="0"/>
              <w:rPr>
                <w:sz w:val="19"/>
                <w:szCs w:val="19"/>
                <w:color w:val="auto"/>
              </w:rPr>
            </w:pPr>
          </w:p>
        </w:tc>
        <w:tc>
          <w:tcPr>
            <w:tcW w:w="140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Total Shares</w:t>
            </w:r>
          </w:p>
        </w:tc>
        <w:tc>
          <w:tcPr>
            <w:tcW w:w="920" w:type="dxa"/>
            <w:vAlign w:val="bottom"/>
            <w:shd w:val="clear" w:color="auto" w:fill="0E2A35"/>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60" w:type="dxa"/>
            <w:vAlign w:val="bottom"/>
            <w:shd w:val="clear" w:color="auto" w:fill="0E2A35"/>
          </w:tcPr>
          <w:p>
            <w:pPr>
              <w:spacing w:after="0"/>
              <w:rPr>
                <w:sz w:val="11"/>
                <w:szCs w:val="11"/>
                <w:color w:val="auto"/>
              </w:rPr>
            </w:pPr>
          </w:p>
        </w:tc>
        <w:tc>
          <w:tcPr>
            <w:tcW w:w="2960" w:type="dxa"/>
            <w:vAlign w:val="bottom"/>
            <w:shd w:val="clear" w:color="auto" w:fill="0E2A35"/>
          </w:tcPr>
          <w:p>
            <w:pPr>
              <w:spacing w:after="0"/>
              <w:rPr>
                <w:sz w:val="11"/>
                <w:szCs w:val="11"/>
                <w:color w:val="auto"/>
              </w:rPr>
            </w:pPr>
          </w:p>
        </w:tc>
        <w:tc>
          <w:tcPr>
            <w:tcW w:w="11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Common</w:t>
            </w:r>
          </w:p>
        </w:tc>
        <w:tc>
          <w:tcPr>
            <w:tcW w:w="124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260" w:type="dxa"/>
            <w:vAlign w:val="bottom"/>
            <w:vMerge w:val="restart"/>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Winnebago</w:t>
            </w:r>
          </w:p>
        </w:tc>
        <w:tc>
          <w:tcPr>
            <w:tcW w:w="1400" w:type="dxa"/>
            <w:vAlign w:val="bottom"/>
            <w:vMerge w:val="continue"/>
            <w:shd w:val="clear" w:color="auto" w:fill="0E2A35"/>
          </w:tcPr>
          <w:p>
            <w:pPr>
              <w:spacing w:after="0"/>
              <w:rPr>
                <w:sz w:val="11"/>
                <w:szCs w:val="11"/>
                <w:color w:val="auto"/>
              </w:rPr>
            </w:pPr>
          </w:p>
        </w:tc>
        <w:tc>
          <w:tcPr>
            <w:tcW w:w="920" w:type="dxa"/>
            <w:vAlign w:val="bottom"/>
            <w:vMerge w:val="restart"/>
            <w:shd w:val="clear" w:color="auto" w:fill="0E2A35"/>
          </w:tcPr>
          <w:p>
            <w:pPr>
              <w:jc w:val="right"/>
              <w:ind w:right="141"/>
              <w:spacing w:after="0"/>
              <w:rPr>
                <w:sz w:val="20"/>
                <w:szCs w:val="20"/>
                <w:color w:val="auto"/>
              </w:rPr>
            </w:pPr>
            <w:r>
              <w:rPr>
                <w:rFonts w:ascii="Arial" w:cs="Arial" w:eastAsia="Arial" w:hAnsi="Arial"/>
                <w:sz w:val="13"/>
                <w:szCs w:val="13"/>
                <w:b w:val="1"/>
                <w:bCs w:val="1"/>
                <w:color w:val="FFFFFF"/>
              </w:rPr>
              <w:t>%​ of</w:t>
            </w:r>
          </w:p>
        </w:tc>
        <w:tc>
          <w:tcPr>
            <w:tcW w:w="0" w:type="dxa"/>
            <w:vAlign w:val="bottom"/>
          </w:tcPr>
          <w:p>
            <w:pPr>
              <w:spacing w:after="0"/>
              <w:rPr>
                <w:sz w:val="1"/>
                <w:szCs w:val="1"/>
                <w:color w:val="auto"/>
              </w:rPr>
            </w:pPr>
          </w:p>
        </w:tc>
      </w:tr>
      <w:tr>
        <w:trPr>
          <w:trHeight w:val="130"/>
        </w:trPr>
        <w:tc>
          <w:tcPr>
            <w:tcW w:w="360" w:type="dxa"/>
            <w:vAlign w:val="bottom"/>
            <w:shd w:val="clear" w:color="auto" w:fill="0E2A35"/>
          </w:tcPr>
          <w:p>
            <w:pPr>
              <w:spacing w:after="0"/>
              <w:rPr>
                <w:sz w:val="11"/>
                <w:szCs w:val="11"/>
                <w:color w:val="auto"/>
              </w:rPr>
            </w:pPr>
          </w:p>
        </w:tc>
        <w:tc>
          <w:tcPr>
            <w:tcW w:w="2960" w:type="dxa"/>
            <w:vAlign w:val="bottom"/>
            <w:shd w:val="clear" w:color="auto" w:fill="0E2A35"/>
          </w:tcPr>
          <w:p>
            <w:pPr>
              <w:spacing w:after="0"/>
              <w:rPr>
                <w:sz w:val="11"/>
                <w:szCs w:val="11"/>
                <w:color w:val="auto"/>
              </w:rPr>
            </w:pPr>
          </w:p>
        </w:tc>
        <w:tc>
          <w:tcPr>
            <w:tcW w:w="1140" w:type="dxa"/>
            <w:vAlign w:val="bottom"/>
            <w:shd w:val="clear" w:color="auto" w:fill="0E2A35"/>
          </w:tcPr>
          <w:p>
            <w:pPr>
              <w:jc w:val="center"/>
              <w:spacing w:after="0" w:line="130" w:lineRule="exact"/>
              <w:rPr>
                <w:sz w:val="20"/>
                <w:szCs w:val="20"/>
                <w:color w:val="auto"/>
              </w:rPr>
            </w:pPr>
            <w:r>
              <w:rPr>
                <w:rFonts w:ascii="Arial" w:cs="Arial" w:eastAsia="Arial" w:hAnsi="Arial"/>
                <w:sz w:val="13"/>
                <w:szCs w:val="13"/>
                <w:b w:val="1"/>
                <w:bCs w:val="1"/>
                <w:color w:val="FFFFFF"/>
                <w:w w:val="95"/>
              </w:rPr>
              <w:t>Stock</w:t>
            </w:r>
          </w:p>
        </w:tc>
        <w:tc>
          <w:tcPr>
            <w:tcW w:w="1240" w:type="dxa"/>
            <w:vAlign w:val="bottom"/>
            <w:vMerge w:val="continue"/>
            <w:shd w:val="clear" w:color="auto" w:fill="0E2A35"/>
          </w:tcPr>
          <w:p>
            <w:pPr>
              <w:spacing w:after="0"/>
              <w:rPr>
                <w:sz w:val="11"/>
                <w:szCs w:val="11"/>
                <w:color w:val="auto"/>
              </w:rPr>
            </w:pPr>
          </w:p>
        </w:tc>
        <w:tc>
          <w:tcPr>
            <w:tcW w:w="1260" w:type="dxa"/>
            <w:vAlign w:val="bottom"/>
            <w:vMerge w:val="continue"/>
            <w:shd w:val="clear" w:color="auto" w:fill="0E2A35"/>
          </w:tcPr>
          <w:p>
            <w:pPr>
              <w:spacing w:after="0"/>
              <w:rPr>
                <w:sz w:val="11"/>
                <w:szCs w:val="11"/>
                <w:color w:val="auto"/>
              </w:rPr>
            </w:pPr>
          </w:p>
        </w:tc>
        <w:tc>
          <w:tcPr>
            <w:tcW w:w="1400" w:type="dxa"/>
            <w:vAlign w:val="bottom"/>
            <w:shd w:val="clear" w:color="auto" w:fill="0E2A35"/>
          </w:tcPr>
          <w:p>
            <w:pPr>
              <w:jc w:val="center"/>
              <w:spacing w:after="0" w:line="130" w:lineRule="exact"/>
              <w:rPr>
                <w:sz w:val="20"/>
                <w:szCs w:val="20"/>
                <w:color w:val="auto"/>
              </w:rPr>
            </w:pPr>
            <w:r>
              <w:rPr>
                <w:rFonts w:ascii="Arial" w:cs="Arial" w:eastAsia="Arial" w:hAnsi="Arial"/>
                <w:sz w:val="13"/>
                <w:szCs w:val="13"/>
                <w:b w:val="1"/>
                <w:bCs w:val="1"/>
                <w:color w:val="FFFFFF"/>
                <w:w w:val="96"/>
              </w:rPr>
              <w:t>of Common</w:t>
            </w:r>
          </w:p>
        </w:tc>
        <w:tc>
          <w:tcPr>
            <w:tcW w:w="920" w:type="dxa"/>
            <w:vAlign w:val="bottom"/>
            <w:vMerge w:val="continue"/>
            <w:shd w:val="clear" w:color="auto" w:fill="0E2A3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vMerge w:val="restart"/>
            <w:shd w:val="clear" w:color="auto" w:fill="0E2A35"/>
          </w:tcPr>
          <w:p>
            <w:pPr>
              <w:ind w:left="60"/>
              <w:spacing w:after="0"/>
              <w:rPr>
                <w:sz w:val="20"/>
                <w:szCs w:val="20"/>
                <w:color w:val="auto"/>
              </w:rPr>
            </w:pPr>
            <w:r>
              <w:rPr>
                <w:rFonts w:ascii="Arial" w:cs="Arial" w:eastAsia="Arial" w:hAnsi="Arial"/>
                <w:sz w:val="13"/>
                <w:szCs w:val="13"/>
                <w:b w:val="1"/>
                <w:bCs w:val="1"/>
                <w:color w:val="FFFFFF"/>
              </w:rPr>
              <w:t>Name</w:t>
            </w:r>
          </w:p>
        </w:tc>
        <w:tc>
          <w:tcPr>
            <w:tcW w:w="11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6"/>
              </w:rPr>
              <w:t>Owned</w:t>
            </w:r>
          </w:p>
        </w:tc>
        <w:tc>
          <w:tcPr>
            <w:tcW w:w="124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126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1400" w:type="dxa"/>
            <w:vAlign w:val="bottom"/>
            <w:shd w:val="clear" w:color="auto" w:fill="0E2A35"/>
          </w:tcPr>
          <w:p>
            <w:pPr>
              <w:jc w:val="center"/>
              <w:spacing w:after="0" w:line="135" w:lineRule="exact"/>
              <w:rPr>
                <w:sz w:val="20"/>
                <w:szCs w:val="20"/>
                <w:color w:val="auto"/>
              </w:rPr>
            </w:pPr>
            <w:r>
              <w:rPr>
                <w:rFonts w:ascii="Arial" w:cs="Arial" w:eastAsia="Arial" w:hAnsi="Arial"/>
                <w:sz w:val="13"/>
                <w:szCs w:val="13"/>
                <w:b w:val="1"/>
                <w:bCs w:val="1"/>
                <w:color w:val="FFFFFF"/>
                <w:w w:val="97"/>
              </w:rPr>
              <w:t>Stock Owned</w:t>
            </w:r>
          </w:p>
        </w:tc>
        <w:tc>
          <w:tcPr>
            <w:tcW w:w="920" w:type="dxa"/>
            <w:vAlign w:val="bottom"/>
            <w:shd w:val="clear" w:color="auto" w:fill="0E2A35"/>
          </w:tcPr>
          <w:p>
            <w:pPr>
              <w:jc w:val="right"/>
              <w:ind w:right="1"/>
              <w:spacing w:after="0" w:line="135" w:lineRule="exact"/>
              <w:rPr>
                <w:sz w:val="20"/>
                <w:szCs w:val="20"/>
                <w:color w:val="auto"/>
              </w:rPr>
            </w:pPr>
            <w:r>
              <w:rPr>
                <w:rFonts w:ascii="Arial" w:cs="Arial" w:eastAsia="Arial" w:hAnsi="Arial"/>
                <w:sz w:val="13"/>
                <w:szCs w:val="13"/>
                <w:b w:val="1"/>
                <w:bCs w:val="1"/>
                <w:color w:val="FFFFFF"/>
              </w:rPr>
              <w:t>Common</w:t>
            </w:r>
          </w:p>
        </w:tc>
        <w:tc>
          <w:tcPr>
            <w:tcW w:w="0" w:type="dxa"/>
            <w:vAlign w:val="bottom"/>
          </w:tcPr>
          <w:p>
            <w:pPr>
              <w:spacing w:after="0"/>
              <w:rPr>
                <w:sz w:val="1"/>
                <w:szCs w:val="1"/>
                <w:color w:val="auto"/>
              </w:rPr>
            </w:pPr>
          </w:p>
        </w:tc>
      </w:tr>
      <w:tr>
        <w:trPr>
          <w:trHeight w:val="270"/>
        </w:trPr>
        <w:tc>
          <w:tcPr>
            <w:tcW w:w="3320" w:type="dxa"/>
            <w:vAlign w:val="bottom"/>
            <w:gridSpan w:val="2"/>
            <w:vMerge w:val="continue"/>
            <w:shd w:val="clear" w:color="auto" w:fill="0E2A35"/>
          </w:tcPr>
          <w:p>
            <w:pPr>
              <w:spacing w:after="0"/>
              <w:rPr>
                <w:sz w:val="23"/>
                <w:szCs w:val="23"/>
                <w:color w:val="auto"/>
              </w:rPr>
            </w:pPr>
          </w:p>
        </w:tc>
        <w:tc>
          <w:tcPr>
            <w:tcW w:w="11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7"/>
              </w:rPr>
              <w:t>Outright</w:t>
            </w:r>
          </w:p>
        </w:tc>
        <w:tc>
          <w:tcPr>
            <w:tcW w:w="124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1"/>
              </w:rPr>
              <w:t>Options</w:t>
            </w:r>
            <w:r>
              <w:rPr>
                <w:rFonts w:ascii="Arial" w:cs="Arial" w:eastAsia="Arial" w:hAnsi="Arial"/>
                <w:sz w:val="20"/>
                <w:szCs w:val="20"/>
                <w:b w:val="1"/>
                <w:bCs w:val="1"/>
                <w:color w:val="FFFFFF"/>
                <w:w w:val="91"/>
                <w:vertAlign w:val="superscript"/>
              </w:rPr>
              <w:t>(1)</w:t>
            </w:r>
          </w:p>
        </w:tc>
        <w:tc>
          <w:tcPr>
            <w:tcW w:w="126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0"/>
              </w:rPr>
              <w:t>Units</w:t>
            </w:r>
            <w:r>
              <w:rPr>
                <w:rFonts w:ascii="Arial" w:cs="Arial" w:eastAsia="Arial" w:hAnsi="Arial"/>
                <w:sz w:val="20"/>
                <w:szCs w:val="20"/>
                <w:b w:val="1"/>
                <w:bCs w:val="1"/>
                <w:color w:val="FFFFFF"/>
                <w:w w:val="90"/>
                <w:vertAlign w:val="superscript"/>
              </w:rPr>
              <w:t>(2)</w:t>
            </w:r>
          </w:p>
        </w:tc>
        <w:tc>
          <w:tcPr>
            <w:tcW w:w="1400" w:type="dxa"/>
            <w:vAlign w:val="bottom"/>
            <w:shd w:val="clear" w:color="auto" w:fill="0E2A35"/>
          </w:tcPr>
          <w:p>
            <w:pPr>
              <w:jc w:val="center"/>
              <w:spacing w:after="0"/>
              <w:rPr>
                <w:sz w:val="20"/>
                <w:szCs w:val="20"/>
                <w:color w:val="auto"/>
              </w:rPr>
            </w:pPr>
            <w:r>
              <w:rPr>
                <w:rFonts w:ascii="Arial" w:cs="Arial" w:eastAsia="Arial" w:hAnsi="Arial"/>
                <w:sz w:val="13"/>
                <w:szCs w:val="13"/>
                <w:b w:val="1"/>
                <w:bCs w:val="1"/>
                <w:color w:val="FFFFFF"/>
                <w:w w:val="96"/>
              </w:rPr>
              <w:t>Beneficially</w:t>
            </w:r>
          </w:p>
        </w:tc>
        <w:tc>
          <w:tcPr>
            <w:tcW w:w="920" w:type="dxa"/>
            <w:vAlign w:val="bottom"/>
            <w:shd w:val="clear" w:color="auto" w:fill="0E2A35"/>
          </w:tcPr>
          <w:p>
            <w:pPr>
              <w:jc w:val="right"/>
              <w:ind w:right="21"/>
              <w:spacing w:after="0"/>
              <w:rPr>
                <w:sz w:val="20"/>
                <w:szCs w:val="20"/>
                <w:color w:val="auto"/>
              </w:rPr>
            </w:pPr>
            <w:r>
              <w:rPr>
                <w:rFonts w:ascii="Arial" w:cs="Arial" w:eastAsia="Arial" w:hAnsi="Arial"/>
                <w:sz w:val="13"/>
                <w:szCs w:val="13"/>
                <w:b w:val="1"/>
                <w:bCs w:val="1"/>
                <w:color w:val="FFFFFF"/>
              </w:rPr>
              <w:t>Stock</w:t>
            </w:r>
            <w:r>
              <w:rPr>
                <w:rFonts w:ascii="Arial" w:cs="Arial" w:eastAsia="Arial" w:hAnsi="Arial"/>
                <w:sz w:val="20"/>
                <w:szCs w:val="20"/>
                <w:b w:val="1"/>
                <w:bCs w:val="1"/>
                <w:color w:val="FFFFFF"/>
                <w:vertAlign w:val="superscript"/>
              </w:rPr>
              <w:t>(3)</w:t>
            </w:r>
          </w:p>
        </w:tc>
        <w:tc>
          <w:tcPr>
            <w:tcW w:w="0" w:type="dxa"/>
            <w:vAlign w:val="bottom"/>
          </w:tcPr>
          <w:p>
            <w:pPr>
              <w:spacing w:after="0"/>
              <w:rPr>
                <w:sz w:val="1"/>
                <w:szCs w:val="1"/>
                <w:color w:val="auto"/>
              </w:rPr>
            </w:pPr>
          </w:p>
        </w:tc>
      </w:tr>
      <w:tr>
        <w:trPr>
          <w:trHeight w:val="208"/>
        </w:trPr>
        <w:tc>
          <w:tcPr>
            <w:tcW w:w="3320" w:type="dxa"/>
            <w:vAlign w:val="bottom"/>
            <w:gridSpan w:val="2"/>
            <w:vMerge w:val="restart"/>
          </w:tcPr>
          <w:p>
            <w:pPr>
              <w:ind w:left="60"/>
              <w:spacing w:after="0"/>
              <w:rPr>
                <w:sz w:val="20"/>
                <w:szCs w:val="20"/>
                <w:color w:val="auto"/>
              </w:rPr>
            </w:pPr>
            <w:r>
              <w:rPr>
                <w:rFonts w:ascii="Arial" w:cs="Arial" w:eastAsia="Arial" w:hAnsi="Arial"/>
                <w:sz w:val="14"/>
                <w:szCs w:val="14"/>
                <w:color w:val="0E2A35"/>
              </w:rPr>
              <w:t>Sara E. Armbruster</w:t>
            </w:r>
          </w:p>
        </w:tc>
        <w:tc>
          <w:tcPr>
            <w:tcW w:w="1140" w:type="dxa"/>
            <w:vAlign w:val="bottom"/>
            <w:vMerge w:val="restart"/>
          </w:tcPr>
          <w:p>
            <w:pPr>
              <w:jc w:val="right"/>
              <w:ind w:right="230"/>
              <w:spacing w:after="0"/>
              <w:rPr>
                <w:sz w:val="20"/>
                <w:szCs w:val="20"/>
                <w:color w:val="auto"/>
              </w:rPr>
            </w:pPr>
            <w:r>
              <w:rPr>
                <w:rFonts w:ascii="Arial" w:cs="Arial" w:eastAsia="Arial" w:hAnsi="Arial"/>
                <w:sz w:val="14"/>
                <w:szCs w:val="14"/>
                <w:color w:val="0E2A35"/>
              </w:rPr>
              <w:t>7,482</w:t>
            </w:r>
          </w:p>
        </w:tc>
        <w:tc>
          <w:tcPr>
            <w:tcW w:w="1240" w:type="dxa"/>
            <w:vAlign w:val="bottom"/>
            <w:vMerge w:val="restart"/>
          </w:tcPr>
          <w:p>
            <w:pPr>
              <w:jc w:val="right"/>
              <w:ind w:right="310"/>
              <w:spacing w:after="0"/>
              <w:rPr>
                <w:sz w:val="20"/>
                <w:szCs w:val="20"/>
                <w:color w:val="auto"/>
              </w:rPr>
            </w:pPr>
            <w:r>
              <w:rPr>
                <w:rFonts w:ascii="Arial" w:cs="Arial" w:eastAsia="Arial" w:hAnsi="Arial"/>
                <w:sz w:val="14"/>
                <w:szCs w:val="14"/>
                <w:color w:val="0E2A35"/>
              </w:rPr>
              <w:t>—</w:t>
            </w:r>
          </w:p>
        </w:tc>
        <w:tc>
          <w:tcPr>
            <w:tcW w:w="1260" w:type="dxa"/>
            <w:vAlign w:val="bottom"/>
            <w:vMerge w:val="restart"/>
          </w:tcPr>
          <w:p>
            <w:pPr>
              <w:jc w:val="right"/>
              <w:ind w:right="350"/>
              <w:spacing w:after="0"/>
              <w:rPr>
                <w:sz w:val="20"/>
                <w:szCs w:val="20"/>
                <w:color w:val="auto"/>
              </w:rPr>
            </w:pPr>
            <w:r>
              <w:rPr>
                <w:rFonts w:ascii="Arial" w:cs="Arial" w:eastAsia="Arial" w:hAnsi="Arial"/>
                <w:sz w:val="14"/>
                <w:szCs w:val="14"/>
                <w:color w:val="0E2A35"/>
              </w:rPr>
              <w:t>—</w:t>
            </w:r>
          </w:p>
        </w:tc>
        <w:tc>
          <w:tcPr>
            <w:tcW w:w="1400" w:type="dxa"/>
            <w:vAlign w:val="bottom"/>
            <w:vMerge w:val="restart"/>
          </w:tcPr>
          <w:p>
            <w:pPr>
              <w:jc w:val="right"/>
              <w:ind w:right="270"/>
              <w:spacing w:after="0"/>
              <w:rPr>
                <w:sz w:val="20"/>
                <w:szCs w:val="20"/>
                <w:color w:val="auto"/>
              </w:rPr>
            </w:pPr>
            <w:r>
              <w:rPr>
                <w:rFonts w:ascii="Arial" w:cs="Arial" w:eastAsia="Arial" w:hAnsi="Arial"/>
                <w:sz w:val="14"/>
                <w:szCs w:val="14"/>
                <w:color w:val="0E2A35"/>
              </w:rPr>
              <w:t>7,482</w:t>
            </w:r>
          </w:p>
        </w:tc>
        <w:tc>
          <w:tcPr>
            <w:tcW w:w="920" w:type="dxa"/>
            <w:vAlign w:val="bottom"/>
          </w:tcPr>
          <w:p>
            <w:pPr>
              <w:jc w:val="right"/>
              <w:ind w:right="21"/>
              <w:spacing w:after="0"/>
              <w:rPr>
                <w:sz w:val="20"/>
                <w:szCs w:val="20"/>
                <w:color w:val="auto"/>
              </w:rPr>
            </w:pPr>
            <w:r>
              <w:rPr>
                <w:rFonts w:ascii="Arial" w:cs="Arial" w:eastAsia="Arial" w:hAnsi="Arial"/>
                <w:sz w:val="11"/>
                <w:szCs w:val="11"/>
                <w:color w:val="0E2A35"/>
              </w:rPr>
              <w:t>(4)</w:t>
            </w:r>
          </w:p>
        </w:tc>
        <w:tc>
          <w:tcPr>
            <w:tcW w:w="0" w:type="dxa"/>
            <w:vAlign w:val="bottom"/>
          </w:tcPr>
          <w:p>
            <w:pPr>
              <w:spacing w:after="0"/>
              <w:rPr>
                <w:sz w:val="1"/>
                <w:szCs w:val="1"/>
                <w:color w:val="auto"/>
              </w:rPr>
            </w:pPr>
          </w:p>
        </w:tc>
      </w:tr>
      <w:tr>
        <w:trPr>
          <w:trHeight w:val="78"/>
        </w:trPr>
        <w:tc>
          <w:tcPr>
            <w:tcW w:w="33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296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20" w:type="dxa"/>
            <w:vAlign w:val="bottom"/>
            <w:gridSpan w:val="2"/>
            <w:vMerge w:val="restart"/>
          </w:tcPr>
          <w:p>
            <w:pPr>
              <w:ind w:left="60"/>
              <w:spacing w:after="0"/>
              <w:rPr>
                <w:sz w:val="20"/>
                <w:szCs w:val="20"/>
                <w:color w:val="auto"/>
              </w:rPr>
            </w:pPr>
            <w:r>
              <w:rPr>
                <w:rFonts w:ascii="Arial" w:cs="Arial" w:eastAsia="Arial" w:hAnsi="Arial"/>
                <w:sz w:val="14"/>
                <w:szCs w:val="14"/>
                <w:color w:val="0E2A35"/>
              </w:rPr>
              <w:t>Stacy L. Bogart</w:t>
            </w:r>
          </w:p>
        </w:tc>
        <w:tc>
          <w:tcPr>
            <w:tcW w:w="1140" w:type="dxa"/>
            <w:vAlign w:val="bottom"/>
            <w:vMerge w:val="restart"/>
          </w:tcPr>
          <w:p>
            <w:pPr>
              <w:jc w:val="right"/>
              <w:ind w:right="230"/>
              <w:spacing w:after="0"/>
              <w:rPr>
                <w:sz w:val="20"/>
                <w:szCs w:val="20"/>
                <w:color w:val="auto"/>
              </w:rPr>
            </w:pPr>
            <w:r>
              <w:rPr>
                <w:rFonts w:ascii="Arial" w:cs="Arial" w:eastAsia="Arial" w:hAnsi="Arial"/>
                <w:sz w:val="14"/>
                <w:szCs w:val="14"/>
                <w:color w:val="0E2A35"/>
              </w:rPr>
              <w:t>​38,780</w:t>
            </w:r>
          </w:p>
        </w:tc>
        <w:tc>
          <w:tcPr>
            <w:tcW w:w="1240" w:type="dxa"/>
            <w:vAlign w:val="bottom"/>
            <w:vMerge w:val="restart"/>
          </w:tcPr>
          <w:p>
            <w:pPr>
              <w:jc w:val="right"/>
              <w:ind w:right="310"/>
              <w:spacing w:after="0"/>
              <w:rPr>
                <w:sz w:val="20"/>
                <w:szCs w:val="20"/>
                <w:color w:val="auto"/>
              </w:rPr>
            </w:pPr>
            <w:r>
              <w:rPr>
                <w:rFonts w:ascii="Arial" w:cs="Arial" w:eastAsia="Arial" w:hAnsi="Arial"/>
                <w:sz w:val="14"/>
                <w:szCs w:val="14"/>
                <w:color w:val="0E2A35"/>
              </w:rPr>
              <w:t>21,397​</w:t>
            </w:r>
          </w:p>
        </w:tc>
        <w:tc>
          <w:tcPr>
            <w:tcW w:w="1260" w:type="dxa"/>
            <w:vAlign w:val="bottom"/>
            <w:vMerge w:val="restart"/>
          </w:tcPr>
          <w:p>
            <w:pPr>
              <w:jc w:val="right"/>
              <w:ind w:right="350"/>
              <w:spacing w:after="0"/>
              <w:rPr>
                <w:sz w:val="20"/>
                <w:szCs w:val="20"/>
                <w:color w:val="auto"/>
              </w:rPr>
            </w:pPr>
            <w:r>
              <w:rPr>
                <w:rFonts w:ascii="Arial" w:cs="Arial" w:eastAsia="Arial" w:hAnsi="Arial"/>
                <w:sz w:val="14"/>
                <w:szCs w:val="14"/>
                <w:color w:val="0E2A35"/>
              </w:rPr>
              <w:t>—​</w:t>
            </w:r>
          </w:p>
        </w:tc>
        <w:tc>
          <w:tcPr>
            <w:tcW w:w="1400" w:type="dxa"/>
            <w:vAlign w:val="bottom"/>
            <w:vMerge w:val="restart"/>
          </w:tcPr>
          <w:p>
            <w:pPr>
              <w:jc w:val="right"/>
              <w:ind w:right="270"/>
              <w:spacing w:after="0"/>
              <w:rPr>
                <w:sz w:val="20"/>
                <w:szCs w:val="20"/>
                <w:color w:val="auto"/>
              </w:rPr>
            </w:pPr>
            <w:r>
              <w:rPr>
                <w:rFonts w:ascii="Arial" w:cs="Arial" w:eastAsia="Arial" w:hAnsi="Arial"/>
                <w:sz w:val="14"/>
                <w:szCs w:val="14"/>
                <w:color w:val="0E2A35"/>
              </w:rPr>
              <w:t>60,177​</w:t>
            </w:r>
          </w:p>
        </w:tc>
        <w:tc>
          <w:tcPr>
            <w:tcW w:w="920" w:type="dxa"/>
            <w:vAlign w:val="bottom"/>
          </w:tcPr>
          <w:p>
            <w:pPr>
              <w:jc w:val="right"/>
              <w:ind w:right="21"/>
              <w:spacing w:after="0"/>
              <w:rPr>
                <w:sz w:val="20"/>
                <w:szCs w:val="20"/>
                <w:color w:val="auto"/>
              </w:rPr>
            </w:pPr>
            <w:r>
              <w:rPr>
                <w:rFonts w:ascii="Arial" w:cs="Arial" w:eastAsia="Arial" w:hAnsi="Arial"/>
                <w:sz w:val="11"/>
                <w:szCs w:val="11"/>
                <w:color w:val="0E2A35"/>
              </w:rPr>
              <w:t>(4)</w:t>
            </w:r>
          </w:p>
        </w:tc>
        <w:tc>
          <w:tcPr>
            <w:tcW w:w="0" w:type="dxa"/>
            <w:vAlign w:val="bottom"/>
          </w:tcPr>
          <w:p>
            <w:pPr>
              <w:spacing w:after="0"/>
              <w:rPr>
                <w:sz w:val="1"/>
                <w:szCs w:val="1"/>
                <w:color w:val="auto"/>
              </w:rPr>
            </w:pPr>
          </w:p>
        </w:tc>
      </w:tr>
      <w:tr>
        <w:trPr>
          <w:trHeight w:val="78"/>
        </w:trPr>
        <w:tc>
          <w:tcPr>
            <w:tcW w:w="33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296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60" w:type="dxa"/>
            <w:vAlign w:val="bottom"/>
            <w:vMerge w:val="restart"/>
          </w:tcPr>
          <w:p>
            <w:pPr>
              <w:ind w:left="60"/>
              <w:spacing w:after="0"/>
              <w:rPr>
                <w:sz w:val="20"/>
                <w:szCs w:val="20"/>
                <w:color w:val="auto"/>
              </w:rPr>
            </w:pPr>
            <w:r>
              <w:rPr>
                <w:rFonts w:ascii="Arial" w:cs="Arial" w:eastAsia="Arial" w:hAnsi="Arial"/>
                <w:sz w:val="14"/>
                <w:szCs w:val="14"/>
                <w:color w:val="0E2A35"/>
                <w:w w:val="99"/>
              </w:rPr>
              <w:t>Huw​</w:t>
            </w:r>
          </w:p>
        </w:tc>
        <w:tc>
          <w:tcPr>
            <w:tcW w:w="2960" w:type="dxa"/>
            <w:vAlign w:val="bottom"/>
            <w:vMerge w:val="restart"/>
          </w:tcPr>
          <w:p>
            <w:pPr>
              <w:ind w:left="20"/>
              <w:spacing w:after="0"/>
              <w:rPr>
                <w:sz w:val="20"/>
                <w:szCs w:val="20"/>
                <w:color w:val="auto"/>
              </w:rPr>
            </w:pPr>
            <w:r>
              <w:rPr>
                <w:rFonts w:ascii="Arial" w:cs="Arial" w:eastAsia="Arial" w:hAnsi="Arial"/>
                <w:sz w:val="14"/>
                <w:szCs w:val="14"/>
                <w:color w:val="0E2A35"/>
              </w:rPr>
              <w:t>S. Bower</w:t>
            </w:r>
          </w:p>
        </w:tc>
        <w:tc>
          <w:tcPr>
            <w:tcW w:w="1140" w:type="dxa"/>
            <w:vAlign w:val="bottom"/>
            <w:vMerge w:val="restart"/>
          </w:tcPr>
          <w:p>
            <w:pPr>
              <w:jc w:val="right"/>
              <w:ind w:right="230"/>
              <w:spacing w:after="0"/>
              <w:rPr>
                <w:sz w:val="20"/>
                <w:szCs w:val="20"/>
                <w:color w:val="auto"/>
              </w:rPr>
            </w:pPr>
            <w:r>
              <w:rPr>
                <w:rFonts w:ascii="Arial" w:cs="Arial" w:eastAsia="Arial" w:hAnsi="Arial"/>
                <w:sz w:val="14"/>
                <w:szCs w:val="14"/>
                <w:color w:val="0E2A35"/>
              </w:rPr>
              <w:t>​30,862</w:t>
            </w:r>
          </w:p>
        </w:tc>
        <w:tc>
          <w:tcPr>
            <w:tcW w:w="1240" w:type="dxa"/>
            <w:vAlign w:val="bottom"/>
            <w:vMerge w:val="restart"/>
          </w:tcPr>
          <w:p>
            <w:pPr>
              <w:jc w:val="right"/>
              <w:ind w:right="310"/>
              <w:spacing w:after="0"/>
              <w:rPr>
                <w:sz w:val="20"/>
                <w:szCs w:val="20"/>
                <w:color w:val="auto"/>
              </w:rPr>
            </w:pPr>
            <w:r>
              <w:rPr>
                <w:rFonts w:ascii="Arial" w:cs="Arial" w:eastAsia="Arial" w:hAnsi="Arial"/>
                <w:sz w:val="14"/>
                <w:szCs w:val="14"/>
                <w:color w:val="0E2A35"/>
              </w:rPr>
              <w:t>12,827​</w:t>
            </w:r>
          </w:p>
        </w:tc>
        <w:tc>
          <w:tcPr>
            <w:tcW w:w="1260" w:type="dxa"/>
            <w:vAlign w:val="bottom"/>
            <w:vMerge w:val="restart"/>
          </w:tcPr>
          <w:p>
            <w:pPr>
              <w:jc w:val="right"/>
              <w:ind w:right="350"/>
              <w:spacing w:after="0"/>
              <w:rPr>
                <w:sz w:val="20"/>
                <w:szCs w:val="20"/>
                <w:color w:val="auto"/>
              </w:rPr>
            </w:pPr>
            <w:r>
              <w:rPr>
                <w:rFonts w:ascii="Arial" w:cs="Arial" w:eastAsia="Arial" w:hAnsi="Arial"/>
                <w:sz w:val="14"/>
                <w:szCs w:val="14"/>
                <w:color w:val="0E2A35"/>
              </w:rPr>
              <w:t>—​</w:t>
            </w:r>
          </w:p>
        </w:tc>
        <w:tc>
          <w:tcPr>
            <w:tcW w:w="1400" w:type="dxa"/>
            <w:vAlign w:val="bottom"/>
            <w:vMerge w:val="restart"/>
          </w:tcPr>
          <w:p>
            <w:pPr>
              <w:jc w:val="right"/>
              <w:ind w:right="270"/>
              <w:spacing w:after="0"/>
              <w:rPr>
                <w:sz w:val="20"/>
                <w:szCs w:val="20"/>
                <w:color w:val="auto"/>
              </w:rPr>
            </w:pPr>
            <w:r>
              <w:rPr>
                <w:rFonts w:ascii="Arial" w:cs="Arial" w:eastAsia="Arial" w:hAnsi="Arial"/>
                <w:sz w:val="14"/>
                <w:szCs w:val="14"/>
                <w:color w:val="0E2A35"/>
              </w:rPr>
              <w:t>43,689​</w:t>
            </w:r>
          </w:p>
        </w:tc>
        <w:tc>
          <w:tcPr>
            <w:tcW w:w="920" w:type="dxa"/>
            <w:vAlign w:val="bottom"/>
          </w:tcPr>
          <w:p>
            <w:pPr>
              <w:jc w:val="right"/>
              <w:ind w:right="21"/>
              <w:spacing w:after="0"/>
              <w:rPr>
                <w:sz w:val="20"/>
                <w:szCs w:val="20"/>
                <w:color w:val="auto"/>
              </w:rPr>
            </w:pPr>
            <w:r>
              <w:rPr>
                <w:rFonts w:ascii="Arial" w:cs="Arial" w:eastAsia="Arial" w:hAnsi="Arial"/>
                <w:sz w:val="11"/>
                <w:szCs w:val="11"/>
                <w:color w:val="0E2A35"/>
              </w:rPr>
              <w:t>(4)</w:t>
            </w:r>
          </w:p>
        </w:tc>
        <w:tc>
          <w:tcPr>
            <w:tcW w:w="0" w:type="dxa"/>
            <w:vAlign w:val="bottom"/>
          </w:tcPr>
          <w:p>
            <w:pPr>
              <w:spacing w:after="0"/>
              <w:rPr>
                <w:sz w:val="1"/>
                <w:szCs w:val="1"/>
                <w:color w:val="auto"/>
              </w:rPr>
            </w:pPr>
          </w:p>
        </w:tc>
      </w:tr>
      <w:tr>
        <w:trPr>
          <w:trHeight w:val="78"/>
        </w:trPr>
        <w:tc>
          <w:tcPr>
            <w:tcW w:w="360" w:type="dxa"/>
            <w:vAlign w:val="bottom"/>
            <w:vMerge w:val="continue"/>
          </w:tcPr>
          <w:p>
            <w:pPr>
              <w:spacing w:after="0"/>
              <w:rPr>
                <w:sz w:val="6"/>
                <w:szCs w:val="6"/>
                <w:color w:val="auto"/>
              </w:rPr>
            </w:pPr>
          </w:p>
        </w:tc>
        <w:tc>
          <w:tcPr>
            <w:tcW w:w="29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296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20" w:type="dxa"/>
            <w:vAlign w:val="bottom"/>
            <w:gridSpan w:val="2"/>
            <w:vMerge w:val="restart"/>
          </w:tcPr>
          <w:p>
            <w:pPr>
              <w:ind w:left="60"/>
              <w:spacing w:after="0"/>
              <w:rPr>
                <w:sz w:val="20"/>
                <w:szCs w:val="20"/>
                <w:color w:val="auto"/>
              </w:rPr>
            </w:pPr>
            <w:r>
              <w:rPr>
                <w:rFonts w:ascii="Arial" w:cs="Arial" w:eastAsia="Arial" w:hAnsi="Arial"/>
                <w:sz w:val="14"/>
                <w:szCs w:val="14"/>
                <w:color w:val="0E2A35"/>
              </w:rPr>
              <w:t>Christopher J. Braun</w:t>
            </w:r>
          </w:p>
        </w:tc>
        <w:tc>
          <w:tcPr>
            <w:tcW w:w="1140" w:type="dxa"/>
            <w:vAlign w:val="bottom"/>
            <w:vMerge w:val="restart"/>
          </w:tcPr>
          <w:p>
            <w:pPr>
              <w:jc w:val="right"/>
              <w:ind w:right="230"/>
              <w:spacing w:after="0"/>
              <w:rPr>
                <w:sz w:val="20"/>
                <w:szCs w:val="20"/>
                <w:color w:val="auto"/>
              </w:rPr>
            </w:pPr>
            <w:r>
              <w:rPr>
                <w:rFonts w:ascii="Arial" w:cs="Arial" w:eastAsia="Arial" w:hAnsi="Arial"/>
                <w:sz w:val="14"/>
                <w:szCs w:val="14"/>
                <w:color w:val="0E2A35"/>
              </w:rPr>
              <w:t>23,586</w:t>
            </w:r>
          </w:p>
        </w:tc>
        <w:tc>
          <w:tcPr>
            <w:tcW w:w="1240" w:type="dxa"/>
            <w:vAlign w:val="bottom"/>
            <w:vMerge w:val="restart"/>
          </w:tcPr>
          <w:p>
            <w:pPr>
              <w:jc w:val="right"/>
              <w:ind w:right="310"/>
              <w:spacing w:after="0"/>
              <w:rPr>
                <w:sz w:val="20"/>
                <w:szCs w:val="20"/>
                <w:color w:val="auto"/>
              </w:rPr>
            </w:pPr>
            <w:r>
              <w:rPr>
                <w:rFonts w:ascii="Arial" w:cs="Arial" w:eastAsia="Arial" w:hAnsi="Arial"/>
                <w:sz w:val="14"/>
                <w:szCs w:val="14"/>
                <w:color w:val="0E2A35"/>
              </w:rPr>
              <w:t>—</w:t>
            </w:r>
          </w:p>
        </w:tc>
        <w:tc>
          <w:tcPr>
            <w:tcW w:w="1260" w:type="dxa"/>
            <w:vAlign w:val="bottom"/>
            <w:vMerge w:val="restart"/>
          </w:tcPr>
          <w:p>
            <w:pPr>
              <w:jc w:val="right"/>
              <w:ind w:right="350"/>
              <w:spacing w:after="0"/>
              <w:rPr>
                <w:sz w:val="20"/>
                <w:szCs w:val="20"/>
                <w:color w:val="auto"/>
              </w:rPr>
            </w:pPr>
            <w:r>
              <w:rPr>
                <w:rFonts w:ascii="Arial" w:cs="Arial" w:eastAsia="Arial" w:hAnsi="Arial"/>
                <w:sz w:val="14"/>
                <w:szCs w:val="14"/>
                <w:color w:val="0E2A35"/>
              </w:rPr>
              <w:t>—</w:t>
            </w:r>
          </w:p>
        </w:tc>
        <w:tc>
          <w:tcPr>
            <w:tcW w:w="1400" w:type="dxa"/>
            <w:vAlign w:val="bottom"/>
            <w:vMerge w:val="restart"/>
          </w:tcPr>
          <w:p>
            <w:pPr>
              <w:jc w:val="right"/>
              <w:ind w:right="270"/>
              <w:spacing w:after="0"/>
              <w:rPr>
                <w:sz w:val="20"/>
                <w:szCs w:val="20"/>
                <w:color w:val="auto"/>
              </w:rPr>
            </w:pPr>
            <w:r>
              <w:rPr>
                <w:rFonts w:ascii="Arial" w:cs="Arial" w:eastAsia="Arial" w:hAnsi="Arial"/>
                <w:sz w:val="14"/>
                <w:szCs w:val="14"/>
                <w:color w:val="0E2A35"/>
              </w:rPr>
              <w:t>23,586</w:t>
            </w:r>
          </w:p>
        </w:tc>
        <w:tc>
          <w:tcPr>
            <w:tcW w:w="920" w:type="dxa"/>
            <w:vAlign w:val="bottom"/>
          </w:tcPr>
          <w:p>
            <w:pPr>
              <w:jc w:val="right"/>
              <w:ind w:right="21"/>
              <w:spacing w:after="0"/>
              <w:rPr>
                <w:sz w:val="20"/>
                <w:szCs w:val="20"/>
                <w:color w:val="auto"/>
              </w:rPr>
            </w:pPr>
            <w:r>
              <w:rPr>
                <w:rFonts w:ascii="Arial" w:cs="Arial" w:eastAsia="Arial" w:hAnsi="Arial"/>
                <w:sz w:val="11"/>
                <w:szCs w:val="11"/>
                <w:color w:val="0E2A35"/>
              </w:rPr>
              <w:t>(4)</w:t>
            </w:r>
          </w:p>
        </w:tc>
        <w:tc>
          <w:tcPr>
            <w:tcW w:w="0" w:type="dxa"/>
            <w:vAlign w:val="bottom"/>
          </w:tcPr>
          <w:p>
            <w:pPr>
              <w:spacing w:after="0"/>
              <w:rPr>
                <w:sz w:val="1"/>
                <w:szCs w:val="1"/>
                <w:color w:val="auto"/>
              </w:rPr>
            </w:pPr>
          </w:p>
        </w:tc>
      </w:tr>
      <w:tr>
        <w:trPr>
          <w:trHeight w:val="78"/>
        </w:trPr>
        <w:tc>
          <w:tcPr>
            <w:tcW w:w="33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20" w:type="dxa"/>
            <w:vAlign w:val="bottom"/>
            <w:tcBorders>
              <w:bottom w:val="single" w:sz="8" w:color="0E2A35"/>
            </w:tcBorders>
            <w:gridSpan w:val="2"/>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306"/>
        </w:trPr>
        <w:tc>
          <w:tcPr>
            <w:tcW w:w="3320" w:type="dxa"/>
            <w:vAlign w:val="bottom"/>
            <w:gridSpan w:val="2"/>
          </w:tcPr>
          <w:p>
            <w:pPr>
              <w:ind w:left="60"/>
              <w:spacing w:after="0"/>
              <w:rPr>
                <w:sz w:val="20"/>
                <w:szCs w:val="20"/>
                <w:color w:val="auto"/>
              </w:rPr>
            </w:pPr>
            <w:r>
              <w:rPr>
                <w:rFonts w:ascii="Arial" w:cs="Arial" w:eastAsia="Arial" w:hAnsi="Arial"/>
                <w:sz w:val="14"/>
                <w:szCs w:val="14"/>
                <w:color w:val="0E2A35"/>
              </w:rPr>
              <w:t>Kevin E. Bryant</w:t>
            </w:r>
          </w:p>
        </w:tc>
        <w:tc>
          <w:tcPr>
            <w:tcW w:w="1140" w:type="dxa"/>
            <w:vAlign w:val="bottom"/>
          </w:tcPr>
          <w:p>
            <w:pPr>
              <w:jc w:val="right"/>
              <w:ind w:right="230"/>
              <w:spacing w:after="0"/>
              <w:rPr>
                <w:sz w:val="20"/>
                <w:szCs w:val="20"/>
                <w:color w:val="auto"/>
              </w:rPr>
            </w:pPr>
            <w:r>
              <w:rPr>
                <w:rFonts w:ascii="Arial" w:cs="Arial" w:eastAsia="Arial" w:hAnsi="Arial"/>
                <w:sz w:val="14"/>
                <w:szCs w:val="14"/>
                <w:color w:val="0E2A35"/>
              </w:rPr>
              <w:t>4,451</w:t>
            </w:r>
          </w:p>
        </w:tc>
        <w:tc>
          <w:tcPr>
            <w:tcW w:w="1240" w:type="dxa"/>
            <w:vAlign w:val="bottom"/>
          </w:tcPr>
          <w:p>
            <w:pPr>
              <w:jc w:val="right"/>
              <w:ind w:right="310"/>
              <w:spacing w:after="0"/>
              <w:rPr>
                <w:sz w:val="20"/>
                <w:szCs w:val="20"/>
                <w:color w:val="auto"/>
              </w:rPr>
            </w:pPr>
            <w:r>
              <w:rPr>
                <w:rFonts w:ascii="Arial" w:cs="Arial" w:eastAsia="Arial" w:hAnsi="Arial"/>
                <w:sz w:val="14"/>
                <w:szCs w:val="14"/>
                <w:color w:val="0E2A35"/>
              </w:rPr>
              <w:t>—</w:t>
            </w:r>
          </w:p>
        </w:tc>
        <w:tc>
          <w:tcPr>
            <w:tcW w:w="1260" w:type="dxa"/>
            <w:vAlign w:val="bottom"/>
          </w:tcPr>
          <w:p>
            <w:pPr>
              <w:jc w:val="right"/>
              <w:ind w:right="350"/>
              <w:spacing w:after="0"/>
              <w:rPr>
                <w:sz w:val="20"/>
                <w:szCs w:val="20"/>
                <w:color w:val="auto"/>
              </w:rPr>
            </w:pPr>
            <w:r>
              <w:rPr>
                <w:rFonts w:ascii="Arial" w:cs="Arial" w:eastAsia="Arial" w:hAnsi="Arial"/>
                <w:sz w:val="14"/>
                <w:szCs w:val="14"/>
                <w:color w:val="0E2A35"/>
              </w:rPr>
              <w:t>—</w:t>
            </w:r>
          </w:p>
        </w:tc>
        <w:tc>
          <w:tcPr>
            <w:tcW w:w="1400" w:type="dxa"/>
            <w:vAlign w:val="bottom"/>
          </w:tcPr>
          <w:p>
            <w:pPr>
              <w:jc w:val="right"/>
              <w:ind w:right="270"/>
              <w:spacing w:after="0"/>
              <w:rPr>
                <w:sz w:val="20"/>
                <w:szCs w:val="20"/>
                <w:color w:val="auto"/>
              </w:rPr>
            </w:pPr>
            <w:r>
              <w:rPr>
                <w:rFonts w:ascii="Arial" w:cs="Arial" w:eastAsia="Arial" w:hAnsi="Arial"/>
                <w:sz w:val="14"/>
                <w:szCs w:val="14"/>
                <w:color w:val="0E2A35"/>
              </w:rPr>
              <w:t>4,451</w:t>
            </w:r>
          </w:p>
        </w:tc>
        <w:tc>
          <w:tcPr>
            <w:tcW w:w="920" w:type="dxa"/>
            <w:vAlign w:val="bottom"/>
          </w:tcPr>
          <w:p>
            <w:pPr>
              <w:jc w:val="right"/>
              <w:ind w:right="21"/>
              <w:spacing w:after="0"/>
              <w:rPr>
                <w:sz w:val="20"/>
                <w:szCs w:val="20"/>
                <w:color w:val="auto"/>
              </w:rPr>
            </w:pPr>
            <w:r>
              <w:rPr>
                <w:rFonts w:ascii="Arial" w:cs="Arial" w:eastAsia="Arial" w:hAnsi="Arial"/>
                <w:sz w:val="12"/>
                <w:szCs w:val="12"/>
                <w:color w:val="0E2A35"/>
              </w:rPr>
              <w:t>(4)</w:t>
            </w:r>
          </w:p>
        </w:tc>
        <w:tc>
          <w:tcPr>
            <w:tcW w:w="0" w:type="dxa"/>
            <w:vAlign w:val="bottom"/>
          </w:tcPr>
          <w:p>
            <w:pPr>
              <w:spacing w:after="0"/>
              <w:rPr>
                <w:sz w:val="1"/>
                <w:szCs w:val="1"/>
                <w:color w:val="auto"/>
              </w:rPr>
            </w:pPr>
          </w:p>
        </w:tc>
      </w:tr>
      <w:tr>
        <w:trPr>
          <w:trHeight w:val="93"/>
        </w:trPr>
        <w:tc>
          <w:tcPr>
            <w:tcW w:w="3320" w:type="dxa"/>
            <w:vAlign w:val="bottom"/>
            <w:tcBorders>
              <w:bottom w:val="single" w:sz="8" w:color="0E2A35"/>
            </w:tcBorders>
            <w:gridSpan w:val="2"/>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320" w:type="dxa"/>
            <w:vAlign w:val="bottom"/>
            <w:gridSpan w:val="2"/>
          </w:tcPr>
          <w:p>
            <w:pPr>
              <w:ind w:left="60"/>
              <w:spacing w:after="0"/>
              <w:rPr>
                <w:sz w:val="20"/>
                <w:szCs w:val="20"/>
                <w:color w:val="auto"/>
              </w:rPr>
            </w:pPr>
            <w:r>
              <w:rPr>
                <w:rFonts w:ascii="Arial" w:cs="Arial" w:eastAsia="Arial" w:hAnsi="Arial"/>
                <w:sz w:val="14"/>
                <w:szCs w:val="14"/>
                <w:color w:val="0E2A35"/>
              </w:rPr>
              <w:t>Donald J. Clark</w:t>
            </w:r>
          </w:p>
        </w:tc>
        <w:tc>
          <w:tcPr>
            <w:tcW w:w="1140" w:type="dxa"/>
            <w:vAlign w:val="bottom"/>
          </w:tcPr>
          <w:p>
            <w:pPr>
              <w:jc w:val="right"/>
              <w:ind w:right="230"/>
              <w:spacing w:after="0"/>
              <w:rPr>
                <w:sz w:val="20"/>
                <w:szCs w:val="20"/>
                <w:color w:val="auto"/>
              </w:rPr>
            </w:pPr>
            <w:r>
              <w:rPr>
                <w:rFonts w:ascii="Arial" w:cs="Arial" w:eastAsia="Arial" w:hAnsi="Arial"/>
                <w:sz w:val="14"/>
                <w:szCs w:val="14"/>
                <w:color w:val="0E2A35"/>
              </w:rPr>
              <w:t>​427,951</w:t>
            </w:r>
          </w:p>
        </w:tc>
        <w:tc>
          <w:tcPr>
            <w:tcW w:w="1240" w:type="dxa"/>
            <w:vAlign w:val="bottom"/>
          </w:tcPr>
          <w:p>
            <w:pPr>
              <w:jc w:val="right"/>
              <w:ind w:right="310"/>
              <w:spacing w:after="0"/>
              <w:rPr>
                <w:sz w:val="20"/>
                <w:szCs w:val="20"/>
                <w:color w:val="auto"/>
              </w:rPr>
            </w:pPr>
            <w:r>
              <w:rPr>
                <w:rFonts w:ascii="Arial" w:cs="Arial" w:eastAsia="Arial" w:hAnsi="Arial"/>
                <w:sz w:val="14"/>
                <w:szCs w:val="14"/>
                <w:color w:val="0E2A35"/>
              </w:rPr>
              <w:t>—​</w:t>
            </w:r>
          </w:p>
        </w:tc>
        <w:tc>
          <w:tcPr>
            <w:tcW w:w="1260" w:type="dxa"/>
            <w:vAlign w:val="bottom"/>
          </w:tcPr>
          <w:p>
            <w:pPr>
              <w:jc w:val="right"/>
              <w:ind w:right="350"/>
              <w:spacing w:after="0"/>
              <w:rPr>
                <w:sz w:val="20"/>
                <w:szCs w:val="20"/>
                <w:color w:val="auto"/>
              </w:rPr>
            </w:pPr>
            <w:r>
              <w:rPr>
                <w:rFonts w:ascii="Arial" w:cs="Arial" w:eastAsia="Arial" w:hAnsi="Arial"/>
                <w:sz w:val="14"/>
                <w:szCs w:val="14"/>
                <w:color w:val="0E2A35"/>
              </w:rPr>
              <w:t>—​</w:t>
            </w:r>
          </w:p>
        </w:tc>
        <w:tc>
          <w:tcPr>
            <w:tcW w:w="1400" w:type="dxa"/>
            <w:vAlign w:val="bottom"/>
          </w:tcPr>
          <w:p>
            <w:pPr>
              <w:jc w:val="right"/>
              <w:ind w:right="270"/>
              <w:spacing w:after="0"/>
              <w:rPr>
                <w:sz w:val="20"/>
                <w:szCs w:val="20"/>
                <w:color w:val="auto"/>
              </w:rPr>
            </w:pPr>
            <w:r>
              <w:rPr>
                <w:rFonts w:ascii="Arial" w:cs="Arial" w:eastAsia="Arial" w:hAnsi="Arial"/>
                <w:sz w:val="14"/>
                <w:szCs w:val="14"/>
                <w:color w:val="0E2A35"/>
              </w:rPr>
              <w:t>427,951​</w:t>
            </w:r>
          </w:p>
        </w:tc>
        <w:tc>
          <w:tcPr>
            <w:tcW w:w="920" w:type="dxa"/>
            <w:vAlign w:val="bottom"/>
          </w:tcPr>
          <w:p>
            <w:pPr>
              <w:jc w:val="right"/>
              <w:ind w:right="1"/>
              <w:spacing w:after="0"/>
              <w:rPr>
                <w:sz w:val="20"/>
                <w:szCs w:val="20"/>
                <w:color w:val="auto"/>
              </w:rPr>
            </w:pPr>
            <w:r>
              <w:rPr>
                <w:rFonts w:ascii="Arial" w:cs="Arial" w:eastAsia="Arial" w:hAnsi="Arial"/>
                <w:sz w:val="14"/>
                <w:szCs w:val="14"/>
                <w:color w:val="0E2A35"/>
              </w:rPr>
              <w:t>1​.43%</w:t>
            </w: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296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20" w:type="dxa"/>
            <w:vAlign w:val="bottom"/>
            <w:gridSpan w:val="2"/>
            <w:vMerge w:val="restart"/>
          </w:tcPr>
          <w:p>
            <w:pPr>
              <w:ind w:left="60"/>
              <w:spacing w:after="0"/>
              <w:rPr>
                <w:sz w:val="20"/>
                <w:szCs w:val="20"/>
                <w:color w:val="auto"/>
              </w:rPr>
            </w:pPr>
            <w:r>
              <w:rPr>
                <w:rFonts w:ascii="Arial" w:cs="Arial" w:eastAsia="Arial" w:hAnsi="Arial"/>
                <w:sz w:val="14"/>
                <w:szCs w:val="14"/>
                <w:color w:val="0E2A35"/>
              </w:rPr>
              <w:t>William C. Fisher</w:t>
            </w:r>
          </w:p>
        </w:tc>
        <w:tc>
          <w:tcPr>
            <w:tcW w:w="1140" w:type="dxa"/>
            <w:vAlign w:val="bottom"/>
            <w:vMerge w:val="restart"/>
          </w:tcPr>
          <w:p>
            <w:pPr>
              <w:jc w:val="right"/>
              <w:ind w:right="230"/>
              <w:spacing w:after="0"/>
              <w:rPr>
                <w:sz w:val="20"/>
                <w:szCs w:val="20"/>
                <w:color w:val="auto"/>
              </w:rPr>
            </w:pPr>
            <w:r>
              <w:rPr>
                <w:rFonts w:ascii="Arial" w:cs="Arial" w:eastAsia="Arial" w:hAnsi="Arial"/>
                <w:sz w:val="14"/>
                <w:szCs w:val="14"/>
                <w:color w:val="0E2A35"/>
              </w:rPr>
              <w:t>26,655</w:t>
            </w:r>
          </w:p>
        </w:tc>
        <w:tc>
          <w:tcPr>
            <w:tcW w:w="1240" w:type="dxa"/>
            <w:vAlign w:val="bottom"/>
            <w:vMerge w:val="restart"/>
          </w:tcPr>
          <w:p>
            <w:pPr>
              <w:jc w:val="right"/>
              <w:ind w:right="310"/>
              <w:spacing w:after="0"/>
              <w:rPr>
                <w:sz w:val="20"/>
                <w:szCs w:val="20"/>
                <w:color w:val="auto"/>
              </w:rPr>
            </w:pPr>
            <w:r>
              <w:rPr>
                <w:rFonts w:ascii="Arial" w:cs="Arial" w:eastAsia="Arial" w:hAnsi="Arial"/>
                <w:sz w:val="14"/>
                <w:szCs w:val="14"/>
                <w:color w:val="0E2A35"/>
              </w:rPr>
              <w:t>—</w:t>
            </w:r>
          </w:p>
        </w:tc>
        <w:tc>
          <w:tcPr>
            <w:tcW w:w="1260" w:type="dxa"/>
            <w:vAlign w:val="bottom"/>
            <w:vMerge w:val="restart"/>
          </w:tcPr>
          <w:p>
            <w:pPr>
              <w:jc w:val="right"/>
              <w:ind w:right="350"/>
              <w:spacing w:after="0"/>
              <w:rPr>
                <w:sz w:val="20"/>
                <w:szCs w:val="20"/>
                <w:color w:val="auto"/>
              </w:rPr>
            </w:pPr>
            <w:r>
              <w:rPr>
                <w:rFonts w:ascii="Arial" w:cs="Arial" w:eastAsia="Arial" w:hAnsi="Arial"/>
                <w:sz w:val="14"/>
                <w:szCs w:val="14"/>
                <w:color w:val="0E2A35"/>
              </w:rPr>
              <w:t>6,835</w:t>
            </w:r>
          </w:p>
        </w:tc>
        <w:tc>
          <w:tcPr>
            <w:tcW w:w="1400" w:type="dxa"/>
            <w:vAlign w:val="bottom"/>
            <w:vMerge w:val="restart"/>
          </w:tcPr>
          <w:p>
            <w:pPr>
              <w:jc w:val="right"/>
              <w:ind w:right="270"/>
              <w:spacing w:after="0"/>
              <w:rPr>
                <w:sz w:val="20"/>
                <w:szCs w:val="20"/>
                <w:color w:val="auto"/>
              </w:rPr>
            </w:pPr>
            <w:r>
              <w:rPr>
                <w:rFonts w:ascii="Arial" w:cs="Arial" w:eastAsia="Arial" w:hAnsi="Arial"/>
                <w:sz w:val="14"/>
                <w:szCs w:val="14"/>
                <w:color w:val="0E2A35"/>
              </w:rPr>
              <w:t>33,490</w:t>
            </w:r>
          </w:p>
        </w:tc>
        <w:tc>
          <w:tcPr>
            <w:tcW w:w="920" w:type="dxa"/>
            <w:vAlign w:val="bottom"/>
          </w:tcPr>
          <w:p>
            <w:pPr>
              <w:jc w:val="right"/>
              <w:ind w:right="21"/>
              <w:spacing w:after="0"/>
              <w:rPr>
                <w:sz w:val="20"/>
                <w:szCs w:val="20"/>
                <w:color w:val="auto"/>
              </w:rPr>
            </w:pPr>
            <w:r>
              <w:rPr>
                <w:rFonts w:ascii="Arial" w:cs="Arial" w:eastAsia="Arial" w:hAnsi="Arial"/>
                <w:sz w:val="11"/>
                <w:szCs w:val="11"/>
                <w:color w:val="0E2A35"/>
              </w:rPr>
              <w:t>(4)</w:t>
            </w:r>
          </w:p>
        </w:tc>
        <w:tc>
          <w:tcPr>
            <w:tcW w:w="0" w:type="dxa"/>
            <w:vAlign w:val="bottom"/>
          </w:tcPr>
          <w:p>
            <w:pPr>
              <w:spacing w:after="0"/>
              <w:rPr>
                <w:sz w:val="1"/>
                <w:szCs w:val="1"/>
                <w:color w:val="auto"/>
              </w:rPr>
            </w:pPr>
          </w:p>
        </w:tc>
      </w:tr>
      <w:tr>
        <w:trPr>
          <w:trHeight w:val="78"/>
        </w:trPr>
        <w:tc>
          <w:tcPr>
            <w:tcW w:w="33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20" w:type="dxa"/>
            <w:vAlign w:val="bottom"/>
            <w:tcBorders>
              <w:bottom w:val="single" w:sz="8" w:color="0E2A35"/>
            </w:tcBorders>
            <w:gridSpan w:val="2"/>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3320" w:type="dxa"/>
            <w:vAlign w:val="bottom"/>
            <w:gridSpan w:val="2"/>
          </w:tcPr>
          <w:p>
            <w:pPr>
              <w:ind w:left="60"/>
              <w:spacing w:after="0"/>
              <w:rPr>
                <w:sz w:val="20"/>
                <w:szCs w:val="20"/>
                <w:color w:val="auto"/>
              </w:rPr>
            </w:pPr>
            <w:r>
              <w:rPr>
                <w:rFonts w:ascii="Arial" w:cs="Arial" w:eastAsia="Arial" w:hAnsi="Arial"/>
                <w:sz w:val="14"/>
                <w:szCs w:val="14"/>
                <w:color w:val="0E2A35"/>
              </w:rPr>
              <w:t>Michael J. Happe</w:t>
            </w:r>
          </w:p>
        </w:tc>
        <w:tc>
          <w:tcPr>
            <w:tcW w:w="1140" w:type="dxa"/>
            <w:vAlign w:val="bottom"/>
          </w:tcPr>
          <w:p>
            <w:pPr>
              <w:jc w:val="right"/>
              <w:ind w:right="230"/>
              <w:spacing w:after="0"/>
              <w:rPr>
                <w:sz w:val="20"/>
                <w:szCs w:val="20"/>
                <w:color w:val="auto"/>
              </w:rPr>
            </w:pPr>
            <w:r>
              <w:rPr>
                <w:rFonts w:ascii="Arial" w:cs="Arial" w:eastAsia="Arial" w:hAnsi="Arial"/>
                <w:sz w:val="14"/>
                <w:szCs w:val="14"/>
                <w:color w:val="0E2A35"/>
              </w:rPr>
              <w:t>​190,833</w:t>
            </w:r>
          </w:p>
        </w:tc>
        <w:tc>
          <w:tcPr>
            <w:tcW w:w="1240" w:type="dxa"/>
            <w:vAlign w:val="bottom"/>
          </w:tcPr>
          <w:p>
            <w:pPr>
              <w:jc w:val="right"/>
              <w:ind w:right="310"/>
              <w:spacing w:after="0"/>
              <w:rPr>
                <w:sz w:val="20"/>
                <w:szCs w:val="20"/>
                <w:color w:val="auto"/>
              </w:rPr>
            </w:pPr>
            <w:r>
              <w:rPr>
                <w:rFonts w:ascii="Arial" w:cs="Arial" w:eastAsia="Arial" w:hAnsi="Arial"/>
                <w:sz w:val="14"/>
                <w:szCs w:val="14"/>
                <w:color w:val="0E2A35"/>
              </w:rPr>
              <w:t>188,444​</w:t>
            </w:r>
          </w:p>
        </w:tc>
        <w:tc>
          <w:tcPr>
            <w:tcW w:w="1260" w:type="dxa"/>
            <w:vAlign w:val="bottom"/>
          </w:tcPr>
          <w:p>
            <w:pPr>
              <w:jc w:val="right"/>
              <w:ind w:right="350"/>
              <w:spacing w:after="0"/>
              <w:rPr>
                <w:sz w:val="20"/>
                <w:szCs w:val="20"/>
                <w:color w:val="auto"/>
              </w:rPr>
            </w:pPr>
            <w:r>
              <w:rPr>
                <w:rFonts w:ascii="Arial" w:cs="Arial" w:eastAsia="Arial" w:hAnsi="Arial"/>
                <w:sz w:val="14"/>
                <w:szCs w:val="14"/>
                <w:color w:val="0E2A35"/>
              </w:rPr>
              <w:t>—​</w:t>
            </w:r>
          </w:p>
        </w:tc>
        <w:tc>
          <w:tcPr>
            <w:tcW w:w="1400" w:type="dxa"/>
            <w:vAlign w:val="bottom"/>
          </w:tcPr>
          <w:p>
            <w:pPr>
              <w:jc w:val="right"/>
              <w:ind w:right="270"/>
              <w:spacing w:after="0"/>
              <w:rPr>
                <w:sz w:val="20"/>
                <w:szCs w:val="20"/>
                <w:color w:val="auto"/>
              </w:rPr>
            </w:pPr>
            <w:r>
              <w:rPr>
                <w:rFonts w:ascii="Arial" w:cs="Arial" w:eastAsia="Arial" w:hAnsi="Arial"/>
                <w:sz w:val="14"/>
                <w:szCs w:val="14"/>
                <w:color w:val="0E2A35"/>
              </w:rPr>
              <w:t>379,277​</w:t>
            </w:r>
          </w:p>
        </w:tc>
        <w:tc>
          <w:tcPr>
            <w:tcW w:w="920" w:type="dxa"/>
            <w:vAlign w:val="bottom"/>
          </w:tcPr>
          <w:p>
            <w:pPr>
              <w:jc w:val="right"/>
              <w:ind w:right="1"/>
              <w:spacing w:after="0"/>
              <w:rPr>
                <w:sz w:val="20"/>
                <w:szCs w:val="20"/>
                <w:color w:val="auto"/>
              </w:rPr>
            </w:pPr>
            <w:r>
              <w:rPr>
                <w:rFonts w:ascii="Arial" w:cs="Arial" w:eastAsia="Arial" w:hAnsi="Arial"/>
                <w:sz w:val="14"/>
                <w:szCs w:val="14"/>
                <w:color w:val="0E2A35"/>
              </w:rPr>
              <w:t>1​.26%</w:t>
            </w: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296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20" w:type="dxa"/>
            <w:vAlign w:val="bottom"/>
            <w:gridSpan w:val="2"/>
            <w:vMerge w:val="restart"/>
          </w:tcPr>
          <w:p>
            <w:pPr>
              <w:ind w:left="60"/>
              <w:spacing w:after="0"/>
              <w:rPr>
                <w:sz w:val="20"/>
                <w:szCs w:val="20"/>
                <w:color w:val="auto"/>
              </w:rPr>
            </w:pPr>
            <w:r>
              <w:rPr>
                <w:rFonts w:ascii="Arial" w:cs="Arial" w:eastAsia="Arial" w:hAnsi="Arial"/>
                <w:sz w:val="14"/>
                <w:szCs w:val="14"/>
                <w:color w:val="0E2A35"/>
              </w:rPr>
              <w:t>Bryan L. Hughes</w:t>
            </w:r>
          </w:p>
        </w:tc>
        <w:tc>
          <w:tcPr>
            <w:tcW w:w="1140" w:type="dxa"/>
            <w:vAlign w:val="bottom"/>
            <w:vMerge w:val="restart"/>
          </w:tcPr>
          <w:p>
            <w:pPr>
              <w:jc w:val="right"/>
              <w:ind w:right="230"/>
              <w:spacing w:after="0"/>
              <w:rPr>
                <w:sz w:val="20"/>
                <w:szCs w:val="20"/>
                <w:color w:val="auto"/>
              </w:rPr>
            </w:pPr>
            <w:r>
              <w:rPr>
                <w:rFonts w:ascii="Arial" w:cs="Arial" w:eastAsia="Arial" w:hAnsi="Arial"/>
                <w:sz w:val="14"/>
                <w:szCs w:val="14"/>
                <w:color w:val="0E2A35"/>
              </w:rPr>
              <w:t>​52,013</w:t>
            </w:r>
          </w:p>
        </w:tc>
        <w:tc>
          <w:tcPr>
            <w:tcW w:w="1240" w:type="dxa"/>
            <w:vAlign w:val="bottom"/>
            <w:vMerge w:val="restart"/>
          </w:tcPr>
          <w:p>
            <w:pPr>
              <w:jc w:val="right"/>
              <w:ind w:right="310"/>
              <w:spacing w:after="0"/>
              <w:rPr>
                <w:sz w:val="20"/>
                <w:szCs w:val="20"/>
                <w:color w:val="auto"/>
              </w:rPr>
            </w:pPr>
            <w:r>
              <w:rPr>
                <w:rFonts w:ascii="Arial" w:cs="Arial" w:eastAsia="Arial" w:hAnsi="Arial"/>
                <w:sz w:val="14"/>
                <w:szCs w:val="14"/>
                <w:color w:val="0E2A35"/>
              </w:rPr>
              <w:t>34,361​</w:t>
            </w:r>
          </w:p>
        </w:tc>
        <w:tc>
          <w:tcPr>
            <w:tcW w:w="1260" w:type="dxa"/>
            <w:vAlign w:val="bottom"/>
            <w:vMerge w:val="restart"/>
          </w:tcPr>
          <w:p>
            <w:pPr>
              <w:jc w:val="right"/>
              <w:ind w:right="350"/>
              <w:spacing w:after="0"/>
              <w:rPr>
                <w:sz w:val="20"/>
                <w:szCs w:val="20"/>
                <w:color w:val="auto"/>
              </w:rPr>
            </w:pPr>
            <w:r>
              <w:rPr>
                <w:rFonts w:ascii="Arial" w:cs="Arial" w:eastAsia="Arial" w:hAnsi="Arial"/>
                <w:sz w:val="14"/>
                <w:szCs w:val="14"/>
                <w:color w:val="0E2A35"/>
              </w:rPr>
              <w:t>—​</w:t>
            </w:r>
          </w:p>
        </w:tc>
        <w:tc>
          <w:tcPr>
            <w:tcW w:w="1400" w:type="dxa"/>
            <w:vAlign w:val="bottom"/>
            <w:vMerge w:val="restart"/>
          </w:tcPr>
          <w:p>
            <w:pPr>
              <w:jc w:val="right"/>
              <w:ind w:right="270"/>
              <w:spacing w:after="0"/>
              <w:rPr>
                <w:sz w:val="20"/>
                <w:szCs w:val="20"/>
                <w:color w:val="auto"/>
              </w:rPr>
            </w:pPr>
            <w:r>
              <w:rPr>
                <w:rFonts w:ascii="Arial" w:cs="Arial" w:eastAsia="Arial" w:hAnsi="Arial"/>
                <w:sz w:val="14"/>
                <w:szCs w:val="14"/>
                <w:color w:val="0E2A35"/>
              </w:rPr>
              <w:t>​  86,374</w:t>
            </w:r>
          </w:p>
        </w:tc>
        <w:tc>
          <w:tcPr>
            <w:tcW w:w="920" w:type="dxa"/>
            <w:vAlign w:val="bottom"/>
          </w:tcPr>
          <w:p>
            <w:pPr>
              <w:jc w:val="right"/>
              <w:ind w:right="21"/>
              <w:spacing w:after="0"/>
              <w:rPr>
                <w:sz w:val="20"/>
                <w:szCs w:val="20"/>
                <w:color w:val="auto"/>
              </w:rPr>
            </w:pPr>
            <w:r>
              <w:rPr>
                <w:rFonts w:ascii="Arial" w:cs="Arial" w:eastAsia="Arial" w:hAnsi="Arial"/>
                <w:sz w:val="11"/>
                <w:szCs w:val="11"/>
                <w:color w:val="0E2A35"/>
              </w:rPr>
              <w:t>(4)</w:t>
            </w:r>
          </w:p>
        </w:tc>
        <w:tc>
          <w:tcPr>
            <w:tcW w:w="0" w:type="dxa"/>
            <w:vAlign w:val="bottom"/>
          </w:tcPr>
          <w:p>
            <w:pPr>
              <w:spacing w:after="0"/>
              <w:rPr>
                <w:sz w:val="1"/>
                <w:szCs w:val="1"/>
                <w:color w:val="auto"/>
              </w:rPr>
            </w:pPr>
          </w:p>
        </w:tc>
      </w:tr>
      <w:tr>
        <w:trPr>
          <w:trHeight w:val="78"/>
        </w:trPr>
        <w:tc>
          <w:tcPr>
            <w:tcW w:w="33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296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20" w:type="dxa"/>
            <w:vAlign w:val="bottom"/>
            <w:gridSpan w:val="2"/>
            <w:vMerge w:val="restart"/>
          </w:tcPr>
          <w:p>
            <w:pPr>
              <w:ind w:left="60"/>
              <w:spacing w:after="0"/>
              <w:rPr>
                <w:sz w:val="20"/>
                <w:szCs w:val="20"/>
                <w:color w:val="auto"/>
              </w:rPr>
            </w:pPr>
            <w:r>
              <w:rPr>
                <w:rFonts w:ascii="Arial" w:cs="Arial" w:eastAsia="Arial" w:hAnsi="Arial"/>
                <w:sz w:val="14"/>
                <w:szCs w:val="14"/>
                <w:color w:val="0E2A35"/>
              </w:rPr>
              <w:t>Staci L. Kroon</w:t>
            </w:r>
          </w:p>
        </w:tc>
        <w:tc>
          <w:tcPr>
            <w:tcW w:w="1140" w:type="dxa"/>
            <w:vAlign w:val="bottom"/>
            <w:vMerge w:val="restart"/>
          </w:tcPr>
          <w:p>
            <w:pPr>
              <w:jc w:val="right"/>
              <w:ind w:right="230"/>
              <w:spacing w:after="0"/>
              <w:rPr>
                <w:sz w:val="20"/>
                <w:szCs w:val="20"/>
                <w:color w:val="auto"/>
              </w:rPr>
            </w:pPr>
            <w:r>
              <w:rPr>
                <w:rFonts w:ascii="Arial" w:cs="Arial" w:eastAsia="Arial" w:hAnsi="Arial"/>
                <w:sz w:val="14"/>
                <w:szCs w:val="14"/>
                <w:color w:val="0E2A35"/>
              </w:rPr>
              <w:t>—</w:t>
            </w:r>
          </w:p>
        </w:tc>
        <w:tc>
          <w:tcPr>
            <w:tcW w:w="1240" w:type="dxa"/>
            <w:vAlign w:val="bottom"/>
            <w:vMerge w:val="restart"/>
          </w:tcPr>
          <w:p>
            <w:pPr>
              <w:jc w:val="right"/>
              <w:ind w:right="310"/>
              <w:spacing w:after="0"/>
              <w:rPr>
                <w:sz w:val="20"/>
                <w:szCs w:val="20"/>
                <w:color w:val="auto"/>
              </w:rPr>
            </w:pPr>
            <w:r>
              <w:rPr>
                <w:rFonts w:ascii="Arial" w:cs="Arial" w:eastAsia="Arial" w:hAnsi="Arial"/>
                <w:sz w:val="14"/>
                <w:szCs w:val="14"/>
                <w:color w:val="0E2A35"/>
              </w:rPr>
              <w:t>—</w:t>
            </w:r>
          </w:p>
        </w:tc>
        <w:tc>
          <w:tcPr>
            <w:tcW w:w="1260" w:type="dxa"/>
            <w:vAlign w:val="bottom"/>
            <w:vMerge w:val="restart"/>
          </w:tcPr>
          <w:p>
            <w:pPr>
              <w:jc w:val="right"/>
              <w:ind w:right="350"/>
              <w:spacing w:after="0"/>
              <w:rPr>
                <w:sz w:val="20"/>
                <w:szCs w:val="20"/>
                <w:color w:val="auto"/>
              </w:rPr>
            </w:pPr>
            <w:r>
              <w:rPr>
                <w:rFonts w:ascii="Arial" w:cs="Arial" w:eastAsia="Arial" w:hAnsi="Arial"/>
                <w:sz w:val="14"/>
                <w:szCs w:val="14"/>
                <w:color w:val="0E2A35"/>
              </w:rPr>
              <w:t>—</w:t>
            </w:r>
          </w:p>
        </w:tc>
        <w:tc>
          <w:tcPr>
            <w:tcW w:w="1400" w:type="dxa"/>
            <w:vAlign w:val="bottom"/>
            <w:vMerge w:val="restart"/>
          </w:tcPr>
          <w:p>
            <w:pPr>
              <w:jc w:val="right"/>
              <w:ind w:right="270"/>
              <w:spacing w:after="0"/>
              <w:rPr>
                <w:sz w:val="20"/>
                <w:szCs w:val="20"/>
                <w:color w:val="auto"/>
              </w:rPr>
            </w:pPr>
            <w:r>
              <w:rPr>
                <w:rFonts w:ascii="Arial" w:cs="Arial" w:eastAsia="Arial" w:hAnsi="Arial"/>
                <w:sz w:val="14"/>
                <w:szCs w:val="14"/>
                <w:color w:val="0E2A35"/>
              </w:rPr>
              <w:t>—</w:t>
            </w:r>
          </w:p>
        </w:tc>
        <w:tc>
          <w:tcPr>
            <w:tcW w:w="920" w:type="dxa"/>
            <w:vAlign w:val="bottom"/>
          </w:tcPr>
          <w:p>
            <w:pPr>
              <w:jc w:val="right"/>
              <w:ind w:right="21"/>
              <w:spacing w:after="0"/>
              <w:rPr>
                <w:sz w:val="20"/>
                <w:szCs w:val="20"/>
                <w:color w:val="auto"/>
              </w:rPr>
            </w:pPr>
            <w:r>
              <w:rPr>
                <w:rFonts w:ascii="Arial" w:cs="Arial" w:eastAsia="Arial" w:hAnsi="Arial"/>
                <w:sz w:val="11"/>
                <w:szCs w:val="11"/>
                <w:color w:val="0E2A35"/>
              </w:rPr>
              <w:t>(4)</w:t>
            </w:r>
          </w:p>
        </w:tc>
        <w:tc>
          <w:tcPr>
            <w:tcW w:w="0" w:type="dxa"/>
            <w:vAlign w:val="bottom"/>
          </w:tcPr>
          <w:p>
            <w:pPr>
              <w:spacing w:after="0"/>
              <w:rPr>
                <w:sz w:val="1"/>
                <w:szCs w:val="1"/>
                <w:color w:val="auto"/>
              </w:rPr>
            </w:pPr>
          </w:p>
        </w:tc>
      </w:tr>
      <w:tr>
        <w:trPr>
          <w:trHeight w:val="78"/>
        </w:trPr>
        <w:tc>
          <w:tcPr>
            <w:tcW w:w="33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296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20" w:type="dxa"/>
            <w:vAlign w:val="bottom"/>
            <w:gridSpan w:val="2"/>
            <w:vMerge w:val="restart"/>
          </w:tcPr>
          <w:p>
            <w:pPr>
              <w:ind w:left="60"/>
              <w:spacing w:after="0"/>
              <w:rPr>
                <w:sz w:val="20"/>
                <w:szCs w:val="20"/>
                <w:color w:val="auto"/>
              </w:rPr>
            </w:pPr>
            <w:r>
              <w:rPr>
                <w:rFonts w:ascii="Arial" w:cs="Arial" w:eastAsia="Arial" w:hAnsi="Arial"/>
                <w:sz w:val="14"/>
                <w:szCs w:val="14"/>
                <w:color w:val="0E2A35"/>
              </w:rPr>
              <w:t>David W. Miles</w:t>
            </w:r>
          </w:p>
        </w:tc>
        <w:tc>
          <w:tcPr>
            <w:tcW w:w="1140" w:type="dxa"/>
            <w:vAlign w:val="bottom"/>
            <w:vMerge w:val="restart"/>
          </w:tcPr>
          <w:p>
            <w:pPr>
              <w:jc w:val="right"/>
              <w:ind w:right="230"/>
              <w:spacing w:after="0"/>
              <w:rPr>
                <w:sz w:val="20"/>
                <w:szCs w:val="20"/>
                <w:color w:val="auto"/>
              </w:rPr>
            </w:pPr>
            <w:r>
              <w:rPr>
                <w:rFonts w:ascii="Arial" w:cs="Arial" w:eastAsia="Arial" w:hAnsi="Arial"/>
                <w:sz w:val="14"/>
                <w:szCs w:val="14"/>
                <w:color w:val="0E2A35"/>
              </w:rPr>
              <w:t>18,586</w:t>
            </w:r>
          </w:p>
        </w:tc>
        <w:tc>
          <w:tcPr>
            <w:tcW w:w="1240" w:type="dxa"/>
            <w:vAlign w:val="bottom"/>
            <w:vMerge w:val="restart"/>
          </w:tcPr>
          <w:p>
            <w:pPr>
              <w:jc w:val="right"/>
              <w:ind w:right="310"/>
              <w:spacing w:after="0"/>
              <w:rPr>
                <w:sz w:val="20"/>
                <w:szCs w:val="20"/>
                <w:color w:val="auto"/>
              </w:rPr>
            </w:pPr>
            <w:r>
              <w:rPr>
                <w:rFonts w:ascii="Arial" w:cs="Arial" w:eastAsia="Arial" w:hAnsi="Arial"/>
                <w:sz w:val="14"/>
                <w:szCs w:val="14"/>
                <w:color w:val="0E2A35"/>
              </w:rPr>
              <w:t>—</w:t>
            </w:r>
          </w:p>
        </w:tc>
        <w:tc>
          <w:tcPr>
            <w:tcW w:w="1260" w:type="dxa"/>
            <w:vAlign w:val="bottom"/>
            <w:vMerge w:val="restart"/>
          </w:tcPr>
          <w:p>
            <w:pPr>
              <w:jc w:val="right"/>
              <w:ind w:right="350"/>
              <w:spacing w:after="0"/>
              <w:rPr>
                <w:sz w:val="20"/>
                <w:szCs w:val="20"/>
                <w:color w:val="auto"/>
              </w:rPr>
            </w:pPr>
            <w:r>
              <w:rPr>
                <w:rFonts w:ascii="Arial" w:cs="Arial" w:eastAsia="Arial" w:hAnsi="Arial"/>
                <w:sz w:val="14"/>
                <w:szCs w:val="14"/>
                <w:color w:val="0E2A35"/>
              </w:rPr>
              <w:t>7,663​</w:t>
            </w:r>
          </w:p>
        </w:tc>
        <w:tc>
          <w:tcPr>
            <w:tcW w:w="1400" w:type="dxa"/>
            <w:vAlign w:val="bottom"/>
            <w:vMerge w:val="restart"/>
          </w:tcPr>
          <w:p>
            <w:pPr>
              <w:jc w:val="right"/>
              <w:ind w:right="270"/>
              <w:spacing w:after="0"/>
              <w:rPr>
                <w:sz w:val="20"/>
                <w:szCs w:val="20"/>
                <w:color w:val="auto"/>
              </w:rPr>
            </w:pPr>
            <w:r>
              <w:rPr>
                <w:rFonts w:ascii="Arial" w:cs="Arial" w:eastAsia="Arial" w:hAnsi="Arial"/>
                <w:sz w:val="14"/>
                <w:szCs w:val="14"/>
                <w:color w:val="0E2A35"/>
              </w:rPr>
              <w:t>26,249​</w:t>
            </w:r>
          </w:p>
        </w:tc>
        <w:tc>
          <w:tcPr>
            <w:tcW w:w="920" w:type="dxa"/>
            <w:vAlign w:val="bottom"/>
          </w:tcPr>
          <w:p>
            <w:pPr>
              <w:jc w:val="right"/>
              <w:ind w:right="21"/>
              <w:spacing w:after="0"/>
              <w:rPr>
                <w:sz w:val="20"/>
                <w:szCs w:val="20"/>
                <w:color w:val="auto"/>
              </w:rPr>
            </w:pPr>
            <w:r>
              <w:rPr>
                <w:rFonts w:ascii="Arial" w:cs="Arial" w:eastAsia="Arial" w:hAnsi="Arial"/>
                <w:sz w:val="11"/>
                <w:szCs w:val="11"/>
                <w:color w:val="0E2A35"/>
              </w:rPr>
              <w:t>(4)</w:t>
            </w:r>
          </w:p>
        </w:tc>
        <w:tc>
          <w:tcPr>
            <w:tcW w:w="0" w:type="dxa"/>
            <w:vAlign w:val="bottom"/>
          </w:tcPr>
          <w:p>
            <w:pPr>
              <w:spacing w:after="0"/>
              <w:rPr>
                <w:sz w:val="1"/>
                <w:szCs w:val="1"/>
                <w:color w:val="auto"/>
              </w:rPr>
            </w:pPr>
          </w:p>
        </w:tc>
      </w:tr>
      <w:tr>
        <w:trPr>
          <w:trHeight w:val="78"/>
        </w:trPr>
        <w:tc>
          <w:tcPr>
            <w:tcW w:w="33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296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20" w:type="dxa"/>
            <w:vAlign w:val="bottom"/>
            <w:gridSpan w:val="2"/>
            <w:vMerge w:val="restart"/>
          </w:tcPr>
          <w:p>
            <w:pPr>
              <w:ind w:left="60"/>
              <w:spacing w:after="0"/>
              <w:rPr>
                <w:sz w:val="20"/>
                <w:szCs w:val="20"/>
                <w:color w:val="auto"/>
              </w:rPr>
            </w:pPr>
            <w:r>
              <w:rPr>
                <w:rFonts w:ascii="Arial" w:cs="Arial" w:eastAsia="Arial" w:hAnsi="Arial"/>
                <w:sz w:val="14"/>
                <w:szCs w:val="14"/>
                <w:color w:val="0E2A35"/>
              </w:rPr>
              <w:t>Richard D. Moss</w:t>
            </w:r>
          </w:p>
        </w:tc>
        <w:tc>
          <w:tcPr>
            <w:tcW w:w="1140" w:type="dxa"/>
            <w:vAlign w:val="bottom"/>
            <w:vMerge w:val="restart"/>
          </w:tcPr>
          <w:p>
            <w:pPr>
              <w:jc w:val="right"/>
              <w:ind w:right="230"/>
              <w:spacing w:after="0"/>
              <w:rPr>
                <w:sz w:val="20"/>
                <w:szCs w:val="20"/>
                <w:color w:val="auto"/>
              </w:rPr>
            </w:pPr>
            <w:r>
              <w:rPr>
                <w:rFonts w:ascii="Arial" w:cs="Arial" w:eastAsia="Arial" w:hAnsi="Arial"/>
                <w:sz w:val="14"/>
                <w:szCs w:val="14"/>
                <w:color w:val="0E2A35"/>
              </w:rPr>
              <w:t>16,986</w:t>
            </w:r>
          </w:p>
        </w:tc>
        <w:tc>
          <w:tcPr>
            <w:tcW w:w="1240" w:type="dxa"/>
            <w:vAlign w:val="bottom"/>
            <w:vMerge w:val="restart"/>
          </w:tcPr>
          <w:p>
            <w:pPr>
              <w:jc w:val="right"/>
              <w:ind w:right="310"/>
              <w:spacing w:after="0"/>
              <w:rPr>
                <w:sz w:val="20"/>
                <w:szCs w:val="20"/>
                <w:color w:val="auto"/>
              </w:rPr>
            </w:pPr>
            <w:r>
              <w:rPr>
                <w:rFonts w:ascii="Arial" w:cs="Arial" w:eastAsia="Arial" w:hAnsi="Arial"/>
                <w:sz w:val="14"/>
                <w:szCs w:val="14"/>
                <w:color w:val="0E2A35"/>
              </w:rPr>
              <w:t>—</w:t>
            </w:r>
          </w:p>
        </w:tc>
        <w:tc>
          <w:tcPr>
            <w:tcW w:w="1260" w:type="dxa"/>
            <w:vAlign w:val="bottom"/>
            <w:vMerge w:val="restart"/>
          </w:tcPr>
          <w:p>
            <w:pPr>
              <w:jc w:val="right"/>
              <w:ind w:right="350"/>
              <w:spacing w:after="0"/>
              <w:rPr>
                <w:sz w:val="20"/>
                <w:szCs w:val="20"/>
                <w:color w:val="auto"/>
              </w:rPr>
            </w:pPr>
            <w:r>
              <w:rPr>
                <w:rFonts w:ascii="Arial" w:cs="Arial" w:eastAsia="Arial" w:hAnsi="Arial"/>
                <w:sz w:val="14"/>
                <w:szCs w:val="14"/>
                <w:color w:val="0E2A35"/>
              </w:rPr>
              <w:t>—</w:t>
            </w:r>
          </w:p>
        </w:tc>
        <w:tc>
          <w:tcPr>
            <w:tcW w:w="1400" w:type="dxa"/>
            <w:vAlign w:val="bottom"/>
            <w:vMerge w:val="restart"/>
          </w:tcPr>
          <w:p>
            <w:pPr>
              <w:jc w:val="right"/>
              <w:ind w:right="270"/>
              <w:spacing w:after="0"/>
              <w:rPr>
                <w:sz w:val="20"/>
                <w:szCs w:val="20"/>
                <w:color w:val="auto"/>
              </w:rPr>
            </w:pPr>
            <w:r>
              <w:rPr>
                <w:rFonts w:ascii="Arial" w:cs="Arial" w:eastAsia="Arial" w:hAnsi="Arial"/>
                <w:sz w:val="14"/>
                <w:szCs w:val="14"/>
                <w:color w:val="0E2A35"/>
              </w:rPr>
              <w:t>16,986</w:t>
            </w:r>
          </w:p>
        </w:tc>
        <w:tc>
          <w:tcPr>
            <w:tcW w:w="920" w:type="dxa"/>
            <w:vAlign w:val="bottom"/>
          </w:tcPr>
          <w:p>
            <w:pPr>
              <w:jc w:val="right"/>
              <w:ind w:right="21"/>
              <w:spacing w:after="0"/>
              <w:rPr>
                <w:sz w:val="20"/>
                <w:szCs w:val="20"/>
                <w:color w:val="auto"/>
              </w:rPr>
            </w:pPr>
            <w:r>
              <w:rPr>
                <w:rFonts w:ascii="Arial" w:cs="Arial" w:eastAsia="Arial" w:hAnsi="Arial"/>
                <w:sz w:val="11"/>
                <w:szCs w:val="11"/>
                <w:color w:val="0E2A35"/>
              </w:rPr>
              <w:t>(4)</w:t>
            </w:r>
          </w:p>
        </w:tc>
        <w:tc>
          <w:tcPr>
            <w:tcW w:w="0" w:type="dxa"/>
            <w:vAlign w:val="bottom"/>
          </w:tcPr>
          <w:p>
            <w:pPr>
              <w:spacing w:after="0"/>
              <w:rPr>
                <w:sz w:val="1"/>
                <w:szCs w:val="1"/>
                <w:color w:val="auto"/>
              </w:rPr>
            </w:pPr>
          </w:p>
        </w:tc>
      </w:tr>
      <w:tr>
        <w:trPr>
          <w:trHeight w:val="78"/>
        </w:trPr>
        <w:tc>
          <w:tcPr>
            <w:tcW w:w="33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296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20" w:type="dxa"/>
            <w:vAlign w:val="bottom"/>
            <w:gridSpan w:val="2"/>
            <w:vMerge w:val="restart"/>
          </w:tcPr>
          <w:p>
            <w:pPr>
              <w:ind w:left="60"/>
              <w:spacing w:after="0"/>
              <w:rPr>
                <w:sz w:val="20"/>
                <w:szCs w:val="20"/>
                <w:color w:val="auto"/>
              </w:rPr>
            </w:pPr>
            <w:r>
              <w:rPr>
                <w:rFonts w:ascii="Arial" w:cs="Arial" w:eastAsia="Arial" w:hAnsi="Arial"/>
                <w:sz w:val="14"/>
                <w:szCs w:val="14"/>
                <w:color w:val="0E2A35"/>
              </w:rPr>
              <w:t>John M. Murabito</w:t>
            </w:r>
          </w:p>
        </w:tc>
        <w:tc>
          <w:tcPr>
            <w:tcW w:w="1140" w:type="dxa"/>
            <w:vAlign w:val="bottom"/>
            <w:vMerge w:val="restart"/>
          </w:tcPr>
          <w:p>
            <w:pPr>
              <w:jc w:val="right"/>
              <w:ind w:right="230"/>
              <w:spacing w:after="0"/>
              <w:rPr>
                <w:sz w:val="20"/>
                <w:szCs w:val="20"/>
                <w:color w:val="auto"/>
              </w:rPr>
            </w:pPr>
            <w:r>
              <w:rPr>
                <w:rFonts w:ascii="Arial" w:cs="Arial" w:eastAsia="Arial" w:hAnsi="Arial"/>
                <w:sz w:val="14"/>
                <w:szCs w:val="14"/>
                <w:color w:val="0E2A35"/>
              </w:rPr>
              <w:t>15,686</w:t>
            </w:r>
          </w:p>
        </w:tc>
        <w:tc>
          <w:tcPr>
            <w:tcW w:w="1240" w:type="dxa"/>
            <w:vAlign w:val="bottom"/>
            <w:vMerge w:val="restart"/>
          </w:tcPr>
          <w:p>
            <w:pPr>
              <w:jc w:val="right"/>
              <w:ind w:right="310"/>
              <w:spacing w:after="0"/>
              <w:rPr>
                <w:sz w:val="20"/>
                <w:szCs w:val="20"/>
                <w:color w:val="auto"/>
              </w:rPr>
            </w:pPr>
            <w:r>
              <w:rPr>
                <w:rFonts w:ascii="Arial" w:cs="Arial" w:eastAsia="Arial" w:hAnsi="Arial"/>
                <w:sz w:val="14"/>
                <w:szCs w:val="14"/>
                <w:color w:val="0E2A35"/>
              </w:rPr>
              <w:t>—</w:t>
            </w:r>
          </w:p>
        </w:tc>
        <w:tc>
          <w:tcPr>
            <w:tcW w:w="1260" w:type="dxa"/>
            <w:vAlign w:val="bottom"/>
            <w:vMerge w:val="restart"/>
          </w:tcPr>
          <w:p>
            <w:pPr>
              <w:jc w:val="right"/>
              <w:ind w:right="350"/>
              <w:spacing w:after="0"/>
              <w:rPr>
                <w:sz w:val="20"/>
                <w:szCs w:val="20"/>
                <w:color w:val="auto"/>
              </w:rPr>
            </w:pPr>
            <w:r>
              <w:rPr>
                <w:rFonts w:ascii="Arial" w:cs="Arial" w:eastAsia="Arial" w:hAnsi="Arial"/>
                <w:sz w:val="14"/>
                <w:szCs w:val="14"/>
                <w:color w:val="0E2A35"/>
              </w:rPr>
              <w:t>—</w:t>
            </w:r>
          </w:p>
        </w:tc>
        <w:tc>
          <w:tcPr>
            <w:tcW w:w="1400" w:type="dxa"/>
            <w:vAlign w:val="bottom"/>
            <w:vMerge w:val="restart"/>
          </w:tcPr>
          <w:p>
            <w:pPr>
              <w:jc w:val="right"/>
              <w:ind w:right="270"/>
              <w:spacing w:after="0"/>
              <w:rPr>
                <w:sz w:val="20"/>
                <w:szCs w:val="20"/>
                <w:color w:val="auto"/>
              </w:rPr>
            </w:pPr>
            <w:r>
              <w:rPr>
                <w:rFonts w:ascii="Arial" w:cs="Arial" w:eastAsia="Arial" w:hAnsi="Arial"/>
                <w:sz w:val="14"/>
                <w:szCs w:val="14"/>
                <w:color w:val="0E2A35"/>
              </w:rPr>
              <w:t>15,686</w:t>
            </w:r>
          </w:p>
        </w:tc>
        <w:tc>
          <w:tcPr>
            <w:tcW w:w="920" w:type="dxa"/>
            <w:vAlign w:val="bottom"/>
          </w:tcPr>
          <w:p>
            <w:pPr>
              <w:jc w:val="right"/>
              <w:ind w:right="21"/>
              <w:spacing w:after="0"/>
              <w:rPr>
                <w:sz w:val="20"/>
                <w:szCs w:val="20"/>
                <w:color w:val="auto"/>
              </w:rPr>
            </w:pPr>
            <w:r>
              <w:rPr>
                <w:rFonts w:ascii="Arial" w:cs="Arial" w:eastAsia="Arial" w:hAnsi="Arial"/>
                <w:sz w:val="11"/>
                <w:szCs w:val="11"/>
                <w:color w:val="0E2A35"/>
              </w:rPr>
              <w:t>(4)</w:t>
            </w:r>
          </w:p>
        </w:tc>
        <w:tc>
          <w:tcPr>
            <w:tcW w:w="0" w:type="dxa"/>
            <w:vAlign w:val="bottom"/>
          </w:tcPr>
          <w:p>
            <w:pPr>
              <w:spacing w:after="0"/>
              <w:rPr>
                <w:sz w:val="1"/>
                <w:szCs w:val="1"/>
                <w:color w:val="auto"/>
              </w:rPr>
            </w:pPr>
          </w:p>
        </w:tc>
      </w:tr>
      <w:tr>
        <w:trPr>
          <w:trHeight w:val="78"/>
        </w:trPr>
        <w:tc>
          <w:tcPr>
            <w:tcW w:w="33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60" w:type="dxa"/>
            <w:vAlign w:val="bottom"/>
            <w:tcBorders>
              <w:bottom w:val="single" w:sz="8" w:color="0E2A35"/>
            </w:tcBorders>
          </w:tcPr>
          <w:p>
            <w:pPr>
              <w:spacing w:after="0"/>
              <w:rPr>
                <w:sz w:val="8"/>
                <w:szCs w:val="8"/>
                <w:color w:val="auto"/>
              </w:rPr>
            </w:pPr>
          </w:p>
        </w:tc>
        <w:tc>
          <w:tcPr>
            <w:tcW w:w="2960" w:type="dxa"/>
            <w:vAlign w:val="bottom"/>
            <w:tcBorders>
              <w:bottom w:val="single" w:sz="8" w:color="0E2A35"/>
            </w:tcBorders>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3320" w:type="dxa"/>
            <w:vAlign w:val="bottom"/>
            <w:gridSpan w:val="2"/>
            <w:vMerge w:val="restart"/>
          </w:tcPr>
          <w:p>
            <w:pPr>
              <w:ind w:left="60"/>
              <w:spacing w:after="0"/>
              <w:rPr>
                <w:sz w:val="20"/>
                <w:szCs w:val="20"/>
                <w:color w:val="auto"/>
              </w:rPr>
            </w:pPr>
            <w:r>
              <w:rPr>
                <w:rFonts w:ascii="Arial" w:cs="Arial" w:eastAsia="Arial" w:hAnsi="Arial"/>
                <w:sz w:val="14"/>
                <w:szCs w:val="14"/>
                <w:color w:val="0E2A35"/>
              </w:rPr>
              <w:t>Jacqueline D. Woods</w:t>
            </w:r>
          </w:p>
        </w:tc>
        <w:tc>
          <w:tcPr>
            <w:tcW w:w="1140" w:type="dxa"/>
            <w:vAlign w:val="bottom"/>
            <w:vMerge w:val="restart"/>
          </w:tcPr>
          <w:p>
            <w:pPr>
              <w:jc w:val="right"/>
              <w:ind w:right="230"/>
              <w:spacing w:after="0"/>
              <w:rPr>
                <w:sz w:val="20"/>
                <w:szCs w:val="20"/>
                <w:color w:val="auto"/>
              </w:rPr>
            </w:pPr>
            <w:r>
              <w:rPr>
                <w:rFonts w:ascii="Arial" w:cs="Arial" w:eastAsia="Arial" w:hAnsi="Arial"/>
                <w:sz w:val="14"/>
                <w:szCs w:val="14"/>
                <w:color w:val="0E2A35"/>
              </w:rPr>
              <w:t>4,451</w:t>
            </w:r>
          </w:p>
        </w:tc>
        <w:tc>
          <w:tcPr>
            <w:tcW w:w="1240" w:type="dxa"/>
            <w:vAlign w:val="bottom"/>
            <w:vMerge w:val="restart"/>
          </w:tcPr>
          <w:p>
            <w:pPr>
              <w:jc w:val="right"/>
              <w:ind w:right="310"/>
              <w:spacing w:after="0"/>
              <w:rPr>
                <w:sz w:val="20"/>
                <w:szCs w:val="20"/>
                <w:color w:val="auto"/>
              </w:rPr>
            </w:pPr>
            <w:r>
              <w:rPr>
                <w:rFonts w:ascii="Arial" w:cs="Arial" w:eastAsia="Arial" w:hAnsi="Arial"/>
                <w:sz w:val="14"/>
                <w:szCs w:val="14"/>
                <w:color w:val="0E2A35"/>
              </w:rPr>
              <w:t>—</w:t>
            </w:r>
          </w:p>
        </w:tc>
        <w:tc>
          <w:tcPr>
            <w:tcW w:w="1260" w:type="dxa"/>
            <w:vAlign w:val="bottom"/>
            <w:vMerge w:val="restart"/>
          </w:tcPr>
          <w:p>
            <w:pPr>
              <w:jc w:val="right"/>
              <w:ind w:right="350"/>
              <w:spacing w:after="0"/>
              <w:rPr>
                <w:sz w:val="20"/>
                <w:szCs w:val="20"/>
                <w:color w:val="auto"/>
              </w:rPr>
            </w:pPr>
            <w:r>
              <w:rPr>
                <w:rFonts w:ascii="Arial" w:cs="Arial" w:eastAsia="Arial" w:hAnsi="Arial"/>
                <w:sz w:val="14"/>
                <w:szCs w:val="14"/>
                <w:color w:val="0E2A35"/>
              </w:rPr>
              <w:t>2,984</w:t>
            </w:r>
          </w:p>
        </w:tc>
        <w:tc>
          <w:tcPr>
            <w:tcW w:w="1400" w:type="dxa"/>
            <w:vAlign w:val="bottom"/>
            <w:vMerge w:val="restart"/>
          </w:tcPr>
          <w:p>
            <w:pPr>
              <w:jc w:val="right"/>
              <w:ind w:right="270"/>
              <w:spacing w:after="0"/>
              <w:rPr>
                <w:sz w:val="20"/>
                <w:szCs w:val="20"/>
                <w:color w:val="auto"/>
              </w:rPr>
            </w:pPr>
            <w:r>
              <w:rPr>
                <w:rFonts w:ascii="Arial" w:cs="Arial" w:eastAsia="Arial" w:hAnsi="Arial"/>
                <w:sz w:val="14"/>
                <w:szCs w:val="14"/>
                <w:color w:val="0E2A35"/>
              </w:rPr>
              <w:t>7,435​</w:t>
            </w:r>
          </w:p>
        </w:tc>
        <w:tc>
          <w:tcPr>
            <w:tcW w:w="920" w:type="dxa"/>
            <w:vAlign w:val="bottom"/>
          </w:tcPr>
          <w:p>
            <w:pPr>
              <w:jc w:val="right"/>
              <w:ind w:right="21"/>
              <w:spacing w:after="0"/>
              <w:rPr>
                <w:sz w:val="20"/>
                <w:szCs w:val="20"/>
                <w:color w:val="auto"/>
              </w:rPr>
            </w:pPr>
            <w:r>
              <w:rPr>
                <w:rFonts w:ascii="Arial" w:cs="Arial" w:eastAsia="Arial" w:hAnsi="Arial"/>
                <w:sz w:val="11"/>
                <w:szCs w:val="11"/>
                <w:color w:val="0E2A35"/>
              </w:rPr>
              <w:t>(4)</w:t>
            </w:r>
          </w:p>
        </w:tc>
        <w:tc>
          <w:tcPr>
            <w:tcW w:w="0" w:type="dxa"/>
            <w:vAlign w:val="bottom"/>
          </w:tcPr>
          <w:p>
            <w:pPr>
              <w:spacing w:after="0"/>
              <w:rPr>
                <w:sz w:val="1"/>
                <w:szCs w:val="1"/>
                <w:color w:val="auto"/>
              </w:rPr>
            </w:pPr>
          </w:p>
        </w:tc>
      </w:tr>
      <w:tr>
        <w:trPr>
          <w:trHeight w:val="78"/>
        </w:trPr>
        <w:tc>
          <w:tcPr>
            <w:tcW w:w="33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20" w:type="dxa"/>
            <w:vAlign w:val="bottom"/>
            <w:tcBorders>
              <w:bottom w:val="single" w:sz="8" w:color="0E2A35"/>
            </w:tcBorders>
            <w:gridSpan w:val="2"/>
          </w:tcPr>
          <w:p>
            <w:pPr>
              <w:spacing w:after="0"/>
              <w:rPr>
                <w:sz w:val="8"/>
                <w:szCs w:val="8"/>
                <w:color w:val="auto"/>
              </w:rPr>
            </w:pPr>
          </w:p>
        </w:tc>
        <w:tc>
          <w:tcPr>
            <w:tcW w:w="1140" w:type="dxa"/>
            <w:vAlign w:val="bottom"/>
            <w:tcBorders>
              <w:bottom w:val="single" w:sz="8" w:color="0E2A35"/>
            </w:tcBorders>
          </w:tcPr>
          <w:p>
            <w:pPr>
              <w:spacing w:after="0"/>
              <w:rPr>
                <w:sz w:val="8"/>
                <w:szCs w:val="8"/>
                <w:color w:val="auto"/>
              </w:rPr>
            </w:pPr>
          </w:p>
        </w:tc>
        <w:tc>
          <w:tcPr>
            <w:tcW w:w="1240" w:type="dxa"/>
            <w:vAlign w:val="bottom"/>
            <w:tcBorders>
              <w:bottom w:val="single" w:sz="8" w:color="0E2A35"/>
            </w:tcBorders>
          </w:tcPr>
          <w:p>
            <w:pPr>
              <w:spacing w:after="0"/>
              <w:rPr>
                <w:sz w:val="8"/>
                <w:szCs w:val="8"/>
                <w:color w:val="auto"/>
              </w:rPr>
            </w:pPr>
          </w:p>
        </w:tc>
        <w:tc>
          <w:tcPr>
            <w:tcW w:w="1260" w:type="dxa"/>
            <w:vAlign w:val="bottom"/>
            <w:tcBorders>
              <w:bottom w:val="single" w:sz="8" w:color="0E2A35"/>
            </w:tcBorders>
          </w:tcPr>
          <w:p>
            <w:pPr>
              <w:spacing w:after="0"/>
              <w:rPr>
                <w:sz w:val="8"/>
                <w:szCs w:val="8"/>
                <w:color w:val="auto"/>
              </w:rPr>
            </w:pPr>
          </w:p>
        </w:tc>
        <w:tc>
          <w:tcPr>
            <w:tcW w:w="1400" w:type="dxa"/>
            <w:vAlign w:val="bottom"/>
            <w:tcBorders>
              <w:bottom w:val="single" w:sz="8" w:color="0E2A35"/>
            </w:tcBorders>
          </w:tcPr>
          <w:p>
            <w:pPr>
              <w:spacing w:after="0"/>
              <w:rPr>
                <w:sz w:val="8"/>
                <w:szCs w:val="8"/>
                <w:color w:val="auto"/>
              </w:rPr>
            </w:pPr>
          </w:p>
        </w:tc>
        <w:tc>
          <w:tcPr>
            <w:tcW w:w="920" w:type="dxa"/>
            <w:vAlign w:val="bottom"/>
            <w:tcBorders>
              <w:bottom w:val="single" w:sz="8" w:color="0E2A35"/>
            </w:tcBorders>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3320" w:type="dxa"/>
            <w:vAlign w:val="bottom"/>
            <w:gridSpan w:val="2"/>
          </w:tcPr>
          <w:p>
            <w:pPr>
              <w:ind w:left="60"/>
              <w:spacing w:after="0"/>
              <w:rPr>
                <w:sz w:val="20"/>
                <w:szCs w:val="20"/>
                <w:color w:val="auto"/>
              </w:rPr>
            </w:pPr>
            <w:r>
              <w:rPr>
                <w:rFonts w:ascii="Arial" w:cs="Arial" w:eastAsia="Arial" w:hAnsi="Arial"/>
                <w:sz w:val="14"/>
                <w:szCs w:val="14"/>
                <w:color w:val="0E2A35"/>
              </w:rPr>
              <w:t>Directors and executive officers as a group (18</w:t>
            </w:r>
          </w:p>
        </w:tc>
        <w:tc>
          <w:tcPr>
            <w:tcW w:w="1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320" w:type="dxa"/>
            <w:vAlign w:val="bottom"/>
            <w:gridSpan w:val="2"/>
          </w:tcPr>
          <w:p>
            <w:pPr>
              <w:ind w:left="220"/>
              <w:spacing w:after="0"/>
              <w:rPr>
                <w:sz w:val="20"/>
                <w:szCs w:val="20"/>
                <w:color w:val="auto"/>
              </w:rPr>
            </w:pPr>
            <w:r>
              <w:rPr>
                <w:rFonts w:ascii="Arial" w:cs="Arial" w:eastAsia="Arial" w:hAnsi="Arial"/>
                <w:sz w:val="14"/>
                <w:szCs w:val="14"/>
                <w:color w:val="0E2A35"/>
              </w:rPr>
              <w:t>persons)</w:t>
            </w:r>
          </w:p>
        </w:tc>
        <w:tc>
          <w:tcPr>
            <w:tcW w:w="1140" w:type="dxa"/>
            <w:vAlign w:val="bottom"/>
          </w:tcPr>
          <w:p>
            <w:pPr>
              <w:jc w:val="right"/>
              <w:ind w:right="230"/>
              <w:spacing w:after="0"/>
              <w:rPr>
                <w:sz w:val="20"/>
                <w:szCs w:val="20"/>
                <w:color w:val="auto"/>
              </w:rPr>
            </w:pPr>
            <w:r>
              <w:rPr>
                <w:rFonts w:ascii="Arial" w:cs="Arial" w:eastAsia="Arial" w:hAnsi="Arial"/>
                <w:sz w:val="14"/>
                <w:szCs w:val="14"/>
                <w:color w:val="0E2A35"/>
              </w:rPr>
              <w:t>947,186​</w:t>
            </w:r>
          </w:p>
        </w:tc>
        <w:tc>
          <w:tcPr>
            <w:tcW w:w="1240" w:type="dxa"/>
            <w:vAlign w:val="bottom"/>
          </w:tcPr>
          <w:p>
            <w:pPr>
              <w:jc w:val="right"/>
              <w:ind w:right="310"/>
              <w:spacing w:after="0"/>
              <w:rPr>
                <w:sz w:val="20"/>
                <w:szCs w:val="20"/>
                <w:color w:val="auto"/>
              </w:rPr>
            </w:pPr>
            <w:r>
              <w:rPr>
                <w:rFonts w:ascii="Arial" w:cs="Arial" w:eastAsia="Arial" w:hAnsi="Arial"/>
                <w:sz w:val="14"/>
                <w:szCs w:val="14"/>
                <w:color w:val="0E2A35"/>
              </w:rPr>
              <w:t>257,029​</w:t>
            </w:r>
          </w:p>
        </w:tc>
        <w:tc>
          <w:tcPr>
            <w:tcW w:w="1260" w:type="dxa"/>
            <w:vAlign w:val="bottom"/>
          </w:tcPr>
          <w:p>
            <w:pPr>
              <w:jc w:val="right"/>
              <w:ind w:right="350"/>
              <w:spacing w:after="0"/>
              <w:rPr>
                <w:sz w:val="20"/>
                <w:szCs w:val="20"/>
                <w:color w:val="auto"/>
              </w:rPr>
            </w:pPr>
            <w:r>
              <w:rPr>
                <w:rFonts w:ascii="Arial" w:cs="Arial" w:eastAsia="Arial" w:hAnsi="Arial"/>
                <w:sz w:val="14"/>
                <w:szCs w:val="14"/>
                <w:color w:val="0E2A35"/>
              </w:rPr>
              <w:t>17,482​</w:t>
            </w:r>
          </w:p>
        </w:tc>
        <w:tc>
          <w:tcPr>
            <w:tcW w:w="1400" w:type="dxa"/>
            <w:vAlign w:val="bottom"/>
          </w:tcPr>
          <w:p>
            <w:pPr>
              <w:jc w:val="right"/>
              <w:ind w:right="270"/>
              <w:spacing w:after="0"/>
              <w:rPr>
                <w:sz w:val="20"/>
                <w:szCs w:val="20"/>
                <w:color w:val="auto"/>
              </w:rPr>
            </w:pPr>
            <w:r>
              <w:rPr>
                <w:rFonts w:ascii="Arial" w:cs="Arial" w:eastAsia="Arial" w:hAnsi="Arial"/>
                <w:sz w:val="14"/>
                <w:szCs w:val="14"/>
                <w:color w:val="0E2A35"/>
              </w:rPr>
              <w:t>1,132,833​</w:t>
            </w:r>
          </w:p>
        </w:tc>
        <w:tc>
          <w:tcPr>
            <w:tcW w:w="920" w:type="dxa"/>
            <w:vAlign w:val="bottom"/>
          </w:tcPr>
          <w:p>
            <w:pPr>
              <w:jc w:val="right"/>
              <w:spacing w:after="0"/>
              <w:rPr>
                <w:sz w:val="20"/>
                <w:szCs w:val="20"/>
                <w:color w:val="auto"/>
              </w:rPr>
            </w:pPr>
            <w:r>
              <w:rPr>
                <w:rFonts w:ascii="Arial" w:cs="Arial" w:eastAsia="Arial" w:hAnsi="Arial"/>
                <w:sz w:val="14"/>
                <w:szCs w:val="14"/>
                <w:color w:val="0E2A35"/>
              </w:rPr>
              <w:t>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58978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81" w:lineRule="exact"/>
        <w:rPr>
          <w:sz w:val="20"/>
          <w:szCs w:val="20"/>
          <w:color w:val="auto"/>
        </w:rPr>
      </w:pPr>
    </w:p>
    <w:p>
      <w:pPr>
        <w:ind w:left="360" w:hanging="360"/>
        <w:spacing w:after="0"/>
        <w:tabs>
          <w:tab w:leader="none" w:pos="360" w:val="left"/>
        </w:tabs>
        <w:numPr>
          <w:ilvl w:val="0"/>
          <w:numId w:val="76"/>
        </w:numPr>
        <w:rPr>
          <w:rFonts w:ascii="Arial" w:cs="Arial" w:eastAsia="Arial" w:hAnsi="Arial"/>
          <w:sz w:val="13"/>
          <w:szCs w:val="13"/>
          <w:color w:val="0E2A35"/>
        </w:rPr>
      </w:pPr>
      <w:r>
        <w:rPr>
          <w:rFonts w:ascii="Arial" w:cs="Arial" w:eastAsia="Arial" w:hAnsi="Arial"/>
          <w:sz w:val="13"/>
          <w:szCs w:val="13"/>
          <w:color w:val="0E2A35"/>
        </w:rPr>
        <w:t>Includes shares underlying stock options that are currently exercisable or become exercisable within 60 days.</w:t>
      </w:r>
    </w:p>
    <w:p>
      <w:pPr>
        <w:spacing w:after="0" w:line="39" w:lineRule="exact"/>
        <w:rPr>
          <w:rFonts w:ascii="Arial" w:cs="Arial" w:eastAsia="Arial" w:hAnsi="Arial"/>
          <w:sz w:val="13"/>
          <w:szCs w:val="13"/>
          <w:color w:val="0E2A35"/>
        </w:rPr>
      </w:pPr>
    </w:p>
    <w:p>
      <w:pPr>
        <w:ind w:left="360" w:right="380" w:hanging="360"/>
        <w:spacing w:after="0" w:line="230" w:lineRule="auto"/>
        <w:tabs>
          <w:tab w:leader="none" w:pos="360" w:val="left"/>
        </w:tabs>
        <w:numPr>
          <w:ilvl w:val="0"/>
          <w:numId w:val="76"/>
        </w:numPr>
        <w:rPr>
          <w:rFonts w:ascii="Arial" w:cs="Arial" w:eastAsia="Arial" w:hAnsi="Arial"/>
          <w:sz w:val="13"/>
          <w:szCs w:val="13"/>
          <w:color w:val="0E2A35"/>
        </w:rPr>
      </w:pPr>
      <w:r>
        <w:rPr>
          <w:rFonts w:ascii="Arial" w:cs="Arial" w:eastAsia="Arial" w:hAnsi="Arial"/>
          <w:sz w:val="13"/>
          <w:szCs w:val="13"/>
          <w:color w:val="0E2A35"/>
        </w:rPr>
        <w:t>Winnebago Stock Units held under our Directors' Deferred Plan as of October 19, 2023 (see further discussion of the plan in the Director Compensation section). These units are vested and will be settled 100% in common stock upon the earliest of the following events: a date designated by the director, the director's termination of service, death or disability or a change in control of the Company, as defined in the plan.</w:t>
      </w:r>
    </w:p>
    <w:p>
      <w:pPr>
        <w:spacing w:after="0" w:line="29" w:lineRule="exact"/>
        <w:rPr>
          <w:rFonts w:ascii="Arial" w:cs="Arial" w:eastAsia="Arial" w:hAnsi="Arial"/>
          <w:sz w:val="13"/>
          <w:szCs w:val="13"/>
          <w:color w:val="0E2A35"/>
        </w:rPr>
      </w:pPr>
    </w:p>
    <w:p>
      <w:pPr>
        <w:ind w:left="360" w:hanging="360"/>
        <w:spacing w:after="0"/>
        <w:tabs>
          <w:tab w:leader="none" w:pos="360" w:val="left"/>
        </w:tabs>
        <w:numPr>
          <w:ilvl w:val="0"/>
          <w:numId w:val="76"/>
        </w:numPr>
        <w:rPr>
          <w:rFonts w:ascii="Arial" w:cs="Arial" w:eastAsia="Arial" w:hAnsi="Arial"/>
          <w:sz w:val="13"/>
          <w:szCs w:val="13"/>
          <w:color w:val="0E2A35"/>
        </w:rPr>
      </w:pPr>
      <w:r>
        <w:rPr>
          <w:rFonts w:ascii="Arial" w:cs="Arial" w:eastAsia="Arial" w:hAnsi="Arial"/>
          <w:sz w:val="13"/>
          <w:szCs w:val="13"/>
          <w:color w:val="0E2A35"/>
        </w:rPr>
        <w:t>Based on 29,905,401 outstanding shares of common stock on October 19, 2023.</w:t>
      </w:r>
    </w:p>
    <w:p>
      <w:pPr>
        <w:spacing w:after="0" w:line="39" w:lineRule="exact"/>
        <w:rPr>
          <w:rFonts w:ascii="Arial" w:cs="Arial" w:eastAsia="Arial" w:hAnsi="Arial"/>
          <w:sz w:val="13"/>
          <w:szCs w:val="13"/>
          <w:color w:val="0E2A35"/>
        </w:rPr>
      </w:pPr>
    </w:p>
    <w:p>
      <w:pPr>
        <w:ind w:left="360" w:hanging="360"/>
        <w:spacing w:after="0"/>
        <w:tabs>
          <w:tab w:leader="none" w:pos="360" w:val="left"/>
        </w:tabs>
        <w:numPr>
          <w:ilvl w:val="0"/>
          <w:numId w:val="76"/>
        </w:numPr>
        <w:rPr>
          <w:rFonts w:ascii="Arial" w:cs="Arial" w:eastAsia="Arial" w:hAnsi="Arial"/>
          <w:sz w:val="13"/>
          <w:szCs w:val="13"/>
          <w:color w:val="0E2A35"/>
        </w:rPr>
      </w:pPr>
      <w:r>
        <w:rPr>
          <w:rFonts w:ascii="Arial" w:cs="Arial" w:eastAsia="Arial" w:hAnsi="Arial"/>
          <w:sz w:val="13"/>
          <w:szCs w:val="13"/>
          <w:color w:val="0E2A35"/>
        </w:rPr>
        <w:t>Less than 1%.</w:t>
      </w:r>
    </w:p>
    <w:p>
      <w:pPr>
        <w:spacing w:after="0" w:line="302" w:lineRule="exact"/>
        <w:rPr>
          <w:sz w:val="20"/>
          <w:szCs w:val="20"/>
          <w:color w:val="auto"/>
        </w:rPr>
      </w:pPr>
    </w:p>
    <w:p>
      <w:pPr>
        <w:ind w:left="6560"/>
        <w:spacing w:after="0"/>
        <w:rPr>
          <w:sz w:val="20"/>
          <w:szCs w:val="20"/>
          <w:color w:val="auto"/>
        </w:rPr>
      </w:pPr>
      <w:r>
        <w:rPr>
          <w:rFonts w:ascii="Arial" w:cs="Arial" w:eastAsia="Arial" w:hAnsi="Arial"/>
          <w:sz w:val="12"/>
          <w:szCs w:val="12"/>
          <w:color w:val="0E2A35"/>
        </w:rPr>
        <w:t>Proxy Statement for 2023 Annual Meeting  </w:t>
      </w:r>
      <w:r>
        <w:rPr>
          <w:rFonts w:ascii="Arial" w:cs="Arial" w:eastAsia="Arial" w:hAnsi="Arial"/>
          <w:sz w:val="12"/>
          <w:szCs w:val="12"/>
          <w:b w:val="1"/>
          <w:bCs w:val="1"/>
          <w:color w:val="0E2A35"/>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200660</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-73025</wp:posOffset>
            </wp:positionV>
            <wp:extent cx="1465580" cy="939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Voting Information</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Internet Availability of Proxy Materials</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0E2A35"/>
        </w:rPr>
        <w:t>As permitted by “Notice and Access” rules adopted by the SEC, our proxy materials are furnished to shareholders on the internet, rather than mailing paper copies to each shareholder. If you received a Notice of Internet Availability of Proxy Materials (the Notice) by mail, you will not receive a paper copy of the proxy materials unless you specifically request one. Instead, the Notice instructs you how to access and review the proxy materials and vote your shares. If you would like to receive a paper copy of our proxy materials, follow the instructions in the Notice. The Notice will be mailed to shareholders on or about November 3, 2023.</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Shareholders Entitled to Vote</w:t>
      </w:r>
    </w:p>
    <w:p>
      <w:pPr>
        <w:spacing w:after="0" w:line="188"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0E2A35"/>
        </w:rPr>
        <w:t>The Board set October 19, 2023 as the record date for the Annual Meeting. This means that our shareholders as of the close of business on that date are entitled to notice of and to vote at the Annual Meeting. On the record date, 29,905,401 shares of our common stock were outstanding. The common stock is the only class of securities entitled to vote at the Annual Meeting. Each outstanding share entitles its holder to one vote.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Quorum for the Annual Meeting</w:t>
      </w:r>
    </w:p>
    <w:p>
      <w:pPr>
        <w:spacing w:after="0" w:line="201"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0E2A35"/>
        </w:rPr>
        <w:t>A majority of the outstanding shares is necessary to constitute a quorum for the transaction of business at the Annual Meeting. If you submit a valid proxy or attend the Annual Meeting, your shares will be counted to determine whether there is a quorum.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How to Vote</w:t>
      </w:r>
    </w:p>
    <w:p>
      <w:pPr>
        <w:spacing w:after="0" w:line="188"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0E2A35"/>
        </w:rPr>
        <w:t>Whether or not you expect to attend the Annual Meeting, please carefully review the proxy materials and follow the instructions below to cast your vote.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Shares Registered in Your Name</w:t>
      </w:r>
    </w:p>
    <w:p>
      <w:pPr>
        <w:spacing w:after="0" w:line="188"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0E2A35"/>
        </w:rPr>
        <w:t xml:space="preserve">By submitting voting instructions for shares registered in your name before the Annual Meeting, you are appointing a proxy to vote these shares. You may vote in one of the following ways (additional details about each of these voting methods is provided on page </w:t>
      </w:r>
      <w:r>
        <w:rPr>
          <w:rFonts w:ascii="Arial" w:cs="Arial" w:eastAsia="Arial" w:hAnsi="Arial"/>
          <w:sz w:val="16"/>
          <w:szCs w:val="16"/>
          <w:u w:val="single" w:color="auto"/>
          <w:color w:val="0000EE"/>
        </w:rPr>
        <w:t>2</w:t>
      </w:r>
      <w:r>
        <w:rPr>
          <w:rFonts w:ascii="Arial" w:cs="Arial" w:eastAsia="Arial" w:hAnsi="Arial"/>
          <w:sz w:val="16"/>
          <w:szCs w:val="16"/>
          <w:color w:val="0E2A35"/>
        </w:rPr>
        <w:t>):</w:t>
      </w:r>
    </w:p>
    <w:p>
      <w:pPr>
        <w:spacing w:after="0" w:line="148" w:lineRule="exact"/>
        <w:rPr>
          <w:sz w:val="20"/>
          <w:szCs w:val="20"/>
          <w:color w:val="auto"/>
        </w:rPr>
      </w:pPr>
    </w:p>
    <w:p>
      <w:pPr>
        <w:ind w:left="720" w:hanging="360"/>
        <w:spacing w:after="0" w:line="259" w:lineRule="auto"/>
        <w:tabs>
          <w:tab w:leader="none" w:pos="720" w:val="left"/>
        </w:tabs>
        <w:numPr>
          <w:ilvl w:val="0"/>
          <w:numId w:val="77"/>
        </w:numPr>
        <w:rPr>
          <w:rFonts w:ascii="Arial" w:cs="Arial" w:eastAsia="Arial" w:hAnsi="Arial"/>
          <w:sz w:val="16"/>
          <w:szCs w:val="16"/>
          <w:color w:val="C7D265"/>
        </w:rPr>
      </w:pPr>
      <w:r>
        <w:rPr>
          <w:rFonts w:ascii="Arial" w:cs="Arial" w:eastAsia="Arial" w:hAnsi="Arial"/>
          <w:sz w:val="16"/>
          <w:szCs w:val="16"/>
          <w:b w:val="1"/>
          <w:bCs w:val="1"/>
          <w:i w:val="1"/>
          <w:iCs w:val="1"/>
          <w:color w:val="0E2A35"/>
        </w:rPr>
        <w:t>Voting by Internet or Telephone</w:t>
      </w:r>
      <w:r>
        <w:rPr>
          <w:rFonts w:ascii="Arial" w:cs="Arial" w:eastAsia="Arial" w:hAnsi="Arial"/>
          <w:sz w:val="16"/>
          <w:szCs w:val="16"/>
          <w:color w:val="0E2A35"/>
        </w:rPr>
        <w:t>. You may vote using the internet or telephone by following the instructions in the</w:t>
      </w:r>
      <w:r>
        <w:rPr>
          <w:rFonts w:ascii="Arial" w:cs="Arial" w:eastAsia="Arial" w:hAnsi="Arial"/>
          <w:sz w:val="16"/>
          <w:szCs w:val="16"/>
          <w:b w:val="1"/>
          <w:bCs w:val="1"/>
          <w:i w:val="1"/>
          <w:iCs w:val="1"/>
          <w:color w:val="0E2A35"/>
        </w:rPr>
        <w:t xml:space="preserve"> </w:t>
      </w:r>
      <w:r>
        <w:rPr>
          <w:rFonts w:ascii="Arial" w:cs="Arial" w:eastAsia="Arial" w:hAnsi="Arial"/>
          <w:sz w:val="16"/>
          <w:szCs w:val="16"/>
          <w:color w:val="0E2A35"/>
        </w:rPr>
        <w:t>Notice. To vote by the internet, go to www.proxyvote.com and follow the instructions to record your vote. To vote by telephone call 1-800-690-6903. To vote by the internet or telephone, you will need your 16-digit control number included with the Notice.</w:t>
      </w:r>
    </w:p>
    <w:p>
      <w:pPr>
        <w:spacing w:after="0" w:line="137" w:lineRule="exact"/>
        <w:rPr>
          <w:rFonts w:ascii="Arial" w:cs="Arial" w:eastAsia="Arial" w:hAnsi="Arial"/>
          <w:sz w:val="16"/>
          <w:szCs w:val="16"/>
          <w:color w:val="C7D265"/>
        </w:rPr>
      </w:pPr>
    </w:p>
    <w:p>
      <w:pPr>
        <w:ind w:left="720" w:right="460" w:hanging="360"/>
        <w:spacing w:after="0" w:line="286" w:lineRule="auto"/>
        <w:tabs>
          <w:tab w:leader="none" w:pos="720" w:val="left"/>
        </w:tabs>
        <w:numPr>
          <w:ilvl w:val="0"/>
          <w:numId w:val="77"/>
        </w:numPr>
        <w:rPr>
          <w:rFonts w:ascii="Arial" w:cs="Arial" w:eastAsia="Arial" w:hAnsi="Arial"/>
          <w:sz w:val="16"/>
          <w:szCs w:val="16"/>
          <w:color w:val="C7D265"/>
        </w:rPr>
      </w:pPr>
      <w:r>
        <w:rPr>
          <w:rFonts w:ascii="Arial" w:cs="Arial" w:eastAsia="Arial" w:hAnsi="Arial"/>
          <w:sz w:val="16"/>
          <w:szCs w:val="16"/>
          <w:b w:val="1"/>
          <w:bCs w:val="1"/>
          <w:i w:val="1"/>
          <w:iCs w:val="1"/>
          <w:color w:val="0E2A35"/>
        </w:rPr>
        <w:t>Voting by Proxy Card</w:t>
      </w:r>
      <w:r>
        <w:rPr>
          <w:rFonts w:ascii="Arial" w:cs="Arial" w:eastAsia="Arial" w:hAnsi="Arial"/>
          <w:sz w:val="16"/>
          <w:szCs w:val="16"/>
          <w:color w:val="0E2A35"/>
        </w:rPr>
        <w:t>. If you obtained a paper copy of the proxy materials, you may vote by completing, signing,</w:t>
      </w:r>
      <w:r>
        <w:rPr>
          <w:rFonts w:ascii="Arial" w:cs="Arial" w:eastAsia="Arial" w:hAnsi="Arial"/>
          <w:sz w:val="16"/>
          <w:szCs w:val="16"/>
          <w:b w:val="1"/>
          <w:bCs w:val="1"/>
          <w:i w:val="1"/>
          <w:iCs w:val="1"/>
          <w:color w:val="0E2A35"/>
        </w:rPr>
        <w:t xml:space="preserve"> </w:t>
      </w:r>
      <w:r>
        <w:rPr>
          <w:rFonts w:ascii="Arial" w:cs="Arial" w:eastAsia="Arial" w:hAnsi="Arial"/>
          <w:sz w:val="16"/>
          <w:szCs w:val="16"/>
          <w:color w:val="0E2A35"/>
        </w:rPr>
        <w:t>dating and returning the proxy card in the enclosed postage pre-paid envelope.</w:t>
      </w:r>
    </w:p>
    <w:p>
      <w:pPr>
        <w:spacing w:after="0" w:line="115" w:lineRule="exact"/>
        <w:rPr>
          <w:rFonts w:ascii="Arial" w:cs="Arial" w:eastAsia="Arial" w:hAnsi="Arial"/>
          <w:sz w:val="16"/>
          <w:szCs w:val="16"/>
          <w:color w:val="C7D265"/>
        </w:rPr>
      </w:pPr>
    </w:p>
    <w:p>
      <w:pPr>
        <w:ind w:left="720" w:right="40" w:hanging="360"/>
        <w:spacing w:after="0" w:line="286" w:lineRule="auto"/>
        <w:tabs>
          <w:tab w:leader="none" w:pos="720" w:val="left"/>
        </w:tabs>
        <w:numPr>
          <w:ilvl w:val="0"/>
          <w:numId w:val="77"/>
        </w:numPr>
        <w:rPr>
          <w:rFonts w:ascii="Arial" w:cs="Arial" w:eastAsia="Arial" w:hAnsi="Arial"/>
          <w:sz w:val="16"/>
          <w:szCs w:val="16"/>
          <w:color w:val="C7D265"/>
        </w:rPr>
      </w:pPr>
      <w:r>
        <w:rPr>
          <w:rFonts w:ascii="Arial" w:cs="Arial" w:eastAsia="Arial" w:hAnsi="Arial"/>
          <w:sz w:val="16"/>
          <w:szCs w:val="16"/>
          <w:b w:val="1"/>
          <w:bCs w:val="1"/>
          <w:i w:val="1"/>
          <w:iCs w:val="1"/>
          <w:color w:val="0E2A35"/>
        </w:rPr>
        <w:t>Voting during the Annual Meeting</w:t>
      </w:r>
      <w:r>
        <w:rPr>
          <w:rFonts w:ascii="Arial" w:cs="Arial" w:eastAsia="Arial" w:hAnsi="Arial"/>
          <w:sz w:val="16"/>
          <w:szCs w:val="16"/>
          <w:color w:val="0E2A35"/>
        </w:rPr>
        <w:t>. You may also vote by attending the Annual Meeting and voting via the online</w:t>
      </w:r>
      <w:r>
        <w:rPr>
          <w:rFonts w:ascii="Arial" w:cs="Arial" w:eastAsia="Arial" w:hAnsi="Arial"/>
          <w:sz w:val="16"/>
          <w:szCs w:val="16"/>
          <w:b w:val="1"/>
          <w:bCs w:val="1"/>
          <w:i w:val="1"/>
          <w:iCs w:val="1"/>
          <w:color w:val="0E2A35"/>
        </w:rPr>
        <w:t xml:space="preserve"> </w:t>
      </w:r>
      <w:r>
        <w:rPr>
          <w:rFonts w:ascii="Arial" w:cs="Arial" w:eastAsia="Arial" w:hAnsi="Arial"/>
          <w:sz w:val="16"/>
          <w:szCs w:val="16"/>
          <w:color w:val="0E2A35"/>
        </w:rPr>
        <w:t>meeting platform. To vote online during the Annual Meeting, you will need your 16-digit control included with the Notice.</w:t>
      </w:r>
    </w:p>
    <w:p>
      <w:pPr>
        <w:spacing w:after="0" w:line="13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0E2A35"/>
        </w:rPr>
        <w:t>Whichever voting method you choose, all properly submitted voting instructions will be voted at the Annual Meeting according to the instructions given, provided they are received prior to the applicable deadlines. If you submit a proxy card without voting instructions, your shares will be voted in accordance with the Board’s recommendations described in this proxy statement.</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Shares Held in Street Name</w:t>
      </w:r>
    </w:p>
    <w:p>
      <w:pPr>
        <w:spacing w:after="0" w:line="201"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0E2A35"/>
        </w:rPr>
        <w:t>If your shares are held in the name of a broker or bank (that is, in “street name”), refer to the instructions provided by your broker or bank regarding how to vote your shares. If you do not return voting instructions to your broker or bank by its deadline, your shares may be voted by your broker or bank on Proposal 6, but not the other proposals described in this proxy. Broker non-votes will not be considered in connection with Proposals 1, 2, 3, 4 or 5; provided, that a broker non-vote will have the effect of a vote AGAINST Proposal 4 or 5 if a majority of the voting power of the minimum number of shares entitled to vote that would constitute a quorum at the meeting is required in order to approve the item.</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Revoking a Proxy or Voting Instructions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0E2A35"/>
        </w:rPr>
        <w:t>You may revoke your proxy or change your vote at any time before the Annual Meeting by:</w:t>
      </w:r>
    </w:p>
    <w:p>
      <w:pPr>
        <w:spacing w:after="0" w:line="181" w:lineRule="exact"/>
        <w:rPr>
          <w:sz w:val="20"/>
          <w:szCs w:val="20"/>
          <w:color w:val="auto"/>
        </w:rPr>
      </w:pPr>
    </w:p>
    <w:p>
      <w:pPr>
        <w:ind w:left="720" w:right="240" w:hanging="360"/>
        <w:spacing w:after="0" w:line="276" w:lineRule="auto"/>
        <w:tabs>
          <w:tab w:leader="none" w:pos="720" w:val="left"/>
        </w:tabs>
        <w:numPr>
          <w:ilvl w:val="0"/>
          <w:numId w:val="78"/>
        </w:numPr>
        <w:rPr>
          <w:rFonts w:ascii="Arial" w:cs="Arial" w:eastAsia="Arial" w:hAnsi="Arial"/>
          <w:sz w:val="16"/>
          <w:szCs w:val="16"/>
          <w:color w:val="C7D265"/>
        </w:rPr>
      </w:pPr>
      <w:r>
        <w:rPr>
          <w:rFonts w:ascii="Arial" w:cs="Arial" w:eastAsia="Arial" w:hAnsi="Arial"/>
          <w:sz w:val="16"/>
          <w:szCs w:val="16"/>
          <w:color w:val="0E2A35"/>
        </w:rPr>
        <w:t>Submitting a new, later-dated proxy by (1) following the internet voting instructions; (2) following the telephone voting instructions; or (3) completing, signing, dating and returning a new proxy card;</w:t>
      </w:r>
    </w:p>
    <w:p>
      <w:pPr>
        <w:spacing w:after="0" w:line="143" w:lineRule="exact"/>
        <w:rPr>
          <w:rFonts w:ascii="Arial" w:cs="Arial" w:eastAsia="Arial" w:hAnsi="Arial"/>
          <w:sz w:val="16"/>
          <w:szCs w:val="16"/>
          <w:color w:val="C7D265"/>
        </w:rPr>
      </w:pPr>
    </w:p>
    <w:p>
      <w:pPr>
        <w:ind w:left="720" w:hanging="360"/>
        <w:spacing w:after="0"/>
        <w:tabs>
          <w:tab w:leader="none" w:pos="720" w:val="left"/>
        </w:tabs>
        <w:numPr>
          <w:ilvl w:val="0"/>
          <w:numId w:val="78"/>
        </w:numPr>
        <w:rPr>
          <w:rFonts w:ascii="Arial" w:cs="Arial" w:eastAsia="Arial" w:hAnsi="Arial"/>
          <w:sz w:val="16"/>
          <w:szCs w:val="16"/>
          <w:color w:val="C7D265"/>
        </w:rPr>
      </w:pPr>
      <w:r>
        <w:rPr>
          <w:rFonts w:ascii="Arial" w:cs="Arial" w:eastAsia="Arial" w:hAnsi="Arial"/>
          <w:sz w:val="16"/>
          <w:szCs w:val="16"/>
          <w:color w:val="0E2A35"/>
        </w:rPr>
        <w:t>Giving written notice before the vote to our Secretary, stating that you are revoking your proxy; or</w:t>
      </w:r>
    </w:p>
    <w:p>
      <w:pPr>
        <w:spacing w:after="0" w:line="180" w:lineRule="exact"/>
        <w:rPr>
          <w:rFonts w:ascii="Arial" w:cs="Arial" w:eastAsia="Arial" w:hAnsi="Arial"/>
          <w:sz w:val="16"/>
          <w:szCs w:val="16"/>
          <w:color w:val="C7D265"/>
        </w:rPr>
      </w:pPr>
    </w:p>
    <w:p>
      <w:pPr>
        <w:ind w:left="720" w:hanging="360"/>
        <w:spacing w:after="0"/>
        <w:tabs>
          <w:tab w:leader="none" w:pos="720" w:val="left"/>
        </w:tabs>
        <w:numPr>
          <w:ilvl w:val="0"/>
          <w:numId w:val="78"/>
        </w:numPr>
        <w:rPr>
          <w:rFonts w:ascii="Arial" w:cs="Arial" w:eastAsia="Arial" w:hAnsi="Arial"/>
          <w:sz w:val="16"/>
          <w:szCs w:val="16"/>
          <w:color w:val="C7D265"/>
        </w:rPr>
      </w:pPr>
      <w:r>
        <w:rPr>
          <w:rFonts w:ascii="Arial" w:cs="Arial" w:eastAsia="Arial" w:hAnsi="Arial"/>
          <w:sz w:val="16"/>
          <w:szCs w:val="16"/>
          <w:color w:val="0E2A35"/>
        </w:rPr>
        <w:t>Attending the Annual Meeting and voting via the online voting platform.</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0E2A35"/>
        </w:rPr>
        <w:t>To revoke your proxy by internet or telephone, you must do so by 12:00 p.m. Central Standard Time on December 13, 2023.</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0E2A35"/>
        </w:rPr>
        <w:t>Attending the Annual Meeting will not, by itself, revoke your proxy.</w:t>
      </w:r>
    </w:p>
    <w:p>
      <w:pPr>
        <w:spacing w:after="0" w:line="211"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Other Information</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Forward-looking Information</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0E2A35"/>
        </w:rPr>
        <w:t>Statements made in this proxy statement that are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forward-looking statements include (without limitation) statements as to future expectations, beliefs, plans, strategies, objectives, events, conditions and financial performance.</w:t>
      </w:r>
    </w:p>
    <w:p>
      <w:pPr>
        <w:spacing w:after="0" w:line="151"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0E2A35"/>
        </w:rPr>
        <w:t>These statements are intended to constitute “forward-looking” statements in connection with the “safe harbor” provisions of the Private Securities Litigation Reform Act of 1995. The Company is providing this cautionary statement to disclose that there are important factors that could cause actual results to differ materially from those anticipated. Reference is made to our Annual Report on Form 10-K for the fiscal year ended August 26, 2023 filed with the SEC for a list of such factors.</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Other Matters</w:t>
      </w:r>
    </w:p>
    <w:p>
      <w:pPr>
        <w:spacing w:after="0" w:line="201" w:lineRule="exact"/>
        <w:rPr>
          <w:sz w:val="20"/>
          <w:szCs w:val="20"/>
          <w:color w:val="auto"/>
        </w:rPr>
      </w:pPr>
    </w:p>
    <w:p>
      <w:pPr>
        <w:ind w:right="400"/>
        <w:spacing w:after="0" w:line="261" w:lineRule="auto"/>
        <w:rPr>
          <w:sz w:val="20"/>
          <w:szCs w:val="20"/>
          <w:color w:val="auto"/>
        </w:rPr>
      </w:pPr>
      <w:r>
        <w:rPr>
          <w:rFonts w:ascii="Arial" w:cs="Arial" w:eastAsia="Arial" w:hAnsi="Arial"/>
          <w:sz w:val="16"/>
          <w:szCs w:val="16"/>
          <w:color w:val="0E2A35"/>
        </w:rPr>
        <w:t>The Board is not aware of any matters expected to come before the Annual Meeting other than those described in this proxy statement. If any other matter properly comes before the Annual Meeting, the proxies received will be voted with the best judgment of the persons designated to vote the proxies.</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Delinquent Section 16(a) Reports</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16"/>
          <w:szCs w:val="16"/>
          <w:color w:val="0E2A35"/>
        </w:rPr>
        <w:t>Section 16(a) of the Exchange Act requires our directors, executive officers and persons who own more than 10% of our common stock to file reports of ownership and changes in ownership with the SEC. Such directors, executive officers and shareholders are also required by SEC rules to provide us with copies of all Section 16(a) forms that they file. Based solely on our review of the copies of such forms provided to us and written representations that no reports were required to be filed during fiscal 2023, we believe that for fiscal 2023, all required reports were filed on a timely basis under Section 16(a), except for one Form 4 filing for Mr. Fisher, reporting two different deferred stock unit settlements (affecting both the disposition of a derivative security and acquisition of a non-derivative security), due to administrative oversight.</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Fiscal 2024 Shareholder Proposals</w:t>
      </w:r>
    </w:p>
    <w:p>
      <w:pPr>
        <w:spacing w:after="0" w:line="188"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0E2A35"/>
        </w:rPr>
        <w:t>To be considered for inclusion in our proxy statement for the 2024 annual meeting of shareholders, shareholder proposals other than a director nomination must comply with Rule 14a-8 under the Exchange Act and must be submitted in writing and received by us no later than July 6, 2024 at our principal executive offices, addressed to the Secretary.</w:t>
      </w:r>
    </w:p>
    <w:p>
      <w:pPr>
        <w:spacing w:after="0" w:line="15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0E2A35"/>
        </w:rPr>
        <w:t>A shareholder proposal that is not intended for inclusion in our proxy statement under Rule 14a-8 or a shareholder nomination of a director candidate may be brought before the 2023 Annual Meeting so long as we receive information and notice of the proposal in compliance with the requirements of our bylaws. Notice of such proposal or nomination must be addressed to the Secretary at our principal executive offices and received no later than September 15, 2024 and no earlier than August 16, 2024.</w:t>
      </w:r>
    </w:p>
    <w:p>
      <w:pPr>
        <w:spacing w:after="0" w:line="14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0E2A35"/>
        </w:rPr>
        <w:t>In addition, to comply with the SEC’s universal proxy rules, a shareholder who intends to solicit proxies in support of director nominees other than the Company’s nominees, must provide notice that sets forth the information required by Rule 14a-19 of the Exchange Act no later than October 15, 2024. However, this date does not supersede any of the requirements or timing required by our bylaws.</w:t>
      </w:r>
    </w:p>
    <w:p>
      <w:pPr>
        <w:spacing w:after="0" w:line="146"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0E2A35"/>
        </w:rPr>
        <w:t>It is also possible that certain other deadlines would apply under either the Exchange Act rules or our bylaws if, for example, the date of our 2024 annual meeting of shareholders differs from the anniversary of the 2023 Annual Meeting by more than the number of days specified in the Exchange Act rules or our bylaws, as applicable.</w:t>
      </w:r>
    </w:p>
    <w:p>
      <w:pPr>
        <w:spacing w:after="0" w:line="156" w:lineRule="exact"/>
        <w:rPr>
          <w:sz w:val="20"/>
          <w:szCs w:val="20"/>
          <w:color w:val="auto"/>
        </w:rPr>
      </w:pPr>
    </w:p>
    <w:p>
      <w:pPr>
        <w:ind w:right="340"/>
        <w:spacing w:after="0" w:line="276" w:lineRule="auto"/>
        <w:rPr>
          <w:sz w:val="20"/>
          <w:szCs w:val="20"/>
          <w:color w:val="auto"/>
        </w:rPr>
      </w:pPr>
      <w:r>
        <w:rPr>
          <w:rFonts w:ascii="Arial" w:cs="Arial" w:eastAsia="Arial" w:hAnsi="Arial"/>
          <w:sz w:val="16"/>
          <w:szCs w:val="16"/>
          <w:color w:val="0E2A35"/>
        </w:rPr>
        <w:t>A copy of our bylaws may be obtained by written request to: Winnebago Industries, Inc., Attn: Senior Vice President, General Counsel, Secretary and Corporate Responsibility, 13200 Pioneer Trail, Eden Prairie, Minnesota 55347.</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Proxy Solicitation Costs</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0E2A35"/>
        </w:rPr>
        <w:t>We will pay the cost of soliciting proxies. The Company will be soliciting proxies primarily through the internet and the use of mail. Our directors and employees (without additional compensation) may also solicit proxies in person, by telephone or email. We will reimburse brokers, banks, and other custodians, nominees, and fiduciaries for reasonable expenses incurred in forwarding proxies and proxy materials to the beneficial owners of Winnebago Industries stock.</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C7D265"/>
        </w:rPr>
        <w:t>Annual Report</w:t>
      </w:r>
    </w:p>
    <w:p>
      <w:pPr>
        <w:spacing w:after="0" w:line="18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0E2A35"/>
        </w:rPr>
        <w:t xml:space="preserve">Our Annual Report on Form 10-K for the fiscal year ended August 26, 2023 is available on our website at </w:t>
      </w:r>
      <w:r>
        <w:rPr>
          <w:rFonts w:ascii="Arial" w:cs="Arial" w:eastAsia="Arial" w:hAnsi="Arial"/>
          <w:sz w:val="16"/>
          <w:szCs w:val="16"/>
          <w:b w:val="1"/>
          <w:bCs w:val="1"/>
          <w:color w:val="0E2A35"/>
        </w:rPr>
        <w:t xml:space="preserve">www.winnebagoind.com </w:t>
      </w:r>
      <w:r>
        <w:rPr>
          <w:rFonts w:ascii="Arial" w:cs="Arial" w:eastAsia="Arial" w:hAnsi="Arial"/>
          <w:sz w:val="16"/>
          <w:szCs w:val="16"/>
          <w:color w:val="0E2A35"/>
        </w:rPr>
        <w:t>under “Finance Information” in the “Investors” section. The financial statements contained in the</w:t>
      </w:r>
      <w:r>
        <w:rPr>
          <w:rFonts w:ascii="Arial" w:cs="Arial" w:eastAsia="Arial" w:hAnsi="Arial"/>
          <w:sz w:val="16"/>
          <w:szCs w:val="16"/>
          <w:b w:val="1"/>
          <w:bCs w:val="1"/>
          <w:color w:val="0E2A35"/>
        </w:rPr>
        <w:t xml:space="preserve"> </w:t>
      </w:r>
      <w:r>
        <w:rPr>
          <w:rFonts w:ascii="Arial" w:cs="Arial" w:eastAsia="Arial" w:hAnsi="Arial"/>
          <w:sz w:val="16"/>
          <w:szCs w:val="16"/>
          <w:color w:val="0E2A35"/>
        </w:rPr>
        <w:t>Annual Report on Form 10-K are not deemed material to the exercise of prudent judgment in regard to any matter to be acted upon at the Annual Meeting and, therefore, such financial statements are not incorporated in this proxy statement by reference. You may also request a free copy of our Annual Report on Form 10-K and this proxy statement by writing to Winnebago Industries, Inc., Attn: Senior Vice President, General Counsel, Secretary and Corporate Responsibility, 13200 Pioneer Trail, Eden Prairie, Minnesota 55347.</w:t>
      </w:r>
    </w:p>
    <w:p>
      <w:pPr>
        <w:spacing w:after="0" w:line="246" w:lineRule="exact"/>
        <w:rPr>
          <w:sz w:val="20"/>
          <w:szCs w:val="20"/>
          <w:color w:val="auto"/>
        </w:rPr>
      </w:pPr>
    </w:p>
    <w:p>
      <w:pPr>
        <w:ind w:left="4760"/>
        <w:spacing w:after="0"/>
        <w:rPr>
          <w:sz w:val="20"/>
          <w:szCs w:val="20"/>
          <w:color w:val="auto"/>
        </w:rPr>
      </w:pPr>
      <w:r>
        <w:rPr>
          <w:rFonts w:ascii="Arial" w:cs="Arial" w:eastAsia="Arial" w:hAnsi="Arial"/>
          <w:sz w:val="16"/>
          <w:szCs w:val="16"/>
          <w:color w:val="0E2A35"/>
        </w:rPr>
        <w:t>By Order of the Board of Directors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0E2A35"/>
        </w:rPr>
        <w:t>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-109855</wp:posOffset>
            </wp:positionV>
            <wp:extent cx="1431290" cy="3086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431290" cy="308610"/>
                    </a:xfrm>
                    <a:prstGeom prst="rect">
                      <a:avLst/>
                    </a:prstGeom>
                    <a:noFill/>
                  </pic:spPr>
                </pic:pic>
              </a:graphicData>
            </a:graphic>
          </wp:anchor>
        </w:drawing>
      </w:r>
    </w:p>
    <w:p>
      <w:pPr>
        <w:spacing w:after="0" w:line="282" w:lineRule="exact"/>
        <w:rPr>
          <w:sz w:val="20"/>
          <w:szCs w:val="20"/>
          <w:color w:val="auto"/>
        </w:rPr>
      </w:pPr>
    </w:p>
    <w:p>
      <w:pPr>
        <w:ind w:left="4760"/>
        <w:spacing w:after="0"/>
        <w:rPr>
          <w:sz w:val="20"/>
          <w:szCs w:val="20"/>
          <w:color w:val="auto"/>
        </w:rPr>
      </w:pPr>
      <w:r>
        <w:rPr>
          <w:rFonts w:ascii="Arial" w:cs="Arial" w:eastAsia="Arial" w:hAnsi="Arial"/>
          <w:sz w:val="16"/>
          <w:szCs w:val="16"/>
          <w:color w:val="0E2A35"/>
        </w:rPr>
        <w:t> </w:t>
      </w:r>
    </w:p>
    <w:p>
      <w:pPr>
        <w:spacing w:after="0" w:line="113" w:lineRule="exact"/>
        <w:rPr>
          <w:sz w:val="20"/>
          <w:szCs w:val="20"/>
          <w:color w:val="auto"/>
        </w:rPr>
      </w:pPr>
    </w:p>
    <w:p>
      <w:pPr>
        <w:ind w:left="4760"/>
        <w:spacing w:after="0"/>
        <w:rPr>
          <w:sz w:val="20"/>
          <w:szCs w:val="20"/>
          <w:color w:val="auto"/>
        </w:rPr>
      </w:pPr>
      <w:r>
        <w:rPr>
          <w:rFonts w:ascii="Arial" w:cs="Arial" w:eastAsia="Arial" w:hAnsi="Arial"/>
          <w:sz w:val="16"/>
          <w:szCs w:val="16"/>
          <w:color w:val="0E2A35"/>
        </w:rPr>
        <w:t>Stacy L. Bogart</w:t>
      </w:r>
    </w:p>
    <w:p>
      <w:pPr>
        <w:spacing w:after="0" w:line="113" w:lineRule="exact"/>
        <w:rPr>
          <w:sz w:val="20"/>
          <w:szCs w:val="20"/>
          <w:color w:val="auto"/>
        </w:rPr>
      </w:pPr>
    </w:p>
    <w:p>
      <w:pPr>
        <w:ind w:left="4760"/>
        <w:spacing w:after="0"/>
        <w:rPr>
          <w:sz w:val="20"/>
          <w:szCs w:val="20"/>
          <w:color w:val="auto"/>
        </w:rPr>
      </w:pPr>
      <w:r>
        <w:rPr>
          <w:rFonts w:ascii="Arial" w:cs="Arial" w:eastAsia="Arial" w:hAnsi="Arial"/>
          <w:sz w:val="16"/>
          <w:szCs w:val="16"/>
          <w:color w:val="0E2A35"/>
        </w:rPr>
        <w:t>Senior Vice President - General Counsel, Secretary and</w:t>
      </w:r>
    </w:p>
    <w:p>
      <w:pPr>
        <w:spacing w:after="0" w:line="17" w:lineRule="exact"/>
        <w:rPr>
          <w:sz w:val="20"/>
          <w:szCs w:val="20"/>
          <w:color w:val="auto"/>
        </w:rPr>
      </w:pPr>
    </w:p>
    <w:p>
      <w:pPr>
        <w:ind w:left="4760"/>
        <w:spacing w:after="0"/>
        <w:rPr>
          <w:sz w:val="20"/>
          <w:szCs w:val="20"/>
          <w:color w:val="auto"/>
        </w:rPr>
      </w:pPr>
      <w:r>
        <w:rPr>
          <w:rFonts w:ascii="Arial" w:cs="Arial" w:eastAsia="Arial" w:hAnsi="Arial"/>
          <w:sz w:val="16"/>
          <w:szCs w:val="16"/>
          <w:color w:val="0E2A35"/>
        </w:rPr>
        <w:t>Corporate Responsibility</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E2A35"/>
        </w:rPr>
        <w:t>Appendix A</w:t>
      </w:r>
    </w:p>
    <w:p>
      <w:pPr>
        <w:spacing w:after="0" w:line="231"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Winnebago Industries, Inc.</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Amended and Restated</w:t>
      </w:r>
    </w:p>
    <w:p>
      <w:pPr>
        <w:spacing w:after="0"/>
        <w:rPr>
          <w:sz w:val="20"/>
          <w:szCs w:val="20"/>
          <w:color w:val="auto"/>
        </w:rPr>
      </w:pPr>
      <w:r>
        <w:rPr>
          <w:rFonts w:ascii="Arial" w:cs="Arial" w:eastAsia="Arial" w:hAnsi="Arial"/>
          <w:sz w:val="27"/>
          <w:szCs w:val="27"/>
          <w:b w:val="1"/>
          <w:bCs w:val="1"/>
          <w:color w:val="0E2A35"/>
        </w:rPr>
        <w:t>2019 Omnibus Incentive Plan</w:t>
      </w:r>
    </w:p>
    <w:p>
      <w:pPr>
        <w:spacing w:after="0" w:line="17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0E2A35"/>
        </w:rPr>
        <w:t>1. </w:t>
      </w:r>
      <w:r>
        <w:rPr>
          <w:rFonts w:ascii="Arial" w:cs="Arial" w:eastAsia="Arial" w:hAnsi="Arial"/>
          <w:sz w:val="16"/>
          <w:szCs w:val="16"/>
          <w:b w:val="1"/>
          <w:bCs w:val="1"/>
          <w:u w:val="single" w:color="auto"/>
          <w:color w:val="0E2A35"/>
        </w:rPr>
        <w:t>Purpose</w:t>
      </w:r>
      <w:r>
        <w:rPr>
          <w:rFonts w:ascii="Arial" w:cs="Arial" w:eastAsia="Arial" w:hAnsi="Arial"/>
          <w:sz w:val="16"/>
          <w:szCs w:val="16"/>
          <w:b w:val="1"/>
          <w:bCs w:val="1"/>
          <w:color w:val="0E2A35"/>
        </w:rPr>
        <w:t>.</w:t>
      </w:r>
      <w:r>
        <w:rPr>
          <w:rFonts w:ascii="Arial" w:cs="Arial" w:eastAsia="Arial" w:hAnsi="Arial"/>
          <w:sz w:val="16"/>
          <w:szCs w:val="16"/>
          <w:color w:val="0E2A35"/>
        </w:rPr>
        <w:t xml:space="preserve"> The Company previously adopted the 2019 Omnibus Incentive Plan, which was adopted by the Board of Directors on October 16, 2018, and approved by the shareholders of the Company on December 11, 2018 (the “Effective Date”). The Company hereby amends and restates the 2019 Omnibus Incentive Plan. The purpose of the Winnebago Industries, Inc. Amended and Restated 2019 Omnibus Incentive Plan (the “Plan”) is to attract and retain the best available personnel for positions of responsibility with the Company, to provide additional incentives to them and align their interests with those of the Company’s stockholders, and to thereby promote the Company’s long-term business success. The terms of this Amended and Restated 2019 Omnibus Incentive Plan shall apply to Awards granted on and after the Restatement Date.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0E2A35"/>
        </w:rPr>
        <w:t>2. </w:t>
      </w:r>
      <w:r>
        <w:rPr>
          <w:rFonts w:ascii="Arial" w:cs="Arial" w:eastAsia="Arial" w:hAnsi="Arial"/>
          <w:sz w:val="16"/>
          <w:szCs w:val="16"/>
          <w:b w:val="1"/>
          <w:bCs w:val="1"/>
          <w:u w:val="single" w:color="auto"/>
          <w:color w:val="0E2A35"/>
        </w:rPr>
        <w:t>Definitions</w:t>
      </w:r>
      <w:r>
        <w:rPr>
          <w:rFonts w:ascii="Arial" w:cs="Arial" w:eastAsia="Arial" w:hAnsi="Arial"/>
          <w:sz w:val="16"/>
          <w:szCs w:val="16"/>
          <w:b w:val="1"/>
          <w:bCs w:val="1"/>
          <w:color w:val="0E2A35"/>
        </w:rPr>
        <w:t>.</w:t>
      </w:r>
      <w:r>
        <w:rPr>
          <w:rFonts w:ascii="Arial" w:cs="Arial" w:eastAsia="Arial" w:hAnsi="Arial"/>
          <w:sz w:val="16"/>
          <w:szCs w:val="16"/>
          <w:color w:val="0E2A35"/>
        </w:rPr>
        <w:t xml:space="preserve"> In this Plan, the following definitions will apply.</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(a) “</w:t>
      </w:r>
      <w:r>
        <w:rPr>
          <w:rFonts w:ascii="Arial" w:cs="Arial" w:eastAsia="Arial" w:hAnsi="Arial"/>
          <w:sz w:val="16"/>
          <w:szCs w:val="16"/>
          <w:u w:val="single" w:color="auto"/>
          <w:color w:val="0E2A35"/>
        </w:rPr>
        <w:t>Affiliate</w:t>
      </w:r>
      <w:r>
        <w:rPr>
          <w:rFonts w:ascii="Arial" w:cs="Arial" w:eastAsia="Arial" w:hAnsi="Arial"/>
          <w:sz w:val="16"/>
          <w:szCs w:val="16"/>
          <w:color w:val="0E2A35"/>
        </w:rPr>
        <w:t>” means any entity that is a Subsidiary of the Company.</w:t>
      </w:r>
    </w:p>
    <w:p>
      <w:pPr>
        <w:spacing w:after="0" w:line="181" w:lineRule="exact"/>
        <w:rPr>
          <w:sz w:val="20"/>
          <w:szCs w:val="20"/>
          <w:color w:val="auto"/>
        </w:rPr>
      </w:pPr>
    </w:p>
    <w:p>
      <w:pPr>
        <w:ind w:left="360" w:right="120"/>
        <w:spacing w:after="0" w:line="261" w:lineRule="auto"/>
        <w:rPr>
          <w:sz w:val="20"/>
          <w:szCs w:val="20"/>
          <w:color w:val="auto"/>
        </w:rPr>
      </w:pPr>
      <w:r>
        <w:rPr>
          <w:rFonts w:ascii="Arial" w:cs="Arial" w:eastAsia="Arial" w:hAnsi="Arial"/>
          <w:sz w:val="16"/>
          <w:szCs w:val="16"/>
          <w:color w:val="0E2A35"/>
        </w:rPr>
        <w:t>(b) “Agreement” means the written or electronic agreement, notice or other document containing the terms and conditions applicable to each Award granted under the Plan, including all amendments thereto. An Agreement is subject to the terms and conditions of the Plan.</w:t>
      </w:r>
    </w:p>
    <w:p>
      <w:pPr>
        <w:spacing w:after="0" w:line="142" w:lineRule="exact"/>
        <w:rPr>
          <w:sz w:val="20"/>
          <w:szCs w:val="20"/>
          <w:color w:val="auto"/>
        </w:rPr>
      </w:pPr>
    </w:p>
    <w:p>
      <w:pPr>
        <w:ind w:left="360" w:right="80"/>
        <w:spacing w:after="0" w:line="276" w:lineRule="auto"/>
        <w:rPr>
          <w:sz w:val="20"/>
          <w:szCs w:val="20"/>
          <w:color w:val="auto"/>
        </w:rPr>
      </w:pPr>
      <w:r>
        <w:rPr>
          <w:rFonts w:ascii="Arial" w:cs="Arial" w:eastAsia="Arial" w:hAnsi="Arial"/>
          <w:sz w:val="16"/>
          <w:szCs w:val="16"/>
          <w:color w:val="0E2A35"/>
        </w:rPr>
        <w:t>(c) “Award” means a grant made under the Plan in the form of Options, Stock Appreciation Rights, Restricted Stock, Stock Units or an Other Stock-Based Award.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(d) “Board” means the Board of Directors of the Company.</w:t>
      </w:r>
    </w:p>
    <w:p>
      <w:pPr>
        <w:spacing w:after="0" w:line="194" w:lineRule="exact"/>
        <w:rPr>
          <w:sz w:val="20"/>
          <w:szCs w:val="20"/>
          <w:color w:val="auto"/>
        </w:rPr>
      </w:pPr>
    </w:p>
    <w:p>
      <w:pPr>
        <w:ind w:left="360" w:right="20"/>
        <w:spacing w:after="0" w:line="249" w:lineRule="auto"/>
        <w:rPr>
          <w:sz w:val="20"/>
          <w:szCs w:val="20"/>
          <w:color w:val="auto"/>
        </w:rPr>
      </w:pPr>
      <w:r>
        <w:rPr>
          <w:rFonts w:ascii="Arial" w:cs="Arial" w:eastAsia="Arial" w:hAnsi="Arial"/>
          <w:sz w:val="16"/>
          <w:szCs w:val="16"/>
          <w:color w:val="0E2A35"/>
        </w:rPr>
        <w:t>(e) “Cause” means, unless otherwise defined in a then-effective written agreement (including an Agreement) between a Participant and the Company or any Affiliate, a Participant’s (i) 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(f) “Change in Control” means, unless otherwise defined in a then-effective written agreement (including an Agreement)</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between a Participant and the Company or any Affiliate, one of the following:</w:t>
      </w:r>
    </w:p>
    <w:p>
      <w:pPr>
        <w:spacing w:after="0" w:line="169" w:lineRule="exact"/>
        <w:rPr>
          <w:sz w:val="20"/>
          <w:szCs w:val="20"/>
          <w:color w:val="auto"/>
        </w:rPr>
      </w:pPr>
    </w:p>
    <w:p>
      <w:pPr>
        <w:ind w:left="720" w:right="240"/>
        <w:spacing w:after="0" w:line="261" w:lineRule="auto"/>
        <w:rPr>
          <w:sz w:val="20"/>
          <w:szCs w:val="20"/>
          <w:color w:val="auto"/>
        </w:rPr>
      </w:pPr>
      <w:r>
        <w:rPr>
          <w:rFonts w:ascii="Arial" w:cs="Arial" w:eastAsia="Arial" w:hAnsi="Arial"/>
          <w:sz w:val="16"/>
          <w:szCs w:val="16"/>
          <w:color w:val="0E2A35"/>
        </w:rPr>
        <w:t>(1) An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w:t>
      </w:r>
    </w:p>
    <w:p>
      <w:pPr>
        <w:spacing w:after="0" w:line="156" w:lineRule="exact"/>
        <w:rPr>
          <w:sz w:val="20"/>
          <w:szCs w:val="20"/>
          <w:color w:val="auto"/>
        </w:rPr>
      </w:pPr>
    </w:p>
    <w:p>
      <w:pPr>
        <w:ind w:left="1080" w:right="100"/>
        <w:spacing w:after="0" w:line="276" w:lineRule="auto"/>
        <w:rPr>
          <w:sz w:val="20"/>
          <w:szCs w:val="20"/>
          <w:color w:val="auto"/>
        </w:rPr>
      </w:pPr>
      <w:r>
        <w:rPr>
          <w:rFonts w:ascii="Arial" w:cs="Arial" w:eastAsia="Arial" w:hAnsi="Arial"/>
          <w:sz w:val="16"/>
          <w:szCs w:val="16"/>
          <w:color w:val="0E2A35"/>
        </w:rPr>
        <w:t>(A) any acquisition of securities of the Company by an Exchange Act Person from the Company for the purpose of providing financing to the Company;</w:t>
      </w:r>
    </w:p>
    <w:p>
      <w:pPr>
        <w:spacing w:after="0" w:line="130" w:lineRule="exact"/>
        <w:rPr>
          <w:sz w:val="20"/>
          <w:szCs w:val="20"/>
          <w:color w:val="auto"/>
        </w:rPr>
      </w:pPr>
    </w:p>
    <w:p>
      <w:pPr>
        <w:ind w:left="1080" w:right="120"/>
        <w:spacing w:after="0" w:line="276" w:lineRule="auto"/>
        <w:rPr>
          <w:sz w:val="20"/>
          <w:szCs w:val="20"/>
          <w:color w:val="auto"/>
        </w:rPr>
      </w:pPr>
      <w:r>
        <w:rPr>
          <w:rFonts w:ascii="Arial" w:cs="Arial" w:eastAsia="Arial" w:hAnsi="Arial"/>
          <w:sz w:val="16"/>
          <w:szCs w:val="16"/>
          <w:color w:val="0E2A35"/>
        </w:rPr>
        <w:t>(B) any formation of a Group consisting solely of beneficial owners of the Company's Voting Securities as of the Effective Date; or</w:t>
      </w:r>
    </w:p>
    <w:p>
      <w:pPr>
        <w:spacing w:after="0" w:line="130" w:lineRule="exact"/>
        <w:rPr>
          <w:sz w:val="20"/>
          <w:szCs w:val="20"/>
          <w:color w:val="auto"/>
        </w:rPr>
      </w:pPr>
    </w:p>
    <w:p>
      <w:pPr>
        <w:ind w:left="1080" w:right="200"/>
        <w:spacing w:after="0" w:line="276" w:lineRule="auto"/>
        <w:rPr>
          <w:sz w:val="20"/>
          <w:szCs w:val="20"/>
          <w:color w:val="auto"/>
        </w:rPr>
      </w:pPr>
      <w:r>
        <w:rPr>
          <w:rFonts w:ascii="Arial" w:cs="Arial" w:eastAsia="Arial" w:hAnsi="Arial"/>
          <w:sz w:val="16"/>
          <w:szCs w:val="16"/>
          <w:color w:val="0E2A35"/>
        </w:rPr>
        <w:t>(C) any repurchase or other acquisition by the Company of its Voting Securities that causes any Exchange Act Person to become the beneficial owner of 30% or more of the Company’s Voting Securities.</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720" w:right="40"/>
        <w:spacing w:after="0" w:line="256" w:lineRule="auto"/>
        <w:rPr>
          <w:sz w:val="20"/>
          <w:szCs w:val="20"/>
          <w:color w:val="auto"/>
        </w:rPr>
      </w:pPr>
      <w:r>
        <w:rPr>
          <w:rFonts w:ascii="Arial" w:cs="Arial" w:eastAsia="Arial" w:hAnsi="Arial"/>
          <w:sz w:val="16"/>
          <w:szCs w:val="16"/>
          <w:color w:val="0E2A35"/>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spacing w:after="0" w:line="160" w:lineRule="exact"/>
        <w:rPr>
          <w:sz w:val="20"/>
          <w:szCs w:val="20"/>
          <w:color w:val="auto"/>
        </w:rPr>
      </w:pPr>
    </w:p>
    <w:p>
      <w:pPr>
        <w:ind w:left="720" w:right="460"/>
        <w:spacing w:after="0" w:line="276" w:lineRule="auto"/>
        <w:rPr>
          <w:sz w:val="20"/>
          <w:szCs w:val="20"/>
          <w:color w:val="auto"/>
        </w:rPr>
      </w:pPr>
      <w:r>
        <w:rPr>
          <w:rFonts w:ascii="Arial" w:cs="Arial" w:eastAsia="Arial" w:hAnsi="Arial"/>
          <w:sz w:val="16"/>
          <w:szCs w:val="16"/>
          <w:color w:val="0E2A35"/>
        </w:rPr>
        <w:t>(2) Individuals who are Continuing Directors cease for any reason to constitute a majority of the members of the Board.</w:t>
      </w:r>
    </w:p>
    <w:p>
      <w:pPr>
        <w:spacing w:after="0" w:line="130" w:lineRule="exact"/>
        <w:rPr>
          <w:sz w:val="20"/>
          <w:szCs w:val="20"/>
          <w:color w:val="auto"/>
        </w:rPr>
      </w:pPr>
    </w:p>
    <w:p>
      <w:pPr>
        <w:ind w:left="720" w:right="60"/>
        <w:spacing w:after="0" w:line="252" w:lineRule="auto"/>
        <w:rPr>
          <w:sz w:val="20"/>
          <w:szCs w:val="20"/>
          <w:color w:val="auto"/>
        </w:rPr>
      </w:pPr>
      <w:r>
        <w:rPr>
          <w:rFonts w:ascii="Arial" w:cs="Arial" w:eastAsia="Arial" w:hAnsi="Arial"/>
          <w:sz w:val="16"/>
          <w:szCs w:val="16"/>
          <w:color w:val="0E2A35"/>
        </w:rPr>
        <w:t>(3) A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150" w:lineRule="exact"/>
        <w:rPr>
          <w:sz w:val="20"/>
          <w:szCs w:val="20"/>
          <w:color w:val="auto"/>
        </w:rPr>
      </w:pPr>
    </w:p>
    <w:p>
      <w:pPr>
        <w:ind w:left="360" w:right="140"/>
        <w:spacing w:after="0" w:line="253" w:lineRule="auto"/>
        <w:rPr>
          <w:sz w:val="20"/>
          <w:szCs w:val="20"/>
          <w:color w:val="auto"/>
        </w:rPr>
      </w:pPr>
      <w:r>
        <w:rPr>
          <w:rFonts w:ascii="Arial" w:cs="Arial" w:eastAsia="Arial" w:hAnsi="Arial"/>
          <w:sz w:val="16"/>
          <w:szCs w:val="16"/>
          <w:color w:val="0E2A35"/>
        </w:rPr>
        <w:t>Notwithstanding the foregoing, to the extent that any Award constitutes a deferral of compensation subject to Code Section 409A, and if that Award provides for a change in the time or form of payment upon a Change in Control, then no Change in Control shall be deemed to have occurred upon an event described in this Section 2(f) unless the event would also constitute a change in ownership or effective control of, or a change in the ownership of a substantial portion of the assets of, the Company under Code Section 409A.</w:t>
      </w:r>
    </w:p>
    <w:p>
      <w:pPr>
        <w:spacing w:after="0" w:line="164" w:lineRule="exact"/>
        <w:rPr>
          <w:sz w:val="20"/>
          <w:szCs w:val="20"/>
          <w:color w:val="auto"/>
        </w:rPr>
      </w:pPr>
    </w:p>
    <w:p>
      <w:pPr>
        <w:jc w:val="both"/>
        <w:ind w:left="360" w:right="300"/>
        <w:spacing w:after="0" w:line="261" w:lineRule="auto"/>
        <w:rPr>
          <w:sz w:val="20"/>
          <w:szCs w:val="20"/>
          <w:color w:val="auto"/>
        </w:rPr>
      </w:pPr>
      <w:r>
        <w:rPr>
          <w:rFonts w:ascii="Arial" w:cs="Arial" w:eastAsia="Arial" w:hAnsi="Arial"/>
          <w:sz w:val="16"/>
          <w:szCs w:val="16"/>
          <w:color w:val="0E2A35"/>
        </w:rPr>
        <w:t>(g) “Code” means the Internal Revenue Code of 1986, as amended and in effect from time to time. For purposes of the Plan, references to sections of the Code shall be deemed to include any applicable regulations and guidance thereunder and any successor or similar statutory provisions.</w:t>
      </w:r>
    </w:p>
    <w:p>
      <w:pPr>
        <w:spacing w:after="0" w:line="142" w:lineRule="exact"/>
        <w:rPr>
          <w:sz w:val="20"/>
          <w:szCs w:val="20"/>
          <w:color w:val="auto"/>
        </w:rPr>
      </w:pPr>
    </w:p>
    <w:p>
      <w:pPr>
        <w:ind w:left="360" w:right="60"/>
        <w:spacing w:after="0" w:line="261" w:lineRule="auto"/>
        <w:rPr>
          <w:sz w:val="20"/>
          <w:szCs w:val="20"/>
          <w:color w:val="auto"/>
        </w:rPr>
      </w:pPr>
      <w:r>
        <w:rPr>
          <w:rFonts w:ascii="Arial" w:cs="Arial" w:eastAsia="Arial" w:hAnsi="Arial"/>
          <w:sz w:val="16"/>
          <w:szCs w:val="16"/>
          <w:color w:val="0E2A35"/>
        </w:rPr>
        <w:t>(h) “Committee” means two or more Non-Employee Directors designated by the Board to administer the Plan under Section 3, each member of which shall be (i) an independent director within the meaning of applicable stock exchange rules and regulations and (ii) a non-employee director within the meaning of Exchange Act Rule 16b-3.</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(i) “Company” means Winnebago Industries, Inc., an Iowa corporation, and any successor thereto.</w:t>
      </w:r>
    </w:p>
    <w:p>
      <w:pPr>
        <w:spacing w:after="0" w:line="194" w:lineRule="exact"/>
        <w:rPr>
          <w:sz w:val="20"/>
          <w:szCs w:val="20"/>
          <w:color w:val="auto"/>
        </w:rPr>
      </w:pPr>
    </w:p>
    <w:p>
      <w:pPr>
        <w:jc w:val="both"/>
        <w:ind w:left="360" w:right="520"/>
        <w:spacing w:after="0" w:line="261" w:lineRule="auto"/>
        <w:rPr>
          <w:sz w:val="20"/>
          <w:szCs w:val="20"/>
          <w:color w:val="auto"/>
        </w:rPr>
      </w:pPr>
      <w:r>
        <w:rPr>
          <w:rFonts w:ascii="Arial" w:cs="Arial" w:eastAsia="Arial" w:hAnsi="Arial"/>
          <w:sz w:val="16"/>
          <w:szCs w:val="16"/>
          <w:color w:val="0E2A35"/>
        </w:rPr>
        <w:t>(j)  “Consultant” means any natural person who is a consultant or advisor, or is employed by a consultant or advisor retained by the Company or any Affiliate, and who provides services (other than in connection with (i) a capital-raising transaction or (ii) promoting or maintaining a market in Company securities) to the Company or any Affiliate.</w:t>
      </w:r>
    </w:p>
    <w:p>
      <w:pPr>
        <w:spacing w:after="0" w:line="142" w:lineRule="exact"/>
        <w:rPr>
          <w:sz w:val="20"/>
          <w:szCs w:val="20"/>
          <w:color w:val="auto"/>
        </w:rPr>
      </w:pPr>
    </w:p>
    <w:p>
      <w:pPr>
        <w:ind w:left="360"/>
        <w:spacing w:after="0" w:line="252" w:lineRule="auto"/>
        <w:rPr>
          <w:sz w:val="20"/>
          <w:szCs w:val="20"/>
          <w:color w:val="auto"/>
        </w:rPr>
      </w:pPr>
      <w:r>
        <w:rPr>
          <w:rFonts w:ascii="Arial" w:cs="Arial" w:eastAsia="Arial" w:hAnsi="Arial"/>
          <w:sz w:val="16"/>
          <w:szCs w:val="16"/>
          <w:color w:val="0E2A35"/>
        </w:rPr>
        <w:t>(k) “Continuing Director” means an individual (i) who is, as of the Effective Date, a director of the Company, or (ii) who becomes a director of the Company after the Effective Date and whose initial election, or nomination for election by the Company’s stockholders,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(l) “Corporate Transaction” means (i) a sale or other disposition of all or substantially all of the assets of the Company, or</w:t>
      </w:r>
    </w:p>
    <w:p>
      <w:pPr>
        <w:spacing w:after="0" w:line="17" w:lineRule="exact"/>
        <w:rPr>
          <w:sz w:val="20"/>
          <w:szCs w:val="20"/>
          <w:color w:val="auto"/>
        </w:rPr>
      </w:pPr>
    </w:p>
    <w:p>
      <w:pPr>
        <w:ind w:left="360" w:right="640"/>
        <w:spacing w:after="0" w:line="260" w:lineRule="auto"/>
        <w:tabs>
          <w:tab w:leader="none" w:pos="585" w:val="left"/>
        </w:tabs>
        <w:numPr>
          <w:ilvl w:val="0"/>
          <w:numId w:val="79"/>
        </w:numPr>
        <w:rPr>
          <w:rFonts w:ascii="Arial" w:cs="Arial" w:eastAsia="Arial" w:hAnsi="Arial"/>
          <w:sz w:val="16"/>
          <w:szCs w:val="16"/>
          <w:color w:val="0E2A35"/>
        </w:rPr>
      </w:pPr>
      <w:r>
        <w:rPr>
          <w:rFonts w:ascii="Arial" w:cs="Arial" w:eastAsia="Arial" w:hAnsi="Arial"/>
          <w:sz w:val="16"/>
          <w:szCs w:val="16"/>
          <w:color w:val="0E2A35"/>
        </w:rPr>
        <w:t>a merger, consolidation, share exchange or similar transaction involving the Company, regardless of whether the Company is the surviving entity.</w:t>
      </w:r>
    </w:p>
    <w:p>
      <w:pPr>
        <w:spacing w:after="0" w:line="156" w:lineRule="exact"/>
        <w:rPr>
          <w:sz w:val="20"/>
          <w:szCs w:val="20"/>
          <w:color w:val="auto"/>
        </w:rPr>
      </w:pPr>
    </w:p>
    <w:p>
      <w:pPr>
        <w:jc w:val="both"/>
        <w:ind w:left="360" w:right="160"/>
        <w:spacing w:after="0" w:line="261" w:lineRule="auto"/>
        <w:rPr>
          <w:sz w:val="20"/>
          <w:szCs w:val="20"/>
          <w:color w:val="auto"/>
        </w:rPr>
      </w:pPr>
      <w:r>
        <w:rPr>
          <w:rFonts w:ascii="Arial" w:cs="Arial" w:eastAsia="Arial" w:hAnsi="Arial"/>
          <w:sz w:val="16"/>
          <w:szCs w:val="16"/>
          <w:color w:val="0E2A35"/>
        </w:rPr>
        <w:t>(m) “Disability” means (A) any permanent and total disability under any long-term disability plan or policy of the Company or its Affiliates that covers the Participant, or (B) if there is no such long-term disability plan or policy, “total and permanent disability” within the meaning of Code Section 22(e)(3).</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(n) “Effective Date” means December 11, 2018.</w:t>
      </w: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(o) “Employee” means an employee of the Company or an Affiliate.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(p) “Exchange Act” means the Securities Exchange Act of 1934, as amended and in effect from time to time.</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360" w:right="80"/>
        <w:spacing w:after="0" w:line="253" w:lineRule="auto"/>
        <w:rPr>
          <w:sz w:val="20"/>
          <w:szCs w:val="20"/>
          <w:color w:val="auto"/>
        </w:rPr>
      </w:pPr>
      <w:r>
        <w:rPr>
          <w:rFonts w:ascii="Arial" w:cs="Arial" w:eastAsia="Arial" w:hAnsi="Arial"/>
          <w:sz w:val="16"/>
          <w:szCs w:val="16"/>
          <w:color w:val="0E2A35"/>
        </w:rPr>
        <w:t>(q) “Exchange Act Person”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pacing w:after="0" w:line="218"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(r) “Fair Market Value” means the fair market value of a Share determined as follows:</w:t>
      </w:r>
    </w:p>
    <w:p>
      <w:pPr>
        <w:spacing w:after="0" w:line="194" w:lineRule="exact"/>
        <w:rPr>
          <w:sz w:val="20"/>
          <w:szCs w:val="20"/>
          <w:color w:val="auto"/>
        </w:rPr>
      </w:pPr>
    </w:p>
    <w:p>
      <w:pPr>
        <w:ind w:left="720"/>
        <w:spacing w:after="0" w:line="253" w:lineRule="auto"/>
        <w:rPr>
          <w:sz w:val="20"/>
          <w:szCs w:val="20"/>
          <w:color w:val="auto"/>
        </w:rPr>
      </w:pPr>
      <w:r>
        <w:rPr>
          <w:rFonts w:ascii="Arial" w:cs="Arial" w:eastAsia="Arial" w:hAnsi="Arial"/>
          <w:sz w:val="16"/>
          <w:szCs w:val="16"/>
          <w:color w:val="0E2A35"/>
        </w:rPr>
        <w:t xml:space="preserve">(1) If the Shares are readily tradable on an established securities market (as determined under Code Section 409A), then Fair Market Value will be the closing sales price for a Share on the principal securities market on which it trades on the date for which it is being determined, or if no sale of Shares occurred on that date, on the next preceding date on which a sale of Shares occurred, as reported in </w:t>
      </w:r>
      <w:r>
        <w:rPr>
          <w:rFonts w:ascii="Arial" w:cs="Arial" w:eastAsia="Arial" w:hAnsi="Arial"/>
          <w:sz w:val="16"/>
          <w:szCs w:val="16"/>
          <w:i w:val="1"/>
          <w:iCs w:val="1"/>
          <w:color w:val="0E2A35"/>
        </w:rPr>
        <w:t>The Wall Street Journal</w:t>
      </w:r>
      <w:r>
        <w:rPr>
          <w:rFonts w:ascii="Arial" w:cs="Arial" w:eastAsia="Arial" w:hAnsi="Arial"/>
          <w:sz w:val="16"/>
          <w:szCs w:val="16"/>
          <w:color w:val="0E2A35"/>
        </w:rPr>
        <w:t xml:space="preserve"> or such other source as the Committee deems reliable; or</w:t>
      </w:r>
    </w:p>
    <w:p>
      <w:pPr>
        <w:spacing w:after="0" w:line="151" w:lineRule="exact"/>
        <w:rPr>
          <w:sz w:val="20"/>
          <w:szCs w:val="20"/>
          <w:color w:val="auto"/>
        </w:rPr>
      </w:pPr>
    </w:p>
    <w:p>
      <w:pPr>
        <w:ind w:left="720" w:right="40"/>
        <w:spacing w:after="0" w:line="261" w:lineRule="auto"/>
        <w:rPr>
          <w:sz w:val="20"/>
          <w:szCs w:val="20"/>
          <w:color w:val="auto"/>
        </w:rPr>
      </w:pPr>
      <w:r>
        <w:rPr>
          <w:rFonts w:ascii="Arial" w:cs="Arial" w:eastAsia="Arial" w:hAnsi="Arial"/>
          <w:sz w:val="16"/>
          <w:szCs w:val="16"/>
          <w:color w:val="0E2A35"/>
        </w:rPr>
        <w:t>(2) If the Shares are not then readily tradable on an established securities market (as determined under Code Section 409A), then Fair Market Value will be determined by the Committee as the result of a reasonable application of a reasonable valuation method that satisfies the requirements of Code Section 409A.</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(s) “Full Value Award” means an Award other than an Option Award or Stock Appreciation Right Award.</w:t>
      </w:r>
    </w:p>
    <w:p>
      <w:pPr>
        <w:spacing w:after="0" w:line="181" w:lineRule="exact"/>
        <w:rPr>
          <w:sz w:val="20"/>
          <w:szCs w:val="20"/>
          <w:color w:val="auto"/>
        </w:rPr>
      </w:pPr>
    </w:p>
    <w:p>
      <w:pPr>
        <w:ind w:left="360" w:right="20"/>
        <w:spacing w:after="0" w:line="276" w:lineRule="auto"/>
        <w:rPr>
          <w:sz w:val="20"/>
          <w:szCs w:val="20"/>
          <w:color w:val="auto"/>
        </w:rPr>
      </w:pPr>
      <w:r>
        <w:rPr>
          <w:rFonts w:ascii="Arial" w:cs="Arial" w:eastAsia="Arial" w:hAnsi="Arial"/>
          <w:sz w:val="16"/>
          <w:szCs w:val="16"/>
          <w:color w:val="0E2A35"/>
        </w:rPr>
        <w:t>(t) “Grant Date” means the date on which the Committee approves the grant of an Award under the Plan, or such later date as may be specified by the Committee on the date the Committee approves the Award.</w:t>
      </w:r>
    </w:p>
    <w:p>
      <w:pPr>
        <w:spacing w:after="0" w:line="144" w:lineRule="exact"/>
        <w:rPr>
          <w:sz w:val="20"/>
          <w:szCs w:val="20"/>
          <w:color w:val="auto"/>
        </w:rPr>
      </w:pPr>
    </w:p>
    <w:p>
      <w:pPr>
        <w:ind w:left="360" w:right="140"/>
        <w:spacing w:after="0" w:line="276" w:lineRule="auto"/>
        <w:rPr>
          <w:sz w:val="20"/>
          <w:szCs w:val="20"/>
          <w:color w:val="auto"/>
        </w:rPr>
      </w:pPr>
      <w:r>
        <w:rPr>
          <w:rFonts w:ascii="Arial" w:cs="Arial" w:eastAsia="Arial" w:hAnsi="Arial"/>
          <w:sz w:val="16"/>
          <w:szCs w:val="16"/>
          <w:color w:val="0E2A35"/>
        </w:rPr>
        <w:t>(u) “Group” means two or more persons who act, or agree to act together, as a partnership, limited partnership, syndicate or other group for the purpose of acquiring, holding, voting or disposing of securities of the Company.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(v) “Non-Employee Director” means a member of the Board who is not an Employee.</w:t>
      </w:r>
    </w:p>
    <w:p>
      <w:pPr>
        <w:spacing w:after="0" w:line="181" w:lineRule="exact"/>
        <w:rPr>
          <w:sz w:val="20"/>
          <w:szCs w:val="20"/>
          <w:color w:val="auto"/>
        </w:rPr>
      </w:pPr>
    </w:p>
    <w:p>
      <w:pPr>
        <w:ind w:left="360" w:right="40"/>
        <w:spacing w:after="0" w:line="261" w:lineRule="auto"/>
        <w:rPr>
          <w:sz w:val="20"/>
          <w:szCs w:val="20"/>
          <w:color w:val="auto"/>
        </w:rPr>
      </w:pPr>
      <w:r>
        <w:rPr>
          <w:rFonts w:ascii="Arial" w:cs="Arial" w:eastAsia="Arial" w:hAnsi="Arial"/>
          <w:sz w:val="16"/>
          <w:szCs w:val="16"/>
          <w:color w:val="0E2A35"/>
        </w:rPr>
        <w:t>(w) “Option” means a right granted under the Plan to purchase a specified number of Shares at a specified price. An “Incentive Stock Option” or “ISO” means any Option designated as such and granted in accordance with the requirements of Code Section 422. A “Non-Qualified Stock Option” or “NQSO” means an Option other than an Incentive Stock Option.</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(x) “Other Stock-Based Award” means an Award described in Section 11 of this Plan.</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(y) “Parent” means a “parent corporation,” as defined in Code Section 424(e).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(z) “Participant” means a Service Provider to whom a then-outstanding Award has been granted under the Plan.</w:t>
      </w:r>
    </w:p>
    <w:p>
      <w:pPr>
        <w:spacing w:after="0" w:line="181" w:lineRule="exact"/>
        <w:rPr>
          <w:sz w:val="20"/>
          <w:szCs w:val="20"/>
          <w:color w:val="auto"/>
        </w:rPr>
      </w:pPr>
    </w:p>
    <w:p>
      <w:pPr>
        <w:ind w:left="360" w:right="80"/>
        <w:spacing w:after="0" w:line="249" w:lineRule="auto"/>
        <w:rPr>
          <w:sz w:val="20"/>
          <w:szCs w:val="20"/>
          <w:color w:val="auto"/>
        </w:rPr>
      </w:pPr>
      <w:r>
        <w:rPr>
          <w:rFonts w:ascii="Arial" w:cs="Arial" w:eastAsia="Arial" w:hAnsi="Arial"/>
          <w:sz w:val="16"/>
          <w:szCs w:val="16"/>
          <w:color w:val="0E2A35"/>
        </w:rPr>
        <w:t>(aa) “Performance Measure” is a metric selected by the Committee, which may, but is not required to, include one or more of the following: (i) stock price measures (including but not limited to growth measures and total shareholder return); (ii) earnings per share (actual or targeted growth); (iii) earnings before interest, taxes, depreciation, and amortization (“EBITDA”); (iv) economic value added (“EVA”); (v) net income measures (including but not limited to income after capital costs and income before or after taxes); (vi) revenue and/or sales (gross or net) and margins; (vii) operating income;</w:t>
      </w:r>
    </w:p>
    <w:p>
      <w:pPr>
        <w:spacing w:after="0" w:line="3" w:lineRule="exact"/>
        <w:rPr>
          <w:sz w:val="20"/>
          <w:szCs w:val="20"/>
          <w:color w:val="auto"/>
        </w:rPr>
      </w:pPr>
    </w:p>
    <w:p>
      <w:pPr>
        <w:ind w:left="360" w:right="40"/>
        <w:spacing w:after="0" w:line="248" w:lineRule="auto"/>
        <w:tabs>
          <w:tab w:leader="none" w:pos="702" w:val="left"/>
        </w:tabs>
        <w:numPr>
          <w:ilvl w:val="0"/>
          <w:numId w:val="80"/>
        </w:numPr>
        <w:rPr>
          <w:rFonts w:ascii="Arial" w:cs="Arial" w:eastAsia="Arial" w:hAnsi="Arial"/>
          <w:sz w:val="16"/>
          <w:szCs w:val="16"/>
          <w:color w:val="0E2A35"/>
        </w:rPr>
      </w:pPr>
      <w:r>
        <w:rPr>
          <w:rFonts w:ascii="Arial" w:cs="Arial" w:eastAsia="Arial" w:hAnsi="Arial"/>
          <w:sz w:val="16"/>
          <w:szCs w:val="16"/>
          <w:color w:val="0E2A35"/>
        </w:rPr>
        <w:t>cash flow and working capital measures; (ix) return measures (including but not limited to return on assets, equity and/or invested capital); (x) growth measures (including revenue or sales growth); (xi) market share; (xii) product quality and customer satisfaction measures; (xiii) corporate values and strategic measures (including but not limited to ethics compliance, environmental, safety, strategic and succession planning); and (xiv) any other financial, operational or strategic measure approved by the Committee. Any performance goal based on one or more of the foregoing performance measures may be expressed in absolute amounts, on a per share basis (basic or diluted), relative to one or more other performance measures, as a growth rate or change from preceding periods, or as a comparison to the performance of specified companies, indices or other external measures, and may relate to one or any combination of Company, Affiliate, division, business segments, business units or individual performance.</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360" w:right="40"/>
        <w:spacing w:after="0" w:line="276" w:lineRule="auto"/>
        <w:rPr>
          <w:sz w:val="20"/>
          <w:szCs w:val="20"/>
          <w:color w:val="auto"/>
        </w:rPr>
      </w:pPr>
      <w:r>
        <w:rPr>
          <w:rFonts w:ascii="Arial" w:cs="Arial" w:eastAsia="Arial" w:hAnsi="Arial"/>
          <w:sz w:val="16"/>
          <w:szCs w:val="16"/>
          <w:color w:val="0E2A35"/>
        </w:rPr>
        <w:t>(bb) “Plan” means this Winnebago Industries, Inc. Amended and Restated 2019 Omnibus Incentive Plan, as amended and in effect from time to time.</w:t>
      </w:r>
    </w:p>
    <w:p>
      <w:pPr>
        <w:spacing w:after="0" w:line="144" w:lineRule="exact"/>
        <w:rPr>
          <w:sz w:val="20"/>
          <w:szCs w:val="20"/>
          <w:color w:val="auto"/>
        </w:rPr>
      </w:pPr>
    </w:p>
    <w:p>
      <w:pPr>
        <w:ind w:left="360" w:right="800"/>
        <w:spacing w:after="0" w:line="276" w:lineRule="auto"/>
        <w:rPr>
          <w:sz w:val="20"/>
          <w:szCs w:val="20"/>
          <w:color w:val="auto"/>
        </w:rPr>
      </w:pPr>
      <w:r>
        <w:rPr>
          <w:rFonts w:ascii="Arial" w:cs="Arial" w:eastAsia="Arial" w:hAnsi="Arial"/>
          <w:sz w:val="16"/>
          <w:szCs w:val="16"/>
          <w:color w:val="0E2A35"/>
        </w:rPr>
        <w:t>(cc) “Prior Plan” means the Winnebago Industries, Inc. 2014 Omnibus Equity, Performance Award and Incentive Compensation Plan.</w:t>
      </w:r>
    </w:p>
    <w:p>
      <w:pPr>
        <w:spacing w:after="0" w:line="130" w:lineRule="exact"/>
        <w:rPr>
          <w:sz w:val="20"/>
          <w:szCs w:val="20"/>
          <w:color w:val="auto"/>
        </w:rPr>
      </w:pPr>
    </w:p>
    <w:p>
      <w:pPr>
        <w:ind w:left="360" w:right="280"/>
        <w:spacing w:after="0" w:line="276" w:lineRule="auto"/>
        <w:rPr>
          <w:sz w:val="20"/>
          <w:szCs w:val="20"/>
          <w:color w:val="auto"/>
        </w:rPr>
      </w:pPr>
      <w:r>
        <w:rPr>
          <w:rFonts w:ascii="Arial" w:cs="Arial" w:eastAsia="Arial" w:hAnsi="Arial"/>
          <w:sz w:val="16"/>
          <w:szCs w:val="16"/>
          <w:color w:val="0E2A35"/>
        </w:rPr>
        <w:t>(dd)  “Restatement Date” means the date this Amended and Restated 2019 Omnibus Incentive Plan is approved by the Company’s stockholders.</w:t>
      </w:r>
    </w:p>
    <w:p>
      <w:pPr>
        <w:spacing w:after="0" w:line="130" w:lineRule="exact"/>
        <w:rPr>
          <w:sz w:val="20"/>
          <w:szCs w:val="20"/>
          <w:color w:val="auto"/>
        </w:rPr>
      </w:pPr>
    </w:p>
    <w:p>
      <w:pPr>
        <w:ind w:left="360" w:right="500"/>
        <w:spacing w:after="0" w:line="276" w:lineRule="auto"/>
        <w:rPr>
          <w:sz w:val="20"/>
          <w:szCs w:val="20"/>
          <w:color w:val="auto"/>
        </w:rPr>
      </w:pPr>
      <w:r>
        <w:rPr>
          <w:rFonts w:ascii="Arial" w:cs="Arial" w:eastAsia="Arial" w:hAnsi="Arial"/>
          <w:sz w:val="16"/>
          <w:szCs w:val="16"/>
          <w:color w:val="0E2A35"/>
        </w:rPr>
        <w:t>(ee) “Restricted Stock” means Shares issued to a Participant that are subject to such restrictions on transfer, vesting conditions and other restrictions or limitations as may be set forth in this Plan and the applicable Agreement.</w:t>
      </w:r>
    </w:p>
    <w:p>
      <w:pPr>
        <w:spacing w:after="0" w:line="144" w:lineRule="exact"/>
        <w:rPr>
          <w:sz w:val="20"/>
          <w:szCs w:val="20"/>
          <w:color w:val="auto"/>
        </w:rPr>
      </w:pPr>
    </w:p>
    <w:p>
      <w:pPr>
        <w:ind w:left="360" w:right="360"/>
        <w:spacing w:after="0" w:line="276" w:lineRule="auto"/>
        <w:rPr>
          <w:sz w:val="20"/>
          <w:szCs w:val="20"/>
          <w:color w:val="auto"/>
        </w:rPr>
      </w:pPr>
      <w:r>
        <w:rPr>
          <w:rFonts w:ascii="Arial" w:cs="Arial" w:eastAsia="Arial" w:hAnsi="Arial"/>
          <w:sz w:val="16"/>
          <w:szCs w:val="16"/>
          <w:color w:val="0E2A35"/>
        </w:rPr>
        <w:t>(ff) “Separation from Service” means a “separation from service” as such term is defined for purposes of Code Section 409A.</w:t>
      </w:r>
    </w:p>
    <w:p>
      <w:pPr>
        <w:spacing w:after="0" w:line="130" w:lineRule="exact"/>
        <w:rPr>
          <w:sz w:val="20"/>
          <w:szCs w:val="20"/>
          <w:color w:val="auto"/>
        </w:rPr>
      </w:pPr>
    </w:p>
    <w:p>
      <w:pPr>
        <w:ind w:left="360" w:right="60"/>
        <w:spacing w:after="0" w:line="250" w:lineRule="auto"/>
        <w:rPr>
          <w:sz w:val="20"/>
          <w:szCs w:val="20"/>
          <w:color w:val="auto"/>
        </w:rPr>
      </w:pPr>
      <w:r>
        <w:rPr>
          <w:rFonts w:ascii="Arial" w:cs="Arial" w:eastAsia="Arial" w:hAnsi="Arial"/>
          <w:sz w:val="16"/>
          <w:szCs w:val="16"/>
          <w:color w:val="0E2A35"/>
        </w:rPr>
        <w:t>(gg) “Service” means the provision of services by a Participant to the Company or any Affiliate in any Service Provider capacity. A Service Provider’s Service shall be deemed to have terminated either upon an actual cessation of providing services to the Company or any Affiliate or upon the entity to which the Service Provider provides services ceasing to be an Affiliate. Except as otherwise provided in this Plan or any Agreement, Service shall not be deemed terminated in the case of</w:t>
      </w:r>
    </w:p>
    <w:p>
      <w:pPr>
        <w:spacing w:after="0" w:line="1" w:lineRule="exact"/>
        <w:rPr>
          <w:sz w:val="20"/>
          <w:szCs w:val="20"/>
          <w:color w:val="auto"/>
        </w:rPr>
      </w:pPr>
    </w:p>
    <w:p>
      <w:pPr>
        <w:ind w:left="540" w:hanging="180"/>
        <w:spacing w:after="0"/>
        <w:tabs>
          <w:tab w:leader="none" w:pos="540" w:val="left"/>
        </w:tabs>
        <w:numPr>
          <w:ilvl w:val="0"/>
          <w:numId w:val="81"/>
        </w:numPr>
        <w:rPr>
          <w:rFonts w:ascii="Arial" w:cs="Arial" w:eastAsia="Arial" w:hAnsi="Arial"/>
          <w:sz w:val="16"/>
          <w:szCs w:val="16"/>
          <w:color w:val="0E2A35"/>
        </w:rPr>
      </w:pPr>
      <w:r>
        <w:rPr>
          <w:rFonts w:ascii="Arial" w:cs="Arial" w:eastAsia="Arial" w:hAnsi="Arial"/>
          <w:sz w:val="16"/>
          <w:szCs w:val="16"/>
          <w:color w:val="0E2A35"/>
        </w:rPr>
        <w:t>any approved leave of absence; (ii) transfers among the Company and any Affiliates in any Service Provider capacity; or</w:t>
      </w:r>
    </w:p>
    <w:p>
      <w:pPr>
        <w:spacing w:after="0" w:line="5" w:lineRule="exact"/>
        <w:rPr>
          <w:rFonts w:ascii="Arial" w:cs="Arial" w:eastAsia="Arial" w:hAnsi="Arial"/>
          <w:sz w:val="16"/>
          <w:szCs w:val="16"/>
          <w:color w:val="0E2A35"/>
        </w:rPr>
      </w:pPr>
    </w:p>
    <w:p>
      <w:pPr>
        <w:ind w:left="360" w:right="460"/>
        <w:spacing w:after="0" w:line="260" w:lineRule="auto"/>
        <w:tabs>
          <w:tab w:leader="none" w:pos="621" w:val="left"/>
        </w:tabs>
        <w:numPr>
          <w:ilvl w:val="0"/>
          <w:numId w:val="82"/>
        </w:numPr>
        <w:rPr>
          <w:rFonts w:ascii="Arial" w:cs="Arial" w:eastAsia="Arial" w:hAnsi="Arial"/>
          <w:sz w:val="16"/>
          <w:szCs w:val="16"/>
          <w:color w:val="0E2A35"/>
        </w:rPr>
      </w:pPr>
      <w:r>
        <w:rPr>
          <w:rFonts w:ascii="Arial" w:cs="Arial" w:eastAsia="Arial" w:hAnsi="Arial"/>
          <w:sz w:val="16"/>
          <w:szCs w:val="16"/>
          <w:color w:val="0E2A35"/>
        </w:rPr>
        <w:t>any change in status so long as the individual remains in the service of the Company or any Affiliate in any Service Provider capacity.</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(hh) “Service Provider” means an Employee, a Non-Employee Director, or Consultant.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(ii) “Share” means a share of Stock.</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(jj) “Stock” means the common stock, $0.50 par value per Share, of the Company.</w:t>
      </w:r>
    </w:p>
    <w:p>
      <w:pPr>
        <w:spacing w:after="0" w:line="181" w:lineRule="exact"/>
        <w:rPr>
          <w:sz w:val="20"/>
          <w:szCs w:val="20"/>
          <w:color w:val="auto"/>
        </w:rPr>
      </w:pPr>
    </w:p>
    <w:p>
      <w:pPr>
        <w:ind w:left="360" w:right="320"/>
        <w:spacing w:after="0" w:line="261" w:lineRule="auto"/>
        <w:rPr>
          <w:sz w:val="20"/>
          <w:szCs w:val="20"/>
          <w:color w:val="auto"/>
        </w:rPr>
      </w:pPr>
      <w:r>
        <w:rPr>
          <w:rFonts w:ascii="Arial" w:cs="Arial" w:eastAsia="Arial" w:hAnsi="Arial"/>
          <w:sz w:val="16"/>
          <w:szCs w:val="16"/>
          <w:color w:val="0E2A35"/>
        </w:rPr>
        <w:t>(kk) “Stock Appreciation Right” or “SAR” means the right to receive, in cash and/or Shares as determined by the Committee, an amount equal to the appreciation in value of a specified number of Shares between the Grant Date of the SAR and its exercise date.</w:t>
      </w:r>
    </w:p>
    <w:p>
      <w:pPr>
        <w:spacing w:after="0" w:line="156" w:lineRule="exact"/>
        <w:rPr>
          <w:sz w:val="20"/>
          <w:szCs w:val="20"/>
          <w:color w:val="auto"/>
        </w:rPr>
      </w:pPr>
    </w:p>
    <w:p>
      <w:pPr>
        <w:jc w:val="both"/>
        <w:ind w:left="360" w:right="60"/>
        <w:spacing w:after="0" w:line="261" w:lineRule="auto"/>
        <w:rPr>
          <w:sz w:val="20"/>
          <w:szCs w:val="20"/>
          <w:color w:val="auto"/>
        </w:rPr>
      </w:pPr>
      <w:r>
        <w:rPr>
          <w:rFonts w:ascii="Arial" w:cs="Arial" w:eastAsia="Arial" w:hAnsi="Arial"/>
          <w:sz w:val="16"/>
          <w:szCs w:val="16"/>
          <w:color w:val="0E2A35"/>
        </w:rPr>
        <w:t>(ll) “Stock Unit” means a right to receive, in cash and/or Shares as determined by the Committee, the Fair Market Value of a Share, subject to such restrictions on transfer, vesting conditions and other restrictions or limitations as may be set forth in this Plan and the applicable Agreement.</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(mm) “Subsidiary” means a “subsidiary corporation,” as defined in Code Section 424(f), of the Company.</w:t>
      </w:r>
    </w:p>
    <w:p>
      <w:pPr>
        <w:spacing w:after="0" w:line="181" w:lineRule="exact"/>
        <w:rPr>
          <w:sz w:val="20"/>
          <w:szCs w:val="20"/>
          <w:color w:val="auto"/>
        </w:rPr>
      </w:pPr>
    </w:p>
    <w:p>
      <w:pPr>
        <w:jc w:val="both"/>
        <w:ind w:left="360" w:right="200"/>
        <w:spacing w:after="0" w:line="253" w:lineRule="auto"/>
        <w:rPr>
          <w:sz w:val="20"/>
          <w:szCs w:val="20"/>
          <w:color w:val="auto"/>
        </w:rPr>
      </w:pPr>
      <w:r>
        <w:rPr>
          <w:rFonts w:ascii="Arial" w:cs="Arial" w:eastAsia="Arial" w:hAnsi="Arial"/>
          <w:sz w:val="16"/>
          <w:szCs w:val="16"/>
          <w:color w:val="0E2A35"/>
        </w:rPr>
        <w:t>(nn) “Substitute Award” means an Award granted upon the assumption of, or in substitution or exchange for, outstanding 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w:t>
      </w:r>
    </w:p>
    <w:p>
      <w:pPr>
        <w:spacing w:after="0" w:line="151" w:lineRule="exact"/>
        <w:rPr>
          <w:sz w:val="20"/>
          <w:szCs w:val="20"/>
          <w:color w:val="auto"/>
        </w:rPr>
      </w:pPr>
    </w:p>
    <w:p>
      <w:pPr>
        <w:ind w:left="360"/>
        <w:spacing w:after="0" w:line="276" w:lineRule="auto"/>
        <w:rPr>
          <w:sz w:val="20"/>
          <w:szCs w:val="20"/>
          <w:color w:val="auto"/>
        </w:rPr>
      </w:pPr>
      <w:r>
        <w:rPr>
          <w:rFonts w:ascii="Arial" w:cs="Arial" w:eastAsia="Arial" w:hAnsi="Arial"/>
          <w:sz w:val="16"/>
          <w:szCs w:val="16"/>
          <w:color w:val="0E2A35"/>
        </w:rPr>
        <w:t>(oo) “Voting Securities” of an entity means the outstanding equity securities (or comparable equity interests) entitled to vote generally in the election of directors of such entity.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0E2A35"/>
        </w:rPr>
        <w:t>3. </w:t>
      </w:r>
      <w:r>
        <w:rPr>
          <w:rFonts w:ascii="Arial" w:cs="Arial" w:eastAsia="Arial" w:hAnsi="Arial"/>
          <w:sz w:val="16"/>
          <w:szCs w:val="16"/>
          <w:b w:val="1"/>
          <w:bCs w:val="1"/>
          <w:u w:val="single" w:color="auto"/>
          <w:color w:val="0E2A35"/>
        </w:rPr>
        <w:t>Administration of the Plan</w:t>
      </w:r>
      <w:r>
        <w:rPr>
          <w:rFonts w:ascii="Arial" w:cs="Arial" w:eastAsia="Arial" w:hAnsi="Arial"/>
          <w:sz w:val="16"/>
          <w:szCs w:val="16"/>
          <w:b w:val="1"/>
          <w:bCs w:val="1"/>
          <w:color w:val="0E2A35"/>
        </w:rPr>
        <w:t>.</w:t>
      </w:r>
    </w:p>
    <w:p>
      <w:pPr>
        <w:spacing w:after="0" w:line="202" w:lineRule="exact"/>
        <w:rPr>
          <w:sz w:val="20"/>
          <w:szCs w:val="20"/>
          <w:color w:val="auto"/>
        </w:rPr>
      </w:pPr>
    </w:p>
    <w:p>
      <w:pPr>
        <w:ind w:left="360" w:right="20"/>
        <w:spacing w:after="0" w:line="276" w:lineRule="auto"/>
        <w:rPr>
          <w:sz w:val="20"/>
          <w:szCs w:val="20"/>
          <w:color w:val="auto"/>
        </w:rPr>
      </w:pPr>
      <w:r>
        <w:rPr>
          <w:rFonts w:ascii="Arial" w:cs="Arial" w:eastAsia="Arial" w:hAnsi="Arial"/>
          <w:sz w:val="16"/>
          <w:szCs w:val="16"/>
          <w:color w:val="0E2A35"/>
        </w:rPr>
        <w:t xml:space="preserve">(a) </w:t>
      </w:r>
      <w:r>
        <w:rPr>
          <w:rFonts w:ascii="Arial" w:cs="Arial" w:eastAsia="Arial" w:hAnsi="Arial"/>
          <w:sz w:val="16"/>
          <w:szCs w:val="16"/>
          <w:u w:val="single" w:color="auto"/>
          <w:color w:val="0E2A35"/>
        </w:rPr>
        <w:t>Administration</w:t>
      </w:r>
      <w:r>
        <w:rPr>
          <w:rFonts w:ascii="Arial" w:cs="Arial" w:eastAsia="Arial" w:hAnsi="Arial"/>
          <w:sz w:val="16"/>
          <w:szCs w:val="16"/>
          <w:color w:val="0E2A35"/>
        </w:rPr>
        <w:t>. The authority to control and manage the operations and administration of the Plan shall be vested in the Committee in accordance with this Section 3.</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360" w:right="300"/>
        <w:spacing w:after="0" w:line="276" w:lineRule="auto"/>
        <w:rPr>
          <w:sz w:val="20"/>
          <w:szCs w:val="20"/>
          <w:color w:val="auto"/>
        </w:rPr>
      </w:pPr>
      <w:r>
        <w:rPr>
          <w:rFonts w:ascii="Arial" w:cs="Arial" w:eastAsia="Arial" w:hAnsi="Arial"/>
          <w:sz w:val="16"/>
          <w:szCs w:val="16"/>
          <w:color w:val="0E2A35"/>
        </w:rPr>
        <w:t xml:space="preserve">(b) </w:t>
      </w:r>
      <w:r>
        <w:rPr>
          <w:rFonts w:ascii="Arial" w:cs="Arial" w:eastAsia="Arial" w:hAnsi="Arial"/>
          <w:sz w:val="16"/>
          <w:szCs w:val="16"/>
          <w:u w:val="single" w:color="auto"/>
          <w:color w:val="0E2A35"/>
        </w:rPr>
        <w:t>Scope of Authority</w:t>
      </w:r>
      <w:r>
        <w:rPr>
          <w:rFonts w:ascii="Arial" w:cs="Arial" w:eastAsia="Arial" w:hAnsi="Arial"/>
          <w:sz w:val="16"/>
          <w:szCs w:val="16"/>
          <w:color w:val="0E2A35"/>
        </w:rPr>
        <w:t>. Subject to the terms of the Plan, the Committee shall have the authority, in its discretion, to take such actions as it deems necessary or advisable to administer the Plan, including:</w:t>
      </w:r>
    </w:p>
    <w:p>
      <w:pPr>
        <w:spacing w:after="0" w:line="144" w:lineRule="exact"/>
        <w:rPr>
          <w:sz w:val="20"/>
          <w:szCs w:val="20"/>
          <w:color w:val="auto"/>
        </w:rPr>
      </w:pPr>
    </w:p>
    <w:p>
      <w:pPr>
        <w:ind w:left="720" w:right="20"/>
        <w:spacing w:after="0" w:line="261" w:lineRule="auto"/>
        <w:rPr>
          <w:sz w:val="20"/>
          <w:szCs w:val="20"/>
          <w:color w:val="auto"/>
        </w:rPr>
      </w:pPr>
      <w:r>
        <w:rPr>
          <w:rFonts w:ascii="Arial" w:cs="Arial" w:eastAsia="Arial" w:hAnsi="Arial"/>
          <w:sz w:val="16"/>
          <w:szCs w:val="16"/>
          <w:color w:val="0E2A35"/>
        </w:rPr>
        <w:t>(1) determining the Service Providers to whom Awards will be granted, the timing of each such Award, the type of and the number of Shares covered by each Award, the terms, conditions, performance criteria, restrictions and other provisions of Awards, and the manner in which Awards are paid or settled;</w:t>
      </w:r>
    </w:p>
    <w:p>
      <w:pPr>
        <w:spacing w:after="0" w:line="142" w:lineRule="exact"/>
        <w:rPr>
          <w:sz w:val="20"/>
          <w:szCs w:val="20"/>
          <w:color w:val="auto"/>
        </w:rPr>
      </w:pPr>
    </w:p>
    <w:p>
      <w:pPr>
        <w:ind w:left="720" w:right="160"/>
        <w:spacing w:after="0" w:line="261" w:lineRule="auto"/>
        <w:rPr>
          <w:sz w:val="20"/>
          <w:szCs w:val="20"/>
          <w:color w:val="auto"/>
        </w:rPr>
      </w:pPr>
      <w:r>
        <w:rPr>
          <w:rFonts w:ascii="Arial" w:cs="Arial" w:eastAsia="Arial" w:hAnsi="Arial"/>
          <w:sz w:val="16"/>
          <w:szCs w:val="16"/>
          <w:color w:val="0E2A35"/>
        </w:rPr>
        <w:t>(2) cancelling or suspending an Award, accelerating the vesting or extending the exercise period of an Award, or otherwise amending the terms and conditions of any outstanding Award, subject to the requirements of Sections 6(b), 15(d) and 15(e);</w:t>
      </w:r>
    </w:p>
    <w:p>
      <w:pPr>
        <w:spacing w:after="0" w:line="142" w:lineRule="exact"/>
        <w:rPr>
          <w:sz w:val="20"/>
          <w:szCs w:val="20"/>
          <w:color w:val="auto"/>
        </w:rPr>
      </w:pPr>
    </w:p>
    <w:p>
      <w:pPr>
        <w:ind w:left="720" w:right="200"/>
        <w:spacing w:after="0" w:line="256" w:lineRule="auto"/>
        <w:rPr>
          <w:sz w:val="20"/>
          <w:szCs w:val="20"/>
          <w:color w:val="auto"/>
        </w:rPr>
      </w:pPr>
      <w:r>
        <w:rPr>
          <w:rFonts w:ascii="Arial" w:cs="Arial" w:eastAsia="Arial" w:hAnsi="Arial"/>
          <w:sz w:val="16"/>
          <w:szCs w:val="16"/>
          <w:color w:val="0E2A35"/>
        </w:rPr>
        <w:t>(3) adopting sub-plans or special provisions applicable to Awards, establishing, amending or rescinding rules to administer the Plan, interpreting the Plan and any Award or Agreement, reconciling any inconsistency, correcting any defect or supplying an omission in the Plan or any Agreement, and making all other determinations necessary or desirable for the administration of the Plan;</w:t>
      </w:r>
    </w:p>
    <w:p>
      <w:pPr>
        <w:spacing w:after="0" w:line="214" w:lineRule="exact"/>
        <w:rPr>
          <w:sz w:val="20"/>
          <w:szCs w:val="20"/>
          <w:color w:val="auto"/>
        </w:rPr>
      </w:pPr>
    </w:p>
    <w:p>
      <w:pPr>
        <w:ind w:left="720"/>
        <w:spacing w:after="0"/>
        <w:rPr>
          <w:sz w:val="20"/>
          <w:szCs w:val="20"/>
          <w:color w:val="auto"/>
        </w:rPr>
      </w:pPr>
      <w:r>
        <w:rPr>
          <w:rFonts w:ascii="Arial" w:cs="Arial" w:eastAsia="Arial" w:hAnsi="Arial"/>
          <w:sz w:val="16"/>
          <w:szCs w:val="16"/>
          <w:color w:val="0E2A35"/>
        </w:rPr>
        <w:t>(4) granting Substitute Awards under the Plan</w:t>
      </w:r>
    </w:p>
    <w:p>
      <w:pPr>
        <w:spacing w:after="0" w:line="235" w:lineRule="exact"/>
        <w:rPr>
          <w:sz w:val="20"/>
          <w:szCs w:val="20"/>
          <w:color w:val="auto"/>
        </w:rPr>
      </w:pPr>
    </w:p>
    <w:p>
      <w:pPr>
        <w:ind w:left="720"/>
        <w:spacing w:after="0"/>
        <w:rPr>
          <w:sz w:val="20"/>
          <w:szCs w:val="20"/>
          <w:color w:val="auto"/>
        </w:rPr>
      </w:pPr>
      <w:r>
        <w:rPr>
          <w:rFonts w:ascii="Arial" w:cs="Arial" w:eastAsia="Arial" w:hAnsi="Arial"/>
          <w:sz w:val="16"/>
          <w:szCs w:val="16"/>
          <w:color w:val="0E2A35"/>
        </w:rPr>
        <w:t>(5) taking such actions as are provided in Section 3(c) with respect to Awards to foreign Service Providers; and</w:t>
      </w:r>
    </w:p>
    <w:p>
      <w:pPr>
        <w:spacing w:after="0" w:line="181" w:lineRule="exact"/>
        <w:rPr>
          <w:sz w:val="20"/>
          <w:szCs w:val="20"/>
          <w:color w:val="auto"/>
        </w:rPr>
      </w:pPr>
    </w:p>
    <w:p>
      <w:pPr>
        <w:ind w:left="720" w:right="60"/>
        <w:spacing w:after="0" w:line="276" w:lineRule="auto"/>
        <w:rPr>
          <w:sz w:val="20"/>
          <w:szCs w:val="20"/>
          <w:color w:val="auto"/>
        </w:rPr>
      </w:pPr>
      <w:r>
        <w:rPr>
          <w:rFonts w:ascii="Arial" w:cs="Arial" w:eastAsia="Arial" w:hAnsi="Arial"/>
          <w:sz w:val="16"/>
          <w:szCs w:val="16"/>
          <w:color w:val="0E2A35"/>
        </w:rPr>
        <w:t>(6) requiring or permitting the deferral of the settlement of an Award, and establishing the terms and conditions of any such deferral.</w:t>
      </w:r>
    </w:p>
    <w:p>
      <w:pPr>
        <w:spacing w:after="0" w:line="144" w:lineRule="exact"/>
        <w:rPr>
          <w:sz w:val="20"/>
          <w:szCs w:val="20"/>
          <w:color w:val="auto"/>
        </w:rPr>
      </w:pPr>
    </w:p>
    <w:p>
      <w:pPr>
        <w:ind w:left="360" w:right="560"/>
        <w:spacing w:after="0" w:line="276" w:lineRule="auto"/>
        <w:rPr>
          <w:sz w:val="20"/>
          <w:szCs w:val="20"/>
          <w:color w:val="auto"/>
        </w:rPr>
      </w:pPr>
      <w:r>
        <w:rPr>
          <w:rFonts w:ascii="Arial" w:cs="Arial" w:eastAsia="Arial" w:hAnsi="Arial"/>
          <w:sz w:val="16"/>
          <w:szCs w:val="16"/>
          <w:color w:val="0E2A35"/>
        </w:rPr>
        <w:t>Notwithstanding the foregoing, the Board shall perform the duties and have the responsibilities of the Committee with respect to Awards made to Non-Employee Directors.</w:t>
      </w:r>
    </w:p>
    <w:p>
      <w:pPr>
        <w:spacing w:after="0" w:line="130" w:lineRule="exact"/>
        <w:rPr>
          <w:sz w:val="20"/>
          <w:szCs w:val="20"/>
          <w:color w:val="auto"/>
        </w:rPr>
      </w:pPr>
    </w:p>
    <w:p>
      <w:pPr>
        <w:ind w:left="360"/>
        <w:spacing w:after="0" w:line="250" w:lineRule="auto"/>
        <w:rPr>
          <w:sz w:val="20"/>
          <w:szCs w:val="20"/>
          <w:color w:val="auto"/>
        </w:rPr>
      </w:pPr>
      <w:r>
        <w:rPr>
          <w:rFonts w:ascii="Arial" w:cs="Arial" w:eastAsia="Arial" w:hAnsi="Arial"/>
          <w:sz w:val="16"/>
          <w:szCs w:val="16"/>
          <w:color w:val="0E2A35"/>
        </w:rPr>
        <w:t xml:space="preserve">(c) </w:t>
      </w:r>
      <w:r>
        <w:rPr>
          <w:rFonts w:ascii="Arial" w:cs="Arial" w:eastAsia="Arial" w:hAnsi="Arial"/>
          <w:sz w:val="16"/>
          <w:szCs w:val="16"/>
          <w:u w:val="single" w:color="auto"/>
          <w:color w:val="0E2A35"/>
        </w:rPr>
        <w:t>Awards to Foreign Service Providers</w:t>
      </w:r>
      <w:r>
        <w:rPr>
          <w:rFonts w:ascii="Arial" w:cs="Arial" w:eastAsia="Arial" w:hAnsi="Arial"/>
          <w:sz w:val="16"/>
          <w:szCs w:val="16"/>
          <w:color w:val="0E2A35"/>
        </w:rPr>
        <w:t>. The Committee may grant Awards to Service Providers who are foreign nationals, who are located outside of the United States or who are not compensated from a payroll maintained in the United States, or who are otherwise subject to (or could cause the Company to be subject to) legal or regulatory requirements of countries outside of the United States, on such terms and conditions different from those specified in the Plan as may, in the judgment of the Committee, be necessary or desirable to comply with applicable foreign laws and regulatory requirements and to promote achievement of the purposes of the Plan. In connection therewith, the Committee may establish such subplans or annexes to Award Agreements and modify exercise procedures and other Plan rules and procedures to the extent such actions are deemed necessary or desirable and may take any other action that it deems advisable to obtain local regulatory approvals or to comply with any necessary local governmental regulatory exemptions.</w:t>
      </w:r>
    </w:p>
    <w:p>
      <w:pPr>
        <w:spacing w:after="0" w:line="152" w:lineRule="exact"/>
        <w:rPr>
          <w:sz w:val="20"/>
          <w:szCs w:val="20"/>
          <w:color w:val="auto"/>
        </w:rPr>
      </w:pPr>
    </w:p>
    <w:p>
      <w:pPr>
        <w:ind w:left="360" w:right="20"/>
        <w:spacing w:after="0" w:line="249" w:lineRule="auto"/>
        <w:rPr>
          <w:sz w:val="20"/>
          <w:szCs w:val="20"/>
          <w:color w:val="auto"/>
        </w:rPr>
      </w:pPr>
      <w:r>
        <w:rPr>
          <w:rFonts w:ascii="Arial" w:cs="Arial" w:eastAsia="Arial" w:hAnsi="Arial"/>
          <w:sz w:val="16"/>
          <w:szCs w:val="16"/>
          <w:color w:val="0E2A35"/>
        </w:rPr>
        <w:t xml:space="preserve">(d) </w:t>
      </w:r>
      <w:r>
        <w:rPr>
          <w:rFonts w:ascii="Arial" w:cs="Arial" w:eastAsia="Arial" w:hAnsi="Arial"/>
          <w:sz w:val="16"/>
          <w:szCs w:val="16"/>
          <w:u w:val="single" w:color="auto"/>
          <w:color w:val="0E2A35"/>
        </w:rPr>
        <w:t>Acts of the Committee; Delegation</w:t>
      </w:r>
      <w:r>
        <w:rPr>
          <w:rFonts w:ascii="Arial" w:cs="Arial" w:eastAsia="Arial" w:hAnsi="Arial"/>
          <w:sz w:val="16"/>
          <w:szCs w:val="16"/>
          <w:color w:val="0E2A35"/>
        </w:rPr>
        <w:t>.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 Any such action of the Committee shall be valid and effective even if one or more members of the Committee at the time of such action are later determined not to have satisfied all of the criteria for membership in clauses (i) and (ii) of Section 2(h). To the extent not inconsistent with applicable law or stock exchange rules, the Committee may delegate all or any portion of its authority under the Plan to any one or more of its members or, as to Awards to Participants who are not subject to Section 16 of the Exchange Act, to one or more directors or executive officers of the Company or to a committee of the Board comprised of one or more directors of the Company. The Committee may also delegate non-discretionary administrative responsibilities in connection with the Plan to such other persons as it deems advisable.</w:t>
      </w:r>
    </w:p>
    <w:p>
      <w:pPr>
        <w:spacing w:after="0" w:line="170" w:lineRule="exact"/>
        <w:rPr>
          <w:sz w:val="20"/>
          <w:szCs w:val="20"/>
          <w:color w:val="auto"/>
        </w:rPr>
      </w:pPr>
    </w:p>
    <w:p>
      <w:pPr>
        <w:ind w:left="360" w:right="120"/>
        <w:spacing w:after="0" w:line="261" w:lineRule="auto"/>
        <w:rPr>
          <w:sz w:val="20"/>
          <w:szCs w:val="20"/>
          <w:color w:val="auto"/>
        </w:rPr>
      </w:pPr>
      <w:r>
        <w:rPr>
          <w:rFonts w:ascii="Arial" w:cs="Arial" w:eastAsia="Arial" w:hAnsi="Arial"/>
          <w:sz w:val="16"/>
          <w:szCs w:val="16"/>
          <w:color w:val="0E2A35"/>
        </w:rPr>
        <w:t xml:space="preserve">(e) </w:t>
      </w:r>
      <w:r>
        <w:rPr>
          <w:rFonts w:ascii="Arial" w:cs="Arial" w:eastAsia="Arial" w:hAnsi="Arial"/>
          <w:sz w:val="16"/>
          <w:szCs w:val="16"/>
          <w:u w:val="single" w:color="auto"/>
          <w:color w:val="0E2A35"/>
        </w:rPr>
        <w:t>Finality of Decisions</w:t>
      </w:r>
      <w:r>
        <w:rPr>
          <w:rFonts w:ascii="Arial" w:cs="Arial" w:eastAsia="Arial" w:hAnsi="Arial"/>
          <w:sz w:val="16"/>
          <w:szCs w:val="16"/>
          <w:color w:val="0E2A35"/>
        </w:rPr>
        <w:t>. The Committee’s interpretation of the Plan and of any Award or Agreement made under the Plan and all related decisions or resolutions of the Board or Committee shall be final and binding on all parties with an interest therein.</w:t>
      </w:r>
    </w:p>
    <w:p>
      <w:pPr>
        <w:spacing w:after="0" w:line="142" w:lineRule="exact"/>
        <w:rPr>
          <w:sz w:val="20"/>
          <w:szCs w:val="20"/>
          <w:color w:val="auto"/>
        </w:rPr>
      </w:pPr>
    </w:p>
    <w:p>
      <w:pPr>
        <w:ind w:left="360" w:right="40"/>
        <w:spacing w:after="0" w:line="252" w:lineRule="auto"/>
        <w:rPr>
          <w:sz w:val="20"/>
          <w:szCs w:val="20"/>
          <w:color w:val="auto"/>
        </w:rPr>
      </w:pPr>
      <w:r>
        <w:rPr>
          <w:rFonts w:ascii="Arial" w:cs="Arial" w:eastAsia="Arial" w:hAnsi="Arial"/>
          <w:sz w:val="16"/>
          <w:szCs w:val="16"/>
          <w:color w:val="0E2A35"/>
        </w:rPr>
        <w:t xml:space="preserve">(f) </w:t>
      </w:r>
      <w:r>
        <w:rPr>
          <w:rFonts w:ascii="Arial" w:cs="Arial" w:eastAsia="Arial" w:hAnsi="Arial"/>
          <w:sz w:val="16"/>
          <w:szCs w:val="16"/>
          <w:u w:val="single" w:color="auto"/>
          <w:color w:val="0E2A35"/>
        </w:rPr>
        <w:t>Indemnification</w:t>
      </w:r>
      <w:r>
        <w:rPr>
          <w:rFonts w:ascii="Arial" w:cs="Arial" w:eastAsia="Arial" w:hAnsi="Arial"/>
          <w:sz w:val="16"/>
          <w:szCs w:val="16"/>
          <w:color w:val="0E2A35"/>
        </w:rPr>
        <w:t>. Each person who is or has been a member of the Committee or of the Board, and any other person to whom the Committee delegates authority under the Plan, shall be indemnified by the Company, to the maximum extent permitted by law, against liabilities and expenses imposed upon or reasonably incurred by such person in connection with or resulting from any claims against such person by reason of the performance of the individual's duties under the Plan. This right to indemnification is conditioned upon such person providing the Company an opportunity, at the Company’s expense, to handle and defend</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360" w:right="60"/>
        <w:spacing w:after="0" w:line="261" w:lineRule="auto"/>
        <w:rPr>
          <w:sz w:val="20"/>
          <w:szCs w:val="20"/>
          <w:color w:val="auto"/>
        </w:rPr>
      </w:pPr>
      <w:r>
        <w:rPr>
          <w:rFonts w:ascii="Arial" w:cs="Arial" w:eastAsia="Arial" w:hAnsi="Arial"/>
          <w:sz w:val="16"/>
          <w:szCs w:val="16"/>
          <w:color w:val="0E2A35"/>
        </w:rPr>
        <w:t>the claims before such person undertakes to handle and defend them on such person’s own behalf. The Company will not be required to indemnify any person for any amount paid in settlement of a claim unless the Company has first consented in writing to the settlement.</w:t>
      </w:r>
    </w:p>
    <w:p>
      <w:pPr>
        <w:spacing w:after="0" w:line="264" w:lineRule="exact"/>
        <w:rPr>
          <w:sz w:val="20"/>
          <w:szCs w:val="20"/>
          <w:color w:val="auto"/>
        </w:rPr>
      </w:pPr>
    </w:p>
    <w:p>
      <w:pPr>
        <w:ind w:left="360" w:right="260"/>
        <w:spacing w:after="0" w:line="276" w:lineRule="auto"/>
        <w:rPr>
          <w:sz w:val="20"/>
          <w:szCs w:val="20"/>
          <w:color w:val="auto"/>
        </w:rPr>
      </w:pPr>
      <w:r>
        <w:rPr>
          <w:rFonts w:ascii="Arial" w:cs="Arial" w:eastAsia="Arial" w:hAnsi="Arial"/>
          <w:sz w:val="16"/>
          <w:szCs w:val="16"/>
          <w:color w:val="0E2A35"/>
        </w:rPr>
        <w:t>The foregoing right of indemnification shall not be exclusive of any other rights of indemnification to which such person or persons may be entitled under the Company’s Articles of Incorporation or Bylaws, as a matter of law, or otherwise.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0E2A35"/>
        </w:rPr>
        <w:t>4. </w:t>
      </w:r>
      <w:r>
        <w:rPr>
          <w:rFonts w:ascii="Arial" w:cs="Arial" w:eastAsia="Arial" w:hAnsi="Arial"/>
          <w:sz w:val="16"/>
          <w:szCs w:val="16"/>
          <w:b w:val="1"/>
          <w:bCs w:val="1"/>
          <w:u w:val="single" w:color="auto"/>
          <w:color w:val="0E2A35"/>
        </w:rPr>
        <w:t>Shares Available Under the Plan</w:t>
      </w:r>
      <w:r>
        <w:rPr>
          <w:rFonts w:ascii="Arial" w:cs="Arial" w:eastAsia="Arial" w:hAnsi="Arial"/>
          <w:sz w:val="16"/>
          <w:szCs w:val="16"/>
          <w:b w:val="1"/>
          <w:bCs w:val="1"/>
          <w:color w:val="0E2A35"/>
        </w:rPr>
        <w:t>.</w:t>
      </w:r>
    </w:p>
    <w:p>
      <w:pPr>
        <w:spacing w:after="0" w:line="189" w:lineRule="exact"/>
        <w:rPr>
          <w:sz w:val="20"/>
          <w:szCs w:val="20"/>
          <w:color w:val="auto"/>
        </w:rPr>
      </w:pPr>
    </w:p>
    <w:p>
      <w:pPr>
        <w:ind w:left="360" w:right="340"/>
        <w:spacing w:after="0" w:line="252" w:lineRule="auto"/>
        <w:rPr>
          <w:sz w:val="20"/>
          <w:szCs w:val="20"/>
          <w:color w:val="auto"/>
        </w:rPr>
      </w:pPr>
      <w:r>
        <w:rPr>
          <w:rFonts w:ascii="Arial" w:cs="Arial" w:eastAsia="Arial" w:hAnsi="Arial"/>
          <w:sz w:val="16"/>
          <w:szCs w:val="16"/>
          <w:color w:val="0E2A35"/>
        </w:rPr>
        <w:t xml:space="preserve">(a) </w:t>
      </w:r>
      <w:r>
        <w:rPr>
          <w:rFonts w:ascii="Arial" w:cs="Arial" w:eastAsia="Arial" w:hAnsi="Arial"/>
          <w:sz w:val="16"/>
          <w:szCs w:val="16"/>
          <w:u w:val="single" w:color="auto"/>
          <w:color w:val="0E2A35"/>
        </w:rPr>
        <w:t>Maximum Shares Available</w:t>
      </w:r>
      <w:r>
        <w:rPr>
          <w:rFonts w:ascii="Arial" w:cs="Arial" w:eastAsia="Arial" w:hAnsi="Arial"/>
          <w:sz w:val="16"/>
          <w:szCs w:val="16"/>
          <w:color w:val="0E2A35"/>
        </w:rPr>
        <w:t>. Subject to Section 4(b) and to adjustment as provided in Section 12(a), the number of Shares that may be the subject of Awards and issued under the Plan shall be 6,500,000 (which includes the 4,100,000 shares initially authorized under the Plan as of the Effective Date). No further awards may be made under the Prior Plan after the Effective Date of this Plan. Shares issued under the Plan may come from authorized and unissued shares or treasury shares. In determining the number of Shares to be counted against this share reserve in connection with any Award, the following rules shall apply:</w:t>
      </w:r>
    </w:p>
    <w:p>
      <w:pPr>
        <w:spacing w:after="0" w:line="150" w:lineRule="exact"/>
        <w:rPr>
          <w:sz w:val="20"/>
          <w:szCs w:val="20"/>
          <w:color w:val="auto"/>
        </w:rPr>
      </w:pPr>
    </w:p>
    <w:p>
      <w:pPr>
        <w:ind w:left="720" w:right="380"/>
        <w:spacing w:after="0" w:line="276" w:lineRule="auto"/>
        <w:rPr>
          <w:sz w:val="20"/>
          <w:szCs w:val="20"/>
          <w:color w:val="auto"/>
        </w:rPr>
      </w:pPr>
      <w:r>
        <w:rPr>
          <w:rFonts w:ascii="Arial" w:cs="Arial" w:eastAsia="Arial" w:hAnsi="Arial"/>
          <w:sz w:val="16"/>
          <w:szCs w:val="16"/>
          <w:color w:val="0E2A35"/>
        </w:rPr>
        <w:t>(1) Shares that are subject to Awards of Options or Stock Appreciation Rights shall be counted against the share reserve as one Share for every one Share granted.</w:t>
      </w:r>
    </w:p>
    <w:p>
      <w:pPr>
        <w:spacing w:after="0" w:line="144" w:lineRule="exact"/>
        <w:rPr>
          <w:sz w:val="20"/>
          <w:szCs w:val="20"/>
          <w:color w:val="auto"/>
        </w:rPr>
      </w:pPr>
    </w:p>
    <w:p>
      <w:pPr>
        <w:ind w:left="720" w:right="200"/>
        <w:spacing w:after="0" w:line="276" w:lineRule="auto"/>
        <w:rPr>
          <w:sz w:val="20"/>
          <w:szCs w:val="20"/>
          <w:color w:val="auto"/>
        </w:rPr>
      </w:pPr>
      <w:r>
        <w:rPr>
          <w:rFonts w:ascii="Arial" w:cs="Arial" w:eastAsia="Arial" w:hAnsi="Arial"/>
          <w:sz w:val="16"/>
          <w:szCs w:val="16"/>
          <w:color w:val="0E2A35"/>
        </w:rPr>
        <w:t>(2) Shares that are subject to Full Value Awards shall be counted against the share reserve as 2.0 Shares for every one Share granted.</w:t>
      </w:r>
    </w:p>
    <w:p>
      <w:pPr>
        <w:spacing w:after="0" w:line="130" w:lineRule="exact"/>
        <w:rPr>
          <w:sz w:val="20"/>
          <w:szCs w:val="20"/>
          <w:color w:val="auto"/>
        </w:rPr>
      </w:pPr>
    </w:p>
    <w:p>
      <w:pPr>
        <w:ind w:left="720" w:right="40"/>
        <w:spacing w:after="0" w:line="261" w:lineRule="auto"/>
        <w:rPr>
          <w:sz w:val="20"/>
          <w:szCs w:val="20"/>
          <w:color w:val="auto"/>
        </w:rPr>
      </w:pPr>
      <w:r>
        <w:rPr>
          <w:rFonts w:ascii="Arial" w:cs="Arial" w:eastAsia="Arial" w:hAnsi="Arial"/>
          <w:sz w:val="16"/>
          <w:szCs w:val="16"/>
          <w:color w:val="0E2A35"/>
        </w:rPr>
        <w:t>(3) Where the 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w:t>
      </w:r>
    </w:p>
    <w:p>
      <w:pPr>
        <w:spacing w:after="0" w:line="142" w:lineRule="exact"/>
        <w:rPr>
          <w:sz w:val="20"/>
          <w:szCs w:val="20"/>
          <w:color w:val="auto"/>
        </w:rPr>
      </w:pPr>
    </w:p>
    <w:p>
      <w:pPr>
        <w:ind w:left="720"/>
        <w:spacing w:after="0" w:line="256" w:lineRule="auto"/>
        <w:rPr>
          <w:sz w:val="20"/>
          <w:szCs w:val="20"/>
          <w:color w:val="auto"/>
        </w:rPr>
      </w:pPr>
      <w:r>
        <w:rPr>
          <w:rFonts w:ascii="Arial" w:cs="Arial" w:eastAsia="Arial" w:hAnsi="Arial"/>
          <w:sz w:val="16"/>
          <w:szCs w:val="16"/>
          <w:color w:val="0E2A35"/>
        </w:rPr>
        <w:t>(4) Where two or more types of Awards are granted to a Participant in tandem with each other, such that the exercise of one type of Award with respect to a number of Shares cancels at least an equal number of Shares of the other, the number of Shares to be counted against the share reserve shall be the largest number of Shares that would be counted against the share reserve under either of the Awards.</w:t>
      </w:r>
    </w:p>
    <w:p>
      <w:pPr>
        <w:spacing w:after="0" w:line="160" w:lineRule="exact"/>
        <w:rPr>
          <w:sz w:val="20"/>
          <w:szCs w:val="20"/>
          <w:color w:val="auto"/>
        </w:rPr>
      </w:pPr>
    </w:p>
    <w:p>
      <w:pPr>
        <w:ind w:left="720" w:right="360"/>
        <w:spacing w:after="0" w:line="276" w:lineRule="auto"/>
        <w:rPr>
          <w:sz w:val="20"/>
          <w:szCs w:val="20"/>
          <w:color w:val="auto"/>
        </w:rPr>
      </w:pPr>
      <w:r>
        <w:rPr>
          <w:rFonts w:ascii="Arial" w:cs="Arial" w:eastAsia="Arial" w:hAnsi="Arial"/>
          <w:sz w:val="16"/>
          <w:szCs w:val="16"/>
          <w:color w:val="0E2A35"/>
        </w:rPr>
        <w:t>(5) Shares subject to Substitute Awards shall not be counted against the share reserve, nor shall they reduce the Shares authorized for grant to a Participant in any calendar year.</w:t>
      </w:r>
    </w:p>
    <w:p>
      <w:pPr>
        <w:spacing w:after="0" w:line="130" w:lineRule="exact"/>
        <w:rPr>
          <w:sz w:val="20"/>
          <w:szCs w:val="20"/>
          <w:color w:val="auto"/>
        </w:rPr>
      </w:pPr>
    </w:p>
    <w:p>
      <w:pPr>
        <w:ind w:left="720"/>
        <w:spacing w:after="0" w:line="276" w:lineRule="auto"/>
        <w:rPr>
          <w:sz w:val="20"/>
          <w:szCs w:val="20"/>
          <w:color w:val="auto"/>
        </w:rPr>
      </w:pPr>
      <w:r>
        <w:rPr>
          <w:rFonts w:ascii="Arial" w:cs="Arial" w:eastAsia="Arial" w:hAnsi="Arial"/>
          <w:sz w:val="16"/>
          <w:szCs w:val="16"/>
          <w:color w:val="0E2A35"/>
        </w:rPr>
        <w:t>(6) Awards that may be settled solely in cash shall not be counted against the share reserve, nor shall they reduce the Shares authorized for grant to a Participant in any calendar year.</w:t>
      </w:r>
    </w:p>
    <w:p>
      <w:pPr>
        <w:spacing w:after="0" w:line="130" w:lineRule="exact"/>
        <w:rPr>
          <w:sz w:val="20"/>
          <w:szCs w:val="20"/>
          <w:color w:val="auto"/>
        </w:rPr>
      </w:pPr>
    </w:p>
    <w:p>
      <w:pPr>
        <w:ind w:left="360" w:right="120"/>
        <w:spacing w:after="0" w:line="249" w:lineRule="auto"/>
        <w:rPr>
          <w:sz w:val="20"/>
          <w:szCs w:val="20"/>
          <w:color w:val="auto"/>
        </w:rPr>
      </w:pPr>
      <w:r>
        <w:rPr>
          <w:rFonts w:ascii="Arial" w:cs="Arial" w:eastAsia="Arial" w:hAnsi="Arial"/>
          <w:sz w:val="16"/>
          <w:szCs w:val="16"/>
          <w:color w:val="0E2A35"/>
        </w:rPr>
        <w:t xml:space="preserve">(b) </w:t>
      </w:r>
      <w:r>
        <w:rPr>
          <w:rFonts w:ascii="Arial" w:cs="Arial" w:eastAsia="Arial" w:hAnsi="Arial"/>
          <w:sz w:val="16"/>
          <w:szCs w:val="16"/>
          <w:u w:val="single" w:color="auto"/>
          <w:color w:val="0E2A35"/>
        </w:rPr>
        <w:t>Effect of Forfeitures and Other Actions</w:t>
      </w:r>
      <w:r>
        <w:rPr>
          <w:rFonts w:ascii="Arial" w:cs="Arial" w:eastAsia="Arial" w:hAnsi="Arial"/>
          <w:sz w:val="16"/>
          <w:szCs w:val="16"/>
          <w:color w:val="0E2A35"/>
        </w:rPr>
        <w:t>. Any Shares subject to an Award, or to an award granted under the Prior Plan that is outstanding on the Effective Date (a “Prior Plan Award”), that expires, is cancelled or forfeited or is settled for cash shall, to the extent of such cancellation, forfeiture, expiration or cash settlement, again become available for Awards under this Plan, and the share reserve under Section 4(a) shall be correspondingly replenished as provided in Section 4(c) below. The following Shares shall not, however, again become available for Awards or replenish the share reserve under Section 4(a): (i) Shares tendered (either actually or by attestation) by the Participant or withheld by the Company in payment of the exercise price of a stock option issued under this Plan or the Prior Plan, (ii) Shares tendered (either actually or by attestation) by the Participant or withheld by the Company to satisfy any tax withholding obligation with respect to an award under this Plan or the Prior Plan, (iii) Shares repurchased by the Company with proceeds received from the exercise of a stock option issued under this Plan or the Prior Plan, and (iv) Shares subject to a stock appreciation right award issued under this Plan or the Prior Plan that are not issued in connection with the stock settlement of that award upon its exercise.</w:t>
      </w:r>
    </w:p>
    <w:p>
      <w:pPr>
        <w:spacing w:after="0" w:line="168" w:lineRule="exact"/>
        <w:rPr>
          <w:sz w:val="20"/>
          <w:szCs w:val="20"/>
          <w:color w:val="auto"/>
        </w:rPr>
      </w:pPr>
    </w:p>
    <w:p>
      <w:pPr>
        <w:ind w:left="360" w:right="40"/>
        <w:spacing w:after="0" w:line="256" w:lineRule="auto"/>
        <w:rPr>
          <w:sz w:val="20"/>
          <w:szCs w:val="20"/>
          <w:color w:val="auto"/>
        </w:rPr>
      </w:pPr>
      <w:r>
        <w:rPr>
          <w:rFonts w:ascii="Arial" w:cs="Arial" w:eastAsia="Arial" w:hAnsi="Arial"/>
          <w:sz w:val="16"/>
          <w:szCs w:val="16"/>
          <w:color w:val="0E2A35"/>
        </w:rPr>
        <w:t xml:space="preserve">(c) </w:t>
      </w:r>
      <w:r>
        <w:rPr>
          <w:rFonts w:ascii="Arial" w:cs="Arial" w:eastAsia="Arial" w:hAnsi="Arial"/>
          <w:sz w:val="16"/>
          <w:szCs w:val="16"/>
          <w:u w:val="single" w:color="auto"/>
          <w:color w:val="0E2A35"/>
        </w:rPr>
        <w:t>Counting Shares Again Available</w:t>
      </w:r>
      <w:r>
        <w:rPr>
          <w:rFonts w:ascii="Arial" w:cs="Arial" w:eastAsia="Arial" w:hAnsi="Arial"/>
          <w:sz w:val="16"/>
          <w:szCs w:val="16"/>
          <w:color w:val="0E2A35"/>
        </w:rPr>
        <w:t>. Each Share that again becomes available for Awards as provided in Section 4(b) shall correspondingly increase the share reserve under Section 4(a) by (i) one Share if such Share was subject to an Option or Stock Appreciation Right Award under the Plan, and (ii) 2.0 Shares if such Share was subject to a Full Value Award under the Plan.</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360"/>
        <w:spacing w:after="0" w:line="250" w:lineRule="auto"/>
        <w:rPr>
          <w:sz w:val="20"/>
          <w:szCs w:val="20"/>
          <w:color w:val="auto"/>
        </w:rPr>
      </w:pPr>
      <w:r>
        <w:rPr>
          <w:rFonts w:ascii="Arial" w:cs="Arial" w:eastAsia="Arial" w:hAnsi="Arial"/>
          <w:sz w:val="16"/>
          <w:szCs w:val="16"/>
          <w:color w:val="0E2A35"/>
        </w:rPr>
        <w:t xml:space="preserve">(d) </w:t>
      </w:r>
      <w:r>
        <w:rPr>
          <w:rFonts w:ascii="Arial" w:cs="Arial" w:eastAsia="Arial" w:hAnsi="Arial"/>
          <w:sz w:val="16"/>
          <w:szCs w:val="16"/>
          <w:u w:val="single" w:color="auto"/>
          <w:color w:val="0E2A35"/>
        </w:rPr>
        <w:t>Effect of Plans Operated by Acquired Companies</w:t>
      </w:r>
      <w:r>
        <w:rPr>
          <w:rFonts w:ascii="Arial" w:cs="Arial" w:eastAsia="Arial" w:hAnsi="Arial"/>
          <w:sz w:val="16"/>
          <w:szCs w:val="16"/>
          <w:color w:val="0E2A35"/>
        </w:rPr>
        <w:t>. If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supplement the Share reserve under Section 4(a).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w:t>
      </w:r>
    </w:p>
    <w:p>
      <w:pPr>
        <w:spacing w:after="0" w:line="165" w:lineRule="exact"/>
        <w:rPr>
          <w:sz w:val="20"/>
          <w:szCs w:val="20"/>
          <w:color w:val="auto"/>
        </w:rPr>
      </w:pPr>
    </w:p>
    <w:p>
      <w:pPr>
        <w:ind w:left="360" w:right="60"/>
        <w:spacing w:after="0" w:line="261" w:lineRule="auto"/>
        <w:rPr>
          <w:sz w:val="20"/>
          <w:szCs w:val="20"/>
          <w:color w:val="auto"/>
        </w:rPr>
      </w:pPr>
      <w:r>
        <w:rPr>
          <w:rFonts w:ascii="Arial" w:cs="Arial" w:eastAsia="Arial" w:hAnsi="Arial"/>
          <w:sz w:val="16"/>
          <w:szCs w:val="16"/>
          <w:color w:val="0E2A35"/>
        </w:rPr>
        <w:t xml:space="preserve">(e) </w:t>
      </w:r>
      <w:r>
        <w:rPr>
          <w:rFonts w:ascii="Arial" w:cs="Arial" w:eastAsia="Arial" w:hAnsi="Arial"/>
          <w:sz w:val="16"/>
          <w:szCs w:val="16"/>
          <w:u w:val="single" w:color="auto"/>
          <w:color w:val="0E2A35"/>
        </w:rPr>
        <w:t>No Fractional Shares</w:t>
      </w:r>
      <w:r>
        <w:rPr>
          <w:rFonts w:ascii="Arial" w:cs="Arial" w:eastAsia="Arial" w:hAnsi="Arial"/>
          <w:sz w:val="16"/>
          <w:szCs w:val="16"/>
          <w:color w:val="0E2A35"/>
        </w:rPr>
        <w:t>. Unless otherwise determined by the Committee, the number of Shares subject to an Award shall always be a whole number. No fractional Shares may be issued under the Plan, but the Committee may, in its discretion, adopt any rounding convention it deems suitable or pay cash in lieu of any fractional Share in settlement of an Award.</w:t>
      </w:r>
    </w:p>
    <w:p>
      <w:pPr>
        <w:spacing w:after="0" w:line="142" w:lineRule="exact"/>
        <w:rPr>
          <w:sz w:val="20"/>
          <w:szCs w:val="20"/>
          <w:color w:val="auto"/>
        </w:rPr>
      </w:pPr>
    </w:p>
    <w:p>
      <w:pPr>
        <w:ind w:left="360" w:right="140"/>
        <w:spacing w:after="0" w:line="253" w:lineRule="auto"/>
        <w:rPr>
          <w:sz w:val="20"/>
          <w:szCs w:val="20"/>
          <w:color w:val="auto"/>
        </w:rPr>
      </w:pPr>
      <w:r>
        <w:rPr>
          <w:rFonts w:ascii="Arial" w:cs="Arial" w:eastAsia="Arial" w:hAnsi="Arial"/>
          <w:sz w:val="16"/>
          <w:szCs w:val="16"/>
          <w:color w:val="0E2A35"/>
        </w:rPr>
        <w:t xml:space="preserve">(f) </w:t>
      </w:r>
      <w:r>
        <w:rPr>
          <w:rFonts w:ascii="Arial" w:cs="Arial" w:eastAsia="Arial" w:hAnsi="Arial"/>
          <w:sz w:val="16"/>
          <w:szCs w:val="16"/>
          <w:u w:val="single" w:color="auto"/>
          <w:color w:val="0E2A35"/>
        </w:rPr>
        <w:t>Limits on Awards to Non-Employee Directors</w:t>
      </w:r>
      <w:r>
        <w:rPr>
          <w:rFonts w:ascii="Arial" w:cs="Arial" w:eastAsia="Arial" w:hAnsi="Arial"/>
          <w:sz w:val="16"/>
          <w:szCs w:val="16"/>
          <w:color w:val="0E2A35"/>
        </w:rPr>
        <w:t>. The aggregate grant date fair value (as determined in accordance with generally accepted accounting principles applicable in the United States) of all Awards granted during any calendar year to any Non-Employee Director (excluding any Awards granted at the election of a Non-Employee Director in lieu of all or any portion of retainers or fees otherwise payable to Non-Employee Directors in cash) with respect to such individual’s Service as a Non-Employee Director shall not exceed $400,000.</w:t>
      </w:r>
    </w:p>
    <w:p>
      <w:pPr>
        <w:spacing w:after="0" w:line="143"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0E2A35"/>
        </w:rPr>
        <w:t>5. </w:t>
      </w:r>
      <w:r>
        <w:rPr>
          <w:rFonts w:ascii="Arial" w:cs="Arial" w:eastAsia="Arial" w:hAnsi="Arial"/>
          <w:sz w:val="16"/>
          <w:szCs w:val="16"/>
          <w:b w:val="1"/>
          <w:bCs w:val="1"/>
          <w:u w:val="single" w:color="auto"/>
          <w:color w:val="0E2A35"/>
        </w:rPr>
        <w:t>Eligibility</w:t>
      </w:r>
      <w:r>
        <w:rPr>
          <w:rFonts w:ascii="Arial" w:cs="Arial" w:eastAsia="Arial" w:hAnsi="Arial"/>
          <w:sz w:val="16"/>
          <w:szCs w:val="16"/>
          <w:b w:val="1"/>
          <w:bCs w:val="1"/>
          <w:color w:val="0E2A35"/>
        </w:rPr>
        <w:t>.</w:t>
      </w:r>
      <w:r>
        <w:rPr>
          <w:rFonts w:ascii="Arial" w:cs="Arial" w:eastAsia="Arial" w:hAnsi="Arial"/>
          <w:sz w:val="16"/>
          <w:szCs w:val="16"/>
          <w:color w:val="0E2A35"/>
        </w:rPr>
        <w:t xml:space="preserve"> Participation in the Plan is limited to Service Providers. Incentive Stock Options may only be granted to Employees who are subject to income taxes imposed by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0E2A35"/>
        </w:rPr>
        <w:t>6. </w:t>
      </w:r>
      <w:r>
        <w:rPr>
          <w:rFonts w:ascii="Arial" w:cs="Arial" w:eastAsia="Arial" w:hAnsi="Arial"/>
          <w:sz w:val="16"/>
          <w:szCs w:val="16"/>
          <w:b w:val="1"/>
          <w:bCs w:val="1"/>
          <w:u w:val="single" w:color="auto"/>
          <w:color w:val="0E2A35"/>
        </w:rPr>
        <w:t>General Terms of Awards</w:t>
      </w:r>
      <w:r>
        <w:rPr>
          <w:rFonts w:ascii="Arial" w:cs="Arial" w:eastAsia="Arial" w:hAnsi="Arial"/>
          <w:sz w:val="16"/>
          <w:szCs w:val="16"/>
          <w:b w:val="1"/>
          <w:bCs w:val="1"/>
          <w:color w:val="0E2A35"/>
        </w:rPr>
        <w:t>.</w:t>
      </w:r>
    </w:p>
    <w:p>
      <w:pPr>
        <w:spacing w:after="0" w:line="189" w:lineRule="exact"/>
        <w:rPr>
          <w:sz w:val="20"/>
          <w:szCs w:val="20"/>
          <w:color w:val="auto"/>
        </w:rPr>
      </w:pPr>
    </w:p>
    <w:p>
      <w:pPr>
        <w:ind w:left="360" w:right="180"/>
        <w:spacing w:after="0" w:line="253" w:lineRule="auto"/>
        <w:rPr>
          <w:sz w:val="20"/>
          <w:szCs w:val="20"/>
          <w:color w:val="auto"/>
        </w:rPr>
      </w:pPr>
      <w:r>
        <w:rPr>
          <w:rFonts w:ascii="Arial" w:cs="Arial" w:eastAsia="Arial" w:hAnsi="Arial"/>
          <w:sz w:val="16"/>
          <w:szCs w:val="16"/>
          <w:color w:val="0E2A35"/>
        </w:rPr>
        <w:t xml:space="preserve">(a) </w:t>
      </w:r>
      <w:r>
        <w:rPr>
          <w:rFonts w:ascii="Arial" w:cs="Arial" w:eastAsia="Arial" w:hAnsi="Arial"/>
          <w:sz w:val="16"/>
          <w:szCs w:val="16"/>
          <w:u w:val="single" w:color="auto"/>
          <w:color w:val="0E2A35"/>
        </w:rPr>
        <w:t>Award Agreement</w:t>
      </w:r>
      <w:r>
        <w:rPr>
          <w:rFonts w:ascii="Arial" w:cs="Arial" w:eastAsia="Arial" w:hAnsi="Arial"/>
          <w:sz w:val="16"/>
          <w:szCs w:val="16"/>
          <w:color w:val="0E2A35"/>
        </w:rPr>
        <w:t>. Each Award shall be evidenced by an Agreement setting forth the amount of the Award together with such other terms and conditions applicable to the Award (and not inconsistent with the Plan) as determined by the Committee. An Award to a Participant may be made singly or in combination with any form of Award. Two types of Awards may be made in tandem with each other such that the exercise of one type of Award with respect to a number of Shares reduces the number of Shares subject to the related Award by at least an equal amount.</w:t>
      </w:r>
    </w:p>
    <w:p>
      <w:pPr>
        <w:spacing w:after="0" w:line="151" w:lineRule="exact"/>
        <w:rPr>
          <w:sz w:val="20"/>
          <w:szCs w:val="20"/>
          <w:color w:val="auto"/>
        </w:rPr>
      </w:pPr>
    </w:p>
    <w:p>
      <w:pPr>
        <w:ind w:left="360"/>
        <w:spacing w:after="0" w:line="248" w:lineRule="auto"/>
        <w:rPr>
          <w:sz w:val="20"/>
          <w:szCs w:val="20"/>
          <w:color w:val="auto"/>
        </w:rPr>
      </w:pPr>
      <w:r>
        <w:rPr>
          <w:rFonts w:ascii="Arial" w:cs="Arial" w:eastAsia="Arial" w:hAnsi="Arial"/>
          <w:sz w:val="16"/>
          <w:szCs w:val="16"/>
          <w:color w:val="0E2A35"/>
        </w:rPr>
        <w:t xml:space="preserve">(b) </w:t>
      </w:r>
      <w:r>
        <w:rPr>
          <w:rFonts w:ascii="Arial" w:cs="Arial" w:eastAsia="Arial" w:hAnsi="Arial"/>
          <w:sz w:val="16"/>
          <w:szCs w:val="16"/>
          <w:u w:val="single" w:color="auto"/>
          <w:color w:val="0E2A35"/>
        </w:rPr>
        <w:t>Vesting and Term</w:t>
      </w:r>
      <w:r>
        <w:rPr>
          <w:rFonts w:ascii="Arial" w:cs="Arial" w:eastAsia="Arial" w:hAnsi="Arial"/>
          <w:sz w:val="16"/>
          <w:szCs w:val="16"/>
          <w:color w:val="0E2A35"/>
        </w:rPr>
        <w:t>. Each Agreement shall set forth the period until the applicable Award is scheduled to vest and, if applicable, expire (which shall not be more than ten years from the Grant Date), and, consistent with the requirements of this Section 6(b), the applicable vesting conditions and any applicable performance period. Awards that vest based solely on the satisfaction by the Participant of service-based vesting conditions shall be subject to a vesting period of not less than one year from the applicable Grant Date (during which no portion of the award may be scheduled to vest), and Awards whose grant or vesting is subject to the satisfaction of performance goals over a performance period shall be subject to a performance period of not less than one year. The foregoing minimum vesting and performance periods will not, however, apply in connection with: (i) a Change in Control as provided in Section 12(b)(2), 12(b)(4) or 12(c), (ii) a termination of Service due to death, Disability, (iii) to a Substitute Award that does not reduce the vesting period of the award being replaced, (iv) Awards made in payment of or exchange for other compensation already earned and payable, and</w:t>
      </w:r>
    </w:p>
    <w:p>
      <w:pPr>
        <w:spacing w:after="0" w:line="1" w:lineRule="exact"/>
        <w:rPr>
          <w:sz w:val="20"/>
          <w:szCs w:val="20"/>
          <w:color w:val="auto"/>
        </w:rPr>
      </w:pPr>
    </w:p>
    <w:p>
      <w:pPr>
        <w:ind w:left="360"/>
        <w:spacing w:after="0" w:line="251" w:lineRule="auto"/>
        <w:tabs>
          <w:tab w:leader="none" w:pos="594" w:val="left"/>
        </w:tabs>
        <w:numPr>
          <w:ilvl w:val="0"/>
          <w:numId w:val="83"/>
        </w:numPr>
        <w:rPr>
          <w:rFonts w:ascii="Arial" w:cs="Arial" w:eastAsia="Arial" w:hAnsi="Arial"/>
          <w:sz w:val="16"/>
          <w:szCs w:val="16"/>
          <w:color w:val="0E2A35"/>
        </w:rPr>
      </w:pPr>
      <w:r>
        <w:rPr>
          <w:rFonts w:ascii="Arial" w:cs="Arial" w:eastAsia="Arial" w:hAnsi="Arial"/>
          <w:sz w:val="16"/>
          <w:szCs w:val="16"/>
          <w:color w:val="0E2A35"/>
        </w:rPr>
        <w:t>outstanding, exercised and settled Awards involving an aggregate number of Shares not in excess of 5% of the Plan’s share reserve specified in Section 4(a). For purposes of Awards to Non-Employee Directors, a vesting period will be deemed to be one year if runs from the date of one annual meeting of the Company’s stockholders to the date of the next annual meeting of the Company’s stockholders.</w:t>
      </w:r>
    </w:p>
    <w:p>
      <w:pPr>
        <w:spacing w:after="0" w:line="163" w:lineRule="exact"/>
        <w:rPr>
          <w:sz w:val="20"/>
          <w:szCs w:val="20"/>
          <w:color w:val="auto"/>
        </w:rPr>
      </w:pPr>
    </w:p>
    <w:p>
      <w:pPr>
        <w:ind w:left="360" w:right="100"/>
        <w:spacing w:after="0" w:line="251" w:lineRule="auto"/>
        <w:rPr>
          <w:sz w:val="20"/>
          <w:szCs w:val="20"/>
          <w:color w:val="auto"/>
        </w:rPr>
      </w:pPr>
      <w:r>
        <w:rPr>
          <w:rFonts w:ascii="Arial" w:cs="Arial" w:eastAsia="Arial" w:hAnsi="Arial"/>
          <w:sz w:val="16"/>
          <w:szCs w:val="16"/>
          <w:color w:val="0E2A35"/>
        </w:rPr>
        <w:t xml:space="preserve">(c) </w:t>
      </w:r>
      <w:r>
        <w:rPr>
          <w:rFonts w:ascii="Arial" w:cs="Arial" w:eastAsia="Arial" w:hAnsi="Arial"/>
          <w:sz w:val="16"/>
          <w:szCs w:val="16"/>
          <w:u w:val="single" w:color="auto"/>
          <w:color w:val="0E2A35"/>
        </w:rPr>
        <w:t>Transferability</w:t>
      </w:r>
      <w:r>
        <w:rPr>
          <w:rFonts w:ascii="Arial" w:cs="Arial" w:eastAsia="Arial" w:hAnsi="Arial"/>
          <w:sz w:val="16"/>
          <w:szCs w:val="16"/>
          <w:color w:val="0E2A35"/>
        </w:rPr>
        <w:t>. Except as provided in this Section 6(c), (i) during the lifetime of a Participant, only the Participant or the Participant’s guardian or legal representative may exercise an Option or SAR, or receive payment with respect to any other Award; and (ii) no Award may be sold, assigned, transferred, exchanged or encumbered, voluntarily or involuntarily, other than by will or the laws of descent and distribution. Any attempted transfer in violation of this Section 6(c) shall be of no effect. The Committee may, however, provide in an Agreement or otherwise that an Award (other than an Incentive Stock Option) may be transferred pursuant to a domestic relations order or may be transferable by gift to any “family member” (as defined in General</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360" w:right="160"/>
        <w:spacing w:after="0" w:line="253" w:lineRule="auto"/>
        <w:rPr>
          <w:sz w:val="20"/>
          <w:szCs w:val="20"/>
          <w:color w:val="auto"/>
        </w:rPr>
      </w:pPr>
      <w:r>
        <w:rPr>
          <w:rFonts w:ascii="Arial" w:cs="Arial" w:eastAsia="Arial" w:hAnsi="Arial"/>
          <w:sz w:val="16"/>
          <w:szCs w:val="16"/>
          <w:color w:val="0E2A35"/>
        </w:rPr>
        <w:t>Instruction A.1(a)(5) to Form S-8 under the Securities Act of 1933) of the Participant. Any Award held by a transferee shall continue to be subject to the same terms and conditions that were applicable to that Award immediately before the transfer thereof. For purposes of any provision of the Plan relating to notice to a Participant or to acceleration or termination of an Award upon the death or termination of Service of a Participant, the references to “Participant” shall mean the original grantee of an Award and not any transferee.</w:t>
      </w:r>
    </w:p>
    <w:p>
      <w:pPr>
        <w:spacing w:after="0" w:line="272" w:lineRule="exact"/>
        <w:rPr>
          <w:sz w:val="20"/>
          <w:szCs w:val="20"/>
          <w:color w:val="auto"/>
        </w:rPr>
      </w:pPr>
    </w:p>
    <w:p>
      <w:pPr>
        <w:ind w:left="360" w:right="360"/>
        <w:spacing w:after="0" w:line="256" w:lineRule="auto"/>
        <w:rPr>
          <w:sz w:val="20"/>
          <w:szCs w:val="20"/>
          <w:color w:val="auto"/>
        </w:rPr>
      </w:pPr>
      <w:r>
        <w:rPr>
          <w:rFonts w:ascii="Arial" w:cs="Arial" w:eastAsia="Arial" w:hAnsi="Arial"/>
          <w:sz w:val="16"/>
          <w:szCs w:val="16"/>
          <w:color w:val="0E2A35"/>
        </w:rPr>
        <w:t xml:space="preserve">(d) </w:t>
      </w:r>
      <w:r>
        <w:rPr>
          <w:rFonts w:ascii="Arial" w:cs="Arial" w:eastAsia="Arial" w:hAnsi="Arial"/>
          <w:sz w:val="16"/>
          <w:szCs w:val="16"/>
          <w:u w:val="single" w:color="auto"/>
          <w:color w:val="0E2A35"/>
        </w:rPr>
        <w:t>Designation of Beneficiary</w:t>
      </w:r>
      <w:r>
        <w:rPr>
          <w:rFonts w:ascii="Arial" w:cs="Arial" w:eastAsia="Arial" w:hAnsi="Arial"/>
          <w:sz w:val="16"/>
          <w:szCs w:val="16"/>
          <w:color w:val="0E2A35"/>
        </w:rPr>
        <w:t>. To the extent permitted by the Committee, a Participant may designate a beneficiary or beneficiaries to exercise any Award or receive a payment under any Award that is exercisable or payable on or after the Participant’s death. Any such designation shall be on a form approved by the Company and shall be effective upon its receipt by the Company.</w:t>
      </w:r>
    </w:p>
    <w:p>
      <w:pPr>
        <w:spacing w:after="0" w:line="146" w:lineRule="exact"/>
        <w:rPr>
          <w:sz w:val="20"/>
          <w:szCs w:val="20"/>
          <w:color w:val="auto"/>
        </w:rPr>
      </w:pPr>
    </w:p>
    <w:p>
      <w:pPr>
        <w:ind w:left="360" w:right="60"/>
        <w:spacing w:after="0" w:line="256" w:lineRule="auto"/>
        <w:rPr>
          <w:sz w:val="20"/>
          <w:szCs w:val="20"/>
          <w:color w:val="auto"/>
        </w:rPr>
      </w:pPr>
      <w:r>
        <w:rPr>
          <w:rFonts w:ascii="Arial" w:cs="Arial" w:eastAsia="Arial" w:hAnsi="Arial"/>
          <w:sz w:val="16"/>
          <w:szCs w:val="16"/>
          <w:color w:val="0E2A35"/>
        </w:rPr>
        <w:t xml:space="preserve">(e) </w:t>
      </w:r>
      <w:r>
        <w:rPr>
          <w:rFonts w:ascii="Arial" w:cs="Arial" w:eastAsia="Arial" w:hAnsi="Arial"/>
          <w:sz w:val="16"/>
          <w:szCs w:val="16"/>
          <w:u w:val="single" w:color="auto"/>
          <w:color w:val="0E2A35"/>
        </w:rPr>
        <w:t>Termination of Service</w:t>
      </w:r>
      <w:r>
        <w:rPr>
          <w:rFonts w:ascii="Arial" w:cs="Arial" w:eastAsia="Arial" w:hAnsi="Arial"/>
          <w:sz w:val="16"/>
          <w:szCs w:val="16"/>
          <w:color w:val="0E2A35"/>
        </w:rPr>
        <w:t>. Unless otherwise provided in an applicable Agreement or another then-effective written agreement between a Participant and the Company, and subject to Section 12 of this Plan, if a Participant’s Service with the Company and all of its Affiliates terminates, the following provisions shall apply (in all cases subject to the scheduled expiration of an Option or SAR Award, as applicable):</w:t>
      </w:r>
    </w:p>
    <w:p>
      <w:pPr>
        <w:spacing w:after="0" w:line="146" w:lineRule="exact"/>
        <w:rPr>
          <w:sz w:val="20"/>
          <w:szCs w:val="20"/>
          <w:color w:val="auto"/>
        </w:rPr>
      </w:pPr>
    </w:p>
    <w:p>
      <w:pPr>
        <w:ind w:left="720" w:right="180"/>
        <w:spacing w:after="0" w:line="261" w:lineRule="auto"/>
        <w:rPr>
          <w:sz w:val="20"/>
          <w:szCs w:val="20"/>
          <w:color w:val="auto"/>
        </w:rPr>
      </w:pPr>
      <w:r>
        <w:rPr>
          <w:rFonts w:ascii="Arial" w:cs="Arial" w:eastAsia="Arial" w:hAnsi="Arial"/>
          <w:sz w:val="16"/>
          <w:szCs w:val="16"/>
          <w:color w:val="0E2A35"/>
        </w:rPr>
        <w:t>(1) Upon termination of Service for Cause, or upon conduct during a post-termination exercise period that would constitute Cause, all unexercised Option and SAR Awards and all unvested portions of any other outstanding Awards shall be immediately forfeited without consideration.</w:t>
      </w:r>
    </w:p>
    <w:p>
      <w:pPr>
        <w:spacing w:after="0" w:line="156" w:lineRule="exact"/>
        <w:rPr>
          <w:sz w:val="20"/>
          <w:szCs w:val="20"/>
          <w:color w:val="auto"/>
        </w:rPr>
      </w:pPr>
    </w:p>
    <w:p>
      <w:pPr>
        <w:ind w:left="720" w:right="40"/>
        <w:spacing w:after="0" w:line="256" w:lineRule="auto"/>
        <w:rPr>
          <w:sz w:val="20"/>
          <w:szCs w:val="20"/>
          <w:color w:val="auto"/>
        </w:rPr>
      </w:pPr>
      <w:r>
        <w:rPr>
          <w:rFonts w:ascii="Arial" w:cs="Arial" w:eastAsia="Arial" w:hAnsi="Arial"/>
          <w:sz w:val="16"/>
          <w:szCs w:val="16"/>
          <w:color w:val="0E2A35"/>
        </w:rPr>
        <w:t>(2) Upon termination of Service for death or Disability, all unvested portions of any outstanding Awards shall vest in full immediately. If the vesting of any such Award is subject to satisfaction of specified performance goals, such Award shall be deemed “fully vested” for purposes of this Section 6(e)(2) at the target level of performance or, in the discretion of the Committee, the actual level of performance (if determinable).</w:t>
      </w:r>
    </w:p>
    <w:p>
      <w:pPr>
        <w:spacing w:after="0" w:line="146" w:lineRule="exact"/>
        <w:rPr>
          <w:sz w:val="20"/>
          <w:szCs w:val="20"/>
          <w:color w:val="auto"/>
        </w:rPr>
      </w:pPr>
    </w:p>
    <w:p>
      <w:pPr>
        <w:ind w:left="720" w:right="80"/>
        <w:spacing w:after="0" w:line="276" w:lineRule="auto"/>
        <w:rPr>
          <w:sz w:val="20"/>
          <w:szCs w:val="20"/>
          <w:color w:val="auto"/>
        </w:rPr>
      </w:pPr>
      <w:r>
        <w:rPr>
          <w:rFonts w:ascii="Arial" w:cs="Arial" w:eastAsia="Arial" w:hAnsi="Arial"/>
          <w:sz w:val="16"/>
          <w:szCs w:val="16"/>
          <w:color w:val="0E2A35"/>
        </w:rPr>
        <w:t>(3) Upon termination of Service for any reason other than death or Disability, all unvested and unexercisable portions of any outstanding Awards shall be immediately forfeited without consideration.</w:t>
      </w:r>
    </w:p>
    <w:p>
      <w:pPr>
        <w:spacing w:after="0" w:line="130" w:lineRule="exact"/>
        <w:rPr>
          <w:sz w:val="20"/>
          <w:szCs w:val="20"/>
          <w:color w:val="auto"/>
        </w:rPr>
      </w:pPr>
    </w:p>
    <w:p>
      <w:pPr>
        <w:ind w:left="720" w:right="220"/>
        <w:spacing w:after="0" w:line="256" w:lineRule="auto"/>
        <w:rPr>
          <w:sz w:val="20"/>
          <w:szCs w:val="20"/>
          <w:color w:val="auto"/>
        </w:rPr>
      </w:pPr>
      <w:r>
        <w:rPr>
          <w:rFonts w:ascii="Arial" w:cs="Arial" w:eastAsia="Arial" w:hAnsi="Arial"/>
          <w:sz w:val="16"/>
          <w:szCs w:val="16"/>
          <w:color w:val="0E2A35"/>
        </w:rPr>
        <w:t>(4) Upon termination of Service for any reason other than Cause, death or Disability, the currently vested and exercisable portions of Option and SAR Awards may be exercised for a period of three months after the date of such termination. However, if a Participant thereafter dies during such three-month period, the vested and exercisable portions of the Option and SAR Awards may be exercised for a period of one year after the date of such termination.</w:t>
      </w:r>
    </w:p>
    <w:p>
      <w:pPr>
        <w:spacing w:after="0" w:line="160" w:lineRule="exact"/>
        <w:rPr>
          <w:sz w:val="20"/>
          <w:szCs w:val="20"/>
          <w:color w:val="auto"/>
        </w:rPr>
      </w:pPr>
    </w:p>
    <w:p>
      <w:pPr>
        <w:ind w:left="720" w:right="60"/>
        <w:spacing w:after="0" w:line="276" w:lineRule="auto"/>
        <w:rPr>
          <w:sz w:val="20"/>
          <w:szCs w:val="20"/>
          <w:color w:val="auto"/>
        </w:rPr>
      </w:pPr>
      <w:r>
        <w:rPr>
          <w:rFonts w:ascii="Arial" w:cs="Arial" w:eastAsia="Arial" w:hAnsi="Arial"/>
          <w:sz w:val="16"/>
          <w:szCs w:val="16"/>
          <w:color w:val="0E2A35"/>
        </w:rPr>
        <w:t>(5) Upon termination of Service due to death or Disability, the currently vested and exercisable portions of Option and SAR Awards may be exercised for a period of one year after the date of such termination.</w:t>
      </w:r>
    </w:p>
    <w:p>
      <w:pPr>
        <w:spacing w:after="0" w:line="130" w:lineRule="exact"/>
        <w:rPr>
          <w:sz w:val="20"/>
          <w:szCs w:val="20"/>
          <w:color w:val="auto"/>
        </w:rPr>
      </w:pPr>
    </w:p>
    <w:p>
      <w:pPr>
        <w:ind w:left="360" w:right="160"/>
        <w:spacing w:after="0" w:line="261" w:lineRule="auto"/>
        <w:rPr>
          <w:sz w:val="20"/>
          <w:szCs w:val="20"/>
          <w:color w:val="auto"/>
        </w:rPr>
      </w:pPr>
      <w:r>
        <w:rPr>
          <w:rFonts w:ascii="Arial" w:cs="Arial" w:eastAsia="Arial" w:hAnsi="Arial"/>
          <w:sz w:val="16"/>
          <w:szCs w:val="16"/>
          <w:color w:val="0E2A35"/>
        </w:rPr>
        <w:t xml:space="preserve">(f) </w:t>
      </w:r>
      <w:r>
        <w:rPr>
          <w:rFonts w:ascii="Arial" w:cs="Arial" w:eastAsia="Arial" w:hAnsi="Arial"/>
          <w:sz w:val="16"/>
          <w:szCs w:val="16"/>
          <w:u w:val="single" w:color="auto"/>
          <w:color w:val="0E2A35"/>
        </w:rPr>
        <w:t>Rights as Stockholder</w:t>
      </w:r>
      <w:r>
        <w:rPr>
          <w:rFonts w:ascii="Arial" w:cs="Arial" w:eastAsia="Arial" w:hAnsi="Arial"/>
          <w:sz w:val="16"/>
          <w:szCs w:val="16"/>
          <w:color w:val="0E2A35"/>
        </w:rPr>
        <w:t>. No Participant shall have any rights as a stockholder with respect to any Shares covered by an Award unless and until the date the Participant becomes the holder of record of the Shares, if any, to which the Award relates.</w:t>
      </w:r>
    </w:p>
    <w:p>
      <w:pPr>
        <w:spacing w:after="0" w:line="142" w:lineRule="exact"/>
        <w:rPr>
          <w:sz w:val="20"/>
          <w:szCs w:val="20"/>
          <w:color w:val="auto"/>
        </w:rPr>
      </w:pPr>
    </w:p>
    <w:p>
      <w:pPr>
        <w:ind w:left="360" w:right="20"/>
        <w:spacing w:after="0" w:line="249" w:lineRule="auto"/>
        <w:rPr>
          <w:sz w:val="20"/>
          <w:szCs w:val="20"/>
          <w:color w:val="auto"/>
        </w:rPr>
      </w:pPr>
      <w:r>
        <w:rPr>
          <w:rFonts w:ascii="Arial" w:cs="Arial" w:eastAsia="Arial" w:hAnsi="Arial"/>
          <w:sz w:val="16"/>
          <w:szCs w:val="16"/>
          <w:color w:val="0E2A35"/>
        </w:rPr>
        <w:t xml:space="preserve">(g) </w:t>
      </w:r>
      <w:r>
        <w:rPr>
          <w:rFonts w:ascii="Arial" w:cs="Arial" w:eastAsia="Arial" w:hAnsi="Arial"/>
          <w:sz w:val="16"/>
          <w:szCs w:val="16"/>
          <w:u w:val="single" w:color="auto"/>
          <w:color w:val="0E2A35"/>
        </w:rPr>
        <w:t>Performance-Based Awards</w:t>
      </w:r>
      <w:r>
        <w:rPr>
          <w:rFonts w:ascii="Arial" w:cs="Arial" w:eastAsia="Arial" w:hAnsi="Arial"/>
          <w:sz w:val="16"/>
          <w:szCs w:val="16"/>
          <w:color w:val="0E2A35"/>
        </w:rPr>
        <w:t>. Any Award may be granted as a performance-based Award if the Committee establishes performance goals to be attained based on one or more Performance Measures, and the performance period over which the specified performance is to be attained, as a condition to the grant, vesting, exercisability, lapse of restrictions and/or settlement in cash or Shares of such Award. The Committee will select the applicable Performance Measure(s) and specify the performance goal(s) based on those Performance Measures for any performance period, specify in terms of a formula or standard the method for calculating the amount payable to a Participant if the performance goal(s) are satisfied, and determine the degree to which the grant, vesting, exercisability, lapse of restrictions and/or settlement of such Award has been earned, including the degree to which applicable performance goals have been satisfied. The Committee shall also have the authority to provide, in an Agreement or otherwise, for the modification of a performance period and/or adjustments to or waivers of the achievement of performance goals. The Committee may, in its discretion and based on such considerations as it deems appropriate, adjust any amount otherwise determined by the application of the performance goals to be otherwise payable in connection with an Award.</w:t>
      </w:r>
    </w:p>
    <w:p>
      <w:pPr>
        <w:spacing w:after="0" w:line="166" w:lineRule="exact"/>
        <w:rPr>
          <w:sz w:val="20"/>
          <w:szCs w:val="20"/>
          <w:color w:val="auto"/>
        </w:rPr>
      </w:pPr>
    </w:p>
    <w:p>
      <w:pPr>
        <w:ind w:left="360" w:right="360"/>
        <w:spacing w:after="0" w:line="276" w:lineRule="auto"/>
        <w:rPr>
          <w:sz w:val="20"/>
          <w:szCs w:val="20"/>
          <w:color w:val="auto"/>
        </w:rPr>
      </w:pPr>
      <w:r>
        <w:rPr>
          <w:rFonts w:ascii="Arial" w:cs="Arial" w:eastAsia="Arial" w:hAnsi="Arial"/>
          <w:sz w:val="16"/>
          <w:szCs w:val="16"/>
          <w:color w:val="0E2A35"/>
        </w:rPr>
        <w:t xml:space="preserve">(h) </w:t>
      </w:r>
      <w:r>
        <w:rPr>
          <w:rFonts w:ascii="Arial" w:cs="Arial" w:eastAsia="Arial" w:hAnsi="Arial"/>
          <w:sz w:val="16"/>
          <w:szCs w:val="16"/>
          <w:u w:val="single" w:color="auto"/>
          <w:color w:val="0E2A35"/>
        </w:rPr>
        <w:t>Dividends and Dividend Equivalents</w:t>
      </w:r>
      <w:r>
        <w:rPr>
          <w:rFonts w:ascii="Arial" w:cs="Arial" w:eastAsia="Arial" w:hAnsi="Arial"/>
          <w:sz w:val="16"/>
          <w:szCs w:val="16"/>
          <w:color w:val="0E2A35"/>
        </w:rPr>
        <w:t>. No dividends, dividend equivalents or distributions will be paid with respect to Shares subject to an Option or SAR Award. Any dividends or distributions payable with respect to</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360"/>
        <w:spacing w:after="0" w:line="248" w:lineRule="auto"/>
        <w:rPr>
          <w:sz w:val="20"/>
          <w:szCs w:val="20"/>
          <w:color w:val="auto"/>
        </w:rPr>
      </w:pPr>
      <w:r>
        <w:rPr>
          <w:rFonts w:ascii="Arial" w:cs="Arial" w:eastAsia="Arial" w:hAnsi="Arial"/>
          <w:sz w:val="16"/>
          <w:szCs w:val="16"/>
          <w:color w:val="0E2A35"/>
        </w:rPr>
        <w:t>Shares that are subject to the unvested portion of a Restricted Stock Award will be subject to the same restrictions and risk of forfeiture as the Shares to which such dividends or distributions relate. In its discretion, the Committee may provide in an Award Agreement for a Stock Unit Award or an Other Stock-Based Award that the Participant will be entitled to receive dividend equivalents, based on dividends actually declared and paid on outstanding Shares, on the units or other Share equivalents subject to the Stock Unit Award or Other Stock-Based Award, and such dividend equivalents will be subject to the same restrictions and risk of forfeiture as the units or other Share equivalents to which such dividend equivalents relate. Dividends and dividend equivalents on performance-based awards will be subject to the same terms and conditions, including vesting conditions and the achievement of any applicable performance goals, as the original Award. For the avoidance of doubt, no dividends or dividends equivalents will vest or be paid out with respect to any unvested awards under the Plan. The additional terms of any such dividend equivalents will be as set forth in the applicable Agreement, including the time and form of payment and whether such dividend equivalents will be credited with interest or deemed to be reinvested in additional units or Share equivalents. Any Shares issued or issuable during the term of this Plan as the result of the reinvestment of dividends or the deemed reinvestment of dividend equivalents in connection with an Award or a Prior Plan Award shall be counted against, and replenish upon any subsequent forfeiture, the Plan’s share reserve as provided in Section 4.</w:t>
      </w:r>
    </w:p>
    <w:p>
      <w:pPr>
        <w:spacing w:after="0" w:line="200" w:lineRule="exact"/>
        <w:rPr>
          <w:sz w:val="20"/>
          <w:szCs w:val="20"/>
          <w:color w:val="auto"/>
        </w:rPr>
      </w:pPr>
    </w:p>
    <w:p>
      <w:pPr>
        <w:spacing w:after="0" w:line="270" w:lineRule="exact"/>
        <w:rPr>
          <w:sz w:val="20"/>
          <w:szCs w:val="20"/>
          <w:color w:val="auto"/>
        </w:rPr>
      </w:pPr>
    </w:p>
    <w:p>
      <w:pPr>
        <w:ind w:left="360" w:right="40"/>
        <w:spacing w:after="0" w:line="249" w:lineRule="auto"/>
        <w:rPr>
          <w:sz w:val="20"/>
          <w:szCs w:val="20"/>
          <w:color w:val="auto"/>
        </w:rPr>
      </w:pPr>
      <w:r>
        <w:rPr>
          <w:rFonts w:ascii="Arial" w:cs="Arial" w:eastAsia="Arial" w:hAnsi="Arial"/>
          <w:sz w:val="16"/>
          <w:szCs w:val="16"/>
          <w:color w:val="0E2A35"/>
        </w:rPr>
        <w:t xml:space="preserve">(i) </w:t>
      </w:r>
      <w:r>
        <w:rPr>
          <w:rFonts w:ascii="Arial" w:cs="Arial" w:eastAsia="Arial" w:hAnsi="Arial"/>
          <w:sz w:val="16"/>
          <w:szCs w:val="16"/>
          <w:u w:val="single" w:color="auto"/>
          <w:color w:val="0E2A35"/>
        </w:rPr>
        <w:t>Deferrals of Full Value Awards</w:t>
      </w:r>
      <w:r>
        <w:rPr>
          <w:rFonts w:ascii="Arial" w:cs="Arial" w:eastAsia="Arial" w:hAnsi="Arial"/>
          <w:sz w:val="16"/>
          <w:szCs w:val="16"/>
          <w:color w:val="0E2A35"/>
        </w:rPr>
        <w:t>. The Committee may, in its discretion, permit or require the deferral by a Participant of the issuance of Shares or payment of cash in settlement of any Full Value Award, subject to such terms, conditions, rules and procedures as it may establish or prescribe for such purpose and with the intention of complying with the applicable requirements of Code Section 409A. The terms, conditions, rules and procedures for any such deferral shall be set forth in writing in the relevant Agreement or in such other agreement, plan or document as the Committee may determine, or some combination of such documents. The terms, conditions, rules and procedures for any such deferral shall address, to the extent relevant, matters such as: (i) the amount of compensation that may or must be deferred (or the method for calculating the amount); (ii) the permissible time(s) and form(s) of payment of deferred amounts; (iii) the terms and conditions of any deferral elections by a Participant or of any deferral required by the Company; and (iv) the crediting of interest or dividend equivalents on deferred amounts. To the extent that any such deferral is effected in accordance with any then-effective non-qualified deferred compensation plan of the Company, the Share equivalents credited to such non-qualified deferred compensation plan account of a Participant shall be deemed Stock Units for purposes of this Plan, and if settled in Shares, such Shares shall be drawn from and charged against the Plan’s share reserve.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0E2A35"/>
        </w:rPr>
        <w:t>7. </w:t>
      </w:r>
      <w:r>
        <w:rPr>
          <w:rFonts w:ascii="Arial" w:cs="Arial" w:eastAsia="Arial" w:hAnsi="Arial"/>
          <w:sz w:val="16"/>
          <w:szCs w:val="16"/>
          <w:b w:val="1"/>
          <w:bCs w:val="1"/>
          <w:u w:val="single" w:color="auto"/>
          <w:color w:val="0E2A35"/>
        </w:rPr>
        <w:t>Stock Option Awards</w:t>
      </w:r>
      <w:r>
        <w:rPr>
          <w:rFonts w:ascii="Arial" w:cs="Arial" w:eastAsia="Arial" w:hAnsi="Arial"/>
          <w:sz w:val="16"/>
          <w:szCs w:val="16"/>
          <w:b w:val="1"/>
          <w:bCs w:val="1"/>
          <w:color w:val="0E2A35"/>
        </w:rPr>
        <w:t>.</w:t>
      </w:r>
    </w:p>
    <w:p>
      <w:pPr>
        <w:spacing w:after="0" w:line="189" w:lineRule="exact"/>
        <w:rPr>
          <w:sz w:val="20"/>
          <w:szCs w:val="20"/>
          <w:color w:val="auto"/>
        </w:rPr>
      </w:pPr>
    </w:p>
    <w:p>
      <w:pPr>
        <w:ind w:left="360"/>
        <w:spacing w:after="0" w:line="253" w:lineRule="auto"/>
        <w:rPr>
          <w:sz w:val="20"/>
          <w:szCs w:val="20"/>
          <w:color w:val="auto"/>
        </w:rPr>
      </w:pPr>
      <w:r>
        <w:rPr>
          <w:rFonts w:ascii="Arial" w:cs="Arial" w:eastAsia="Arial" w:hAnsi="Arial"/>
          <w:sz w:val="16"/>
          <w:szCs w:val="16"/>
          <w:color w:val="0E2A35"/>
        </w:rPr>
        <w:t xml:space="preserve">(a) </w:t>
      </w:r>
      <w:r>
        <w:rPr>
          <w:rFonts w:ascii="Arial" w:cs="Arial" w:eastAsia="Arial" w:hAnsi="Arial"/>
          <w:sz w:val="16"/>
          <w:szCs w:val="16"/>
          <w:u w:val="single" w:color="auto"/>
          <w:color w:val="0E2A35"/>
        </w:rPr>
        <w:t>Type and Exercise Price</w:t>
      </w:r>
      <w:r>
        <w:rPr>
          <w:rFonts w:ascii="Arial" w:cs="Arial" w:eastAsia="Arial" w:hAnsi="Arial"/>
          <w:sz w:val="16"/>
          <w:szCs w:val="16"/>
          <w:color w:val="0E2A35"/>
        </w:rPr>
        <w:t>. The Agreement pursuant to which an Option Award is granted shall specify whether the Option is an Incentive Stock Option or a Non-Qualified Stock Option. The exercise price at which each Share subject to an Option Award may be purchased shall be determined by the Committee and set forth in the Agreement, and shall not be less than the Fair Market Value of a Share on the Grant Date, except in the case of Substitute Awards (to the extent consistent with Code Section 409A and, in the case of Incentive Stock Options, Code Section 424).</w:t>
      </w:r>
    </w:p>
    <w:p>
      <w:pPr>
        <w:spacing w:after="0" w:line="164" w:lineRule="exact"/>
        <w:rPr>
          <w:sz w:val="20"/>
          <w:szCs w:val="20"/>
          <w:color w:val="auto"/>
        </w:rPr>
      </w:pPr>
    </w:p>
    <w:p>
      <w:pPr>
        <w:ind w:left="360" w:right="40"/>
        <w:spacing w:after="0" w:line="252" w:lineRule="auto"/>
        <w:rPr>
          <w:sz w:val="20"/>
          <w:szCs w:val="20"/>
          <w:color w:val="auto"/>
        </w:rPr>
      </w:pPr>
      <w:r>
        <w:rPr>
          <w:rFonts w:ascii="Arial" w:cs="Arial" w:eastAsia="Arial" w:hAnsi="Arial"/>
          <w:sz w:val="16"/>
          <w:szCs w:val="16"/>
          <w:color w:val="0E2A35"/>
        </w:rPr>
        <w:t xml:space="preserve">(b) </w:t>
      </w:r>
      <w:r>
        <w:rPr>
          <w:rFonts w:ascii="Arial" w:cs="Arial" w:eastAsia="Arial" w:hAnsi="Arial"/>
          <w:sz w:val="16"/>
          <w:szCs w:val="16"/>
          <w:u w:val="single" w:color="auto"/>
          <w:color w:val="0E2A35"/>
        </w:rPr>
        <w:t>Payment of Exercise Price</w:t>
      </w:r>
      <w:r>
        <w:rPr>
          <w:rFonts w:ascii="Arial" w:cs="Arial" w:eastAsia="Arial" w:hAnsi="Arial"/>
          <w:sz w:val="16"/>
          <w:szCs w:val="16"/>
          <w:color w:val="0E2A35"/>
        </w:rPr>
        <w:t>. The purchase price of the Shares with respect to which an Option Award is exercised shall be payable in full at the time of exercise. The purchase price may be paid in cash or in such other manner as the Committee may permit, including by payment under a broker-assisted sale and remittance program, by withholding Shares otherwise issuable to the Participant upon exercise of the Option or by delivery to the Company of Shares (by actual delivery or attestation) already owned by the Participant (in either case, such Shares having a Fair Market Value as of the date the Option is exercised equal to the purchase price of the Shares being purchased).</w:t>
      </w:r>
    </w:p>
    <w:p>
      <w:pPr>
        <w:spacing w:after="0" w:line="150" w:lineRule="exact"/>
        <w:rPr>
          <w:sz w:val="20"/>
          <w:szCs w:val="20"/>
          <w:color w:val="auto"/>
        </w:rPr>
      </w:pPr>
    </w:p>
    <w:p>
      <w:pPr>
        <w:jc w:val="both"/>
        <w:ind w:left="360" w:right="220"/>
        <w:spacing w:after="0" w:line="261" w:lineRule="auto"/>
        <w:rPr>
          <w:sz w:val="20"/>
          <w:szCs w:val="20"/>
          <w:color w:val="auto"/>
        </w:rPr>
      </w:pPr>
      <w:r>
        <w:rPr>
          <w:rFonts w:ascii="Arial" w:cs="Arial" w:eastAsia="Arial" w:hAnsi="Arial"/>
          <w:sz w:val="16"/>
          <w:szCs w:val="16"/>
          <w:color w:val="0E2A35"/>
        </w:rPr>
        <w:t xml:space="preserve">(c) </w:t>
      </w:r>
      <w:r>
        <w:rPr>
          <w:rFonts w:ascii="Arial" w:cs="Arial" w:eastAsia="Arial" w:hAnsi="Arial"/>
          <w:sz w:val="16"/>
          <w:szCs w:val="16"/>
          <w:u w:val="single" w:color="auto"/>
          <w:color w:val="0E2A35"/>
        </w:rPr>
        <w:t>Exercisability and Expiration</w:t>
      </w:r>
      <w:r>
        <w:rPr>
          <w:rFonts w:ascii="Arial" w:cs="Arial" w:eastAsia="Arial" w:hAnsi="Arial"/>
          <w:sz w:val="16"/>
          <w:szCs w:val="16"/>
          <w:color w:val="0E2A35"/>
        </w:rPr>
        <w:t>. Each Option Award shall be exercisable in whole or in part on the terms provided in the Agreement. No Option Award shall be exercisable at any time after its scheduled expiration. When an Option Award is no longer exercisable, it shall be deemed to have terminated.</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 xml:space="preserve">(d) </w:t>
      </w:r>
      <w:r>
        <w:rPr>
          <w:rFonts w:ascii="Arial" w:cs="Arial" w:eastAsia="Arial" w:hAnsi="Arial"/>
          <w:sz w:val="16"/>
          <w:szCs w:val="16"/>
          <w:u w:val="single" w:color="auto"/>
          <w:color w:val="0E2A35"/>
        </w:rPr>
        <w:t>Incentive Stock Options</w:t>
      </w:r>
      <w:r>
        <w:rPr>
          <w:rFonts w:ascii="Arial" w:cs="Arial" w:eastAsia="Arial" w:hAnsi="Arial"/>
          <w:sz w:val="16"/>
          <w:szCs w:val="16"/>
          <w:color w:val="0E2A35"/>
        </w:rPr>
        <w:t>.</w:t>
      </w:r>
    </w:p>
    <w:p>
      <w:pPr>
        <w:spacing w:after="0" w:line="194" w:lineRule="exact"/>
        <w:rPr>
          <w:sz w:val="20"/>
          <w:szCs w:val="20"/>
          <w:color w:val="auto"/>
        </w:rPr>
      </w:pPr>
    </w:p>
    <w:p>
      <w:pPr>
        <w:ind w:left="720" w:right="40"/>
        <w:spacing w:after="0" w:line="276" w:lineRule="auto"/>
        <w:rPr>
          <w:sz w:val="20"/>
          <w:szCs w:val="20"/>
          <w:color w:val="auto"/>
        </w:rPr>
      </w:pPr>
      <w:r>
        <w:rPr>
          <w:rFonts w:ascii="Arial" w:cs="Arial" w:eastAsia="Arial" w:hAnsi="Arial"/>
          <w:sz w:val="16"/>
          <w:szCs w:val="16"/>
          <w:color w:val="0E2A35"/>
        </w:rPr>
        <w:t>(1) An Option Award will constitute an Incentive Stock Option Award only if the Participant receiving the Option Award is an Employee, and only to the extent that (i) it is so designated in the applicable</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720" w:right="220"/>
        <w:spacing w:after="0" w:line="251" w:lineRule="auto"/>
        <w:rPr>
          <w:sz w:val="20"/>
          <w:szCs w:val="20"/>
          <w:color w:val="auto"/>
        </w:rPr>
      </w:pPr>
      <w:r>
        <w:rPr>
          <w:rFonts w:ascii="Arial" w:cs="Arial" w:eastAsia="Arial" w:hAnsi="Arial"/>
          <w:sz w:val="16"/>
          <w:szCs w:val="16"/>
          <w:color w:val="0E2A35"/>
        </w:rPr>
        <w:t>Agreement and (ii) the aggregate Fair Market Value (determined as of the Option Award’s Grant Date) of the Shares with respect to which Incentive Stock Option Awards held by the Participant first become exercisable in any calendar year (under the Plan and all other plans of the Company and its Affiliates) does not exceed $100,000 or such other amount specified by the Code. To the extent an Option Award granted to a Participant exceeds this limit, the Option Award shall be treated as a Non-Qualified Stock Option Award. The maximum number of Shares that may be issued upon the exercise of Incentive Stock Option Awards under the Plan shall be the total number of Shares in the Plan’s share reserve as specified in the first sentence of Section 4(a), subject to adjustment as provided in Section 12(a).</w:t>
      </w:r>
    </w:p>
    <w:p>
      <w:pPr>
        <w:spacing w:after="0" w:line="273" w:lineRule="exact"/>
        <w:rPr>
          <w:sz w:val="20"/>
          <w:szCs w:val="20"/>
          <w:color w:val="auto"/>
        </w:rPr>
      </w:pPr>
    </w:p>
    <w:p>
      <w:pPr>
        <w:ind w:left="720" w:right="80"/>
        <w:spacing w:after="0" w:line="253" w:lineRule="auto"/>
        <w:rPr>
          <w:sz w:val="20"/>
          <w:szCs w:val="20"/>
          <w:color w:val="auto"/>
        </w:rPr>
      </w:pPr>
      <w:r>
        <w:rPr>
          <w:rFonts w:ascii="Arial" w:cs="Arial" w:eastAsia="Arial" w:hAnsi="Arial"/>
          <w:sz w:val="16"/>
          <w:szCs w:val="16"/>
          <w:color w:val="0E2A35"/>
        </w:rPr>
        <w:t>(2) No Participant may receive an Incentive Stock Option Award under the Plan if, immediately after the grant of such Award, the Participant would own (after application of the rules contained in Code Section 424(d)) Shares possessing more than 10% of the total combined voting power of all classes of stock of the Company or an Affiliate, unless (i) the per Share exercise price for such Award is at least 110% of the Fair Market Value of a Share on the Grant Date and (ii) such Award will expire no later than five years after its Grant Date.</w:t>
      </w:r>
    </w:p>
    <w:p>
      <w:pPr>
        <w:spacing w:after="0" w:line="151" w:lineRule="exact"/>
        <w:rPr>
          <w:sz w:val="20"/>
          <w:szCs w:val="20"/>
          <w:color w:val="auto"/>
        </w:rPr>
      </w:pPr>
    </w:p>
    <w:p>
      <w:pPr>
        <w:ind w:left="720" w:right="140"/>
        <w:spacing w:after="0" w:line="253" w:lineRule="auto"/>
        <w:rPr>
          <w:sz w:val="20"/>
          <w:szCs w:val="20"/>
          <w:color w:val="auto"/>
        </w:rPr>
      </w:pPr>
      <w:r>
        <w:rPr>
          <w:rFonts w:ascii="Arial" w:cs="Arial" w:eastAsia="Arial" w:hAnsi="Arial"/>
          <w:sz w:val="16"/>
          <w:szCs w:val="16"/>
          <w:color w:val="0E2A35"/>
        </w:rPr>
        <w:t>(3) For purposes of continued Service by a Participant who has been granted an Incentive Stock Option Award,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Non-Qualified Stock Option.</w:t>
      </w:r>
    </w:p>
    <w:p>
      <w:pPr>
        <w:spacing w:after="0" w:line="151" w:lineRule="exact"/>
        <w:rPr>
          <w:sz w:val="20"/>
          <w:szCs w:val="20"/>
          <w:color w:val="auto"/>
        </w:rPr>
      </w:pPr>
    </w:p>
    <w:p>
      <w:pPr>
        <w:jc w:val="both"/>
        <w:ind w:left="720" w:right="60"/>
        <w:spacing w:after="0" w:line="261" w:lineRule="auto"/>
        <w:rPr>
          <w:sz w:val="20"/>
          <w:szCs w:val="20"/>
          <w:color w:val="auto"/>
        </w:rPr>
      </w:pPr>
      <w:r>
        <w:rPr>
          <w:rFonts w:ascii="Arial" w:cs="Arial" w:eastAsia="Arial" w:hAnsi="Arial"/>
          <w:sz w:val="16"/>
          <w:szCs w:val="16"/>
          <w:color w:val="0E2A35"/>
        </w:rPr>
        <w:t>(4) If an Incentive Stock Option Award is exercised after the expiration of the exercise periods that apply for purposes of Code Section 422, or otherwise fails to qualify as an Incentive Stock Option, such Option shall thereafter be treated as a Non-Qualified Stock Option.</w:t>
      </w:r>
    </w:p>
    <w:p>
      <w:pPr>
        <w:spacing w:after="0" w:line="156" w:lineRule="exact"/>
        <w:rPr>
          <w:sz w:val="20"/>
          <w:szCs w:val="20"/>
          <w:color w:val="auto"/>
        </w:rPr>
      </w:pPr>
    </w:p>
    <w:p>
      <w:pPr>
        <w:ind w:left="720" w:right="160"/>
        <w:spacing w:after="0" w:line="276" w:lineRule="auto"/>
        <w:rPr>
          <w:sz w:val="20"/>
          <w:szCs w:val="20"/>
          <w:color w:val="auto"/>
        </w:rPr>
      </w:pPr>
      <w:r>
        <w:rPr>
          <w:rFonts w:ascii="Arial" w:cs="Arial" w:eastAsia="Arial" w:hAnsi="Arial"/>
          <w:sz w:val="16"/>
          <w:szCs w:val="16"/>
          <w:color w:val="0E2A35"/>
        </w:rPr>
        <w:t>(5) The Agreement covering an Incentive Stock Option Award shall contain such other terms and provisions that the Committee determines necessary to qualify the Option Award as an Incentive Stock Option Award.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0E2A35"/>
        </w:rPr>
        <w:t>8. </w:t>
      </w:r>
      <w:r>
        <w:rPr>
          <w:rFonts w:ascii="Arial" w:cs="Arial" w:eastAsia="Arial" w:hAnsi="Arial"/>
          <w:sz w:val="16"/>
          <w:szCs w:val="16"/>
          <w:b w:val="1"/>
          <w:bCs w:val="1"/>
          <w:u w:val="single" w:color="auto"/>
          <w:color w:val="0E2A35"/>
        </w:rPr>
        <w:t>Stock Appreciation Right Awards</w:t>
      </w:r>
      <w:r>
        <w:rPr>
          <w:rFonts w:ascii="Arial" w:cs="Arial" w:eastAsia="Arial" w:hAnsi="Arial"/>
          <w:sz w:val="16"/>
          <w:szCs w:val="16"/>
          <w:b w:val="1"/>
          <w:bCs w:val="1"/>
          <w:color w:val="0E2A35"/>
        </w:rPr>
        <w:t>.</w:t>
      </w:r>
    </w:p>
    <w:p>
      <w:pPr>
        <w:spacing w:after="0" w:line="189" w:lineRule="exact"/>
        <w:rPr>
          <w:sz w:val="20"/>
          <w:szCs w:val="20"/>
          <w:color w:val="auto"/>
        </w:rPr>
      </w:pPr>
    </w:p>
    <w:p>
      <w:pPr>
        <w:ind w:left="360" w:right="120"/>
        <w:spacing w:after="0" w:line="251" w:lineRule="auto"/>
        <w:rPr>
          <w:sz w:val="20"/>
          <w:szCs w:val="20"/>
          <w:color w:val="auto"/>
        </w:rPr>
      </w:pPr>
      <w:r>
        <w:rPr>
          <w:rFonts w:ascii="Arial" w:cs="Arial" w:eastAsia="Arial" w:hAnsi="Arial"/>
          <w:sz w:val="16"/>
          <w:szCs w:val="16"/>
          <w:color w:val="0E2A35"/>
        </w:rPr>
        <w:t xml:space="preserve">(a) </w:t>
      </w:r>
      <w:r>
        <w:rPr>
          <w:rFonts w:ascii="Arial" w:cs="Arial" w:eastAsia="Arial" w:hAnsi="Arial"/>
          <w:sz w:val="16"/>
          <w:szCs w:val="16"/>
          <w:u w:val="single" w:color="auto"/>
          <w:color w:val="0E2A35"/>
        </w:rPr>
        <w:t>Nature of Award</w:t>
      </w:r>
      <w:r>
        <w:rPr>
          <w:rFonts w:ascii="Arial" w:cs="Arial" w:eastAsia="Arial" w:hAnsi="Arial"/>
          <w:sz w:val="16"/>
          <w:szCs w:val="16"/>
          <w:color w:val="0E2A35"/>
        </w:rPr>
        <w:t>. An Award of Stock Appreciation Rights shall be subject to such terms and conditions as are determined by the Committee, and shall provide a Participant the right to receive upon exercise of the SAR Award all or a portion of the excess of (i) the Fair Market Value as of the date of exercise of the SAR Award of the number of Shares as to which the SAR Award is being exercised, over (ii) the aggregate exercise price for such number of Shares. The per Share exercise price for any SAR Award shall be determined by the Committee and set forth in the applicable Agreement, and shall not be less than the Fair Market Value of a Share on the Grant Date, except in the case of Substitute Awards (to the extent consistent with Code Section 409A).</w:t>
      </w:r>
    </w:p>
    <w:p>
      <w:pPr>
        <w:spacing w:after="0" w:line="165" w:lineRule="exact"/>
        <w:rPr>
          <w:sz w:val="20"/>
          <w:szCs w:val="20"/>
          <w:color w:val="auto"/>
        </w:rPr>
      </w:pPr>
    </w:p>
    <w:p>
      <w:pPr>
        <w:ind w:left="360"/>
        <w:spacing w:after="0" w:line="251" w:lineRule="auto"/>
        <w:rPr>
          <w:sz w:val="20"/>
          <w:szCs w:val="20"/>
          <w:color w:val="auto"/>
        </w:rPr>
      </w:pPr>
      <w:r>
        <w:rPr>
          <w:rFonts w:ascii="Arial" w:cs="Arial" w:eastAsia="Arial" w:hAnsi="Arial"/>
          <w:sz w:val="16"/>
          <w:szCs w:val="16"/>
          <w:color w:val="0E2A35"/>
        </w:rPr>
        <w:t xml:space="preserve">(b) </w:t>
      </w:r>
      <w:r>
        <w:rPr>
          <w:rFonts w:ascii="Arial" w:cs="Arial" w:eastAsia="Arial" w:hAnsi="Arial"/>
          <w:sz w:val="16"/>
          <w:szCs w:val="16"/>
          <w:u w:val="single" w:color="auto"/>
          <w:color w:val="0E2A35"/>
        </w:rPr>
        <w:t>Exercise of SAR</w:t>
      </w:r>
      <w:r>
        <w:rPr>
          <w:rFonts w:ascii="Arial" w:cs="Arial" w:eastAsia="Arial" w:hAnsi="Arial"/>
          <w:sz w:val="16"/>
          <w:szCs w:val="16"/>
          <w:color w:val="0E2A35"/>
        </w:rPr>
        <w:t>. Each SAR Award may be exercisable in whole or in part at the times, on the terms and in the manner provided in the Agreement. No SAR Award shall be exercisable at any time after its scheduled expiration. When a SAR Award is no longer exercisable, it shall be deemed to have terminated. Upon exercise of a SAR Award, payment to the Participant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SAR Award.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0E2A35"/>
        </w:rPr>
        <w:t>9. </w:t>
      </w:r>
      <w:r>
        <w:rPr>
          <w:rFonts w:ascii="Arial" w:cs="Arial" w:eastAsia="Arial" w:hAnsi="Arial"/>
          <w:sz w:val="16"/>
          <w:szCs w:val="16"/>
          <w:b w:val="1"/>
          <w:bCs w:val="1"/>
          <w:u w:val="single" w:color="auto"/>
          <w:color w:val="0E2A35"/>
        </w:rPr>
        <w:t>Restricted Stock Awards</w:t>
      </w:r>
      <w:r>
        <w:rPr>
          <w:rFonts w:ascii="Arial" w:cs="Arial" w:eastAsia="Arial" w:hAnsi="Arial"/>
          <w:sz w:val="16"/>
          <w:szCs w:val="16"/>
          <w:b w:val="1"/>
          <w:bCs w:val="1"/>
          <w:color w:val="0E2A35"/>
        </w:rPr>
        <w:t>.</w:t>
      </w:r>
    </w:p>
    <w:p>
      <w:pPr>
        <w:spacing w:after="0" w:line="189" w:lineRule="exact"/>
        <w:rPr>
          <w:sz w:val="20"/>
          <w:szCs w:val="20"/>
          <w:color w:val="auto"/>
        </w:rPr>
      </w:pPr>
    </w:p>
    <w:p>
      <w:pPr>
        <w:ind w:left="360"/>
        <w:spacing w:after="0" w:line="252" w:lineRule="auto"/>
        <w:rPr>
          <w:sz w:val="20"/>
          <w:szCs w:val="20"/>
          <w:color w:val="auto"/>
        </w:rPr>
      </w:pPr>
      <w:r>
        <w:rPr>
          <w:rFonts w:ascii="Arial" w:cs="Arial" w:eastAsia="Arial" w:hAnsi="Arial"/>
          <w:sz w:val="16"/>
          <w:szCs w:val="16"/>
          <w:color w:val="0E2A35"/>
        </w:rPr>
        <w:t xml:space="preserve">(a) </w:t>
      </w:r>
      <w:r>
        <w:rPr>
          <w:rFonts w:ascii="Arial" w:cs="Arial" w:eastAsia="Arial" w:hAnsi="Arial"/>
          <w:sz w:val="16"/>
          <w:szCs w:val="16"/>
          <w:u w:val="single" w:color="auto"/>
          <w:color w:val="0E2A35"/>
        </w:rPr>
        <w:t>Vesting and Consideration</w:t>
      </w:r>
      <w:r>
        <w:rPr>
          <w:rFonts w:ascii="Arial" w:cs="Arial" w:eastAsia="Arial" w:hAnsi="Arial"/>
          <w:sz w:val="16"/>
          <w:szCs w:val="16"/>
          <w:color w:val="0E2A35"/>
        </w:rPr>
        <w:t>. Shares subject to a Restricted Stock Award shall be subject to vesting and the lapse of applicable restrictions based on such conditions or factors and occurring over such period of time as the Committee may determine in its discretion, subject to the requirements of Section 6(b). The Committee may provide whether any consideration other than Services must be received by the Company or any Affiliate as a condition precedent to the grant of a Restricted Stock Award and may correspondingly provide for Company reacquisition or repurchase rights if such additional consideration has been required and some or all of a Restricted Stock Award does not vest.</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360" w:right="20"/>
        <w:spacing w:after="0" w:line="249" w:lineRule="auto"/>
        <w:rPr>
          <w:sz w:val="20"/>
          <w:szCs w:val="20"/>
          <w:color w:val="auto"/>
        </w:rPr>
      </w:pPr>
      <w:r>
        <w:rPr>
          <w:rFonts w:ascii="Arial" w:cs="Arial" w:eastAsia="Arial" w:hAnsi="Arial"/>
          <w:sz w:val="16"/>
          <w:szCs w:val="16"/>
          <w:color w:val="0E2A35"/>
        </w:rPr>
        <w:t xml:space="preserve">(b) </w:t>
      </w:r>
      <w:r>
        <w:rPr>
          <w:rFonts w:ascii="Arial" w:cs="Arial" w:eastAsia="Arial" w:hAnsi="Arial"/>
          <w:sz w:val="16"/>
          <w:szCs w:val="16"/>
          <w:u w:val="single" w:color="auto"/>
          <w:color w:val="0E2A35"/>
        </w:rPr>
        <w:t>Shares Subject to Restricted Stock Awards</w:t>
      </w:r>
      <w:r>
        <w:rPr>
          <w:rFonts w:ascii="Arial" w:cs="Arial" w:eastAsia="Arial" w:hAnsi="Arial"/>
          <w:sz w:val="16"/>
          <w:szCs w:val="16"/>
          <w:color w:val="0E2A35"/>
        </w:rPr>
        <w:t>. Unvested Shares subject to a Restricted Stock Award shall be evidenced by a book-entry in the name of the Participant with the Company’s transfer agent or by one or more Stock certificates issued in the name of the Participant. Any such Stock certificate shall be deposited with the Company or its designee, together with an assignment separate from the certificate, in blank, signed by the Participant, and bear an appropriate legend referring to the restricted nature of the Restricted Stock evidenced thereby. Any book-entry shall be subject to comparable restrictions and corresponding stop transfer instructions. Upon the vesting of Shares of Restricted Stock, and the Company’s determination that any necessary conditions precedent to the release of vested Shares (such as satisfaction of tax withholding obligations and compliance with applicable legal requirements) have been satisfied, such vested Shares shall be made available to the Participant in such manner as may be prescribed or permitted by the Committee. Except as otherwise provided in the Plan or an applicable Agreement, a Participant with a Restricted Stock Award shall have all the rights of a shareholder, including the right to vote the Shares of Restricted Stock.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0E2A35"/>
        </w:rPr>
        <w:t>10. </w:t>
      </w:r>
      <w:r>
        <w:rPr>
          <w:rFonts w:ascii="Arial" w:cs="Arial" w:eastAsia="Arial" w:hAnsi="Arial"/>
          <w:sz w:val="16"/>
          <w:szCs w:val="16"/>
          <w:b w:val="1"/>
          <w:bCs w:val="1"/>
          <w:u w:val="single" w:color="auto"/>
          <w:color w:val="0E2A35"/>
        </w:rPr>
        <w:t>Stock Unit Awards</w:t>
      </w:r>
      <w:r>
        <w:rPr>
          <w:rFonts w:ascii="Arial" w:cs="Arial" w:eastAsia="Arial" w:hAnsi="Arial"/>
          <w:sz w:val="16"/>
          <w:szCs w:val="16"/>
          <w:b w:val="1"/>
          <w:bCs w:val="1"/>
          <w:color w:val="0E2A35"/>
        </w:rPr>
        <w:t>.</w:t>
      </w:r>
    </w:p>
    <w:p>
      <w:pPr>
        <w:spacing w:after="0" w:line="202" w:lineRule="exact"/>
        <w:rPr>
          <w:sz w:val="20"/>
          <w:szCs w:val="20"/>
          <w:color w:val="auto"/>
        </w:rPr>
      </w:pPr>
    </w:p>
    <w:p>
      <w:pPr>
        <w:ind w:left="360"/>
        <w:spacing w:after="0" w:line="251" w:lineRule="auto"/>
        <w:rPr>
          <w:sz w:val="20"/>
          <w:szCs w:val="20"/>
          <w:color w:val="auto"/>
        </w:rPr>
      </w:pPr>
      <w:r>
        <w:rPr>
          <w:rFonts w:ascii="Arial" w:cs="Arial" w:eastAsia="Arial" w:hAnsi="Arial"/>
          <w:sz w:val="16"/>
          <w:szCs w:val="16"/>
          <w:color w:val="0E2A35"/>
        </w:rPr>
        <w:t xml:space="preserve">(a) </w:t>
      </w:r>
      <w:r>
        <w:rPr>
          <w:rFonts w:ascii="Arial" w:cs="Arial" w:eastAsia="Arial" w:hAnsi="Arial"/>
          <w:sz w:val="16"/>
          <w:szCs w:val="16"/>
          <w:u w:val="single" w:color="auto"/>
          <w:color w:val="0E2A35"/>
        </w:rPr>
        <w:t>Vesting and Consideration</w:t>
      </w:r>
      <w:r>
        <w:rPr>
          <w:rFonts w:ascii="Arial" w:cs="Arial" w:eastAsia="Arial" w:hAnsi="Arial"/>
          <w:sz w:val="16"/>
          <w:szCs w:val="16"/>
          <w:color w:val="0E2A35"/>
        </w:rPr>
        <w:t>. A Stock Unit Award shall be subject to vesting and the lapse of applicable restrictions based on such conditions or factors and occurring over such period of time as the Committee may determine in its discretion, subject to the requirements of Section 6(b). If vesting of a Stock Unit Award is conditioned on the achievement of specified performance goals, the extent to which they are achieved over the specified performance period shall determine the number of Stock Units that will be earned and eligible to vest, which may be greater or less than the target number of Stock Units stated in the Agreement. The Committee may provide whether any consideration other than Services must be received by the Company or any Affiliate as a condition precedent to the settlement of a Stock Unit Award.</w:t>
      </w:r>
    </w:p>
    <w:p>
      <w:pPr>
        <w:spacing w:after="0" w:line="152" w:lineRule="exact"/>
        <w:rPr>
          <w:sz w:val="20"/>
          <w:szCs w:val="20"/>
          <w:color w:val="auto"/>
        </w:rPr>
      </w:pPr>
    </w:p>
    <w:p>
      <w:pPr>
        <w:ind w:left="360" w:right="80"/>
        <w:spacing w:after="0" w:line="253" w:lineRule="auto"/>
        <w:rPr>
          <w:sz w:val="20"/>
          <w:szCs w:val="20"/>
          <w:color w:val="auto"/>
        </w:rPr>
      </w:pPr>
      <w:r>
        <w:rPr>
          <w:rFonts w:ascii="Arial" w:cs="Arial" w:eastAsia="Arial" w:hAnsi="Arial"/>
          <w:sz w:val="16"/>
          <w:szCs w:val="16"/>
          <w:color w:val="0E2A35"/>
        </w:rPr>
        <w:t xml:space="preserve">(b) </w:t>
      </w:r>
      <w:r>
        <w:rPr>
          <w:rFonts w:ascii="Arial" w:cs="Arial" w:eastAsia="Arial" w:hAnsi="Arial"/>
          <w:sz w:val="16"/>
          <w:szCs w:val="16"/>
          <w:u w:val="single" w:color="auto"/>
          <w:color w:val="0E2A35"/>
        </w:rPr>
        <w:t>Settlement of Award</w:t>
      </w:r>
      <w:r>
        <w:rPr>
          <w:rFonts w:ascii="Arial" w:cs="Arial" w:eastAsia="Arial" w:hAnsi="Arial"/>
          <w:sz w:val="16"/>
          <w:szCs w:val="16"/>
          <w:color w:val="0E2A35"/>
        </w:rPr>
        <w:t>. Following the vesting of a Stock Unit Award, and the Company’s determination that any necessary conditions precedent to the settlement of the Award (such as satisfaction of tax withholding obligations and compliance with applicable legal requirements) have been satisfied, settlement of the Award and payment to the Participant shall be made at such time or times in the form of cash, Shares (which may themselves be considered Restricted Stock under the Plan) or a combination of cash and Shares as determined by the Committee.</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6"/>
          <w:szCs w:val="16"/>
          <w:color w:val="0E2A35"/>
        </w:rPr>
        <w:t>11. </w:t>
      </w:r>
      <w:r>
        <w:rPr>
          <w:rFonts w:ascii="Arial" w:cs="Arial" w:eastAsia="Arial" w:hAnsi="Arial"/>
          <w:sz w:val="16"/>
          <w:szCs w:val="16"/>
          <w:b w:val="1"/>
          <w:bCs w:val="1"/>
          <w:u w:val="single" w:color="auto"/>
          <w:color w:val="0E2A35"/>
        </w:rPr>
        <w:t>Other Stock-Based Awards</w:t>
      </w:r>
      <w:r>
        <w:rPr>
          <w:rFonts w:ascii="Arial" w:cs="Arial" w:eastAsia="Arial" w:hAnsi="Arial"/>
          <w:sz w:val="16"/>
          <w:szCs w:val="16"/>
          <w:b w:val="1"/>
          <w:bCs w:val="1"/>
          <w:color w:val="0E2A35"/>
        </w:rPr>
        <w:t>.</w:t>
      </w:r>
      <w:r>
        <w:rPr>
          <w:rFonts w:ascii="Arial" w:cs="Arial" w:eastAsia="Arial" w:hAnsi="Arial"/>
          <w:sz w:val="16"/>
          <w:szCs w:val="16"/>
          <w:color w:val="0E2A35"/>
        </w:rPr>
        <w:t xml:space="preserve"> The Committee may from time to time grant Shares and other Awards that are valued by reference to and/or payable in whole or in part in Shares under the Plan. The Committee shall determine the terms and conditions of such Awards, which shall be consistent with the terms and purposes of the Plan. The Committee may direct the Company to issue Shares subject to restrictive legends and/or stop transfer instructions that are consistent with the terms and conditions of the Award to which the Shares relate.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0E2A35"/>
        </w:rPr>
        <w:t>12. </w:t>
      </w:r>
      <w:r>
        <w:rPr>
          <w:rFonts w:ascii="Arial" w:cs="Arial" w:eastAsia="Arial" w:hAnsi="Arial"/>
          <w:sz w:val="16"/>
          <w:szCs w:val="16"/>
          <w:b w:val="1"/>
          <w:bCs w:val="1"/>
          <w:u w:val="single" w:color="auto"/>
          <w:color w:val="0E2A35"/>
        </w:rPr>
        <w:t>Changes in Capitalization, Corporate Transactions, Change in Control</w:t>
      </w:r>
      <w:r>
        <w:rPr>
          <w:rFonts w:ascii="Arial" w:cs="Arial" w:eastAsia="Arial" w:hAnsi="Arial"/>
          <w:sz w:val="16"/>
          <w:szCs w:val="16"/>
          <w:b w:val="1"/>
          <w:bCs w:val="1"/>
          <w:color w:val="0E2A35"/>
        </w:rPr>
        <w:t>.</w:t>
      </w:r>
    </w:p>
    <w:p>
      <w:pPr>
        <w:spacing w:after="0" w:line="202" w:lineRule="exact"/>
        <w:rPr>
          <w:sz w:val="20"/>
          <w:szCs w:val="20"/>
          <w:color w:val="auto"/>
        </w:rPr>
      </w:pPr>
    </w:p>
    <w:p>
      <w:pPr>
        <w:ind w:left="360" w:right="40"/>
        <w:spacing w:after="0" w:line="248" w:lineRule="auto"/>
        <w:rPr>
          <w:sz w:val="20"/>
          <w:szCs w:val="20"/>
          <w:color w:val="auto"/>
        </w:rPr>
      </w:pPr>
      <w:r>
        <w:rPr>
          <w:rFonts w:ascii="Arial" w:cs="Arial" w:eastAsia="Arial" w:hAnsi="Arial"/>
          <w:sz w:val="16"/>
          <w:szCs w:val="16"/>
          <w:color w:val="0E2A35"/>
        </w:rPr>
        <w:t xml:space="preserve">(a) </w:t>
      </w:r>
      <w:r>
        <w:rPr>
          <w:rFonts w:ascii="Arial" w:cs="Arial" w:eastAsia="Arial" w:hAnsi="Arial"/>
          <w:sz w:val="16"/>
          <w:szCs w:val="16"/>
          <w:u w:val="single" w:color="auto"/>
          <w:color w:val="0E2A35"/>
        </w:rPr>
        <w:t>Adjustments for Changes in Capitalization</w:t>
      </w:r>
      <w:r>
        <w:rPr>
          <w:rFonts w:ascii="Arial" w:cs="Arial" w:eastAsia="Arial" w:hAnsi="Arial"/>
          <w:sz w:val="16"/>
          <w:szCs w:val="16"/>
          <w:color w:val="0E2A35"/>
        </w:rPr>
        <w:t>. In the event of any equity restructuring (within the meaning of FASB ASC Topic 718)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SARs,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12(a) in connection with the conversion of any convertible securities of the Company, or in a manner that would cause Incentive Stock Options to violate Section 422(b) of the Code or cause an Award to be subject to adverse tax consequences under Section 409A of the Code.</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360" w:right="120"/>
        <w:spacing w:after="0" w:line="256" w:lineRule="auto"/>
        <w:rPr>
          <w:sz w:val="20"/>
          <w:szCs w:val="20"/>
          <w:color w:val="auto"/>
        </w:rPr>
      </w:pPr>
      <w:r>
        <w:rPr>
          <w:rFonts w:ascii="Arial" w:cs="Arial" w:eastAsia="Arial" w:hAnsi="Arial"/>
          <w:sz w:val="16"/>
          <w:szCs w:val="16"/>
          <w:color w:val="0E2A35"/>
        </w:rPr>
        <w:t xml:space="preserve">(b) </w:t>
      </w:r>
      <w:r>
        <w:rPr>
          <w:rFonts w:ascii="Arial" w:cs="Arial" w:eastAsia="Arial" w:hAnsi="Arial"/>
          <w:sz w:val="16"/>
          <w:szCs w:val="16"/>
          <w:u w:val="single" w:color="auto"/>
          <w:color w:val="0E2A35"/>
        </w:rPr>
        <w:t>Corporate Transactions; Change in Control</w:t>
      </w:r>
      <w:r>
        <w:rPr>
          <w:rFonts w:ascii="Arial" w:cs="Arial" w:eastAsia="Arial" w:hAnsi="Arial"/>
          <w:sz w:val="16"/>
          <w:szCs w:val="16"/>
          <w:color w:val="0E2A35"/>
        </w:rPr>
        <w:t>. Unless otherwise provided in an applicable Agreement or another written agreement between a Participant and the Company, the following provisions shall apply to outstanding Awards in the event of a Change in Control that involves a Corporate Transaction. The Committee will not be required to treat all Awards or Participants similarly for purposes of this Section 12(b).</w:t>
      </w:r>
    </w:p>
    <w:p>
      <w:pPr>
        <w:spacing w:after="0" w:line="156" w:lineRule="exact"/>
        <w:rPr>
          <w:sz w:val="20"/>
          <w:szCs w:val="20"/>
          <w:color w:val="auto"/>
        </w:rPr>
      </w:pPr>
    </w:p>
    <w:p>
      <w:pPr>
        <w:ind w:left="720" w:right="20"/>
        <w:spacing w:after="0" w:line="248" w:lineRule="auto"/>
        <w:rPr>
          <w:sz w:val="20"/>
          <w:szCs w:val="20"/>
          <w:color w:val="auto"/>
        </w:rPr>
      </w:pPr>
      <w:r>
        <w:rPr>
          <w:rFonts w:ascii="Arial" w:cs="Arial" w:eastAsia="Arial" w:hAnsi="Arial"/>
          <w:sz w:val="16"/>
          <w:szCs w:val="16"/>
          <w:color w:val="0E2A35"/>
        </w:rPr>
        <w:t xml:space="preserve">(1) </w:t>
      </w:r>
      <w:r>
        <w:rPr>
          <w:rFonts w:ascii="Arial" w:cs="Arial" w:eastAsia="Arial" w:hAnsi="Arial"/>
          <w:sz w:val="16"/>
          <w:szCs w:val="16"/>
          <w:i w:val="1"/>
          <w:iCs w:val="1"/>
          <w:u w:val="single" w:color="auto"/>
          <w:color w:val="0E2A35"/>
        </w:rPr>
        <w:t>Continuation, Assumption or Replacement of Awards</w:t>
      </w:r>
      <w:r>
        <w:rPr>
          <w:rFonts w:ascii="Arial" w:cs="Arial" w:eastAsia="Arial" w:hAnsi="Arial"/>
          <w:sz w:val="16"/>
          <w:szCs w:val="16"/>
          <w:color w:val="0E2A35"/>
        </w:rPr>
        <w:t>. In the event of a Corporate Transaction, then the surviving or successor entity (or its Parent) may continue, assume or replace Awards outstanding as of the date of the Corporate Transaction (with such adjustments as may be required or permitted by Section 12(a)), and such Awards or replacements therefor shall remain outstanding and be governed by their respective terms, subject to Section 12(b)(4) below. A surviving or successor entity may elect to continue, assume or replace only some Awards or portions of Awards. For purposes of this Section 12(b)(1), an Award shall be considered assumed or replaced if, in connection with the Corporate Transaction and in a manner consistent with Code Section 409A (and Code Section 424 if the Award is an ISO),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contains terms and conditions that are substantially similar to those of the Award. To the extent vesting of any Award continued, assumed or replaced under this Section 12(b)(1) is subject to satisfaction of specified performance goals, those goals shall be deemed to be achieved as of the date of the Corporate Transaction at the target level of performance, or, in the discretion of the Committee, at the actual level of performance (if determinable), and such Awards shall continue to be subject to any continuing service requirements.</w:t>
      </w:r>
    </w:p>
    <w:p>
      <w:pPr>
        <w:spacing w:after="0" w:line="156" w:lineRule="exact"/>
        <w:rPr>
          <w:sz w:val="20"/>
          <w:szCs w:val="20"/>
          <w:color w:val="auto"/>
        </w:rPr>
      </w:pPr>
    </w:p>
    <w:p>
      <w:pPr>
        <w:ind w:left="720"/>
        <w:spacing w:after="0" w:line="249" w:lineRule="auto"/>
        <w:rPr>
          <w:sz w:val="20"/>
          <w:szCs w:val="20"/>
          <w:color w:val="auto"/>
        </w:rPr>
      </w:pPr>
      <w:r>
        <w:rPr>
          <w:rFonts w:ascii="Arial" w:cs="Arial" w:eastAsia="Arial" w:hAnsi="Arial"/>
          <w:sz w:val="16"/>
          <w:szCs w:val="16"/>
          <w:color w:val="0E2A35"/>
        </w:rPr>
        <w:t xml:space="preserve">(2) </w:t>
      </w:r>
      <w:r>
        <w:rPr>
          <w:rFonts w:ascii="Arial" w:cs="Arial" w:eastAsia="Arial" w:hAnsi="Arial"/>
          <w:sz w:val="16"/>
          <w:szCs w:val="16"/>
          <w:i w:val="1"/>
          <w:iCs w:val="1"/>
          <w:u w:val="single" w:color="auto"/>
          <w:color w:val="0E2A35"/>
        </w:rPr>
        <w:t>Acceleration</w:t>
      </w:r>
      <w:r>
        <w:rPr>
          <w:rFonts w:ascii="Arial" w:cs="Arial" w:eastAsia="Arial" w:hAnsi="Arial"/>
          <w:sz w:val="16"/>
          <w:szCs w:val="16"/>
          <w:color w:val="0E2A35"/>
        </w:rPr>
        <w:t>. If and to the extent that outstanding Awards under the Plan are not continued, assumed or replaced in connection with a Corporate Transaction, then (i) all outstanding Option and SAR Awards shall become fully vested and exercisable for such period of time prior to the effective time of the Corporate Transaction as is deemed fair and equitable by the Committee, and shall terminate at the effective time of the Corporate Transaction, (ii) all outstanding Full Value Awards shall fully vest immediately prior to the effective time of the Corporate Transaction, and (iii) to the extent vesting of any Award is subject to satisfaction of specified performance goals, such Award shall be deemed “fully vested” for purposes of this Section 12(b)(2)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 The Committee shall provide written notice of the period of accelerated exercisability of Option and SAR Awards to all affected Participants. The exercise of any Option or SAR Award whose exercisability is accelerated as provided in this Section 12(b)(2) shall be conditioned upon the consummation of the Corporate Transaction and shall be effective only immediately before such consummation.</w:t>
      </w:r>
    </w:p>
    <w:p>
      <w:pPr>
        <w:spacing w:after="0" w:line="151" w:lineRule="exact"/>
        <w:rPr>
          <w:sz w:val="20"/>
          <w:szCs w:val="20"/>
          <w:color w:val="auto"/>
        </w:rPr>
      </w:pPr>
    </w:p>
    <w:p>
      <w:pPr>
        <w:ind w:left="720" w:right="100"/>
        <w:spacing w:after="0" w:line="248" w:lineRule="auto"/>
        <w:rPr>
          <w:sz w:val="20"/>
          <w:szCs w:val="20"/>
          <w:color w:val="auto"/>
        </w:rPr>
      </w:pPr>
      <w:r>
        <w:rPr>
          <w:rFonts w:ascii="Arial" w:cs="Arial" w:eastAsia="Arial" w:hAnsi="Arial"/>
          <w:sz w:val="16"/>
          <w:szCs w:val="16"/>
          <w:color w:val="0E2A35"/>
        </w:rPr>
        <w:t xml:space="preserve">(3) </w:t>
      </w:r>
      <w:r>
        <w:rPr>
          <w:rFonts w:ascii="Arial" w:cs="Arial" w:eastAsia="Arial" w:hAnsi="Arial"/>
          <w:sz w:val="16"/>
          <w:szCs w:val="16"/>
          <w:i w:val="1"/>
          <w:iCs w:val="1"/>
          <w:u w:val="single" w:color="auto"/>
          <w:color w:val="0E2A35"/>
        </w:rPr>
        <w:t>Payment for Awards</w:t>
      </w:r>
      <w:r>
        <w:rPr>
          <w:rFonts w:ascii="Arial" w:cs="Arial" w:eastAsia="Arial" w:hAnsi="Arial"/>
          <w:sz w:val="16"/>
          <w:szCs w:val="16"/>
          <w:color w:val="0E2A35"/>
        </w:rPr>
        <w:t>. If and to the extent that outstanding Awards under the Plan are not continued, assumed or replaced in connection with a Corporate Transaction, then the Committee may provide that some or all of such outstanding Awards shall be canceled at or immediately prior to the effective time of the Corporate Transaction in exchange for payments to the holders as provided in this Section 12(b)(3). The Committee will not be required to treat all Awards similarly for purposes of this Section 12(b)(3). The payment for any Award canceled shall be in an amount equal to the difference, if any, between (i) the fair market value (as determined in good faith by the Committee) of the consideration that would otherwise be received in the Corporate Transaction for the number of Shares subject to the Award, and (ii) the aggregate exercise price (if any) for the Shares subject to such Award. If the amount determined pursuant to the preceding sentence is not a positive number with respect to any Award, such Award may be canceled pursuant to this Section 12(b)(3) without payment of any kind to the affected Participant. With respect to an Award whose vesting is subject to the satisfaction of specified performance goals, the number of Shares subject to such an Award for purposes of this Section 12(b)(3) shall be the number of Shares as to which the Award would have been deemed “fully vested” for purposes of Section 12(b)(2). Payment of any amount under this Section 12(b)(3) shall be made in such form, on such terms and subject to such conditions as the Committee determines in its discretion, which may or may not be the same as the form, terms and conditions applicable to payments to the Company’s stockholders in connection with the Corporate Transaction, and may, in the Committee’s discretion, include subjecting such payments to</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720" w:right="80"/>
        <w:spacing w:after="0" w:line="261" w:lineRule="auto"/>
        <w:rPr>
          <w:sz w:val="20"/>
          <w:szCs w:val="20"/>
          <w:color w:val="auto"/>
        </w:rPr>
      </w:pPr>
      <w:r>
        <w:rPr>
          <w:rFonts w:ascii="Arial" w:cs="Arial" w:eastAsia="Arial" w:hAnsi="Arial"/>
          <w:sz w:val="16"/>
          <w:szCs w:val="16"/>
          <w:color w:val="0E2A35"/>
        </w:rPr>
        <w:t>vesting conditions comparable to those of the Award canceled, subjecting such payments to escrow or holdback terms comparable to those imposed upon the Company’s stockholders under the Corporate Transaction, or calculating and paying the present value of payments that would otherwise be subject to escrow or holdback terms.</w:t>
      </w:r>
    </w:p>
    <w:p>
      <w:pPr>
        <w:spacing w:after="0" w:line="260" w:lineRule="exact"/>
        <w:rPr>
          <w:sz w:val="20"/>
          <w:szCs w:val="20"/>
          <w:color w:val="auto"/>
        </w:rPr>
      </w:pPr>
    </w:p>
    <w:p>
      <w:pPr>
        <w:ind w:left="720"/>
        <w:spacing w:after="0" w:line="249" w:lineRule="auto"/>
        <w:rPr>
          <w:sz w:val="20"/>
          <w:szCs w:val="20"/>
          <w:color w:val="auto"/>
        </w:rPr>
      </w:pPr>
      <w:r>
        <w:rPr>
          <w:rFonts w:ascii="Arial" w:cs="Arial" w:eastAsia="Arial" w:hAnsi="Arial"/>
          <w:sz w:val="16"/>
          <w:szCs w:val="16"/>
          <w:color w:val="0E2A35"/>
        </w:rPr>
        <w:t xml:space="preserve">(4) </w:t>
      </w:r>
      <w:r>
        <w:rPr>
          <w:rFonts w:ascii="Arial" w:cs="Arial" w:eastAsia="Arial" w:hAnsi="Arial"/>
          <w:sz w:val="16"/>
          <w:szCs w:val="16"/>
          <w:i w:val="1"/>
          <w:iCs w:val="1"/>
          <w:u w:val="single" w:color="auto"/>
          <w:color w:val="0E2A35"/>
        </w:rPr>
        <w:t>Termination After a Corporate Transaction</w:t>
      </w:r>
      <w:r>
        <w:rPr>
          <w:rFonts w:ascii="Arial" w:cs="Arial" w:eastAsia="Arial" w:hAnsi="Arial"/>
          <w:sz w:val="16"/>
          <w:szCs w:val="16"/>
          <w:color w:val="0E2A35"/>
        </w:rPr>
        <w:t>. If and to the extent that Awards are continued, assumed or replaced under the circumstances described in Section 12(b)(1), and if within twenty-four (24) months after the Corporate Transaction a Participant experiences an involuntary termination of Service for reasons other than Cause, or, if so provided in the discretion of the Committee in an Agreement, terminates his or her Service for Good Reason (as defined in the applicable Agreement or other then-effective written agreement between the Participant and the Company), then (i) outstanding Option and SAR Awards issued to the Participant that are not yet fully exercisable shall immediately become exercisable in full and shall remain exercisable for one year following the Participant’s termination of employment, (ii) any Full Value Awards that are not yet fully vested shall immediately vest in full, and (iii) to the extent vesting of any Award is subject to satisfaction of specified performance goals, such Award shall be deemed “fully vested” at the greater of target level of performance or actual level of performance (if determinable) and the vested portion of the Award at that level of performance is proportionate to the portion of the performance period that has occurred up to the date of such Participant’s termination of Service.</w:t>
      </w:r>
    </w:p>
    <w:p>
      <w:pPr>
        <w:spacing w:after="0" w:line="157" w:lineRule="exact"/>
        <w:rPr>
          <w:sz w:val="20"/>
          <w:szCs w:val="20"/>
          <w:color w:val="auto"/>
        </w:rPr>
      </w:pPr>
    </w:p>
    <w:p>
      <w:pPr>
        <w:ind w:left="360" w:right="80"/>
        <w:spacing w:after="0" w:line="250" w:lineRule="auto"/>
        <w:rPr>
          <w:sz w:val="20"/>
          <w:szCs w:val="20"/>
          <w:color w:val="auto"/>
        </w:rPr>
      </w:pPr>
      <w:r>
        <w:rPr>
          <w:rFonts w:ascii="Arial" w:cs="Arial" w:eastAsia="Arial" w:hAnsi="Arial"/>
          <w:sz w:val="16"/>
          <w:szCs w:val="16"/>
          <w:color w:val="0E2A35"/>
        </w:rPr>
        <w:t xml:space="preserve">(c) </w:t>
      </w:r>
      <w:r>
        <w:rPr>
          <w:rFonts w:ascii="Arial" w:cs="Arial" w:eastAsia="Arial" w:hAnsi="Arial"/>
          <w:sz w:val="16"/>
          <w:szCs w:val="16"/>
          <w:u w:val="single" w:color="auto"/>
          <w:color w:val="0E2A35"/>
        </w:rPr>
        <w:t>Other Change in Control</w:t>
      </w:r>
      <w:r>
        <w:rPr>
          <w:rFonts w:ascii="Arial" w:cs="Arial" w:eastAsia="Arial" w:hAnsi="Arial"/>
          <w:sz w:val="16"/>
          <w:szCs w:val="16"/>
          <w:color w:val="0E2A35"/>
        </w:rPr>
        <w:t>. In the event of a Change in Control that does not involve a Corporate Transaction, if within twenty-four (24) months after the Change in Control a Participant experiences an involuntary termination of Service for reasons other than Cause, or, if so provided in the discretion of the Committee in an Agreement, terminates his or her Service for Good Reason (as defined in the applicable Agreement or other then-effective written agreement between the Participant and the Company), then (i) outstanding Option and SAR Awards issued to the Participant that are not yet fully exercisable shall immediately become fully vested and exercisable and shall remain exercisable for one year following the Participant’s termination of employment, and (ii) any Full Value Awards that are not yet fully vested shall immediately vest in full.</w:t>
      </w:r>
    </w:p>
    <w:p>
      <w:pPr>
        <w:spacing w:after="0" w:line="154" w:lineRule="exact"/>
        <w:rPr>
          <w:sz w:val="20"/>
          <w:szCs w:val="20"/>
          <w:color w:val="auto"/>
        </w:rPr>
      </w:pPr>
    </w:p>
    <w:p>
      <w:pPr>
        <w:ind w:left="360" w:right="480"/>
        <w:spacing w:after="0" w:line="256" w:lineRule="auto"/>
        <w:rPr>
          <w:sz w:val="20"/>
          <w:szCs w:val="20"/>
          <w:color w:val="auto"/>
        </w:rPr>
      </w:pPr>
      <w:r>
        <w:rPr>
          <w:rFonts w:ascii="Arial" w:cs="Arial" w:eastAsia="Arial" w:hAnsi="Arial"/>
          <w:sz w:val="16"/>
          <w:szCs w:val="16"/>
          <w:color w:val="0E2A35"/>
        </w:rPr>
        <w:t xml:space="preserve">(d) </w:t>
      </w:r>
      <w:r>
        <w:rPr>
          <w:rFonts w:ascii="Arial" w:cs="Arial" w:eastAsia="Arial" w:hAnsi="Arial"/>
          <w:sz w:val="16"/>
          <w:szCs w:val="16"/>
          <w:u w:val="single" w:color="auto"/>
          <w:color w:val="0E2A35"/>
        </w:rPr>
        <w:t>Dissolution or Liquidation</w:t>
      </w:r>
      <w:r>
        <w:rPr>
          <w:rFonts w:ascii="Arial" w:cs="Arial" w:eastAsia="Arial" w:hAnsi="Arial"/>
          <w:sz w:val="16"/>
          <w:szCs w:val="16"/>
          <w:color w:val="0E2A35"/>
        </w:rPr>
        <w:t>. Unless otherwise provided in an applicable Agreement, in the event of a proposed dissolution or liquidation of the Company, the Committee will notify each Participant as soon as practicable prior to the effective date of such proposed transaction. An Award will terminate immediately prior to the consummation of such proposed action.</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6"/>
          <w:szCs w:val="16"/>
          <w:color w:val="0E2A35"/>
        </w:rPr>
        <w:t xml:space="preserve">(e) </w:t>
      </w:r>
      <w:r>
        <w:rPr>
          <w:rFonts w:ascii="Arial" w:cs="Arial" w:eastAsia="Arial" w:hAnsi="Arial"/>
          <w:sz w:val="16"/>
          <w:szCs w:val="16"/>
          <w:u w:val="single" w:color="auto"/>
          <w:color w:val="0E2A35"/>
        </w:rPr>
        <w:t>Parachute Payment Limitation</w:t>
      </w:r>
      <w:r>
        <w:rPr>
          <w:rFonts w:ascii="Arial" w:cs="Arial" w:eastAsia="Arial" w:hAnsi="Arial"/>
          <w:sz w:val="16"/>
          <w:szCs w:val="16"/>
          <w:color w:val="0E2A35"/>
        </w:rPr>
        <w:t>.</w:t>
      </w:r>
    </w:p>
    <w:p>
      <w:pPr>
        <w:spacing w:after="0" w:line="181" w:lineRule="exact"/>
        <w:rPr>
          <w:sz w:val="20"/>
          <w:szCs w:val="20"/>
          <w:color w:val="auto"/>
        </w:rPr>
      </w:pPr>
    </w:p>
    <w:p>
      <w:pPr>
        <w:ind w:left="720" w:right="80"/>
        <w:spacing w:after="0" w:line="249" w:lineRule="auto"/>
        <w:rPr>
          <w:sz w:val="20"/>
          <w:szCs w:val="20"/>
          <w:color w:val="auto"/>
        </w:rPr>
      </w:pPr>
      <w:r>
        <w:rPr>
          <w:rFonts w:ascii="Arial" w:cs="Arial" w:eastAsia="Arial" w:hAnsi="Arial"/>
          <w:sz w:val="16"/>
          <w:szCs w:val="16"/>
          <w:color w:val="0E2A35"/>
        </w:rPr>
        <w:t>(1) Notwithstanding any other provision of this Plan or any other plan, arrangement or agreement to the contrary, if any of the payments or benefits provided or to be provided by the Company or its Affiliates to a Participant or for the Participant’s benefit pursuant to the terms of this Plan or otherwise ("Covered Payments") constitute parachute payments ("Parachute Payments") within the meaning of Section 280G of the Code, and would, but for this Section 12(e) be subject to the excise tax imposed under Section 4999 of the Code (or any successor provision thereto) or any similar tax imposed by state or local law and any interest or penalties with respect to such taxes (collectively, the "Excise Tax"), then the Covered Payments shall be payable either (i) in full or (ii) reduced to the minimum extent necessary to ensure that no portion of the Covered Payments is subject to the Excise Tax, whichever of the foregoing clauses (i) or (ii) results in the Participant’s receipt on an after-tax basis of the greatest amount of payments and benefits after taking into account the applicable federal, state, local and foreign income, employment and excise taxes (including the Excise Tax).</w:t>
      </w:r>
    </w:p>
    <w:p>
      <w:pPr>
        <w:spacing w:after="0" w:line="155" w:lineRule="exact"/>
        <w:rPr>
          <w:sz w:val="20"/>
          <w:szCs w:val="20"/>
          <w:color w:val="auto"/>
        </w:rPr>
      </w:pPr>
    </w:p>
    <w:p>
      <w:pPr>
        <w:ind w:left="720" w:right="60"/>
        <w:spacing w:after="0" w:line="253" w:lineRule="auto"/>
        <w:rPr>
          <w:sz w:val="20"/>
          <w:szCs w:val="20"/>
          <w:color w:val="auto"/>
        </w:rPr>
      </w:pPr>
      <w:r>
        <w:rPr>
          <w:rFonts w:ascii="Arial" w:cs="Arial" w:eastAsia="Arial" w:hAnsi="Arial"/>
          <w:sz w:val="16"/>
          <w:szCs w:val="16"/>
          <w:color w:val="0E2A35"/>
        </w:rPr>
        <w:t>(2) Any such reduction shall be made in accordance with Section 409A of the Code and the following: (i) the Covered Payments which do not constitute deferred compensation subject to Section 409A of the Code shall be reduced first, and (ii) Covered Payments that are cash payments shall be reduced before non-cash payments, and Covered Payments to be made on a later payment date shall be reduced before payments to be made on an earlier payment date.</w:t>
      </w:r>
    </w:p>
    <w:p>
      <w:pPr>
        <w:spacing w:after="0" w:line="164" w:lineRule="exact"/>
        <w:rPr>
          <w:sz w:val="20"/>
          <w:szCs w:val="20"/>
          <w:color w:val="auto"/>
        </w:rPr>
      </w:pPr>
    </w:p>
    <w:p>
      <w:pPr>
        <w:ind w:left="720" w:right="260"/>
        <w:spacing w:after="0" w:line="261" w:lineRule="auto"/>
        <w:rPr>
          <w:sz w:val="20"/>
          <w:szCs w:val="20"/>
          <w:color w:val="auto"/>
        </w:rPr>
      </w:pPr>
      <w:r>
        <w:rPr>
          <w:rFonts w:ascii="Arial" w:cs="Arial" w:eastAsia="Arial" w:hAnsi="Arial"/>
          <w:sz w:val="16"/>
          <w:szCs w:val="16"/>
          <w:color w:val="0E2A35"/>
        </w:rPr>
        <w:t>(3) If, notwithstanding the initial application of this Section 12(e), the Internal Revenue Service determines that any Covered Payment constitutes an “excess parachute payment” (as defined by Section 280G(b) of the Code), this Section 12(e) will be reapplied based on the Internal Revenue Service's determination, and</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720"/>
        <w:spacing w:after="0" w:line="261" w:lineRule="auto"/>
        <w:rPr>
          <w:sz w:val="20"/>
          <w:szCs w:val="20"/>
          <w:color w:val="auto"/>
        </w:rPr>
      </w:pPr>
      <w:r>
        <w:rPr>
          <w:rFonts w:ascii="Arial" w:cs="Arial" w:eastAsia="Arial" w:hAnsi="Arial"/>
          <w:sz w:val="16"/>
          <w:szCs w:val="16"/>
          <w:color w:val="0E2A35"/>
        </w:rPr>
        <w:t>the Participant will be required to promptly repay the portion of the Covered Payments required to avoid imposition of the Excise Tax together with interest at the applicable federal rate (as defined in Section 7872(f)(2)(A) of the Code) from the date of the Participant’s receipt of the excess payments until the date of repayment).</w:t>
      </w:r>
    </w:p>
    <w:p>
      <w:pPr>
        <w:spacing w:after="0" w:line="264" w:lineRule="exact"/>
        <w:rPr>
          <w:sz w:val="20"/>
          <w:szCs w:val="20"/>
          <w:color w:val="auto"/>
        </w:rPr>
      </w:pPr>
    </w:p>
    <w:p>
      <w:pPr>
        <w:ind w:left="720"/>
        <w:spacing w:after="0" w:line="252" w:lineRule="auto"/>
        <w:rPr>
          <w:sz w:val="20"/>
          <w:szCs w:val="20"/>
          <w:color w:val="auto"/>
        </w:rPr>
      </w:pPr>
      <w:r>
        <w:rPr>
          <w:rFonts w:ascii="Arial" w:cs="Arial" w:eastAsia="Arial" w:hAnsi="Arial"/>
          <w:sz w:val="16"/>
          <w:szCs w:val="16"/>
          <w:color w:val="0E2A35"/>
        </w:rPr>
        <w:t>(4) Any determination required under this Section 12(e) shall be made in writing in good faith by the accounting firm which was the Company's independent auditor immediately before the Change in Control (the "Accountants"), which shall provide detailed supporting calculations to the Company and the Participant as requested by the Company or the Participant. The Company and the Participant shall provide the Accountants with such information and documents as the Accountants may reasonably request in order to make a determination under this Section 12(e). The Company shall be responsible for all fees and expenses of the Accountants.</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0E2A35"/>
        </w:rPr>
        <w:t>13. </w:t>
      </w:r>
      <w:r>
        <w:rPr>
          <w:rFonts w:ascii="Arial" w:cs="Arial" w:eastAsia="Arial" w:hAnsi="Arial"/>
          <w:sz w:val="16"/>
          <w:szCs w:val="16"/>
          <w:b w:val="1"/>
          <w:bCs w:val="1"/>
          <w:u w:val="single" w:color="auto"/>
          <w:color w:val="0E2A35"/>
        </w:rPr>
        <w:t>Plan Participation and Service Provider Status</w:t>
      </w:r>
      <w:r>
        <w:rPr>
          <w:rFonts w:ascii="Arial" w:cs="Arial" w:eastAsia="Arial" w:hAnsi="Arial"/>
          <w:sz w:val="16"/>
          <w:szCs w:val="16"/>
          <w:b w:val="1"/>
          <w:bCs w:val="1"/>
          <w:color w:val="0E2A35"/>
        </w:rPr>
        <w:t>.</w:t>
      </w:r>
      <w:r>
        <w:rPr>
          <w:rFonts w:ascii="Arial" w:cs="Arial" w:eastAsia="Arial" w:hAnsi="Arial"/>
          <w:sz w:val="16"/>
          <w:szCs w:val="16"/>
          <w:color w:val="0E2A35"/>
        </w:rPr>
        <w:t xml:space="preserve"> Status as a Service Provider shall not be construed as a commitment that any Award will be made under the Plan to that Service Provider or to eligible Service Providers generally. Nothing in the Plan or in any Agreement or related documents shall confer upon any Service Provider or Participant any right to continued Service with the Company or any Affiliate, nor shall it interfere with or limit in any way any right of the Company or any Affiliate to terminate the Service Provider’s Service at any time with or without Cause or change such Service Provider’s compensation, other benefits, job responsibilities or title.</w:t>
      </w:r>
    </w:p>
    <w:p>
      <w:pPr>
        <w:spacing w:after="0" w:line="14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0E2A35"/>
        </w:rPr>
        <w:t>14. </w:t>
      </w:r>
      <w:r>
        <w:rPr>
          <w:rFonts w:ascii="Arial" w:cs="Arial" w:eastAsia="Arial" w:hAnsi="Arial"/>
          <w:sz w:val="16"/>
          <w:szCs w:val="16"/>
          <w:b w:val="1"/>
          <w:bCs w:val="1"/>
          <w:u w:val="single" w:color="auto"/>
          <w:color w:val="0E2A35"/>
        </w:rPr>
        <w:t>Tax Withholding</w:t>
      </w:r>
      <w:r>
        <w:rPr>
          <w:rFonts w:ascii="Arial" w:cs="Arial" w:eastAsia="Arial" w:hAnsi="Arial"/>
          <w:sz w:val="16"/>
          <w:szCs w:val="16"/>
          <w:b w:val="1"/>
          <w:bCs w:val="1"/>
          <w:color w:val="0E2A35"/>
        </w:rPr>
        <w:t>.</w:t>
      </w:r>
      <w:r>
        <w:rPr>
          <w:rFonts w:ascii="Arial" w:cs="Arial" w:eastAsia="Arial" w:hAnsi="Arial"/>
          <w:sz w:val="16"/>
          <w:szCs w:val="16"/>
          <w:color w:val="0E2A35"/>
        </w:rPr>
        <w:t xml:space="preserve"> The Company or any Affiliate, as applicable, shall have the right to (i) withhold from any cash payment under the Plan or any other compensation owed to a Participant an amount sufficient to cover any required withholding taxes related to the grant, vesting, exercise or settlement of an Award, and (ii) require a Participant or other person receiving Shares under the Plan to pay a cash amount sufficient to cover any required withholding taxes before actual receipt of those Shares. In lieu of all or any part of a cash payment from a person receiving Shares under the Plan, the Committee may permit the Participant to satisfy all or any part of the required tax withholding obligations (but not to exceed the maximum individual statutory tax rate in each applicable jurisdiction) by authorizing the Company to withhold a number of the Shares that would otherwise be delivered to the Participant pursuant to the Award, or by transferring to the Company Shares already owned by the Participant, with the Shares so withheld or delivered having a Fair Market Value on the date the taxes are required to be withheld equal to the amount of taxes to be withheld.</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0E2A35"/>
        </w:rPr>
        <w:t>15. </w:t>
      </w:r>
      <w:r>
        <w:rPr>
          <w:rFonts w:ascii="Arial" w:cs="Arial" w:eastAsia="Arial" w:hAnsi="Arial"/>
          <w:sz w:val="16"/>
          <w:szCs w:val="16"/>
          <w:b w:val="1"/>
          <w:bCs w:val="1"/>
          <w:u w:val="single" w:color="auto"/>
          <w:color w:val="0E2A35"/>
        </w:rPr>
        <w:t>Effective Date, Duration, Amendment and Termination of the Plan</w:t>
      </w:r>
      <w:r>
        <w:rPr>
          <w:rFonts w:ascii="Arial" w:cs="Arial" w:eastAsia="Arial" w:hAnsi="Arial"/>
          <w:sz w:val="16"/>
          <w:szCs w:val="16"/>
          <w:b w:val="1"/>
          <w:bCs w:val="1"/>
          <w:color w:val="0E2A35"/>
        </w:rPr>
        <w:t>.</w:t>
      </w:r>
    </w:p>
    <w:p>
      <w:pPr>
        <w:spacing w:after="0" w:line="202" w:lineRule="exact"/>
        <w:rPr>
          <w:sz w:val="20"/>
          <w:szCs w:val="20"/>
          <w:color w:val="auto"/>
        </w:rPr>
      </w:pPr>
    </w:p>
    <w:p>
      <w:pPr>
        <w:jc w:val="both"/>
        <w:ind w:left="360" w:right="20"/>
        <w:spacing w:after="0" w:line="261" w:lineRule="auto"/>
        <w:rPr>
          <w:sz w:val="20"/>
          <w:szCs w:val="20"/>
          <w:color w:val="auto"/>
        </w:rPr>
      </w:pPr>
      <w:r>
        <w:rPr>
          <w:rFonts w:ascii="Arial" w:cs="Arial" w:eastAsia="Arial" w:hAnsi="Arial"/>
          <w:sz w:val="16"/>
          <w:szCs w:val="16"/>
          <w:color w:val="0E2A35"/>
        </w:rPr>
        <w:t xml:space="preserve">(a) </w:t>
      </w:r>
      <w:r>
        <w:rPr>
          <w:rFonts w:ascii="Arial" w:cs="Arial" w:eastAsia="Arial" w:hAnsi="Arial"/>
          <w:sz w:val="16"/>
          <w:szCs w:val="16"/>
          <w:u w:val="single" w:color="auto"/>
          <w:color w:val="0E2A35"/>
        </w:rPr>
        <w:t>Effective Date</w:t>
      </w:r>
      <w:r>
        <w:rPr>
          <w:rFonts w:ascii="Arial" w:cs="Arial" w:eastAsia="Arial" w:hAnsi="Arial"/>
          <w:sz w:val="16"/>
          <w:szCs w:val="16"/>
          <w:color w:val="0E2A35"/>
        </w:rPr>
        <w:t>. The Plan was originally effective on the Effective Date. This Amended and Restated Plan was approved by the Board on October 10, 2023 shall become effective on the Restatement Date, which shall be considered the date of its adoption for purposes of Treasury Regulation §1.422-2(b)(2)(i).</w:t>
      </w:r>
    </w:p>
    <w:p>
      <w:pPr>
        <w:spacing w:after="0" w:line="142" w:lineRule="exact"/>
        <w:rPr>
          <w:sz w:val="20"/>
          <w:szCs w:val="20"/>
          <w:color w:val="auto"/>
        </w:rPr>
      </w:pPr>
    </w:p>
    <w:p>
      <w:pPr>
        <w:ind w:left="360" w:right="20"/>
        <w:spacing w:after="0" w:line="253" w:lineRule="auto"/>
        <w:rPr>
          <w:sz w:val="20"/>
          <w:szCs w:val="20"/>
          <w:color w:val="auto"/>
        </w:rPr>
      </w:pPr>
      <w:r>
        <w:rPr>
          <w:rFonts w:ascii="Arial" w:cs="Arial" w:eastAsia="Arial" w:hAnsi="Arial"/>
          <w:sz w:val="16"/>
          <w:szCs w:val="16"/>
          <w:color w:val="0E2A35"/>
        </w:rPr>
        <w:t xml:space="preserve">(b) </w:t>
      </w:r>
      <w:r>
        <w:rPr>
          <w:rFonts w:ascii="Arial" w:cs="Arial" w:eastAsia="Arial" w:hAnsi="Arial"/>
          <w:sz w:val="16"/>
          <w:szCs w:val="16"/>
          <w:u w:val="single" w:color="auto"/>
          <w:color w:val="0E2A35"/>
        </w:rPr>
        <w:t>Duration of the Plan</w:t>
      </w:r>
      <w:r>
        <w:rPr>
          <w:rFonts w:ascii="Arial" w:cs="Arial" w:eastAsia="Arial" w:hAnsi="Arial"/>
          <w:sz w:val="16"/>
          <w:szCs w:val="16"/>
          <w:color w:val="0E2A35"/>
        </w:rPr>
        <w:t>. The Plan shall remain in effect until all Shares subject to it are distributed, all Awards have expired or terminated, the Plan is terminated pursuant to Section 15(c), or the tenth anniversary of the Restatement Date, whichever occurs first (the “Termination Date”). Awards made before the Termination Date shall continue to be outstanding in accordance with their terms and the terms of the Plan and applicable Agreement unless otherwise provided in the applicable Agreements.</w:t>
      </w:r>
    </w:p>
    <w:p>
      <w:pPr>
        <w:spacing w:after="0" w:line="151" w:lineRule="exact"/>
        <w:rPr>
          <w:sz w:val="20"/>
          <w:szCs w:val="20"/>
          <w:color w:val="auto"/>
        </w:rPr>
      </w:pPr>
    </w:p>
    <w:p>
      <w:pPr>
        <w:ind w:left="360" w:right="100"/>
        <w:spacing w:after="0" w:line="253" w:lineRule="auto"/>
        <w:rPr>
          <w:sz w:val="20"/>
          <w:szCs w:val="20"/>
          <w:color w:val="auto"/>
        </w:rPr>
      </w:pPr>
      <w:r>
        <w:rPr>
          <w:rFonts w:ascii="Arial" w:cs="Arial" w:eastAsia="Arial" w:hAnsi="Arial"/>
          <w:sz w:val="16"/>
          <w:szCs w:val="16"/>
          <w:color w:val="0E2A35"/>
        </w:rPr>
        <w:t xml:space="preserve">(c) </w:t>
      </w:r>
      <w:r>
        <w:rPr>
          <w:rFonts w:ascii="Arial" w:cs="Arial" w:eastAsia="Arial" w:hAnsi="Arial"/>
          <w:sz w:val="16"/>
          <w:szCs w:val="16"/>
          <w:u w:val="single" w:color="auto"/>
          <w:color w:val="0E2A35"/>
        </w:rPr>
        <w:t>Amendment and Termination of the Plan</w:t>
      </w:r>
      <w:r>
        <w:rPr>
          <w:rFonts w:ascii="Arial" w:cs="Arial" w:eastAsia="Arial" w:hAnsi="Arial"/>
          <w:sz w:val="16"/>
          <w:szCs w:val="16"/>
          <w:color w:val="0E2A35"/>
        </w:rPr>
        <w:t>. The Board may at any time terminate, suspend or amend the Plan. The Company shall submit any amendment of the Plan to its stockholders for approval only to the extent required by applicable laws or regulations or the rules of any securities exchange on which the Shares may then be listed. No termination, suspension, or amendment of the Plan may materially impair the rights of any Participant under a previously granted Award without the Participant's consent, unless such action is necessary to comply with applicable law or stock exchange rules.</w:t>
      </w:r>
    </w:p>
    <w:p>
      <w:pPr>
        <w:spacing w:after="0" w:line="164" w:lineRule="exact"/>
        <w:rPr>
          <w:sz w:val="20"/>
          <w:szCs w:val="20"/>
          <w:color w:val="auto"/>
        </w:rPr>
      </w:pPr>
    </w:p>
    <w:p>
      <w:pPr>
        <w:ind w:left="360" w:right="80"/>
        <w:spacing w:after="0" w:line="256" w:lineRule="auto"/>
        <w:rPr>
          <w:sz w:val="20"/>
          <w:szCs w:val="20"/>
          <w:color w:val="auto"/>
        </w:rPr>
      </w:pPr>
      <w:r>
        <w:rPr>
          <w:rFonts w:ascii="Arial" w:cs="Arial" w:eastAsia="Arial" w:hAnsi="Arial"/>
          <w:sz w:val="16"/>
          <w:szCs w:val="16"/>
          <w:color w:val="0E2A35"/>
        </w:rPr>
        <w:t xml:space="preserve">(d) </w:t>
      </w:r>
      <w:r>
        <w:rPr>
          <w:rFonts w:ascii="Arial" w:cs="Arial" w:eastAsia="Arial" w:hAnsi="Arial"/>
          <w:sz w:val="16"/>
          <w:szCs w:val="16"/>
          <w:u w:val="single" w:color="auto"/>
          <w:color w:val="0E2A35"/>
        </w:rPr>
        <w:t>Amendment of Awards</w:t>
      </w:r>
      <w:r>
        <w:rPr>
          <w:rFonts w:ascii="Arial" w:cs="Arial" w:eastAsia="Arial" w:hAnsi="Arial"/>
          <w:sz w:val="16"/>
          <w:szCs w:val="16"/>
          <w:color w:val="0E2A35"/>
        </w:rPr>
        <w:t>. Subject to Section 15(e), the Committee may unilaterally amend the terms of any Agreement evidencing an Award previously granted, except that no such amendment may materially impair the rights of any Participant under the applicable Award without the Participant's consent, unless such amendment is necessary to comply with applicable law or stock exchange rules or any compensation recovery policy as provided in Section 16(i).</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360" w:right="20"/>
        <w:spacing w:after="0" w:line="251" w:lineRule="auto"/>
        <w:rPr>
          <w:sz w:val="20"/>
          <w:szCs w:val="20"/>
          <w:color w:val="auto"/>
        </w:rPr>
      </w:pPr>
      <w:r>
        <w:rPr>
          <w:rFonts w:ascii="Arial" w:cs="Arial" w:eastAsia="Arial" w:hAnsi="Arial"/>
          <w:sz w:val="16"/>
          <w:szCs w:val="16"/>
          <w:color w:val="0E2A35"/>
        </w:rPr>
        <w:t xml:space="preserve">(e) </w:t>
      </w:r>
      <w:r>
        <w:rPr>
          <w:rFonts w:ascii="Arial" w:cs="Arial" w:eastAsia="Arial" w:hAnsi="Arial"/>
          <w:sz w:val="16"/>
          <w:szCs w:val="16"/>
          <w:u w:val="single" w:color="auto"/>
          <w:color w:val="0E2A35"/>
        </w:rPr>
        <w:t>No Option or SAR Repricing</w:t>
      </w:r>
      <w:r>
        <w:rPr>
          <w:rFonts w:ascii="Arial" w:cs="Arial" w:eastAsia="Arial" w:hAnsi="Arial"/>
          <w:sz w:val="16"/>
          <w:szCs w:val="16"/>
          <w:color w:val="0E2A35"/>
        </w:rPr>
        <w:t>. Except as provided in Section 12(a), no Option or Stock Appreciation Right Award granted under the Plan may be (i) amended to decrease the exercise price thereof, (ii) cancelled in conjunction with the grant of any new Option or Stock Appreciation Right Award with a lower exercise price, (iii) cancelled in exchange for cash, other property or the grant of any Full Value Award at a time when the per share exercise price of the Option or Stock Appreciation Right Award is greater than the current Fair Market Value of a Share, or (iv) otherwise subject to any action that would be treated under accounting rules as a “repricing” of such Option or Stock Appreciation Right Award, unless such action is first approved by the Company’s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0E2A35"/>
        </w:rPr>
        <w:t>16. </w:t>
      </w:r>
      <w:r>
        <w:rPr>
          <w:rFonts w:ascii="Arial" w:cs="Arial" w:eastAsia="Arial" w:hAnsi="Arial"/>
          <w:sz w:val="16"/>
          <w:szCs w:val="16"/>
          <w:b w:val="1"/>
          <w:bCs w:val="1"/>
          <w:u w:val="single" w:color="auto"/>
          <w:color w:val="0E2A35"/>
        </w:rPr>
        <w:t>Other Provisions</w:t>
      </w:r>
      <w:r>
        <w:rPr>
          <w:rFonts w:ascii="Arial" w:cs="Arial" w:eastAsia="Arial" w:hAnsi="Arial"/>
          <w:sz w:val="16"/>
          <w:szCs w:val="16"/>
          <w:b w:val="1"/>
          <w:bCs w:val="1"/>
          <w:color w:val="0E2A35"/>
        </w:rPr>
        <w:t>.</w:t>
      </w:r>
    </w:p>
    <w:p>
      <w:pPr>
        <w:spacing w:after="0" w:line="202" w:lineRule="exact"/>
        <w:rPr>
          <w:sz w:val="20"/>
          <w:szCs w:val="20"/>
          <w:color w:val="auto"/>
        </w:rPr>
      </w:pPr>
    </w:p>
    <w:p>
      <w:pPr>
        <w:ind w:left="360" w:right="40"/>
        <w:spacing w:after="0" w:line="252" w:lineRule="auto"/>
        <w:rPr>
          <w:sz w:val="20"/>
          <w:szCs w:val="20"/>
          <w:color w:val="auto"/>
        </w:rPr>
      </w:pPr>
      <w:r>
        <w:rPr>
          <w:rFonts w:ascii="Arial" w:cs="Arial" w:eastAsia="Arial" w:hAnsi="Arial"/>
          <w:sz w:val="16"/>
          <w:szCs w:val="16"/>
          <w:color w:val="0E2A35"/>
        </w:rPr>
        <w:t xml:space="preserve">(a) </w:t>
      </w:r>
      <w:r>
        <w:rPr>
          <w:rFonts w:ascii="Arial" w:cs="Arial" w:eastAsia="Arial" w:hAnsi="Arial"/>
          <w:sz w:val="16"/>
          <w:szCs w:val="16"/>
          <w:u w:val="single" w:color="auto"/>
          <w:color w:val="0E2A35"/>
        </w:rPr>
        <w:t>Unfunded Plan</w:t>
      </w:r>
      <w:r>
        <w:rPr>
          <w:rFonts w:ascii="Arial" w:cs="Arial" w:eastAsia="Arial" w:hAnsi="Arial"/>
          <w:sz w:val="16"/>
          <w:szCs w:val="16"/>
          <w:color w:val="0E2A35"/>
        </w:rPr>
        <w:t>. The Plan shall be unfunded, and the Company shall not be required to segregate any assets that may at any time be represented by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To the extent any person has or acquires a right to receive a payment in connection with an Award under the Plan, this right shall be no greater than the right of an unsecured general creditor of the Company.</w:t>
      </w:r>
    </w:p>
    <w:p>
      <w:pPr>
        <w:spacing w:after="0" w:line="150" w:lineRule="exact"/>
        <w:rPr>
          <w:sz w:val="20"/>
          <w:szCs w:val="20"/>
          <w:color w:val="auto"/>
        </w:rPr>
      </w:pPr>
    </w:p>
    <w:p>
      <w:pPr>
        <w:ind w:left="360" w:right="60"/>
        <w:spacing w:after="0" w:line="256" w:lineRule="auto"/>
        <w:rPr>
          <w:sz w:val="20"/>
          <w:szCs w:val="20"/>
          <w:color w:val="auto"/>
        </w:rPr>
      </w:pPr>
      <w:r>
        <w:rPr>
          <w:rFonts w:ascii="Arial" w:cs="Arial" w:eastAsia="Arial" w:hAnsi="Arial"/>
          <w:sz w:val="16"/>
          <w:szCs w:val="16"/>
          <w:color w:val="0E2A35"/>
        </w:rPr>
        <w:t xml:space="preserve">(b) </w:t>
      </w:r>
      <w:r>
        <w:rPr>
          <w:rFonts w:ascii="Arial" w:cs="Arial" w:eastAsia="Arial" w:hAnsi="Arial"/>
          <w:sz w:val="16"/>
          <w:szCs w:val="16"/>
          <w:u w:val="single" w:color="auto"/>
          <w:color w:val="0E2A35"/>
        </w:rPr>
        <w:t>Limits of Liability</w:t>
      </w:r>
      <w:r>
        <w:rPr>
          <w:rFonts w:ascii="Arial" w:cs="Arial" w:eastAsia="Arial" w:hAnsi="Arial"/>
          <w:sz w:val="16"/>
          <w:szCs w:val="16"/>
          <w:color w:val="0E2A35"/>
        </w:rPr>
        <w:t>. Except as may be required by law, neither the Company nor any member of the Board or of the Committee, nor any other person participating (including participation pursuant to a delegation of authority under Section 3(c) of the Plan) in any determination of any question under the Plan, or in the interpretation, administration or application of the Plan, shall have any liability to any party for any action taken, or not taken, in good faith under the Plan.</w:t>
      </w:r>
    </w:p>
    <w:p>
      <w:pPr>
        <w:spacing w:after="0" w:line="146" w:lineRule="exact"/>
        <w:rPr>
          <w:sz w:val="20"/>
          <w:szCs w:val="20"/>
          <w:color w:val="auto"/>
        </w:rPr>
      </w:pPr>
    </w:p>
    <w:p>
      <w:pPr>
        <w:ind w:left="360"/>
        <w:spacing w:after="0" w:line="249" w:lineRule="auto"/>
        <w:rPr>
          <w:sz w:val="20"/>
          <w:szCs w:val="20"/>
          <w:color w:val="auto"/>
        </w:rPr>
      </w:pPr>
      <w:r>
        <w:rPr>
          <w:rFonts w:ascii="Arial" w:cs="Arial" w:eastAsia="Arial" w:hAnsi="Arial"/>
          <w:sz w:val="16"/>
          <w:szCs w:val="16"/>
          <w:color w:val="0E2A35"/>
        </w:rPr>
        <w:t xml:space="preserve">(c) </w:t>
      </w:r>
      <w:r>
        <w:rPr>
          <w:rFonts w:ascii="Arial" w:cs="Arial" w:eastAsia="Arial" w:hAnsi="Arial"/>
          <w:sz w:val="16"/>
          <w:szCs w:val="16"/>
          <w:u w:val="single" w:color="auto"/>
          <w:color w:val="0E2A35"/>
        </w:rPr>
        <w:t>Compliance with Applicable Legal Requirements and Company Policies</w:t>
      </w:r>
      <w:r>
        <w:rPr>
          <w:rFonts w:ascii="Arial" w:cs="Arial" w:eastAsia="Arial" w:hAnsi="Arial"/>
          <w:sz w:val="16"/>
          <w:szCs w:val="16"/>
          <w:color w:val="0E2A35"/>
        </w:rPr>
        <w:t>. No Shares distributable pursuant to the Plan shall be issued and delivered unless and until the issuance of the Shares complies with all applicable legal requirements, including compliance with the provisions of applicable state and federal securities laws, and the requirements of any securities exchanges on which the Company’s Shares may, at the time, be listed. During any period in which the offering and issuance of Shares under the Plan is not registered under federal or state securities laws, Participants shall acknowledge that they are acquiring Shares under the Plan for investment purposes and not for resale, and that Shares may not be transferred except pursuant to an effective registration statement under, or an exemption from the registration requirements of, such securities laws. Any stock certificate or book-entry evidencing Shares issued under the Plan that are subject to securities law restrictions shall bear or be accompanied by an appropriate restrictive legend or stop transfer instruction. Notwithstanding any other provision of this Plan, the acquisition, holding or disposition of Shares acquired pursuant to the Plan shall in all events be subject to compliance with applicable Company policies, including those relating to insider trading, pledging or hedging transactions, minimum post-vesting holding periods and stock ownership guidelines, and to forfeiture or recovery of compensation as provided in Section 16(i).</w:t>
      </w:r>
    </w:p>
    <w:p>
      <w:pPr>
        <w:spacing w:after="0" w:line="164" w:lineRule="exact"/>
        <w:rPr>
          <w:sz w:val="20"/>
          <w:szCs w:val="20"/>
          <w:color w:val="auto"/>
        </w:rPr>
      </w:pPr>
    </w:p>
    <w:p>
      <w:pPr>
        <w:ind w:left="360" w:right="100"/>
        <w:spacing w:after="0" w:line="251" w:lineRule="auto"/>
        <w:rPr>
          <w:sz w:val="20"/>
          <w:szCs w:val="20"/>
          <w:color w:val="auto"/>
        </w:rPr>
      </w:pPr>
      <w:r>
        <w:rPr>
          <w:rFonts w:ascii="Arial" w:cs="Arial" w:eastAsia="Arial" w:hAnsi="Arial"/>
          <w:sz w:val="16"/>
          <w:szCs w:val="16"/>
          <w:color w:val="0E2A35"/>
        </w:rPr>
        <w:t xml:space="preserve">(d) </w:t>
      </w:r>
      <w:r>
        <w:rPr>
          <w:rFonts w:ascii="Arial" w:cs="Arial" w:eastAsia="Arial" w:hAnsi="Arial"/>
          <w:sz w:val="16"/>
          <w:szCs w:val="16"/>
          <w:u w:val="single" w:color="auto"/>
          <w:color w:val="0E2A35"/>
        </w:rPr>
        <w:t>Other Benefit and Compensation Programs</w:t>
      </w:r>
      <w:r>
        <w:rPr>
          <w:rFonts w:ascii="Arial" w:cs="Arial" w:eastAsia="Arial" w:hAnsi="Arial"/>
          <w:sz w:val="16"/>
          <w:szCs w:val="16"/>
          <w:color w:val="0E2A35"/>
        </w:rPr>
        <w:t>. Payments and other benefits received by a Participant under an Award made pursuant to the Plan shall not 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w:t>
      </w:r>
    </w:p>
    <w:p>
      <w:pPr>
        <w:spacing w:after="0" w:line="152" w:lineRule="exact"/>
        <w:rPr>
          <w:sz w:val="20"/>
          <w:szCs w:val="20"/>
          <w:color w:val="auto"/>
        </w:rPr>
      </w:pPr>
    </w:p>
    <w:p>
      <w:pPr>
        <w:ind w:left="360" w:right="280"/>
        <w:spacing w:after="0" w:line="261" w:lineRule="auto"/>
        <w:rPr>
          <w:sz w:val="20"/>
          <w:szCs w:val="20"/>
          <w:color w:val="auto"/>
        </w:rPr>
      </w:pPr>
      <w:r>
        <w:rPr>
          <w:rFonts w:ascii="Arial" w:cs="Arial" w:eastAsia="Arial" w:hAnsi="Arial"/>
          <w:sz w:val="16"/>
          <w:szCs w:val="16"/>
          <w:color w:val="0E2A35"/>
        </w:rPr>
        <w:t xml:space="preserve">(e) </w:t>
      </w:r>
      <w:r>
        <w:rPr>
          <w:rFonts w:ascii="Arial" w:cs="Arial" w:eastAsia="Arial" w:hAnsi="Arial"/>
          <w:sz w:val="16"/>
          <w:szCs w:val="16"/>
          <w:u w:val="single" w:color="auto"/>
          <w:color w:val="0E2A35"/>
        </w:rPr>
        <w:t>Governing Law</w:t>
      </w:r>
      <w:r>
        <w:rPr>
          <w:rFonts w:ascii="Arial" w:cs="Arial" w:eastAsia="Arial" w:hAnsi="Arial"/>
          <w:sz w:val="16"/>
          <w:szCs w:val="16"/>
          <w:color w:val="0E2A35"/>
        </w:rPr>
        <w:t>. To the extent that federal laws do not otherwise control, the Plan and all determinations made and actions taken pursuant to the Plan shall be governed by the laws of the State of Iowa without regard to its conflicts-of-law principles and shall be construed accordingly.</w:t>
      </w:r>
    </w:p>
    <w:p>
      <w:pPr>
        <w:spacing w:after="0" w:line="142" w:lineRule="exact"/>
        <w:rPr>
          <w:sz w:val="20"/>
          <w:szCs w:val="20"/>
          <w:color w:val="auto"/>
        </w:rPr>
      </w:pPr>
    </w:p>
    <w:p>
      <w:pPr>
        <w:jc w:val="both"/>
        <w:ind w:left="360" w:right="140"/>
        <w:spacing w:after="0" w:line="261" w:lineRule="auto"/>
        <w:rPr>
          <w:sz w:val="20"/>
          <w:szCs w:val="20"/>
          <w:color w:val="auto"/>
        </w:rPr>
      </w:pPr>
      <w:r>
        <w:rPr>
          <w:rFonts w:ascii="Arial" w:cs="Arial" w:eastAsia="Arial" w:hAnsi="Arial"/>
          <w:sz w:val="16"/>
          <w:szCs w:val="16"/>
          <w:color w:val="0E2A35"/>
        </w:rPr>
        <w:t xml:space="preserve">(f) </w:t>
      </w:r>
      <w:r>
        <w:rPr>
          <w:rFonts w:ascii="Arial" w:cs="Arial" w:eastAsia="Arial" w:hAnsi="Arial"/>
          <w:sz w:val="16"/>
          <w:szCs w:val="16"/>
          <w:u w:val="single" w:color="auto"/>
          <w:color w:val="0E2A35"/>
        </w:rPr>
        <w:t>Severability</w:t>
      </w:r>
      <w:r>
        <w:rPr>
          <w:rFonts w:ascii="Arial" w:cs="Arial" w:eastAsia="Arial" w:hAnsi="Arial"/>
          <w:sz w:val="16"/>
          <w:szCs w:val="16"/>
          <w:color w:val="0E2A35"/>
        </w:rPr>
        <w:t>. 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left="360" w:right="320"/>
        <w:spacing w:after="0" w:line="256" w:lineRule="auto"/>
        <w:rPr>
          <w:sz w:val="20"/>
          <w:szCs w:val="20"/>
          <w:color w:val="auto"/>
        </w:rPr>
      </w:pPr>
      <w:r>
        <w:rPr>
          <w:rFonts w:ascii="Arial" w:cs="Arial" w:eastAsia="Arial" w:hAnsi="Arial"/>
          <w:sz w:val="16"/>
          <w:szCs w:val="16"/>
          <w:color w:val="0E2A35"/>
        </w:rPr>
        <w:t xml:space="preserve">(g) </w:t>
      </w:r>
      <w:r>
        <w:rPr>
          <w:rFonts w:ascii="Arial" w:cs="Arial" w:eastAsia="Arial" w:hAnsi="Arial"/>
          <w:sz w:val="16"/>
          <w:szCs w:val="16"/>
          <w:u w:val="single" w:color="auto"/>
          <w:color w:val="0E2A35"/>
        </w:rPr>
        <w:t>Code Section 409A</w:t>
      </w:r>
      <w:r>
        <w:rPr>
          <w:rFonts w:ascii="Arial" w:cs="Arial" w:eastAsia="Arial" w:hAnsi="Arial"/>
          <w:sz w:val="16"/>
          <w:szCs w:val="16"/>
          <w:color w:val="0E2A35"/>
        </w:rPr>
        <w:t>. It is intended that all Awards under the Plan will be exempt from, or comply with, Code Section 409A, and to the maximum extent permitted the Awards and the Plan will be administered and interpreted in accordance with this intent. Notwithstanding anything to the contrary in the Plan or any Agreement, with respect to any Award that constitutes a deferral of compensation subject to Code Section 409A:</w:t>
      </w:r>
    </w:p>
    <w:p>
      <w:pPr>
        <w:spacing w:after="0" w:line="160" w:lineRule="exact"/>
        <w:rPr>
          <w:sz w:val="20"/>
          <w:szCs w:val="20"/>
          <w:color w:val="auto"/>
        </w:rPr>
      </w:pPr>
    </w:p>
    <w:p>
      <w:pPr>
        <w:ind w:left="720" w:right="20"/>
        <w:spacing w:after="0" w:line="276" w:lineRule="auto"/>
        <w:rPr>
          <w:sz w:val="20"/>
          <w:szCs w:val="20"/>
          <w:color w:val="auto"/>
        </w:rPr>
      </w:pPr>
      <w:r>
        <w:rPr>
          <w:rFonts w:ascii="Arial" w:cs="Arial" w:eastAsia="Arial" w:hAnsi="Arial"/>
          <w:sz w:val="16"/>
          <w:szCs w:val="16"/>
          <w:color w:val="0E2A35"/>
        </w:rPr>
        <w:t>(1) If any amount is payable under such Award upon a termination of Service, a termination of Service will be deemed to have occurred only at such time as the Participant has experienced a Separation from Service;</w:t>
      </w:r>
    </w:p>
    <w:p>
      <w:pPr>
        <w:spacing w:after="0" w:line="130" w:lineRule="exact"/>
        <w:rPr>
          <w:sz w:val="20"/>
          <w:szCs w:val="20"/>
          <w:color w:val="auto"/>
        </w:rPr>
      </w:pPr>
    </w:p>
    <w:p>
      <w:pPr>
        <w:ind w:left="720" w:right="260"/>
        <w:spacing w:after="0" w:line="276" w:lineRule="auto"/>
        <w:rPr>
          <w:sz w:val="20"/>
          <w:szCs w:val="20"/>
          <w:color w:val="auto"/>
        </w:rPr>
      </w:pPr>
      <w:r>
        <w:rPr>
          <w:rFonts w:ascii="Arial" w:cs="Arial" w:eastAsia="Arial" w:hAnsi="Arial"/>
          <w:sz w:val="16"/>
          <w:szCs w:val="16"/>
          <w:color w:val="0E2A35"/>
        </w:rPr>
        <w:t>(2) Each amount to be paid or benefit to be provided under an Award shall be construed as a separate and distinct payment for purposes of Section 409A;</w:t>
      </w:r>
    </w:p>
    <w:p>
      <w:pPr>
        <w:spacing w:after="0" w:line="130" w:lineRule="exact"/>
        <w:rPr>
          <w:sz w:val="20"/>
          <w:szCs w:val="20"/>
          <w:color w:val="auto"/>
        </w:rPr>
      </w:pPr>
    </w:p>
    <w:p>
      <w:pPr>
        <w:ind w:left="720"/>
        <w:spacing w:after="0" w:line="251" w:lineRule="auto"/>
        <w:rPr>
          <w:sz w:val="20"/>
          <w:szCs w:val="20"/>
          <w:color w:val="auto"/>
        </w:rPr>
      </w:pPr>
      <w:r>
        <w:rPr>
          <w:rFonts w:ascii="Arial" w:cs="Arial" w:eastAsia="Arial" w:hAnsi="Arial"/>
          <w:sz w:val="16"/>
          <w:szCs w:val="16"/>
          <w:color w:val="0E2A35"/>
        </w:rPr>
        <w:t>(3) If any amount shall be payable with respect to any such Award as a result of a Participant’s “separation from service” at such time as the Participant is a “specified employee” within the meaning of Code Section 409A, then no payment shall be made, except as permitted under Code Section 409A, prior to the first business day after the earlier of</w:t>
      </w:r>
    </w:p>
    <w:p>
      <w:pPr>
        <w:spacing w:after="0" w:line="2" w:lineRule="exact"/>
        <w:rPr>
          <w:sz w:val="20"/>
          <w:szCs w:val="20"/>
          <w:color w:val="auto"/>
        </w:rPr>
      </w:pPr>
    </w:p>
    <w:p>
      <w:pPr>
        <w:jc w:val="both"/>
        <w:ind w:left="720" w:right="240"/>
        <w:spacing w:after="0" w:line="251" w:lineRule="auto"/>
        <w:tabs>
          <w:tab w:leader="none" w:pos="909" w:val="left"/>
        </w:tabs>
        <w:numPr>
          <w:ilvl w:val="0"/>
          <w:numId w:val="84"/>
        </w:numPr>
        <w:rPr>
          <w:rFonts w:ascii="Arial" w:cs="Arial" w:eastAsia="Arial" w:hAnsi="Arial"/>
          <w:sz w:val="16"/>
          <w:szCs w:val="16"/>
          <w:color w:val="0E2A35"/>
        </w:rPr>
      </w:pPr>
      <w:r>
        <w:rPr>
          <w:rFonts w:ascii="Arial" w:cs="Arial" w:eastAsia="Arial" w:hAnsi="Arial"/>
          <w:sz w:val="16"/>
          <w:szCs w:val="16"/>
          <w:color w:val="0E2A35"/>
        </w:rPr>
        <w:t>the date that is six months after the Participant’s separation from service or (ii) the Participant’s death. Unless the Committee has adopted a specified employee identification policy as contemplated by Code Section 409A, specified employees will be identified by the Board in its discretion in accordance with the default provisions specified under Code Section 409A; and</w:t>
      </w:r>
    </w:p>
    <w:p>
      <w:pPr>
        <w:spacing w:after="0" w:line="163" w:lineRule="exact"/>
        <w:rPr>
          <w:sz w:val="20"/>
          <w:szCs w:val="20"/>
          <w:color w:val="auto"/>
        </w:rPr>
      </w:pPr>
    </w:p>
    <w:p>
      <w:pPr>
        <w:ind w:left="720" w:right="340"/>
        <w:spacing w:after="0" w:line="276" w:lineRule="auto"/>
        <w:rPr>
          <w:sz w:val="20"/>
          <w:szCs w:val="20"/>
          <w:color w:val="auto"/>
        </w:rPr>
      </w:pPr>
      <w:r>
        <w:rPr>
          <w:rFonts w:ascii="Arial" w:cs="Arial" w:eastAsia="Arial" w:hAnsi="Arial"/>
          <w:sz w:val="16"/>
          <w:szCs w:val="16"/>
          <w:color w:val="0E2A35"/>
        </w:rPr>
        <w:t>(4) If payment under an Award is to be made within a designated period which does not begin and end within one calendar year, the Participant does not have a right to designate the taxable year of the payment.</w:t>
      </w:r>
    </w:p>
    <w:p>
      <w:pPr>
        <w:spacing w:after="0" w:line="130" w:lineRule="exact"/>
        <w:rPr>
          <w:sz w:val="20"/>
          <w:szCs w:val="20"/>
          <w:color w:val="auto"/>
        </w:rPr>
      </w:pPr>
    </w:p>
    <w:p>
      <w:pPr>
        <w:ind w:left="360"/>
        <w:spacing w:after="0" w:line="253" w:lineRule="auto"/>
        <w:rPr>
          <w:sz w:val="20"/>
          <w:szCs w:val="20"/>
          <w:color w:val="auto"/>
        </w:rPr>
      </w:pPr>
      <w:r>
        <w:rPr>
          <w:rFonts w:ascii="Arial" w:cs="Arial" w:eastAsia="Arial" w:hAnsi="Arial"/>
          <w:sz w:val="16"/>
          <w:szCs w:val="16"/>
          <w:color w:val="0E2A35"/>
        </w:rPr>
        <w:t>None of the Company, the Board, the Committee nor any other person involved with the administration of this Plan shall (i) in any way be responsible for ensuring the exemption of any Award from, or compliance by any Award with, the requirements of Code Section 409A, (ii) have any obligation to design or administer the Plan or Awards granted thereunder in a manner that minimizes a Participant’s tax liabilities, including the avoidance of any additional tax liabilities under Code Section 409A, and (iii) shall have any liability to any Participant for any such tax liabilities.</w:t>
      </w:r>
    </w:p>
    <w:p>
      <w:pPr>
        <w:spacing w:after="0" w:line="151" w:lineRule="exact"/>
        <w:rPr>
          <w:sz w:val="20"/>
          <w:szCs w:val="20"/>
          <w:color w:val="auto"/>
        </w:rPr>
      </w:pPr>
    </w:p>
    <w:p>
      <w:pPr>
        <w:ind w:left="360" w:right="20"/>
        <w:spacing w:after="0" w:line="252" w:lineRule="auto"/>
        <w:rPr>
          <w:sz w:val="20"/>
          <w:szCs w:val="20"/>
          <w:color w:val="auto"/>
        </w:rPr>
      </w:pPr>
      <w:r>
        <w:rPr>
          <w:rFonts w:ascii="Arial" w:cs="Arial" w:eastAsia="Arial" w:hAnsi="Arial"/>
          <w:sz w:val="16"/>
          <w:szCs w:val="16"/>
          <w:color w:val="0E2A35"/>
        </w:rPr>
        <w:t xml:space="preserve">(h) </w:t>
      </w:r>
      <w:r>
        <w:rPr>
          <w:rFonts w:ascii="Arial" w:cs="Arial" w:eastAsia="Arial" w:hAnsi="Arial"/>
          <w:sz w:val="16"/>
          <w:szCs w:val="16"/>
          <w:u w:val="single" w:color="auto"/>
          <w:color w:val="0E2A35"/>
        </w:rPr>
        <w:t>Rule 16b-3</w:t>
      </w:r>
      <w:r>
        <w:rPr>
          <w:rFonts w:ascii="Arial" w:cs="Arial" w:eastAsia="Arial" w:hAnsi="Arial"/>
          <w:sz w:val="16"/>
          <w:szCs w:val="16"/>
          <w:color w:val="0E2A35"/>
        </w:rPr>
        <w:t xml:space="preserve"> . It is intended that the Plan and all Awards granted pursuant to it shall be administered by the Committee so as to permit the Plan and Awards to comply with Exchange Act Rule 16b-3. If any provision of the Plan or of any Award would otherwise frustrate or conflict with the intent expressed in this Section 16(h), that provision to the extent possible shall be interpreted and deemed amended in the manner determined by the Committee so as to avoid the conflict. To the extent of any remaining irreconcilable conflict with this intent, the provision shall be deemed void as applied to Participants subject to Section 16 of the Exchange Act to the extent permitted by law and in the manner deemed advisable by the Committee.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0E2A35"/>
        </w:rPr>
        <w:t xml:space="preserve">(i) </w:t>
      </w:r>
      <w:r>
        <w:rPr>
          <w:rFonts w:ascii="Arial" w:cs="Arial" w:eastAsia="Arial" w:hAnsi="Arial"/>
          <w:sz w:val="16"/>
          <w:szCs w:val="16"/>
          <w:u w:val="single" w:color="auto"/>
          <w:color w:val="0E2A35"/>
        </w:rPr>
        <w:t>Forfeiture and Compensation Recovery</w:t>
      </w:r>
      <w:r>
        <w:rPr>
          <w:rFonts w:ascii="Arial" w:cs="Arial" w:eastAsia="Arial" w:hAnsi="Arial"/>
          <w:sz w:val="16"/>
          <w:szCs w:val="16"/>
          <w:color w:val="0E2A35"/>
        </w:rPr>
        <w:t>.</w:t>
      </w:r>
    </w:p>
    <w:p>
      <w:pPr>
        <w:spacing w:after="0" w:line="181" w:lineRule="exact"/>
        <w:rPr>
          <w:sz w:val="20"/>
          <w:szCs w:val="20"/>
          <w:color w:val="auto"/>
        </w:rPr>
      </w:pPr>
    </w:p>
    <w:p>
      <w:pPr>
        <w:ind w:left="720"/>
        <w:spacing w:after="0" w:line="251" w:lineRule="auto"/>
        <w:rPr>
          <w:sz w:val="20"/>
          <w:szCs w:val="20"/>
          <w:color w:val="auto"/>
        </w:rPr>
      </w:pPr>
      <w:r>
        <w:rPr>
          <w:rFonts w:ascii="Arial" w:cs="Arial" w:eastAsia="Arial" w:hAnsi="Arial"/>
          <w:sz w:val="16"/>
          <w:szCs w:val="16"/>
          <w:color w:val="0E2A35"/>
        </w:rPr>
        <w:t>(1) The Committee may specify in an Agreement that the Participant’s rights, payments, and benefits with respect to an Award will be subject to reduction, cancellation, forfeiture or recovery by the Company upon the occurrence of certain specified events, in addition to any otherwise applicable vesting or performance conditions of an Award. Such events may include termination of Service for Cause; violation of any material Company or Affiliate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52" w:lineRule="exact"/>
        <w:rPr>
          <w:sz w:val="20"/>
          <w:szCs w:val="20"/>
          <w:color w:val="auto"/>
        </w:rPr>
      </w:pPr>
    </w:p>
    <w:p>
      <w:pPr>
        <w:ind w:left="720" w:right="80"/>
        <w:spacing w:after="0" w:line="251" w:lineRule="auto"/>
        <w:rPr>
          <w:sz w:val="20"/>
          <w:szCs w:val="20"/>
          <w:color w:val="auto"/>
        </w:rPr>
      </w:pPr>
      <w:r>
        <w:rPr>
          <w:rFonts w:ascii="Arial" w:cs="Arial" w:eastAsia="Arial" w:hAnsi="Arial"/>
          <w:sz w:val="16"/>
          <w:szCs w:val="16"/>
          <w:color w:val="0E2A35"/>
        </w:rPr>
        <w:t>(2) Awards and any compensation associated therewith are subject to forfeiture, recovery by the Company or other action pursuant to any compensation recovery policy adopted by the Board or the Committee at any time, as amended from time to time, which includes but is not limited to, any compensation recovery policy adopted by the Board or the Committee including in response to the requirements of Section 10D of the Exchange Act, the SEC’s final rules thereunder, and any applicable listing rules or other rules and regulations implementing the foregoing or as otherwise required by law. Any Agreement will be automatically unilaterally amended to comply with any such compensation recovery policy.</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E2A35"/>
        </w:rPr>
        <w:t>Appendix B</w:t>
      </w:r>
    </w:p>
    <w:p>
      <w:pPr>
        <w:spacing w:after="0" w:line="231"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Winnebago Industries, Inc.</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b w:val="1"/>
          <w:bCs w:val="1"/>
          <w:color w:val="0E2A35"/>
        </w:rPr>
        <w:t>Employee Stock Purchase Plan</w:t>
      </w:r>
    </w:p>
    <w:p>
      <w:pPr>
        <w:spacing w:after="0"/>
        <w:rPr>
          <w:sz w:val="20"/>
          <w:szCs w:val="20"/>
          <w:color w:val="auto"/>
        </w:rPr>
      </w:pPr>
      <w:r>
        <w:rPr>
          <w:rFonts w:ascii="Arial" w:cs="Arial" w:eastAsia="Arial" w:hAnsi="Arial"/>
          <w:sz w:val="27"/>
          <w:szCs w:val="27"/>
          <w:b w:val="1"/>
          <w:bCs w:val="1"/>
          <w:color w:val="0E2A35"/>
        </w:rPr>
        <w:t>as Amended on May 17, 2023</w:t>
      </w:r>
    </w:p>
    <w:p>
      <w:pPr>
        <w:spacing w:after="0" w:line="17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0E2A35"/>
        </w:rPr>
        <w:t>1. </w:t>
      </w:r>
      <w:r>
        <w:rPr>
          <w:rFonts w:ascii="Arial" w:cs="Arial" w:eastAsia="Arial" w:hAnsi="Arial"/>
          <w:sz w:val="16"/>
          <w:szCs w:val="16"/>
          <w:b w:val="1"/>
          <w:bCs w:val="1"/>
          <w:u w:val="single" w:color="auto"/>
          <w:color w:val="0E2A35"/>
        </w:rPr>
        <w:t>Purpose</w:t>
      </w:r>
      <w:r>
        <w:rPr>
          <w:rFonts w:ascii="Arial" w:cs="Arial" w:eastAsia="Arial" w:hAnsi="Arial"/>
          <w:sz w:val="16"/>
          <w:szCs w:val="16"/>
          <w:b w:val="1"/>
          <w:bCs w:val="1"/>
          <w:color w:val="0E2A35"/>
        </w:rPr>
        <w:t>.</w:t>
      </w:r>
      <w:r>
        <w:rPr>
          <w:rFonts w:ascii="Arial" w:cs="Arial" w:eastAsia="Arial" w:hAnsi="Arial"/>
          <w:sz w:val="16"/>
          <w:szCs w:val="16"/>
          <w:color w:val="0E2A35"/>
        </w:rPr>
        <w:t xml:space="preserve"> The purpose of this amended Winnebago Industries, Inc. Employee Stock Purchase Plan is to provide employees of the Company and its Designated Subsidiaries with an opportunity to purchase Common Stock of the Company through accumulated payroll deductions. It is the intention of the Company to have the Plan continue to qualify as an “Employee Stock Purchase Plan” under Section 423 of the Internal Revenue Code of 1986, as amended. The provisions of the Plan, accordingly, will be construed in a uniform and nondiscriminatory manner consistent with the requirements of Sections 423 and related sections of the Code. The Plan was initially approved by the Board of Directors on October 18, 2017 and approved by shareholders of the Company on December 12, 2017. On May 17, 2023, the Plan was amended and restated as set forth herein, subject to approval of the Company’s shareholders to the extent required by applicable law.</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0E2A35"/>
        </w:rPr>
        <w:t>2. </w:t>
      </w:r>
      <w:r>
        <w:rPr>
          <w:rFonts w:ascii="Arial" w:cs="Arial" w:eastAsia="Arial" w:hAnsi="Arial"/>
          <w:sz w:val="16"/>
          <w:szCs w:val="16"/>
          <w:b w:val="1"/>
          <w:bCs w:val="1"/>
          <w:u w:val="single" w:color="auto"/>
          <w:color w:val="0E2A35"/>
        </w:rPr>
        <w:t>Definitions</w:t>
      </w:r>
      <w:r>
        <w:rPr>
          <w:rFonts w:ascii="Arial" w:cs="Arial" w:eastAsia="Arial" w:hAnsi="Arial"/>
          <w:sz w:val="16"/>
          <w:szCs w:val="16"/>
          <w:b w:val="1"/>
          <w:bCs w:val="1"/>
          <w:color w:val="0E2A35"/>
        </w:rPr>
        <w: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0E2A35"/>
        </w:rPr>
        <w:t>(a) “</w:t>
      </w:r>
      <w:r>
        <w:rPr>
          <w:rFonts w:ascii="Arial" w:cs="Arial" w:eastAsia="Arial" w:hAnsi="Arial"/>
          <w:sz w:val="16"/>
          <w:szCs w:val="16"/>
          <w:u w:val="single" w:color="auto"/>
          <w:color w:val="0E2A35"/>
        </w:rPr>
        <w:t>Board</w:t>
      </w:r>
      <w:r>
        <w:rPr>
          <w:rFonts w:ascii="Arial" w:cs="Arial" w:eastAsia="Arial" w:hAnsi="Arial"/>
          <w:sz w:val="16"/>
          <w:szCs w:val="16"/>
          <w:color w:val="0E2A35"/>
        </w:rPr>
        <w:t>” means the Company’s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0E2A35"/>
        </w:rPr>
        <w:t>(b) “</w:t>
      </w:r>
      <w:r>
        <w:rPr>
          <w:rFonts w:ascii="Arial" w:cs="Arial" w:eastAsia="Arial" w:hAnsi="Arial"/>
          <w:sz w:val="16"/>
          <w:szCs w:val="16"/>
          <w:u w:val="single" w:color="auto"/>
          <w:color w:val="0E2A35"/>
        </w:rPr>
        <w:t>Code</w:t>
      </w:r>
      <w:r>
        <w:rPr>
          <w:rFonts w:ascii="Arial" w:cs="Arial" w:eastAsia="Arial" w:hAnsi="Arial"/>
          <w:sz w:val="16"/>
          <w:szCs w:val="16"/>
          <w:color w:val="0E2A35"/>
        </w:rPr>
        <w:t>” means the Internal Revenue Code of 1986, as amended.</w:t>
      </w:r>
    </w:p>
    <w:p>
      <w:pPr>
        <w:spacing w:after="0" w:line="181"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0E2A35"/>
        </w:rPr>
        <w:t>(c) “</w:t>
      </w:r>
      <w:r>
        <w:rPr>
          <w:rFonts w:ascii="Arial" w:cs="Arial" w:eastAsia="Arial" w:hAnsi="Arial"/>
          <w:sz w:val="16"/>
          <w:szCs w:val="16"/>
          <w:u w:val="single" w:color="auto"/>
          <w:color w:val="0E2A35"/>
        </w:rPr>
        <w:t>Committee</w:t>
      </w:r>
      <w:r>
        <w:rPr>
          <w:rFonts w:ascii="Arial" w:cs="Arial" w:eastAsia="Arial" w:hAnsi="Arial"/>
          <w:sz w:val="16"/>
          <w:szCs w:val="16"/>
          <w:color w:val="0E2A35"/>
        </w:rPr>
        <w:t>” means the Human Resources Committee of the Board, or its successor, or another committee of the Board as designated by the Board, and if no such committee exists or is designated by the Board, the Board will act as the Committee as described in the Plan.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0E2A35"/>
        </w:rPr>
        <w:t>(d) “</w:t>
      </w:r>
      <w:r>
        <w:rPr>
          <w:rFonts w:ascii="Arial" w:cs="Arial" w:eastAsia="Arial" w:hAnsi="Arial"/>
          <w:sz w:val="16"/>
          <w:szCs w:val="16"/>
          <w:u w:val="single" w:color="auto"/>
          <w:color w:val="0E2A35"/>
        </w:rPr>
        <w:t>Common Stock</w:t>
      </w:r>
      <w:r>
        <w:rPr>
          <w:rFonts w:ascii="Arial" w:cs="Arial" w:eastAsia="Arial" w:hAnsi="Arial"/>
          <w:sz w:val="16"/>
          <w:szCs w:val="16"/>
          <w:color w:val="0E2A35"/>
        </w:rPr>
        <w:t>” means the Company’s common stock, $.01 par value.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0E2A35"/>
        </w:rPr>
        <w:t>(e) “</w:t>
      </w:r>
      <w:r>
        <w:rPr>
          <w:rFonts w:ascii="Arial" w:cs="Arial" w:eastAsia="Arial" w:hAnsi="Arial"/>
          <w:sz w:val="16"/>
          <w:szCs w:val="16"/>
          <w:u w:val="single" w:color="auto"/>
          <w:color w:val="0E2A35"/>
        </w:rPr>
        <w:t>Company</w:t>
      </w:r>
      <w:r>
        <w:rPr>
          <w:rFonts w:ascii="Arial" w:cs="Arial" w:eastAsia="Arial" w:hAnsi="Arial"/>
          <w:sz w:val="16"/>
          <w:szCs w:val="16"/>
          <w:color w:val="0E2A35"/>
        </w:rPr>
        <w:t>” means Winnebago Industries, Inc., a Minnesota corporation.</w:t>
      </w:r>
    </w:p>
    <w:p>
      <w:pPr>
        <w:spacing w:after="0" w:line="18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0E2A35"/>
        </w:rPr>
        <w:t>(f) “</w:t>
      </w:r>
      <w:r>
        <w:rPr>
          <w:rFonts w:ascii="Arial" w:cs="Arial" w:eastAsia="Arial" w:hAnsi="Arial"/>
          <w:sz w:val="16"/>
          <w:szCs w:val="16"/>
          <w:u w:val="single" w:color="auto"/>
          <w:color w:val="0E2A35"/>
        </w:rPr>
        <w:t>Compensation</w:t>
      </w:r>
      <w:r>
        <w:rPr>
          <w:rFonts w:ascii="Arial" w:cs="Arial" w:eastAsia="Arial" w:hAnsi="Arial"/>
          <w:sz w:val="16"/>
          <w:szCs w:val="16"/>
          <w:color w:val="0E2A35"/>
        </w:rPr>
        <w:t>” will be defined from time to time by the Committee in its sole discretion with respect to any Offering Period. Except as otherwise defined by the Committee from time to time in its sole discretion, Compensation means all gross cash compensation received by an Employee from the Company or a Designated Subsidiary and includable in the Employee’s gross income for federal income tax purposes, other than any taxable reimbursements, plus any pre-tax contributions made by the Employee under Section 401(k) and 125 of the Code. Except as otherwise defined by the Committee from time to time in its sole discretion, by way of illustration, but not limitation, “Compensation” will include regular compensation such as salary, wages, overtime, shift differentials, bonuses, commissions, and incentive compensation, but will exclude relocation reimbursements, expense reimbursements, tuition or other reimbursements, and income realized as a result of participation in any stock Option, stock purchase, or similar plan of the Company or any Designated Subsidiary.</w:t>
      </w:r>
    </w:p>
    <w:p>
      <w:pPr>
        <w:spacing w:after="0" w:line="165"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0E2A35"/>
        </w:rPr>
        <w:t>(g) “</w:t>
      </w:r>
      <w:r>
        <w:rPr>
          <w:rFonts w:ascii="Arial" w:cs="Arial" w:eastAsia="Arial" w:hAnsi="Arial"/>
          <w:sz w:val="16"/>
          <w:szCs w:val="16"/>
          <w:u w:val="single" w:color="auto"/>
          <w:color w:val="0E2A35"/>
        </w:rPr>
        <w:t>Designated Subsidiary</w:t>
      </w:r>
      <w:r>
        <w:rPr>
          <w:rFonts w:ascii="Arial" w:cs="Arial" w:eastAsia="Arial" w:hAnsi="Arial"/>
          <w:sz w:val="16"/>
          <w:szCs w:val="16"/>
          <w:color w:val="0E2A35"/>
        </w:rPr>
        <w:t>” means any Subsidiary of the Company designated by the Committee from time to time in its sole discretion as a Subsidiary whose employees are eligible to participate in the Plan.</w:t>
      </w:r>
    </w:p>
    <w:p>
      <w:pPr>
        <w:spacing w:after="0" w:line="13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0E2A35"/>
        </w:rPr>
        <w:t>(h) “</w:t>
      </w:r>
      <w:r>
        <w:rPr>
          <w:rFonts w:ascii="Arial" w:cs="Arial" w:eastAsia="Arial" w:hAnsi="Arial"/>
          <w:sz w:val="16"/>
          <w:szCs w:val="16"/>
          <w:u w:val="single" w:color="auto"/>
          <w:color w:val="0E2A35"/>
        </w:rPr>
        <w:t>Employee</w:t>
      </w:r>
      <w:r>
        <w:rPr>
          <w:rFonts w:ascii="Arial" w:cs="Arial" w:eastAsia="Arial" w:hAnsi="Arial"/>
          <w:sz w:val="16"/>
          <w:szCs w:val="16"/>
          <w:color w:val="0E2A35"/>
        </w:rPr>
        <w:t>” means any individual who is an employee of the Company (or Designated Subsidiary) for tax purposes and excludes persons paid under a contract and not through Company (or Designated Subsidiary) payroll. For purposes of the Plan, the employment relationship will be treated as continuing intact while the individual is on sick leave or other leave of absence approved by the Company (or applicable Designated Subsidiary), except that where the period of leave exceeds 90 days and the individual’s right to reemployment is not guaranteed by either statute or contract, the employment relationship will be deemed to have terminated on the 91st day of such leave.</w:t>
      </w:r>
    </w:p>
    <w:p>
      <w:pPr>
        <w:spacing w:after="0" w:line="150"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0E2A35"/>
        </w:rPr>
        <w:t>(i) “</w:t>
      </w:r>
      <w:r>
        <w:rPr>
          <w:rFonts w:ascii="Arial" w:cs="Arial" w:eastAsia="Arial" w:hAnsi="Arial"/>
          <w:sz w:val="16"/>
          <w:szCs w:val="16"/>
          <w:u w:val="single" w:color="auto"/>
          <w:color w:val="0E2A35"/>
        </w:rPr>
        <w:t>Exercise</w:t>
      </w:r>
      <w:r>
        <w:rPr>
          <w:rFonts w:ascii="Arial" w:cs="Arial" w:eastAsia="Arial" w:hAnsi="Arial"/>
          <w:sz w:val="16"/>
          <w:szCs w:val="16"/>
          <w:color w:val="0E2A35"/>
        </w:rPr>
        <w:t>” means the purchase of shares of Common Stock pursuant to an Option granted under Section 6 in accordance with the terms of the Plan.</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0E2A35"/>
        </w:rPr>
        <w:t>(j) “</w:t>
      </w:r>
      <w:r>
        <w:rPr>
          <w:rFonts w:ascii="Arial" w:cs="Arial" w:eastAsia="Arial" w:hAnsi="Arial"/>
          <w:sz w:val="16"/>
          <w:szCs w:val="16"/>
          <w:u w:val="single" w:color="auto"/>
          <w:color w:val="0E2A35"/>
        </w:rPr>
        <w:t>Fair Market Value</w:t>
      </w:r>
      <w:r>
        <w:rPr>
          <w:rFonts w:ascii="Arial" w:cs="Arial" w:eastAsia="Arial" w:hAnsi="Arial"/>
          <w:sz w:val="16"/>
          <w:szCs w:val="16"/>
          <w:color w:val="0E2A35"/>
        </w:rPr>
        <w:t xml:space="preserve">” of Common Stock means, as of any date, the closing sales price for such stock (or the closing bid, if no sales were reported) as quoted on the New York Stock Exchange (“NYSE”) for that date (or if that date is not a Trading Day, the last market trading day before the date of such determination), as reported in </w:t>
      </w:r>
      <w:r>
        <w:rPr>
          <w:rFonts w:ascii="Arial" w:cs="Arial" w:eastAsia="Arial" w:hAnsi="Arial"/>
          <w:sz w:val="16"/>
          <w:szCs w:val="16"/>
          <w:i w:val="1"/>
          <w:iCs w:val="1"/>
          <w:color w:val="0E2A35"/>
        </w:rPr>
        <w:t>The Wall Street Journal</w:t>
      </w:r>
      <w:r>
        <w:rPr>
          <w:rFonts w:ascii="Arial" w:cs="Arial" w:eastAsia="Arial" w:hAnsi="Arial"/>
          <w:sz w:val="16"/>
          <w:szCs w:val="16"/>
          <w:color w:val="0E2A35"/>
        </w:rPr>
        <w:t xml:space="preserve"> or such other source as the Committee deems reliable.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0E2A35"/>
        </w:rPr>
        <w:t>(k) “</w:t>
      </w:r>
      <w:r>
        <w:rPr>
          <w:rFonts w:ascii="Arial" w:cs="Arial" w:eastAsia="Arial" w:hAnsi="Arial"/>
          <w:sz w:val="16"/>
          <w:szCs w:val="16"/>
          <w:u w:val="single" w:color="auto"/>
          <w:color w:val="0E2A35"/>
        </w:rPr>
        <w:t>Offering Commencement Date</w:t>
      </w:r>
      <w:r>
        <w:rPr>
          <w:rFonts w:ascii="Arial" w:cs="Arial" w:eastAsia="Arial" w:hAnsi="Arial"/>
          <w:sz w:val="16"/>
          <w:szCs w:val="16"/>
          <w:color w:val="0E2A35"/>
        </w:rPr>
        <w:t>” means the first day of each Offering Period.</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6"/>
          <w:szCs w:val="16"/>
          <w:color w:val="0E2A35"/>
        </w:rPr>
        <w:t>(l) “</w:t>
      </w:r>
      <w:r>
        <w:rPr>
          <w:rFonts w:ascii="Arial" w:cs="Arial" w:eastAsia="Arial" w:hAnsi="Arial"/>
          <w:sz w:val="16"/>
          <w:szCs w:val="16"/>
          <w:u w:val="single" w:color="auto"/>
          <w:color w:val="0E2A35"/>
        </w:rPr>
        <w:t>Offering Period</w:t>
      </w:r>
      <w:r>
        <w:rPr>
          <w:rFonts w:ascii="Arial" w:cs="Arial" w:eastAsia="Arial" w:hAnsi="Arial"/>
          <w:sz w:val="16"/>
          <w:szCs w:val="16"/>
          <w:color w:val="0E2A35"/>
        </w:rPr>
        <w:t>” means a period of time during which offers to purchase Common Stock are outstanding under the Plan. Prior to the start of an Offering Period, the Committee will determine the length of each Offering Period, which need not be uniform; provided that no Offering Period will exceed 27 months in length. An Offering Period will commence on such date as may be established by the Committee. Unless the Committee determines otherwise, the Offering Period will be a period of approximately six months commencing on the first Trading Day on or after January 1, and terminating on the following June 30 (or the last Trading Day prior to such date);; and commencing on the first Trading Day on or after July 1, and ending on the following December 31 (or the last Trading Day prior to such date).</w:t>
      </w:r>
    </w:p>
    <w:p>
      <w:pPr>
        <w:spacing w:after="0" w:line="152" w:lineRule="exact"/>
        <w:rPr>
          <w:sz w:val="20"/>
          <w:szCs w:val="20"/>
          <w:color w:val="auto"/>
        </w:rPr>
      </w:pPr>
    </w:p>
    <w:p>
      <w:pPr>
        <w:spacing w:after="0" w:line="276" w:lineRule="auto"/>
        <w:rPr>
          <w:sz w:val="20"/>
          <w:szCs w:val="20"/>
          <w:color w:val="auto"/>
        </w:rPr>
      </w:pPr>
      <w:r>
        <w:rPr>
          <w:rFonts w:ascii="Arial" w:cs="Arial" w:eastAsia="Arial" w:hAnsi="Arial"/>
          <w:sz w:val="16"/>
          <w:szCs w:val="16"/>
          <w:color w:val="0E2A35"/>
        </w:rPr>
        <w:t>(m) “</w:t>
      </w:r>
      <w:r>
        <w:rPr>
          <w:rFonts w:ascii="Arial" w:cs="Arial" w:eastAsia="Arial" w:hAnsi="Arial"/>
          <w:sz w:val="16"/>
          <w:szCs w:val="16"/>
          <w:u w:val="single" w:color="auto"/>
          <w:color w:val="0E2A35"/>
        </w:rPr>
        <w:t>Option</w:t>
      </w:r>
      <w:r>
        <w:rPr>
          <w:rFonts w:ascii="Arial" w:cs="Arial" w:eastAsia="Arial" w:hAnsi="Arial"/>
          <w:sz w:val="16"/>
          <w:szCs w:val="16"/>
          <w:color w:val="0E2A35"/>
        </w:rPr>
        <w:t>” means the right of a Participant who enrolls in the Plan to purchase Common Stock in accordance with the terms of the Plan.</w:t>
      </w:r>
    </w:p>
    <w:p>
      <w:pPr>
        <w:spacing w:after="0" w:line="130"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0E2A35"/>
        </w:rPr>
        <w:t>(n) “</w:t>
      </w:r>
      <w:r>
        <w:rPr>
          <w:rFonts w:ascii="Arial" w:cs="Arial" w:eastAsia="Arial" w:hAnsi="Arial"/>
          <w:sz w:val="16"/>
          <w:szCs w:val="16"/>
          <w:u w:val="single" w:color="auto"/>
          <w:color w:val="0E2A35"/>
        </w:rPr>
        <w:t>Parent</w:t>
      </w:r>
      <w:r>
        <w:rPr>
          <w:rFonts w:ascii="Arial" w:cs="Arial" w:eastAsia="Arial" w:hAnsi="Arial"/>
          <w:sz w:val="16"/>
          <w:szCs w:val="16"/>
          <w:color w:val="0E2A35"/>
        </w:rPr>
        <w:t>” means a corporation, domestic or foreign, that owns not less than 50% of the voting shares of the Company or of another Parent, whether or not such corporation now exists or is hereafter organized or acquires the Company or a Parent.</w:t>
      </w:r>
    </w:p>
    <w:p>
      <w:pPr>
        <w:spacing w:after="0" w:line="144"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0E2A35"/>
        </w:rPr>
        <w:t>(o) “</w:t>
      </w:r>
      <w:r>
        <w:rPr>
          <w:rFonts w:ascii="Arial" w:cs="Arial" w:eastAsia="Arial" w:hAnsi="Arial"/>
          <w:sz w:val="16"/>
          <w:szCs w:val="16"/>
          <w:u w:val="single" w:color="auto"/>
          <w:color w:val="0E2A35"/>
        </w:rPr>
        <w:t>Participant</w:t>
      </w:r>
      <w:r>
        <w:rPr>
          <w:rFonts w:ascii="Arial" w:cs="Arial" w:eastAsia="Arial" w:hAnsi="Arial"/>
          <w:sz w:val="16"/>
          <w:szCs w:val="16"/>
          <w:color w:val="0E2A35"/>
        </w:rPr>
        <w:t>” means an eligible Employee who has elected to participate in the Plan in the manner set forth in Section 4 and whose participation has not ended pursuant to Section 9 or Section 10.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0E2A35"/>
        </w:rPr>
        <w:t>(p) “</w:t>
      </w:r>
      <w:r>
        <w:rPr>
          <w:rFonts w:ascii="Arial" w:cs="Arial" w:eastAsia="Arial" w:hAnsi="Arial"/>
          <w:sz w:val="16"/>
          <w:szCs w:val="16"/>
          <w:u w:val="single" w:color="auto"/>
          <w:color w:val="0E2A35"/>
        </w:rPr>
        <w:t>Plan</w:t>
      </w:r>
      <w:r>
        <w:rPr>
          <w:rFonts w:ascii="Arial" w:cs="Arial" w:eastAsia="Arial" w:hAnsi="Arial"/>
          <w:sz w:val="16"/>
          <w:szCs w:val="16"/>
          <w:color w:val="0E2A35"/>
        </w:rPr>
        <w:t>” means this Winnebago Industries, Inc. Employee Stock Purchase Plan.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0E2A35"/>
        </w:rPr>
        <w:t>(q) “</w:t>
      </w:r>
      <w:r>
        <w:rPr>
          <w:rFonts w:ascii="Arial" w:cs="Arial" w:eastAsia="Arial" w:hAnsi="Arial"/>
          <w:sz w:val="16"/>
          <w:szCs w:val="16"/>
          <w:u w:val="single" w:color="auto"/>
          <w:color w:val="0E2A35"/>
        </w:rPr>
        <w:t>Purchase Date</w:t>
      </w:r>
      <w:r>
        <w:rPr>
          <w:rFonts w:ascii="Arial" w:cs="Arial" w:eastAsia="Arial" w:hAnsi="Arial"/>
          <w:sz w:val="16"/>
          <w:szCs w:val="16"/>
          <w:color w:val="0E2A35"/>
        </w:rPr>
        <w:t>” means the last Trading Day of each Offering Period.</w:t>
      </w:r>
    </w:p>
    <w:p>
      <w:pPr>
        <w:spacing w:after="0" w:line="18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0E2A35"/>
        </w:rPr>
        <w:t>(r) “</w:t>
      </w:r>
      <w:r>
        <w:rPr>
          <w:rFonts w:ascii="Arial" w:cs="Arial" w:eastAsia="Arial" w:hAnsi="Arial"/>
          <w:sz w:val="16"/>
          <w:szCs w:val="16"/>
          <w:u w:val="single" w:color="auto"/>
          <w:color w:val="0E2A35"/>
        </w:rPr>
        <w:t>Purchase Price</w:t>
      </w:r>
      <w:r>
        <w:rPr>
          <w:rFonts w:ascii="Arial" w:cs="Arial" w:eastAsia="Arial" w:hAnsi="Arial"/>
          <w:sz w:val="16"/>
          <w:szCs w:val="16"/>
          <w:color w:val="0E2A35"/>
        </w:rPr>
        <w:t>” means, unless a different purchase price is established by the Committee for an Offering Period prior to the commencement of the applicable Offering Period, the Purchase Price of each share of Common Stock sold pursuant to this Plan will be 85% of the Fair Market Value of such share on the Offering Date. In no event will the Purchase Price be less than the lesser of (i) 85% of the Fair Market Value of such share of Common Stock on the Offering Commencement Date, or (ii) 85% of the Fair Market Value of such share of Common Stock on the Purchase Date. However, the Purchase Price may be adjusted by the Committee pursuant to Section 18 of this Plan.</w:t>
      </w:r>
    </w:p>
    <w:p>
      <w:pPr>
        <w:spacing w:after="0" w:line="150"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0E2A35"/>
        </w:rPr>
        <w:t>(s) “</w:t>
      </w:r>
      <w:r>
        <w:rPr>
          <w:rFonts w:ascii="Arial" w:cs="Arial" w:eastAsia="Arial" w:hAnsi="Arial"/>
          <w:sz w:val="16"/>
          <w:szCs w:val="16"/>
          <w:u w:val="single" w:color="auto"/>
          <w:color w:val="0E2A35"/>
        </w:rPr>
        <w:t>Recordkeeping Account</w:t>
      </w:r>
      <w:r>
        <w:rPr>
          <w:rFonts w:ascii="Arial" w:cs="Arial" w:eastAsia="Arial" w:hAnsi="Arial"/>
          <w:sz w:val="16"/>
          <w:szCs w:val="16"/>
          <w:color w:val="0E2A35"/>
        </w:rPr>
        <w:t xml:space="preserve"> ” means the account maintained in the books and records of the Company (or its agent) recording the amount contributed to the Plan by each Participant through payroll deductions.</w:t>
      </w:r>
    </w:p>
    <w:p>
      <w:pPr>
        <w:spacing w:after="0" w:line="14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0E2A35"/>
        </w:rPr>
        <w:t>(t) “</w:t>
      </w:r>
      <w:r>
        <w:rPr>
          <w:rFonts w:ascii="Arial" w:cs="Arial" w:eastAsia="Arial" w:hAnsi="Arial"/>
          <w:sz w:val="16"/>
          <w:szCs w:val="16"/>
          <w:u w:val="single" w:color="auto"/>
          <w:color w:val="0E2A35"/>
        </w:rPr>
        <w:t>Reserves</w:t>
      </w:r>
      <w:r>
        <w:rPr>
          <w:rFonts w:ascii="Arial" w:cs="Arial" w:eastAsia="Arial" w:hAnsi="Arial"/>
          <w:sz w:val="16"/>
          <w:szCs w:val="16"/>
          <w:color w:val="0E2A35"/>
        </w:rPr>
        <w:t>” means the number of shares of Common Stock covered by each Option under the Plan that have not yet been Exercised and the number of shares of Common Stock that have been authorized for issuance under the Plan, but not yet placed under Option.</w:t>
      </w:r>
    </w:p>
    <w:p>
      <w:pPr>
        <w:spacing w:after="0" w:line="142" w:lineRule="exact"/>
        <w:rPr>
          <w:sz w:val="20"/>
          <w:szCs w:val="20"/>
          <w:color w:val="auto"/>
        </w:rPr>
      </w:pPr>
    </w:p>
    <w:p>
      <w:pPr>
        <w:ind w:right="480"/>
        <w:spacing w:after="0" w:line="261" w:lineRule="auto"/>
        <w:rPr>
          <w:sz w:val="20"/>
          <w:szCs w:val="20"/>
          <w:color w:val="auto"/>
        </w:rPr>
      </w:pPr>
      <w:r>
        <w:rPr>
          <w:rFonts w:ascii="Arial" w:cs="Arial" w:eastAsia="Arial" w:hAnsi="Arial"/>
          <w:sz w:val="16"/>
          <w:szCs w:val="16"/>
          <w:color w:val="0E2A35"/>
        </w:rPr>
        <w:t>(u) “</w:t>
      </w:r>
      <w:r>
        <w:rPr>
          <w:rFonts w:ascii="Arial" w:cs="Arial" w:eastAsia="Arial" w:hAnsi="Arial"/>
          <w:sz w:val="16"/>
          <w:szCs w:val="16"/>
          <w:u w:val="single" w:color="auto"/>
          <w:color w:val="0E2A35"/>
        </w:rPr>
        <w:t>Subsidiary</w:t>
      </w:r>
      <w:r>
        <w:rPr>
          <w:rFonts w:ascii="Arial" w:cs="Arial" w:eastAsia="Arial" w:hAnsi="Arial"/>
          <w:sz w:val="16"/>
          <w:szCs w:val="16"/>
          <w:color w:val="0E2A35"/>
        </w:rPr>
        <w:t>” means a corporation, domestic or foreign, of which not less than 50% of the voting shares are held by the Company or another Subsidiary, whether or not such corporation now exists or is hereafter organized or acquired by the Company or a Subsidiary.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0E2A35"/>
        </w:rPr>
        <w:t>(v) “</w:t>
      </w:r>
      <w:r>
        <w:rPr>
          <w:rFonts w:ascii="Arial" w:cs="Arial" w:eastAsia="Arial" w:hAnsi="Arial"/>
          <w:sz w:val="16"/>
          <w:szCs w:val="16"/>
          <w:u w:val="single" w:color="auto"/>
          <w:color w:val="0E2A35"/>
        </w:rPr>
        <w:t>Trading Day</w:t>
      </w:r>
      <w:r>
        <w:rPr>
          <w:rFonts w:ascii="Arial" w:cs="Arial" w:eastAsia="Arial" w:hAnsi="Arial"/>
          <w:sz w:val="16"/>
          <w:szCs w:val="16"/>
          <w:color w:val="0E2A35"/>
        </w:rPr>
        <w:t>” means a day on which the NYSE is open for trading.</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0E2A35"/>
        </w:rPr>
        <w:t>3. </w:t>
      </w:r>
      <w:r>
        <w:rPr>
          <w:rFonts w:ascii="Arial" w:cs="Arial" w:eastAsia="Arial" w:hAnsi="Arial"/>
          <w:sz w:val="16"/>
          <w:szCs w:val="16"/>
          <w:b w:val="1"/>
          <w:bCs w:val="1"/>
          <w:u w:val="single" w:color="auto"/>
          <w:color w:val="0E2A35"/>
        </w:rPr>
        <w:t>Eligibility</w:t>
      </w:r>
      <w:r>
        <w:rPr>
          <w:rFonts w:ascii="Arial" w:cs="Arial" w:eastAsia="Arial" w:hAnsi="Arial"/>
          <w:sz w:val="16"/>
          <w:szCs w:val="16"/>
          <w:b w:val="1"/>
          <w:bCs w:val="1"/>
          <w:color w:val="0E2A35"/>
        </w:rPr>
        <w:t>.</w:t>
      </w:r>
    </w:p>
    <w:p>
      <w:pPr>
        <w:spacing w:after="0" w:line="189"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0E2A35"/>
        </w:rPr>
        <w:t>With respect to the purchase of shares under this Plan, any Employee employed by the Company or a Designated Subsidiary on a given Offering Commencement Date will be eligible to participate in the Plan, except:</w:t>
      </w:r>
    </w:p>
    <w:p>
      <w:pPr>
        <w:spacing w:after="0" w:line="130"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0E2A35"/>
        </w:rPr>
        <w:t>(a) Any Employee employed by the Company (or Designated Subsidiary) for less than three (3) months before the applicable Offering Commencement Date;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0E2A35"/>
        </w:rPr>
        <w:t>(b) Any Employee whose customary employment is less than 20 hours per week;</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0E2A35"/>
        </w:rPr>
        <w:t>(c) Any Employee whose customary employment is not more than five (5) months in any calendar year;</w:t>
      </w:r>
    </w:p>
    <w:p>
      <w:pPr>
        <w:spacing w:after="0" w:line="194"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0E2A35"/>
        </w:rPr>
        <w:t>(d) To the extent that, immediately after the grant, such Employee (including by attribution under Section 424(d) of the Code) would own capital stock of the Company and/or hold outstanding Options to purchase stock of the Company constituting in the aggregate five percent (5%) or more of the total combined voting power or value of all classes of the capital stock of the Company;</w:t>
      </w:r>
    </w:p>
    <w:p>
      <w:pPr>
        <w:spacing w:after="0" w:line="14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0E2A35"/>
        </w:rPr>
        <w:t>(e) To the extent that such Employee’s Option to purchase stock under this Plan and any other employee stock purchase plans (within the meaning of Section 423(b) of the Code), if any, of the Company and its Subsidiaries exceeds $25,000 worth of stock (determined at the Fair Market Value of the shares at the time the Option is granted) in the aggregate for each calendar year in which the Option is outstanding at any time; and</w:t>
      </w:r>
    </w:p>
    <w:p>
      <w:pPr>
        <w:spacing w:after="0" w:line="146" w:lineRule="exact"/>
        <w:rPr>
          <w:sz w:val="20"/>
          <w:szCs w:val="20"/>
          <w:color w:val="auto"/>
        </w:rPr>
      </w:pPr>
    </w:p>
    <w:p>
      <w:pPr>
        <w:jc w:val="both"/>
        <w:ind w:right="560"/>
        <w:spacing w:after="0" w:line="261" w:lineRule="auto"/>
        <w:rPr>
          <w:sz w:val="20"/>
          <w:szCs w:val="20"/>
          <w:color w:val="auto"/>
        </w:rPr>
      </w:pPr>
      <w:r>
        <w:rPr>
          <w:rFonts w:ascii="Arial" w:cs="Arial" w:eastAsia="Arial" w:hAnsi="Arial"/>
          <w:sz w:val="16"/>
          <w:szCs w:val="16"/>
          <w:color w:val="0E2A35"/>
        </w:rPr>
        <w:t>(f) To the extent that such Employee’s Option to purchase stock under this Plan is in excess of 10,000 shares in any one Offering Period (or such other maximum share limit, other than no share limit, as established by the Committee in its sole discretion, with respect to any Offering Period).</w:t>
      </w:r>
    </w:p>
    <w:p>
      <w:pPr>
        <w:spacing w:after="0" w:line="15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0E2A35"/>
        </w:rPr>
        <w:t>Notwithstanding the foregoing, with respect to any Offering Period, the Committee may provide for the inclusion of Employees described in one or more of (a) – (c) above, or may change the exclusions provided in one or more of (a) – (c) above in any manner allowable under Treasury Regulations section 1.423-2(e)(1) and (2). In addition, notwithstanding the foregoing, with respect to any Offering Period, the Committee may provide for the exclusion of certain employees within the limitations described in Treasury Regulations section 1.423-2(e)(3).</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0E2A35"/>
        </w:rPr>
        <w:t>4. </w:t>
      </w:r>
      <w:r>
        <w:rPr>
          <w:rFonts w:ascii="Arial" w:cs="Arial" w:eastAsia="Arial" w:hAnsi="Arial"/>
          <w:sz w:val="16"/>
          <w:szCs w:val="16"/>
          <w:b w:val="1"/>
          <w:bCs w:val="1"/>
          <w:u w:val="single" w:color="auto"/>
          <w:color w:val="0E2A35"/>
        </w:rPr>
        <w:t>Participation</w:t>
      </w:r>
      <w:r>
        <w:rPr>
          <w:rFonts w:ascii="Arial" w:cs="Arial" w:eastAsia="Arial" w:hAnsi="Arial"/>
          <w:sz w:val="16"/>
          <w:szCs w:val="16"/>
          <w:b w:val="1"/>
          <w:bCs w:val="1"/>
          <w:color w:val="0E2A35"/>
        </w:rPr>
        <w:t>.</w:t>
      </w:r>
    </w:p>
    <w:p>
      <w:pPr>
        <w:spacing w:after="0" w:line="189" w:lineRule="exact"/>
        <w:rPr>
          <w:sz w:val="20"/>
          <w:szCs w:val="20"/>
          <w:color w:val="auto"/>
        </w:rPr>
      </w:pPr>
    </w:p>
    <w:p>
      <w:pPr>
        <w:ind w:right="420"/>
        <w:spacing w:after="0" w:line="256" w:lineRule="auto"/>
        <w:rPr>
          <w:sz w:val="20"/>
          <w:szCs w:val="20"/>
          <w:color w:val="auto"/>
        </w:rPr>
      </w:pPr>
      <w:r>
        <w:rPr>
          <w:rFonts w:ascii="Arial" w:cs="Arial" w:eastAsia="Arial" w:hAnsi="Arial"/>
          <w:sz w:val="16"/>
          <w:szCs w:val="16"/>
          <w:color w:val="0E2A35"/>
        </w:rPr>
        <w:t>(a) An eligible Employee may become a Participant in the Plan by completing a subscription agreement authorizing payroll deductions in the form and process (which may be electronic) determined by the Committee before the applicable Offering Commencement Date, unless a later time for submission is set by the Committee for all eligible Employees with respect to a given Offering Period.</w:t>
      </w:r>
    </w:p>
    <w:p>
      <w:pPr>
        <w:spacing w:after="0" w:line="146"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0E2A35"/>
        </w:rPr>
        <w:t>(b) Payroll deductions for a Participant will commence on the first payroll date occurring on or after the applicable Offering Commencement Date and will end on the last payroll date occurring on or before the Purchase Date of the Offering Period to which such authorization is applicable, unless sooner terminated by the Participant as provided in Section 9 or pursuant to Section 10.</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E2A35"/>
        </w:rPr>
        <w:t>5. </w:t>
      </w:r>
      <w:r>
        <w:rPr>
          <w:rFonts w:ascii="Arial" w:cs="Arial" w:eastAsia="Arial" w:hAnsi="Arial"/>
          <w:sz w:val="16"/>
          <w:szCs w:val="16"/>
          <w:b w:val="1"/>
          <w:bCs w:val="1"/>
          <w:u w:val="single" w:color="auto"/>
          <w:color w:val="0E2A35"/>
        </w:rPr>
        <w:t>Payroll Deductions</w:t>
      </w:r>
      <w:r>
        <w:rPr>
          <w:rFonts w:ascii="Arial" w:cs="Arial" w:eastAsia="Arial" w:hAnsi="Arial"/>
          <w:sz w:val="16"/>
          <w:szCs w:val="16"/>
          <w:b w:val="1"/>
          <w:bCs w:val="1"/>
          <w:color w:val="0E2A35"/>
        </w:rPr>
        <w:t>.</w:t>
      </w:r>
    </w:p>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0E2A35"/>
        </w:rPr>
        <w:t>(a) At the time a Participant files a subscription agreement, the Participant will elect to have payroll deductions made on each pay day during the Offering Period in an amount equal to a fixed dollar amount, but not exceeding 15% (or such other maximum percentage as the Committee may establish from time to time prior to the commencement of an Offering Period), of the Compensation that the Participant receives on each pay day during the Offering Period.</w:t>
      </w:r>
    </w:p>
    <w:p>
      <w:pPr>
        <w:spacing w:after="0" w:line="14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0E2A35"/>
        </w:rPr>
        <w:t>(b) All payroll deductions made for a Participant will be credited to the Participant’s Recordkeeping Account under the Plan. A Participant may not make any additional payments into such account, except to the extent allowed under Section 5(f) below. A Participant’s account will be only a bookkeeping account maintained by the Company, and neither the Company nor any Subsidiary is obligated to segregate or hold in trust or escrow any funds in a Participant’s account. Except for amounts not expended because of the Plan rule that fractional shares will not be purchased, no amount of accumulated payroll deductions will be carried over with respect to any Participant from the end of one Offering Period to the beginning of another.</w:t>
      </w:r>
    </w:p>
    <w:p>
      <w:pPr>
        <w:spacing w:after="0" w:line="150"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0E2A35"/>
        </w:rPr>
        <w:t>(c) A Participant may discontinue participation in the Plan as provided in Section 9, but no other change can be made and, specifically, a Participant may not alter the rate of the Participant’s payroll deductions during an Offering Period. A Participant’s subscription agreement will remain in effect for successive Offering Periods unless terminated or modified as provided in Section 9.</w:t>
      </w:r>
    </w:p>
    <w:p>
      <w:pPr>
        <w:spacing w:after="0" w:line="160"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0E2A35"/>
        </w:rPr>
        <w:t>(d) Notwithstanding the foregoing, to the extent necessary to comply with the limitations of Section 423(b)(8) of the Code or Section 3 of this Plan, a Participant’s payroll deductions may be decreased to 0% at any time during an</w:t>
      </w:r>
    </w:p>
    <w:p>
      <w:pPr>
        <w:spacing w:after="0" w:line="26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0E2A35"/>
        </w:rPr>
        <w:t>Offering Period. In such event, payroll deductions will recommence at the rate provided in the Participant’s subscription agreement at the beginning of the first Offering Period scheduled to end in the following calendar year, unless terminated by the Participant as provided in Section 9.</w:t>
      </w:r>
    </w:p>
    <w:p>
      <w:pPr>
        <w:spacing w:after="0" w:line="264"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0E2A35"/>
        </w:rPr>
        <w:t>(e) At the time the Option is Exercised, in whole or in part, or at the time some or all of the Common Stock issued under the Plan is disposed of, the Participant must make adequate provision for federal, state, or other tax withholding obligations, if any, arising upon the Exercise of the Option or the disposition of the Common Stock. The Company may, but is not obligated to, withhold from the Participant’s other Compensation the amount necessary for the Company to meet applicable withholding obligations related to the Participant’s tax obligations, including any withholding required to make available to the Company any tax deductions or benefits attributable to sale or early disposition of Common Stock by the Employee.</w:t>
      </w:r>
    </w:p>
    <w:p>
      <w:pPr>
        <w:spacing w:after="0" w:line="150"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0E2A35"/>
        </w:rPr>
        <w:t>(f) If specifically provided by the Committee in connection with an Offering Period (including for purposes of complying with applicable local law), in addition to or instead of making contributions by payroll deduction, a Participant may make additional contributions to the Participant’s Recordkeeping Account through the payment of cash or check prior to a Purchase Date. A Participant may make such additional contributions into the Participant’s Recordkeeping Account only if the Participant has not already made the maximum permitted amount withheld during the Offering Period through payroll deductions, subject to the limitations set forth in Section 3(e). Any such additional contributions will be credited to the applicable Recordkeeping Accounts within a reasonable amount of time following receipt by the Company.</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0E2A35"/>
        </w:rPr>
        <w:t>6. </w:t>
      </w:r>
      <w:r>
        <w:rPr>
          <w:rFonts w:ascii="Arial" w:cs="Arial" w:eastAsia="Arial" w:hAnsi="Arial"/>
          <w:sz w:val="16"/>
          <w:szCs w:val="16"/>
          <w:b w:val="1"/>
          <w:bCs w:val="1"/>
          <w:u w:val="single" w:color="auto"/>
          <w:color w:val="0E2A35"/>
        </w:rPr>
        <w:t>Grant of Option</w:t>
      </w:r>
      <w:r>
        <w:rPr>
          <w:rFonts w:ascii="Arial" w:cs="Arial" w:eastAsia="Arial" w:hAnsi="Arial"/>
          <w:sz w:val="16"/>
          <w:szCs w:val="16"/>
          <w:b w:val="1"/>
          <w:bCs w:val="1"/>
          <w:color w:val="0E2A35"/>
        </w:rPr>
        <w:t>.</w:t>
      </w:r>
      <w:r>
        <w:rPr>
          <w:rFonts w:ascii="Arial" w:cs="Arial" w:eastAsia="Arial" w:hAnsi="Arial"/>
          <w:sz w:val="16"/>
          <w:szCs w:val="16"/>
          <w:color w:val="0E2A35"/>
        </w:rPr>
        <w:t xml:space="preserve"> Effective on the Offering Commencement Date of each Offering Period, each eligible Employee participating in such Offering Period will be granted an Option to purchase on the Purchase Date of such Offering Period, at the applicable Purchase Price, a number of full shares of Common Stock determined by dividing such Employee’s total payroll deductions actually made before such Purchase Date and retained in the Participant’s Recordkeeping Account as of the Purchase Date by the applicable Purchase Price without adjustment for changes in the Compensation of the Participant.</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6"/>
          <w:szCs w:val="16"/>
          <w:color w:val="0E2A35"/>
        </w:rPr>
        <w:t>7. </w:t>
      </w:r>
      <w:r>
        <w:rPr>
          <w:rFonts w:ascii="Arial" w:cs="Arial" w:eastAsia="Arial" w:hAnsi="Arial"/>
          <w:sz w:val="16"/>
          <w:szCs w:val="16"/>
          <w:b w:val="1"/>
          <w:bCs w:val="1"/>
          <w:u w:val="single" w:color="auto"/>
          <w:color w:val="0E2A35"/>
        </w:rPr>
        <w:t>Exercise of Option</w:t>
      </w:r>
      <w:r>
        <w:rPr>
          <w:rFonts w:ascii="Arial" w:cs="Arial" w:eastAsia="Arial" w:hAnsi="Arial"/>
          <w:sz w:val="16"/>
          <w:szCs w:val="16"/>
          <w:b w:val="1"/>
          <w:bCs w:val="1"/>
          <w:color w:val="0E2A35"/>
        </w:rPr>
        <w:t>.</w:t>
      </w:r>
      <w:r>
        <w:rPr>
          <w:rFonts w:ascii="Arial" w:cs="Arial" w:eastAsia="Arial" w:hAnsi="Arial"/>
          <w:sz w:val="16"/>
          <w:szCs w:val="16"/>
          <w:color w:val="0E2A35"/>
        </w:rPr>
        <w:t xml:space="preserve"> Unless a Participant terminates employment or otherwise withdraws from the Plan as provided in Section 9, or except to the extent that the limitation of Section 423(b)(8) of the Code would otherwise be violated, the Participant’s Option for the purchase of shares will be exercised automatically on the Purchase Date, and the maximum number of full shares subject to the Option will be purchased for such Participant at the applicable Purchase Price with the accumulated payroll deductions in the Participant’s Recordkeeping Account. No fractional shares will be purchased; any payroll deductions accumulated in a Participant’s Recordkeeping Account that are insufficient to purchase a full share will be retained in the Participant’s Recordkeeping Account for the subsequent Offering Period, subject to earlier termination of employment or withdrawal by the Participant as provided in Section 9. Any other funds left over in a Participant’s Recordkeeping Account after the Purchase Date will be returned to the Participant. During a Participant’s lifetime, a Participant’s Option to purchase shares under this Plan is exercisable only by the Participant.</w:t>
      </w:r>
    </w:p>
    <w:p>
      <w:pPr>
        <w:spacing w:after="0" w:line="149" w:lineRule="exact"/>
        <w:rPr>
          <w:sz w:val="20"/>
          <w:szCs w:val="20"/>
          <w:color w:val="auto"/>
        </w:rPr>
      </w:pPr>
    </w:p>
    <w:p>
      <w:pPr>
        <w:spacing w:after="0" w:line="256" w:lineRule="auto"/>
        <w:rPr>
          <w:sz w:val="20"/>
          <w:szCs w:val="20"/>
          <w:color w:val="auto"/>
        </w:rPr>
      </w:pPr>
      <w:r>
        <w:rPr>
          <w:rFonts w:ascii="Arial" w:cs="Arial" w:eastAsia="Arial" w:hAnsi="Arial"/>
          <w:sz w:val="16"/>
          <w:szCs w:val="16"/>
          <w:color w:val="0E2A35"/>
        </w:rPr>
        <w:t>8. </w:t>
      </w:r>
      <w:r>
        <w:rPr>
          <w:rFonts w:ascii="Arial" w:cs="Arial" w:eastAsia="Arial" w:hAnsi="Arial"/>
          <w:sz w:val="16"/>
          <w:szCs w:val="16"/>
          <w:b w:val="1"/>
          <w:bCs w:val="1"/>
          <w:u w:val="single" w:color="auto"/>
          <w:color w:val="0E2A35"/>
        </w:rPr>
        <w:t>Delivery</w:t>
      </w:r>
      <w:r>
        <w:rPr>
          <w:rFonts w:ascii="Arial" w:cs="Arial" w:eastAsia="Arial" w:hAnsi="Arial"/>
          <w:sz w:val="16"/>
          <w:szCs w:val="16"/>
          <w:b w:val="1"/>
          <w:bCs w:val="1"/>
          <w:color w:val="0E2A35"/>
        </w:rPr>
        <w:t>.</w:t>
      </w:r>
      <w:r>
        <w:rPr>
          <w:rFonts w:ascii="Arial" w:cs="Arial" w:eastAsia="Arial" w:hAnsi="Arial"/>
          <w:sz w:val="16"/>
          <w:szCs w:val="16"/>
          <w:color w:val="0E2A35"/>
        </w:rPr>
        <w:t xml:space="preserve"> As promptly as practicable after each Purchase Date on which a purchase of shares occurs, the Company will make a book entry for each Participant or the Participant’s broker, or to a broker designated by the Committee, evidencing the shares purchased upon Exercise of the Option. Shares may be registered in the name of the Participant or jointly in the name of the Participant and the Participant’s spouse as joint tenants with right of survivorship, or as community property, as the Participant may direct on an appropriate form filed with the Company (or its agent).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0E2A35"/>
        </w:rPr>
        <w:t>9. </w:t>
      </w:r>
      <w:r>
        <w:rPr>
          <w:rFonts w:ascii="Arial" w:cs="Arial" w:eastAsia="Arial" w:hAnsi="Arial"/>
          <w:sz w:val="16"/>
          <w:szCs w:val="16"/>
          <w:b w:val="1"/>
          <w:bCs w:val="1"/>
          <w:u w:val="single" w:color="auto"/>
          <w:color w:val="0E2A35"/>
        </w:rPr>
        <w:t>Withdrawal.</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0E2A35"/>
        </w:rPr>
        <w:t>(a) A Participant may at any time on or before 30 calendar days before the Purchase Date withdraw from the Plan by complying with the rules set by the Committee. If a Participant withdraws, the Company will pay to the Participant in cash all of the Participant’s payroll deductions credited to the Participant’s Recordkeeping Account promptly after receipt of notice of withdrawal, such Participant’s Option for the Offering Period will automatically be terminated, and no further payroll deductions for the purchase of shares will be made for such Offering Period. If a Participant withdraws from an Offering Period, payroll deductions will not resume at the beginning of the succeeding Offering Period or any subsequent Offering Period unless the Participant delivers to the Company (or its agent) a new subscription agreement.</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jc w:val="both"/>
        <w:ind w:right="260"/>
        <w:spacing w:after="0" w:line="276" w:lineRule="auto"/>
        <w:rPr>
          <w:sz w:val="20"/>
          <w:szCs w:val="20"/>
          <w:color w:val="auto"/>
        </w:rPr>
      </w:pPr>
      <w:r>
        <w:rPr>
          <w:rFonts w:ascii="Arial" w:cs="Arial" w:eastAsia="Arial" w:hAnsi="Arial"/>
          <w:sz w:val="16"/>
          <w:szCs w:val="16"/>
          <w:color w:val="0E2A35"/>
        </w:rPr>
        <w:t>(b) A Participant’s withdrawal from an Offering Period will not have any effect upon the Participant’s eligibility to participate in any succeeding Offering Period commencing after the termination of the Offering Period from which the Participant withdraws.</w:t>
      </w:r>
    </w:p>
    <w:p>
      <w:pPr>
        <w:spacing w:after="0" w:line="13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0E2A35"/>
        </w:rPr>
        <w:t>10. </w:t>
      </w:r>
      <w:r>
        <w:rPr>
          <w:rFonts w:ascii="Arial" w:cs="Arial" w:eastAsia="Arial" w:hAnsi="Arial"/>
          <w:sz w:val="16"/>
          <w:szCs w:val="16"/>
          <w:b w:val="1"/>
          <w:bCs w:val="1"/>
          <w:u w:val="single" w:color="auto"/>
          <w:color w:val="0E2A35"/>
        </w:rPr>
        <w:t>Termination of Employment</w:t>
      </w:r>
      <w:r>
        <w:rPr>
          <w:rFonts w:ascii="Arial" w:cs="Arial" w:eastAsia="Arial" w:hAnsi="Arial"/>
          <w:sz w:val="16"/>
          <w:szCs w:val="16"/>
          <w:b w:val="1"/>
          <w:bCs w:val="1"/>
          <w:color w:val="0E2A35"/>
        </w:rPr>
        <w:t>.</w:t>
      </w:r>
      <w:r>
        <w:rPr>
          <w:rFonts w:ascii="Arial" w:cs="Arial" w:eastAsia="Arial" w:hAnsi="Arial"/>
          <w:sz w:val="16"/>
          <w:szCs w:val="16"/>
          <w:color w:val="0E2A35"/>
        </w:rPr>
        <w:t xml:space="preserve"> If a Participant ceases to be an Employee for any reason at any time before the Purchase Date of an Offering Period, including but not limited to the sale of a Designated Subsidiary, the Participant will be deemed to have elected to withdraw from the Plan, and the payroll deductions credited to the Participant’s Recordkeeping Account during the Offering Period will be returned to the Participant or, in the case of the Participant’s death, to the person or persons entitled thereto under Section 14, and the Participant’s Option will be automatically terminated as of the date the Participant ceases to be an Employee.</w:t>
      </w:r>
    </w:p>
    <w:p>
      <w:pPr>
        <w:spacing w:after="0" w:line="141"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0E2A35"/>
        </w:rPr>
        <w:t>11. </w:t>
      </w:r>
      <w:r>
        <w:rPr>
          <w:rFonts w:ascii="Arial" w:cs="Arial" w:eastAsia="Arial" w:hAnsi="Arial"/>
          <w:sz w:val="16"/>
          <w:szCs w:val="16"/>
          <w:b w:val="1"/>
          <w:bCs w:val="1"/>
          <w:u w:val="single" w:color="auto"/>
          <w:color w:val="0E2A35"/>
        </w:rPr>
        <w:t>No Interest</w:t>
      </w:r>
      <w:r>
        <w:rPr>
          <w:rFonts w:ascii="Arial" w:cs="Arial" w:eastAsia="Arial" w:hAnsi="Arial"/>
          <w:sz w:val="16"/>
          <w:szCs w:val="16"/>
          <w:b w:val="1"/>
          <w:bCs w:val="1"/>
          <w:color w:val="0E2A35"/>
        </w:rPr>
        <w:t>.</w:t>
      </w:r>
      <w:r>
        <w:rPr>
          <w:rFonts w:ascii="Arial" w:cs="Arial" w:eastAsia="Arial" w:hAnsi="Arial"/>
          <w:sz w:val="16"/>
          <w:szCs w:val="16"/>
          <w:color w:val="0E2A35"/>
        </w:rPr>
        <w:t xml:space="preserve"> No interest will accrue or be payable on the payroll deductions credited to a Participant’s Recordkeeping Account in the Plan (unless required under local law).</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0E2A35"/>
        </w:rPr>
        <w:t>12. </w:t>
      </w:r>
      <w:r>
        <w:rPr>
          <w:rFonts w:ascii="Arial" w:cs="Arial" w:eastAsia="Arial" w:hAnsi="Arial"/>
          <w:sz w:val="16"/>
          <w:szCs w:val="16"/>
          <w:b w:val="1"/>
          <w:bCs w:val="1"/>
          <w:u w:val="single" w:color="auto"/>
          <w:color w:val="0E2A35"/>
        </w:rPr>
        <w:t>Stock</w:t>
      </w:r>
      <w:r>
        <w:rPr>
          <w:rFonts w:ascii="Arial" w:cs="Arial" w:eastAsia="Arial" w:hAnsi="Arial"/>
          <w:sz w:val="16"/>
          <w:szCs w:val="16"/>
          <w:b w:val="1"/>
          <w:bCs w:val="1"/>
          <w:color w:val="0E2A35"/>
        </w:rPr>
        <w:t>.</w:t>
      </w:r>
    </w:p>
    <w:p>
      <w:pPr>
        <w:spacing w:after="0" w:line="189" w:lineRule="exact"/>
        <w:rPr>
          <w:sz w:val="20"/>
          <w:szCs w:val="20"/>
          <w:color w:val="auto"/>
        </w:rPr>
      </w:pPr>
    </w:p>
    <w:p>
      <w:pPr>
        <w:ind w:right="520"/>
        <w:spacing w:after="0" w:line="276" w:lineRule="auto"/>
        <w:rPr>
          <w:sz w:val="20"/>
          <w:szCs w:val="20"/>
          <w:color w:val="auto"/>
        </w:rPr>
      </w:pPr>
      <w:r>
        <w:rPr>
          <w:rFonts w:ascii="Arial" w:cs="Arial" w:eastAsia="Arial" w:hAnsi="Arial"/>
          <w:sz w:val="16"/>
          <w:szCs w:val="16"/>
          <w:color w:val="0E2A35"/>
        </w:rPr>
        <w:t>(a) The shares of Common Stock to be sold to Participants under the Plan may, at the election of the Company, be either authorized but unissued shares or shares purchased by the Company on the open market.</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6"/>
          <w:szCs w:val="16"/>
          <w:color w:val="0E2A35"/>
        </w:rPr>
        <w:t>(b) As of the initial effective date of the Plan, 150,000 shares of Common Stock were reserved for the Exercise of Options under the Plan, as adjusted as provided in Section 18. Subject to adjustment upon changes in capitalization of the Company as provided in Section 18, as of the effective date of this amended Plan, an additional 400,000 shares of Common Stock will be available for the Exercise of Options under the Plan. Shares reserved for Options that are not Exercised will again be available for Options under the Plan. If on a given Purchase Date the number of shares with respect to which Options are to be Exercised exceeds the number of shares then available under the Plan, the Committee will make a pro rata allocation of the shares remaining available for purchase in as uniform a manner as is practicable and as it determines to be equitable.</w:t>
      </w:r>
    </w:p>
    <w:p>
      <w:pPr>
        <w:spacing w:after="0" w:line="152"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0E2A35"/>
        </w:rPr>
        <w:t>(c) The Participant will have no interest or voting rights in shares covered by an Option or in any dividends declared by the Company in respect of its outstanding Common Stock until such Option has been Exercised and the shares of Common Stock have been issued and delivered.</w:t>
      </w:r>
    </w:p>
    <w:p>
      <w:pPr>
        <w:spacing w:after="0" w:line="134" w:lineRule="exact"/>
        <w:rPr>
          <w:sz w:val="20"/>
          <w:szCs w:val="20"/>
          <w:color w:val="auto"/>
        </w:rPr>
      </w:pPr>
    </w:p>
    <w:p>
      <w:pPr>
        <w:ind w:right="600"/>
        <w:spacing w:after="0" w:line="266" w:lineRule="auto"/>
        <w:rPr>
          <w:sz w:val="20"/>
          <w:szCs w:val="20"/>
          <w:color w:val="auto"/>
        </w:rPr>
      </w:pPr>
      <w:r>
        <w:rPr>
          <w:rFonts w:ascii="Arial" w:cs="Arial" w:eastAsia="Arial" w:hAnsi="Arial"/>
          <w:sz w:val="16"/>
          <w:szCs w:val="16"/>
          <w:color w:val="0E2A35"/>
        </w:rPr>
        <w:t>13. </w:t>
      </w:r>
      <w:r>
        <w:rPr>
          <w:rFonts w:ascii="Arial" w:cs="Arial" w:eastAsia="Arial" w:hAnsi="Arial"/>
          <w:sz w:val="16"/>
          <w:szCs w:val="16"/>
          <w:b w:val="1"/>
          <w:bCs w:val="1"/>
          <w:u w:val="single" w:color="auto"/>
          <w:color w:val="0E2A35"/>
        </w:rPr>
        <w:t>Administration</w:t>
      </w:r>
      <w:r>
        <w:rPr>
          <w:rFonts w:ascii="Arial" w:cs="Arial" w:eastAsia="Arial" w:hAnsi="Arial"/>
          <w:sz w:val="16"/>
          <w:szCs w:val="16"/>
          <w:b w:val="1"/>
          <w:bCs w:val="1"/>
          <w:color w:val="0E2A35"/>
        </w:rPr>
        <w:t>.</w:t>
      </w:r>
      <w:r>
        <w:rPr>
          <w:rFonts w:ascii="Arial" w:cs="Arial" w:eastAsia="Arial" w:hAnsi="Arial"/>
          <w:sz w:val="16"/>
          <w:szCs w:val="16"/>
          <w:color w:val="0E2A35"/>
        </w:rPr>
        <w:t xml:space="preserve"> This Plan will be administered by the Committee. Subject to the express provisions of the Plan and applicable law, and in addition to other express powers and authorizations conferred on the Committee by the Plan, the Committee has full power and authority to:</w:t>
      </w:r>
    </w:p>
    <w:p>
      <w:pPr>
        <w:spacing w:after="0" w:line="15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0E2A35"/>
        </w:rPr>
        <w:t>(a) Determine when each Offering Period under this Plan occurs, and the terms and conditions of each related Offering Period (which need not be identical);</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0E2A35"/>
        </w:rPr>
        <w:t>(b) Designate from time to time which Subsidiaries of the Company are eligible to participate in the Plan;</w:t>
      </w:r>
    </w:p>
    <w:p>
      <w:pPr>
        <w:spacing w:after="0" w:line="18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0E2A35"/>
        </w:rPr>
        <w:t>(c) Construe and interpret the Plan and establish, amend and revoke rules, regulations and procedures for the administration of the Plan. The Committee may, in the exercise of this power, correct any defect, omission or inconsistency in the Plan, in such manner and to the extent it may deem necessary, desirable or appropriate to make the Plan fully effective;</w:t>
      </w:r>
    </w:p>
    <w:p>
      <w:pPr>
        <w:spacing w:after="0" w:line="15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0E2A35"/>
        </w:rPr>
        <w:t>(d) Exercise such powers and perform such acts as the Committee may deem necessary, desirable or appropriate to promote the best interests of the Company and its Designated Subsidiaries and to carry out the intent that each Offering Period under the Plan is treated as qualifying under Section 423(b) of the Code;</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0E2A35"/>
        </w:rPr>
        <w:t>(e) As more fully described in Section 24(f), to adopt such rules, procedures and sub-plans as may be necessary, desirable or appropriate to permit participation in the Plan by employees who are foreign nationals or employed outside the United States by a non-U.S. Designated Subsidiary, and to achieve tax, securities law and other compliance objectives in particular locations outside the United States; and</w:t>
      </w:r>
    </w:p>
    <w:p>
      <w:pPr>
        <w:spacing w:after="0" w:line="14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0E2A35"/>
        </w:rPr>
        <w:t>(f) Adopt and amend, as the Committee deems appropriate, a Plan rule specifying that shares of Common Stock purchased by a Participant during an Offering Period may not be sold by the Participant for a specified period of time after the Purchase Date on which the shares were purchased by the Participant, and establish such procedures as the Committee may deem necessary to implement such rule.</w:t>
      </w:r>
    </w:p>
    <w:p>
      <w:pPr>
        <w:spacing w:after="0" w:line="283"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0E2A35"/>
        </w:rPr>
        <w:t>Unless otherwise expressly provided in the Plan, all designations, determinations, interpretations, and other decisions under or with respect to the Plan will be within the sole discretion of the Committee, may be made at any time and will be final, conclusive, and binding upon all persons, including the Company, any Subsidiary, any Participant and any Employee.</w:t>
      </w:r>
    </w:p>
    <w:p>
      <w:pPr>
        <w:spacing w:after="0" w:line="156" w:lineRule="exact"/>
        <w:rPr>
          <w:sz w:val="20"/>
          <w:szCs w:val="20"/>
          <w:color w:val="auto"/>
        </w:rPr>
      </w:pPr>
    </w:p>
    <w:p>
      <w:pPr>
        <w:ind w:right="820"/>
        <w:spacing w:after="0" w:line="276" w:lineRule="auto"/>
        <w:rPr>
          <w:sz w:val="20"/>
          <w:szCs w:val="20"/>
          <w:color w:val="auto"/>
        </w:rPr>
      </w:pPr>
      <w:r>
        <w:rPr>
          <w:rFonts w:ascii="Arial" w:cs="Arial" w:eastAsia="Arial" w:hAnsi="Arial"/>
          <w:sz w:val="16"/>
          <w:szCs w:val="16"/>
          <w:color w:val="0E2A35"/>
        </w:rPr>
        <w:t>Subject to the terms of the Plan and applicable law, the Committee may delegate ministerial duties associated with the administration of the Plan to such of the Company’s officers, employees or agents as the Committee may determine.</w:t>
      </w:r>
    </w:p>
    <w:p>
      <w:pPr>
        <w:spacing w:after="0" w:line="13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0E2A35"/>
        </w:rPr>
        <w:t>No member of the Board or Committee will be liable for any action taken or determination made in good faith with respect to the Plan. In addition to such other rights of indemnification as they may have as members of the Board or officers or employees of the Company or a Designated Subsidiary, members of the Board and Committee and any officers or employees of the Company or Designated Subsidiary to whom authority to act for the Committee is delegated will be indemnified by the Company from and against any and all liabilities, costs and expenses incurred by such persons as a result of any act or omission to act in connection with the performance of such person’s duties, responsibilities and obligations under the Plan if such person has acted in good faith and in a manner that he or she reasonably believes to be in, or not opposed to, the best interests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0E2A35"/>
        </w:rPr>
        <w:t>14. </w:t>
      </w:r>
      <w:r>
        <w:rPr>
          <w:rFonts w:ascii="Arial" w:cs="Arial" w:eastAsia="Arial" w:hAnsi="Arial"/>
          <w:sz w:val="16"/>
          <w:szCs w:val="16"/>
          <w:b w:val="1"/>
          <w:bCs w:val="1"/>
          <w:u w:val="single" w:color="auto"/>
          <w:color w:val="0E2A35"/>
        </w:rPr>
        <w:t>Designation of Beneficiary</w:t>
      </w:r>
      <w:r>
        <w:rPr>
          <w:rFonts w:ascii="Arial" w:cs="Arial" w:eastAsia="Arial" w:hAnsi="Arial"/>
          <w:sz w:val="16"/>
          <w:szCs w:val="16"/>
          <w:b w:val="1"/>
          <w:bCs w:val="1"/>
          <w:color w:val="0E2A35"/>
        </w:rPr>
        <w:t>.</w:t>
      </w:r>
    </w:p>
    <w:p>
      <w:pPr>
        <w:spacing w:after="0" w:line="18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0E2A35"/>
        </w:rPr>
        <w:t>(a) A Participant may file a designation, including by electronic means, as determined by the Committee from time to time, of a beneficiary who is to receive: (i) any shares and any cash, if any, from the Participant’s Recordkeeping Account under the Plan in the event of the Participant’s death subsequent to a Purchase Date on which the Option is Exercised, but before delivery to the Participant of the shares of Common Stock and cash, or (ii) any cash from the Participant’s Recordkeeping Account under the Plan in the event of the Participant’s death before Exercise of the Option. If a Participant is married and the designated beneficiary is not the Participant’s spouse, spousal consent will be required for such designation to be effective on such forms as approved by the Committee. Such designation of beneficiary may be changed by the Participant at any time by written notice, including electronic as determined by the Committee, subject to the requirements in the preceding sentence. No beneficiary will, prior to the death of the Participant by whom the Participant has been designated, acquire any interest in any shares of Common Stock or in any Option or cash credited to the Participant’s account.</w:t>
      </w:r>
    </w:p>
    <w:p>
      <w:pPr>
        <w:spacing w:after="0" w:line="17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0E2A35"/>
        </w:rPr>
        <w:t>(b) In the event of a Participant’s death and in the absence of a beneficiary validly designated under the Plan who is living at the time of the Participant’s death, the Committee will deliver the shares of Common Stock and/or cash first to the Participant’s spouse, if any, and then to the executor or administrator of the estate of the Participant or, if to the best of the Committee’s knowledge no such executor or administrator has been appointed, the Committee, in its sole discretion, may deliver such shares and/or cash to any one or more dependents or relatives of the Participant, or if no spouse, dependent, or relative is known to the Committee, then to such other person as the Committee may designate. The Committee may require reasonable proof of the identity and existence at the Participant’s death of the beneficiary validly designated under this Section 14. The Committee will not be responsible for or be required to give effect to the disposition of any cash or shares of Common Stock in accordance with any will or other testamentary disposition made by the Participant or in accordance with the provision of any law concerning intestacy, or otherwise.</w:t>
      </w:r>
    </w:p>
    <w:p>
      <w:pPr>
        <w:spacing w:after="0" w:line="149"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0E2A35"/>
        </w:rPr>
        <w:t>15. </w:t>
      </w:r>
      <w:r>
        <w:rPr>
          <w:rFonts w:ascii="Arial" w:cs="Arial" w:eastAsia="Arial" w:hAnsi="Arial"/>
          <w:sz w:val="16"/>
          <w:szCs w:val="16"/>
          <w:b w:val="1"/>
          <w:bCs w:val="1"/>
          <w:u w:val="single" w:color="auto"/>
          <w:color w:val="0E2A35"/>
        </w:rPr>
        <w:t>Transferability</w:t>
      </w:r>
      <w:r>
        <w:rPr>
          <w:rFonts w:ascii="Arial" w:cs="Arial" w:eastAsia="Arial" w:hAnsi="Arial"/>
          <w:sz w:val="16"/>
          <w:szCs w:val="16"/>
          <w:b w:val="1"/>
          <w:bCs w:val="1"/>
          <w:color w:val="0E2A35"/>
        </w:rPr>
        <w:t>.</w:t>
      </w:r>
      <w:r>
        <w:rPr>
          <w:rFonts w:ascii="Arial" w:cs="Arial" w:eastAsia="Arial" w:hAnsi="Arial"/>
          <w:sz w:val="16"/>
          <w:szCs w:val="16"/>
          <w:color w:val="0E2A35"/>
        </w:rPr>
        <w:t xml:space="preserve"> Neither payroll deductions credited to a Participant’s Recordkeeping Account nor any rights with regard to the Exercise of an Option or to receive shares of Common Stock under the Plan may be assigned, transferred, pledged, or otherwise disposed of in any way (other than by will, the laws of descent and distribution, or as provided in Section 14) by the Participant. Any such attempt at assignment, transfer, pledge, or other disposition is void and without effect, except that the Committee may treat such act as an election to withdraw funds from an Offering Period in accordance with Section 9.</w:t>
      </w:r>
    </w:p>
    <w:p>
      <w:pPr>
        <w:spacing w:after="0" w:line="139" w:lineRule="exact"/>
        <w:rPr>
          <w:sz w:val="20"/>
          <w:szCs w:val="20"/>
          <w:color w:val="auto"/>
        </w:rPr>
      </w:pPr>
    </w:p>
    <w:p>
      <w:pPr>
        <w:spacing w:after="0" w:line="266" w:lineRule="auto"/>
        <w:rPr>
          <w:sz w:val="20"/>
          <w:szCs w:val="20"/>
          <w:color w:val="auto"/>
        </w:rPr>
      </w:pPr>
      <w:r>
        <w:rPr>
          <w:rFonts w:ascii="Arial" w:cs="Arial" w:eastAsia="Arial" w:hAnsi="Arial"/>
          <w:sz w:val="16"/>
          <w:szCs w:val="16"/>
          <w:color w:val="0E2A35"/>
        </w:rPr>
        <w:t>16. </w:t>
      </w:r>
      <w:r>
        <w:rPr>
          <w:rFonts w:ascii="Arial" w:cs="Arial" w:eastAsia="Arial" w:hAnsi="Arial"/>
          <w:sz w:val="16"/>
          <w:szCs w:val="16"/>
          <w:b w:val="1"/>
          <w:bCs w:val="1"/>
          <w:u w:val="single" w:color="auto"/>
          <w:color w:val="0E2A35"/>
        </w:rPr>
        <w:t>Use of Funds</w:t>
      </w:r>
      <w:r>
        <w:rPr>
          <w:rFonts w:ascii="Arial" w:cs="Arial" w:eastAsia="Arial" w:hAnsi="Arial"/>
          <w:sz w:val="16"/>
          <w:szCs w:val="16"/>
          <w:b w:val="1"/>
          <w:bCs w:val="1"/>
          <w:color w:val="0E2A35"/>
        </w:rPr>
        <w:t>.</w:t>
      </w:r>
      <w:r>
        <w:rPr>
          <w:rFonts w:ascii="Arial" w:cs="Arial" w:eastAsia="Arial" w:hAnsi="Arial"/>
          <w:sz w:val="16"/>
          <w:szCs w:val="16"/>
          <w:color w:val="0E2A35"/>
        </w:rPr>
        <w:t xml:space="preserve"> The Recordkeeping Accounts are established solely for accounting purposes, and all payroll deductions received or held by the Company in the Recordkeeping Accounts under the Plan will be general corporate funds and as such may be used by the Company for any corporate purpose, and the Company will not be obligated to segregate payroll deductions.</w:t>
      </w:r>
    </w:p>
    <w:p>
      <w:pPr>
        <w:spacing w:after="0" w:line="14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0E2A35"/>
        </w:rPr>
        <w:t>17. </w:t>
      </w:r>
      <w:r>
        <w:rPr>
          <w:rFonts w:ascii="Arial" w:cs="Arial" w:eastAsia="Arial" w:hAnsi="Arial"/>
          <w:sz w:val="16"/>
          <w:szCs w:val="16"/>
          <w:b w:val="1"/>
          <w:bCs w:val="1"/>
          <w:u w:val="single" w:color="auto"/>
          <w:color w:val="0E2A35"/>
        </w:rPr>
        <w:t>Reports</w:t>
      </w:r>
      <w:r>
        <w:rPr>
          <w:rFonts w:ascii="Arial" w:cs="Arial" w:eastAsia="Arial" w:hAnsi="Arial"/>
          <w:sz w:val="16"/>
          <w:szCs w:val="16"/>
          <w:b w:val="1"/>
          <w:bCs w:val="1"/>
          <w:color w:val="0E2A35"/>
        </w:rPr>
        <w:t>.</w:t>
      </w:r>
      <w:r>
        <w:rPr>
          <w:rFonts w:ascii="Arial" w:cs="Arial" w:eastAsia="Arial" w:hAnsi="Arial"/>
          <w:sz w:val="16"/>
          <w:szCs w:val="16"/>
          <w:color w:val="0E2A35"/>
        </w:rPr>
        <w:t xml:space="preserve"> Statements of account will be available to Participants on a periodic basis setting forth their payroll deductions, the Purchase Price, the number of shares purchased, and the remaining cash balance, if any.</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0E2A35"/>
        </w:rPr>
        <w:t>18. </w:t>
      </w:r>
      <w:r>
        <w:rPr>
          <w:rFonts w:ascii="Arial" w:cs="Arial" w:eastAsia="Arial" w:hAnsi="Arial"/>
          <w:sz w:val="16"/>
          <w:szCs w:val="16"/>
          <w:b w:val="1"/>
          <w:bCs w:val="1"/>
          <w:u w:val="single" w:color="auto"/>
          <w:color w:val="0E2A35"/>
        </w:rPr>
        <w:t>Adjustments Upon Changes in Capitalization, Dissolution, Liquidation, Merger, or Asset Sale</w:t>
      </w:r>
      <w:r>
        <w:rPr>
          <w:rFonts w:ascii="Arial" w:cs="Arial" w:eastAsia="Arial" w:hAnsi="Arial"/>
          <w:sz w:val="16"/>
          <w:szCs w:val="16"/>
          <w:b w:val="1"/>
          <w:bCs w:val="1"/>
          <w:color w:val="0E2A35"/>
        </w:rPr>
        <w:t>.</w:t>
      </w:r>
    </w:p>
    <w:p>
      <w:pPr>
        <w:spacing w:after="0" w:line="20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0E2A35"/>
        </w:rPr>
        <w:t>(a) Subject to any required action by the shareholders of the Company, the Reserves, the maximum number of shares each Participant may purchase per Offering Period, as well as the Purchase Price per share, the number of shares of Common Stock covered by each Option under the Plan which has not yet been Exercised will be adjusted for any increase or decrease in the number of issued shares of Common Stock resulting from a stock split, reverse stock split, stock dividend, consolidation, separation, reorganization or reclassification of the Common Stock, or any other increase or decrease in the number of shares of Common Stock effected without receipt of consideration by the Company; provided, however, that conversion of any convertible securities of the Company will not be deemed to have been “effected without receipt of consideration.” Such adjustment will be made by the Committee, in a manner that causes each Option to continue to qualify as an option issued pursuant to an “employee stock purchase plan” within the meaning of Section 423 and 424 of the Code. The determination of the Committee is final and binding on all parties.</w:t>
      </w:r>
    </w:p>
    <w:p>
      <w:pPr>
        <w:spacing w:after="0" w:line="15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0E2A35"/>
        </w:rPr>
        <w:t>(b) In the event of the proposed dissolution or liquidation of the Company, the Offering Period then in progress will be shortened by setting a new Purchase Date (the “New Purchase Date”), and will terminate immediately before the consummation of the proposed dissolution or liquidation, unless provided otherwise by the Committee. The New Purchase Date will be before the date of the Company’s proposed dissolution or liquidation. The Committee will notify each Participant in writing before the New Purchase Date that the Purchase Date for the Participant’s Option has been changed to the New Purchase Date and that the Participant’s Option will be Exercised automatically on the New Purchase Date, unless the Participant terminates employment or withdraws from the Offering Period as provided in Section 9 before the New Purchase Date.</w:t>
      </w:r>
    </w:p>
    <w:p>
      <w:pPr>
        <w:spacing w:after="0" w:line="15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0E2A35"/>
        </w:rPr>
        <w:t>(c) In the event of a sale of all or substantially all of the assets of the Company, or the merger of the Company with or into another corporation, or similar corporate transaction, each outstanding Option will be assumed, or an Option substituted, by the successor corporation or a Parent or Subsidiary of the successor corporation; provided that the terms of the Option remain substantially the same, the number of shares and the Purchase Price is proportionally adjusted such that the aggregate spread between the Purchase Price and Fair Market Value immediately after the transaction is not greater or less than the aggregate spread between the Purchase Price and Fair Market Value immediately prior to the transaction. If the successor corporation elects not to assume the Option or substitute equivalent Options, the Offering Period then in progress will be shortened by setting a New Purchase Date. The New Purchase Date will be before the date of the Company’s proposed sale or merger. The Committee will notify each Participant in writing before the New Purchase Date, that the Purchase Date for the Participant’s Option has been changed to the New Purchase Date and that the Participant’s Option will be Exercised automatically on the New Purchase Date, unless Participant terminates employment or withdraws from the Offering Period as provided in Section 9 before the New Purchase Date.</w:t>
      </w:r>
    </w:p>
    <w:p>
      <w:pPr>
        <w:spacing w:after="0" w:line="16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0E2A35"/>
        </w:rPr>
        <w:t>(d) Except as otherwise expressly provided in this Section 18: (i) no adjustment will be made for dividends (ordinary or extraordinary, whether in cash, securities or other property), distributions or other rights for which the record date is prior to the Common Stock actually issued, (ii) no Participant will have any right by reason of any subdivision or consolidation of shares of any class or the payment of any stock dividend or any other increase or decrease in the number of shares of any class or by reason of any dissolution, liquidation, merger, or consolidation or spin-off of assets or stock of another corporation, and (iii) any issue by the Company of shares of any class, or securities convertible into shares of any class, will not affect, and no adjustment for such reason will be made with respect to, the number or price of shares subject to the Option.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0E2A35"/>
        </w:rPr>
        <w:t>19. </w:t>
      </w:r>
      <w:r>
        <w:rPr>
          <w:rFonts w:ascii="Arial" w:cs="Arial" w:eastAsia="Arial" w:hAnsi="Arial"/>
          <w:sz w:val="16"/>
          <w:szCs w:val="16"/>
          <w:b w:val="1"/>
          <w:bCs w:val="1"/>
          <w:u w:val="single" w:color="auto"/>
          <w:color w:val="0E2A35"/>
        </w:rPr>
        <w:t>Amendment and Termination.</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6"/>
          <w:szCs w:val="16"/>
          <w:color w:val="0E2A35"/>
        </w:rPr>
        <w:t>(a) The Committee, in its sole discretion, may at any time and for any reason terminate, amend or suspend the Plan. Except as provided in Section 18, no termination, amendment or suspension can affect Options previously granted, provided that an Offering Period may be terminated by the Board on any Purchase Date if the Board determines that the termination of the Offering Period or the Plan is in the best interests of the Company and its shareholders. Except as provided in Section 18 and this Section 19, no amendment may make any change in any Option previously granted that adversely affects the rights of any Participant. To the extent necessary to comply with Section 423 of the Code (or any other applicable law, regulation, or NYSE rule), the Company will obtain shareholder approval in such manner and to such degree as required.</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0E2A35"/>
        </w:rPr>
        <w:t>(b) Without shareholder consent and without regard to whether any Participant’s rights may be considered to have been “adversely affected,” the Committee will be entitled to exercise its authority under the Plan, including but not limited to, changing the Offering Periods or the maximum amount of permitted payroll deductions; establishing the exchange ratio applicable to amounts withheld in a currency other than U.S. dollars; permitting payroll withholding in excess of the amount designated by a Participant in order to adjust for delays or mistakes in the Company’s processing of properly completed withholding elections; establishing reasonable waiting and adjustment periods and/or accounting and crediting procedures to ensure that amounts applied toward the purchase of Common Stock for each Participant properly correspond with amounts withheld from the Participant’s Compensation; and establishing such other limitations and procedures as the Committee determines in its sole discretion are advisable.</w:t>
      </w:r>
    </w:p>
    <w:p>
      <w:pPr>
        <w:spacing w:after="0" w:line="165"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0E2A35"/>
        </w:rPr>
        <w:t>(c) If the Committee determines that the ongoing operation of the Plan may result in unfavorable financial accounting consequences, the Committee may, in its sole discretion and, to the extent necessary or desirable, modify or amend the Plan to reduce or eliminate such accounting consequences including, but not limited to:</w:t>
      </w:r>
    </w:p>
    <w:p>
      <w:pPr>
        <w:spacing w:after="0" w:line="142" w:lineRule="exact"/>
        <w:rPr>
          <w:sz w:val="20"/>
          <w:szCs w:val="20"/>
          <w:color w:val="auto"/>
        </w:rPr>
      </w:pPr>
    </w:p>
    <w:p>
      <w:pPr>
        <w:ind w:right="480"/>
        <w:spacing w:after="0" w:line="276" w:lineRule="auto"/>
        <w:rPr>
          <w:sz w:val="20"/>
          <w:szCs w:val="20"/>
          <w:color w:val="auto"/>
        </w:rPr>
      </w:pPr>
      <w:r>
        <w:rPr>
          <w:rFonts w:ascii="Arial" w:cs="Arial" w:eastAsia="Arial" w:hAnsi="Arial"/>
          <w:sz w:val="16"/>
          <w:szCs w:val="16"/>
          <w:color w:val="0E2A35"/>
        </w:rPr>
        <w:t>(1) altering the Purchase Price for any Offering Period, including an Offering Period underway at the time of the change in Purchase Price; or</w:t>
      </w:r>
    </w:p>
    <w:p>
      <w:pPr>
        <w:spacing w:after="0" w:line="130" w:lineRule="exact"/>
        <w:rPr>
          <w:sz w:val="20"/>
          <w:szCs w:val="20"/>
          <w:color w:val="auto"/>
        </w:rPr>
      </w:pPr>
    </w:p>
    <w:p>
      <w:pPr>
        <w:ind w:right="500"/>
        <w:spacing w:after="0" w:line="276" w:lineRule="auto"/>
        <w:rPr>
          <w:sz w:val="20"/>
          <w:szCs w:val="20"/>
          <w:color w:val="auto"/>
        </w:rPr>
      </w:pPr>
      <w:r>
        <w:rPr>
          <w:rFonts w:ascii="Arial" w:cs="Arial" w:eastAsia="Arial" w:hAnsi="Arial"/>
          <w:sz w:val="16"/>
          <w:szCs w:val="16"/>
          <w:color w:val="0E2A35"/>
        </w:rPr>
        <w:t>(2) shortening any Offering Period so that the Offering Period ends on a new Purchase Date, including an Offering Period underway at the time of the Committee action.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0E2A35"/>
        </w:rPr>
        <w:t>Such modifications or amendments will not require shareholder approval or the consent of any Participants.</w:t>
      </w:r>
    </w:p>
    <w:p>
      <w:pPr>
        <w:spacing w:after="0" w:line="186"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0E2A35"/>
        </w:rPr>
        <w:t>20. </w:t>
      </w:r>
      <w:r>
        <w:rPr>
          <w:rFonts w:ascii="Arial" w:cs="Arial" w:eastAsia="Arial" w:hAnsi="Arial"/>
          <w:sz w:val="16"/>
          <w:szCs w:val="16"/>
          <w:b w:val="1"/>
          <w:bCs w:val="1"/>
          <w:u w:val="single" w:color="auto"/>
          <w:color w:val="0E2A35"/>
        </w:rPr>
        <w:t>Notices</w:t>
      </w:r>
      <w:r>
        <w:rPr>
          <w:rFonts w:ascii="Arial" w:cs="Arial" w:eastAsia="Arial" w:hAnsi="Arial"/>
          <w:sz w:val="16"/>
          <w:szCs w:val="16"/>
          <w:b w:val="1"/>
          <w:bCs w:val="1"/>
          <w:color w:val="0E2A35"/>
        </w:rPr>
        <w:t>.</w:t>
      </w:r>
      <w:r>
        <w:rPr>
          <w:rFonts w:ascii="Arial" w:cs="Arial" w:eastAsia="Arial" w:hAnsi="Arial"/>
          <w:sz w:val="16"/>
          <w:szCs w:val="16"/>
          <w:color w:val="0E2A35"/>
        </w:rPr>
        <w:t xml:space="preserve"> All notices or other communications by a Participant to the Company under or in connection with the Plan will be deemed to have been duly given when received in the form specified by the Company at the location, or by the person, designated by the Company for the receipt thereof.</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0E2A35"/>
        </w:rPr>
        <w:t>21. </w:t>
      </w:r>
      <w:r>
        <w:rPr>
          <w:rFonts w:ascii="Arial" w:cs="Arial" w:eastAsia="Arial" w:hAnsi="Arial"/>
          <w:sz w:val="16"/>
          <w:szCs w:val="16"/>
          <w:b w:val="1"/>
          <w:bCs w:val="1"/>
          <w:u w:val="single" w:color="auto"/>
          <w:color w:val="0E2A35"/>
        </w:rPr>
        <w:t>Conditions Upon Issuance of Shares</w:t>
      </w:r>
      <w:r>
        <w:rPr>
          <w:rFonts w:ascii="Arial" w:cs="Arial" w:eastAsia="Arial" w:hAnsi="Arial"/>
          <w:sz w:val="16"/>
          <w:szCs w:val="16"/>
          <w:b w:val="1"/>
          <w:bCs w:val="1"/>
          <w:color w:val="0E2A35"/>
        </w:rPr>
        <w:t>.</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6"/>
          <w:szCs w:val="16"/>
          <w:color w:val="0E2A35"/>
        </w:rPr>
        <w:t>(a) Shares will not be issued with respect to an Option unless the Exercise of such Option and the issuance and delivery of the shares will comply with all applicable provisions of law, domestic or foreign, including, without limitation, the Securities Act of 1933, as amended, the Securities Exchange Act of 1934, as amended, the rules and regulations promulgated thereunder, and the requirements of the NYSE, and will be further subject to the approval of counsel for the Company with respect to such compliance.</w:t>
      </w:r>
    </w:p>
    <w:p>
      <w:pPr>
        <w:spacing w:after="0" w:line="342"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0E2A35"/>
        </w:rPr>
        <w:t>(b) As a condition to the Exercise of an Option, the Company may require the person exercising such Option to represent and warrant at the time of the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5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0E2A35"/>
        </w:rPr>
        <w:t>22. </w:t>
      </w:r>
      <w:r>
        <w:rPr>
          <w:rFonts w:ascii="Arial" w:cs="Arial" w:eastAsia="Arial" w:hAnsi="Arial"/>
          <w:sz w:val="16"/>
          <w:szCs w:val="16"/>
          <w:b w:val="1"/>
          <w:bCs w:val="1"/>
          <w:u w:val="single" w:color="auto"/>
          <w:color w:val="0E2A35"/>
        </w:rPr>
        <w:t>Term of Plan</w:t>
      </w:r>
      <w:r>
        <w:rPr>
          <w:rFonts w:ascii="Arial" w:cs="Arial" w:eastAsia="Arial" w:hAnsi="Arial"/>
          <w:sz w:val="16"/>
          <w:szCs w:val="16"/>
          <w:color w:val="0E2A35"/>
        </w:rPr>
        <w:t>. This amended Plan will become effective on the date it is approved by the shareholders of the Company, which approval must be within 12 months after its adoption by the Board, and will apply to Offering Periods ending after the receipt of such shareholder approval. The Plan and all rights of Participants under the Plan will terminate (i) at any time, at the discretion of the Committee, or (ii) upon the completion of any Offering under which the limitation on the total number of shares of Common Stock to be issued during the entire term of the Plan, as determined in accordance with Section 3, has been reached. Except as otherwise determined by the Committee, upon termination of this Plan, the Company will pay to each Participant cash in an amount equal to the entire remaining balance in such Participant’s Recordkeeping Account.</w:t>
      </w:r>
    </w:p>
    <w:p>
      <w:pPr>
        <w:spacing w:after="0" w:line="141"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0E2A35"/>
        </w:rPr>
        <w:t>23. </w:t>
      </w:r>
      <w:r>
        <w:rPr>
          <w:rFonts w:ascii="Arial" w:cs="Arial" w:eastAsia="Arial" w:hAnsi="Arial"/>
          <w:sz w:val="16"/>
          <w:szCs w:val="16"/>
          <w:b w:val="1"/>
          <w:bCs w:val="1"/>
          <w:u w:val="single" w:color="auto"/>
          <w:color w:val="0E2A35"/>
        </w:rPr>
        <w:t>Additional Restrictions of Rule 16b-3.</w:t>
      </w:r>
      <w:r>
        <w:rPr>
          <w:rFonts w:ascii="Arial" w:cs="Arial" w:eastAsia="Arial" w:hAnsi="Arial"/>
          <w:sz w:val="16"/>
          <w:szCs w:val="16"/>
          <w:color w:val="0E2A35"/>
        </w:rPr>
        <w:t xml:space="preserve"> The terms and conditions of Options granted under the Plan to, and the purchase of shares by, persons subject to Section 16 of the Exchange Act will comply with the applicable provisions of Rule 16b-3. In the cases of any such persons, this Plan and Options issued to such persons will be deemed to contain, and the shares of Common Stock issued upon Exercise of the Options will be subject to, such additional conditions and restrictions as may be required by Rule 16b-3 to qualify for the maximum exemption from Section 16 of the Exchange Act with respect to Plan transactions on behalf of such persons.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193040</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46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0E2A35"/>
        </w:rPr>
        <w:t>24. </w:t>
      </w:r>
      <w:r>
        <w:rPr>
          <w:rFonts w:ascii="Arial" w:cs="Arial" w:eastAsia="Arial" w:hAnsi="Arial"/>
          <w:sz w:val="16"/>
          <w:szCs w:val="16"/>
          <w:b w:val="1"/>
          <w:bCs w:val="1"/>
          <w:u w:val="single" w:color="auto"/>
          <w:color w:val="0E2A35"/>
        </w:rPr>
        <w:t>Miscellaneous</w:t>
      </w:r>
      <w:r>
        <w:rPr>
          <w:rFonts w:ascii="Arial" w:cs="Arial" w:eastAsia="Arial" w:hAnsi="Arial"/>
          <w:sz w:val="16"/>
          <w:szCs w:val="16"/>
          <w:color w:val="0E2A35"/>
        </w:rPr>
        <w:t>.</w:t>
      </w:r>
    </w:p>
    <w:p>
      <w:pPr>
        <w:spacing w:after="0" w:line="20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0E2A35"/>
        </w:rPr>
        <w:t xml:space="preserve">(a) </w:t>
      </w:r>
      <w:r>
        <w:rPr>
          <w:rFonts w:ascii="Arial" w:cs="Arial" w:eastAsia="Arial" w:hAnsi="Arial"/>
          <w:sz w:val="16"/>
          <w:szCs w:val="16"/>
          <w:u w:val="single" w:color="auto"/>
          <w:color w:val="0E2A35"/>
        </w:rPr>
        <w:t>No Rights to Employment.</w:t>
      </w:r>
      <w:r>
        <w:rPr>
          <w:rFonts w:ascii="Arial" w:cs="Arial" w:eastAsia="Arial" w:hAnsi="Arial"/>
          <w:sz w:val="16"/>
          <w:szCs w:val="16"/>
          <w:color w:val="0E2A35"/>
        </w:rPr>
        <w:t xml:space="preserve"> The Plan will not, directly or indirectly, create any right for the benefit of any Employee or class of Employees to purchase any shares of Common Stock under the Plan, or create in any Employee or class of Employees any right with respect to continuation of employment by the Company, and it will not be deemed to interfere in any way with the Company’s right to terminate, or otherwise modify, an Employee’s employment at any time.</w:t>
      </w:r>
    </w:p>
    <w:p>
      <w:pPr>
        <w:spacing w:after="0" w:line="146" w:lineRule="exact"/>
        <w:rPr>
          <w:sz w:val="20"/>
          <w:szCs w:val="20"/>
          <w:color w:val="auto"/>
        </w:rPr>
      </w:pPr>
    </w:p>
    <w:p>
      <w:pPr>
        <w:ind w:right="560"/>
        <w:spacing w:after="0" w:line="276" w:lineRule="auto"/>
        <w:rPr>
          <w:sz w:val="20"/>
          <w:szCs w:val="20"/>
          <w:color w:val="auto"/>
        </w:rPr>
      </w:pPr>
      <w:r>
        <w:rPr>
          <w:rFonts w:ascii="Arial" w:cs="Arial" w:eastAsia="Arial" w:hAnsi="Arial"/>
          <w:sz w:val="16"/>
          <w:szCs w:val="16"/>
          <w:color w:val="0E2A35"/>
        </w:rPr>
        <w:t xml:space="preserve">(b) </w:t>
      </w:r>
      <w:r>
        <w:rPr>
          <w:rFonts w:ascii="Arial" w:cs="Arial" w:eastAsia="Arial" w:hAnsi="Arial"/>
          <w:sz w:val="16"/>
          <w:szCs w:val="16"/>
          <w:u w:val="single" w:color="auto"/>
          <w:color w:val="0E2A35"/>
        </w:rPr>
        <w:t>Governing Law.</w:t>
      </w:r>
      <w:r>
        <w:rPr>
          <w:rFonts w:ascii="Arial" w:cs="Arial" w:eastAsia="Arial" w:hAnsi="Arial"/>
          <w:sz w:val="16"/>
          <w:szCs w:val="16"/>
          <w:color w:val="0E2A35"/>
        </w:rPr>
        <w:t xml:space="preserve"> The law of the State of Minnesota will govern all matters relating to this Plan except to the extent it is superseded by the laws of the United States.</w:t>
      </w:r>
    </w:p>
    <w:p>
      <w:pPr>
        <w:spacing w:after="0" w:line="13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0E2A35"/>
        </w:rPr>
        <w:t xml:space="preserve">(c) </w:t>
      </w:r>
      <w:r>
        <w:rPr>
          <w:rFonts w:ascii="Arial" w:cs="Arial" w:eastAsia="Arial" w:hAnsi="Arial"/>
          <w:sz w:val="16"/>
          <w:szCs w:val="16"/>
          <w:u w:val="single" w:color="auto"/>
          <w:color w:val="0E2A35"/>
        </w:rPr>
        <w:t>Electronic Documentation and Signatures.</w:t>
      </w:r>
      <w:r>
        <w:rPr>
          <w:rFonts w:ascii="Arial" w:cs="Arial" w:eastAsia="Arial" w:hAnsi="Arial"/>
          <w:sz w:val="16"/>
          <w:szCs w:val="16"/>
          <w:color w:val="0E2A35"/>
        </w:rPr>
        <w:t xml:space="preserve"> Any reference in the Plan to election or enrollment forms, notices, authorizations or any other document to be provided in writing will include the provision of any such form, notice, authorization or document by electronic means, including through the Company’s intranet or with the Company’s agent, and any reference in the Plan to the signing of any document will include the authentication of any such document provided in electronic form, in each case in accordance with procedures established by the Committee.</w:t>
      </w:r>
    </w:p>
    <w:p>
      <w:pPr>
        <w:spacing w:after="0" w:line="16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0E2A35"/>
        </w:rPr>
        <w:t xml:space="preserve">(d) </w:t>
      </w:r>
      <w:r>
        <w:rPr>
          <w:rFonts w:ascii="Arial" w:cs="Arial" w:eastAsia="Arial" w:hAnsi="Arial"/>
          <w:sz w:val="16"/>
          <w:szCs w:val="16"/>
          <w:u w:val="single" w:color="auto"/>
          <w:color w:val="0E2A35"/>
        </w:rPr>
        <w:t>Section 409A of the Code</w:t>
      </w:r>
      <w:r>
        <w:rPr>
          <w:rFonts w:ascii="Arial" w:cs="Arial" w:eastAsia="Arial" w:hAnsi="Arial"/>
          <w:sz w:val="16"/>
          <w:szCs w:val="16"/>
          <w:color w:val="0E2A35"/>
        </w:rPr>
        <w:t>. The Plan is exempt from the application of Section 409A of the Code (“Section 409A”) and any ambiguities in the Plan will be interpreted to so be exempt from Section 409A. In furtherance of the foregoing and notwithstanding any provision in the Plan to the contrary, if the Committee determines that an Option granted under the Plan may be subject to Section 409A or that any provision in the Plan would cause an Option under the Plan to be subject to Section 409A, the Committee may amend the terms of the Plan and/or of an outstanding Option under the Plan, or take such other action as the Committee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actions by the Committee would not violate Section 409A. Notwithstanding the foregoing, the Company and the Committee will have no liability to a Participant or any other party if the Option to purchase shares under the Plan that is intended to be exempt from or compliant with Section 409A is not exempt or compliant or for any action taken by the Committee with respect thereto. The Company makes no representations that the Option to purchase shares under the Plan is compliant with Section 409A.</w:t>
      </w:r>
    </w:p>
    <w:p>
      <w:pPr>
        <w:spacing w:after="0" w:line="15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0E2A35"/>
        </w:rPr>
        <w:t xml:space="preserve">(e) </w:t>
      </w:r>
      <w:r>
        <w:rPr>
          <w:rFonts w:ascii="Arial" w:cs="Arial" w:eastAsia="Arial" w:hAnsi="Arial"/>
          <w:sz w:val="16"/>
          <w:szCs w:val="16"/>
          <w:u w:val="single" w:color="auto"/>
          <w:color w:val="0E2A35"/>
        </w:rPr>
        <w:t>Severability</w:t>
      </w:r>
      <w:r>
        <w:rPr>
          <w:rFonts w:ascii="Arial" w:cs="Arial" w:eastAsia="Arial" w:hAnsi="Arial"/>
          <w:sz w:val="16"/>
          <w:szCs w:val="16"/>
          <w:color w:val="0E2A35"/>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4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0E2A35"/>
        </w:rPr>
        <w:t xml:space="preserve">(f) </w:t>
      </w:r>
      <w:r>
        <w:rPr>
          <w:rFonts w:ascii="Arial" w:cs="Arial" w:eastAsia="Arial" w:hAnsi="Arial"/>
          <w:sz w:val="16"/>
          <w:szCs w:val="16"/>
          <w:u w:val="single" w:color="auto"/>
          <w:color w:val="0E2A35"/>
        </w:rPr>
        <w:t>Payments to Minors, Etc</w:t>
      </w:r>
      <w:r>
        <w:rPr>
          <w:rFonts w:ascii="Arial" w:cs="Arial" w:eastAsia="Arial" w:hAnsi="Arial"/>
          <w:sz w:val="16"/>
          <w:szCs w:val="16"/>
          <w:color w:val="0E2A35"/>
        </w:rPr>
        <w:t>. Any benefit payable to or for the benefit of a minor, an incompetent individual or other person incapable of receipt thereof will be deemed paid when paid to such individual’s guardian or to the party providing or reasonably appearing to provide for the care of such person, and such payment will fully discharge the Committee, the Board, the Company, its Subsidiaries and their employees, agents and representatives with respect thereto.</w:t>
      </w:r>
    </w:p>
    <w:p>
      <w:pPr>
        <w:spacing w:after="0" w:line="16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0E2A35"/>
        </w:rPr>
        <w:t xml:space="preserve">(g) </w:t>
      </w:r>
      <w:r>
        <w:rPr>
          <w:rFonts w:ascii="Arial" w:cs="Arial" w:eastAsia="Arial" w:hAnsi="Arial"/>
          <w:sz w:val="16"/>
          <w:szCs w:val="16"/>
          <w:u w:val="single" w:color="auto"/>
          <w:color w:val="0E2A35"/>
        </w:rPr>
        <w:t>Rules for Foreign Jurisdictions</w:t>
      </w:r>
      <w:r>
        <w:rPr>
          <w:rFonts w:ascii="Arial" w:cs="Arial" w:eastAsia="Arial" w:hAnsi="Arial"/>
          <w:sz w:val="16"/>
          <w:szCs w:val="16"/>
          <w:color w:val="0E2A35"/>
        </w:rPr>
        <w:t>. The Committee may adopt rules, procedures or subplans relating to the operation and administration of the Plan to accommodate the specific requirements of local laws and procedures. Without limiting the generality of the foregoing, the Committee is specifically authorized to adopt rules and procedures regarding handling of payroll deductions, payment of interest, conversion of local currency, payroll tax, the definition of Compensation, withholding procedures and handling of stock certificates that vary with local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0E2A35"/>
        </w:rPr>
        <w:t>Amended Plan Approved by Board of Directors: May 17, 2023</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0E2A35"/>
        </w:rPr>
        <w:t>Amended Plan Approved by Stockholders: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-6985</wp:posOffset>
            </wp:positionV>
            <wp:extent cx="10287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color w:val="0E2A35"/>
        </w:rPr>
        <w:t>Proxy Statement for 2023 Annual Meeting  </w:t>
      </w:r>
      <w:r>
        <w:rPr>
          <w:rFonts w:ascii="Arial" w:cs="Arial" w:eastAsia="Arial" w:hAnsi="Arial"/>
          <w:sz w:val="13"/>
          <w:szCs w:val="13"/>
          <w:b w:val="1"/>
          <w:bCs w:val="1"/>
          <w:color w:val="0E2A35"/>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201930</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1465580" cy="939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186690</wp:posOffset>
            </wp:positionV>
            <wp:extent cx="6926580" cy="89065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26580" cy="8906510"/>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0E2A35"/>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129540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495300</wp:posOffset>
            </wp:positionV>
            <wp:extent cx="6292215" cy="81438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3"/>
          <w:szCs w:val="2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131445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572135</wp:posOffset>
            </wp:positionV>
            <wp:extent cx="6292215" cy="81438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3"/>
          <w:szCs w:val="23"/>
          <w:color w:val="auto"/>
        </w:rPr>
        <w:t> </w:t>
      </w:r>
    </w:p>
    <w:sectPr>
      <w:pgSz w:w="11900" w:h="16838" w:orient="portrait"/>
      <w:cols w:equalWidth="0" w:num="1">
        <w:col w:w="10039"/>
      </w:cols>
      <w:pgMar w:left="42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lvl w:ilvl="1">
      <w:lvlJc w:val="left"/>
      <w:lvlText w:val="☐"/>
      <w:numFmt w:val="bullet"/>
      <w:start w:val="1"/>
    </w:lvl>
  </w:abstractNum>
  <w:abstractNum w:abstractNumId="1">
    <w:nsid w:val="2A487CB0"/>
    <w:multiLevelType w:val="hybridMultilevel"/>
    <w:lvl w:ilvl="0">
      <w:lvlJc w:val="left"/>
      <w:lvlText w:val="☒"/>
      <w:numFmt w:val="bullet"/>
      <w:start w:val="1"/>
    </w:lvl>
    <w:lvl w:ilvl="1">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decimal"/>
      <w:start w:val="5"/>
    </w:lvl>
  </w:abstractNum>
  <w:abstractNum w:abstractNumId="4">
    <w:nsid w:val="2CD89A32"/>
    <w:multiLevelType w:val="hybridMultilevel"/>
    <w:lvl w:ilvl="0">
      <w:lvlJc w:val="left"/>
      <w:lvlText w:val="%1."/>
      <w:numFmt w:val="decimal"/>
      <w:start w:val="3"/>
    </w:lvl>
  </w:abstractNum>
  <w:abstractNum w:abstractNumId="5">
    <w:nsid w:val="57E4CCAF"/>
    <w:multiLevelType w:val="hybridMultilevel"/>
    <w:lvl w:ilvl="0">
      <w:lvlJc w:val="left"/>
      <w:lvlText w:val="%1."/>
      <w:numFmt w:val="decimal"/>
      <w:start w:val="6"/>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decimal"/>
      <w:start w:val="1"/>
    </w:lvl>
  </w:abstractNum>
  <w:abstractNum w:abstractNumId="8">
    <w:nsid w:val="542289EC"/>
    <w:multiLevelType w:val="hybridMultilevel"/>
    <w:lvl w:ilvl="0">
      <w:lvlJc w:val="left"/>
      <w:lvlText w:val="C"/>
      <w:numFmt w:val="bullet"/>
      <w:start w:val="1"/>
    </w:lvl>
  </w:abstractNum>
  <w:abstractNum w:abstractNumId="9">
    <w:nsid w:val="6DE91B18"/>
    <w:multiLevelType w:val="hybridMultilevel"/>
    <w:lvl w:ilvl="0">
      <w:lvlJc w:val="left"/>
      <w:lvlText w:val="1"/>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1)"/>
      <w:numFmt w:val="decimal"/>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lowerRoman"/>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1)"/>
      <w:numFmt w:val="lowerRoman"/>
      <w:start w:val="3"/>
    </w:lvl>
  </w:abstractNum>
  <w:abstractNum w:abstractNumId="36">
    <w:nsid w:val="D34B6A8"/>
    <w:multiLevelType w:val="hybridMultilevel"/>
    <w:lvl w:ilvl="0">
      <w:lvlJc w:val="left"/>
      <w:lvlText w:val="(%1)"/>
      <w:numFmt w:val="decimal"/>
      <w:start w:val="1"/>
    </w:lvl>
  </w:abstractNum>
  <w:abstractNum w:abstractNumId="37">
    <w:nsid w:val="10233C99"/>
    <w:multiLevelType w:val="hybridMultilevel"/>
    <w:lvl w:ilvl="0">
      <w:lvlJc w:val="left"/>
      <w:lvlText w:val="(%1)"/>
      <w:numFmt w:val="decimal"/>
      <w:start w:val="4"/>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decimal"/>
      <w:start w:val="1"/>
    </w:lvl>
    <w:lvl w:ilvl="1">
      <w:lvlJc w:val="left"/>
      <w:lvlText w:val="(%2)"/>
      <w:numFmt w:val="lowerLetter"/>
      <w:start w:val="1"/>
    </w:lvl>
  </w:abstractNum>
  <w:abstractNum w:abstractNumId="42">
    <w:nsid w:val="579BE4F1"/>
    <w:multiLevelType w:val="hybridMultilevel"/>
    <w:lvl w:ilvl="0">
      <w:lvlJc w:val="left"/>
      <w:lvlText w:val="(%1)"/>
      <w:numFmt w:val="decimal"/>
      <w:start w:val="2"/>
    </w:lvl>
    <w:lvl w:ilvl="1">
      <w:lvlJc w:val="left"/>
      <w:lvlText w:val="%2"/>
      <w:numFmt w:val="lowerLetter"/>
      <w:start w:val="1"/>
    </w:lvl>
  </w:abstractNum>
  <w:abstractNum w:abstractNumId="43">
    <w:nsid w:val="310C50B3"/>
    <w:multiLevelType w:val="hybridMultilevel"/>
    <w:lvl w:ilvl="0">
      <w:lvlJc w:val="left"/>
      <w:lvlText w:val="(%1)"/>
      <w:numFmt w:val="decimal"/>
      <w:start w:val="4"/>
    </w:lvl>
  </w:abstractNum>
  <w:abstractNum w:abstractNumId="44">
    <w:nsid w:val="5FF87E05"/>
    <w:multiLevelType w:val="hybridMultilevel"/>
    <w:lvl w:ilvl="0">
      <w:lvlJc w:val="left"/>
      <w:lvlText w:val="%1"/>
      <w:numFmt w:val="decimal"/>
      <w:start w:val="1"/>
    </w:lvl>
    <w:lvl w:ilvl="1">
      <w:lvlJc w:val="left"/>
      <w:lvlText w:val="(%2)"/>
      <w:numFmt w:val="lowerLetter"/>
      <w:start w:val="1"/>
    </w:lvl>
  </w:abstractNum>
  <w:abstractNum w:abstractNumId="45">
    <w:nsid w:val="2F305DEF"/>
    <w:multiLevelType w:val="hybridMultilevel"/>
    <w:lvl w:ilvl="0">
      <w:lvlJc w:val="left"/>
      <w:lvlText w:val="(%1)"/>
      <w:numFmt w:val="decimal"/>
      <w:start w:val="5"/>
    </w:lvl>
    <w:lvl w:ilvl="1">
      <w:lvlJc w:val="left"/>
      <w:lvlText w:val="%2"/>
      <w:numFmt w:val="lowerLetter"/>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1)"/>
      <w:numFmt w:val="decimal"/>
      <w:start w:val="2"/>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decimal"/>
      <w:start w:val="2"/>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1)"/>
      <w:numFmt w:val="lowerRoman"/>
      <w:start w:val="1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1)"/>
      <w:numFmt w:val="lowerRoman"/>
      <w:start w:val="5"/>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1)"/>
      <w:numFmt w:val="decimal"/>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1)"/>
      <w:numFmt w:val="decimal"/>
      <w:start w:val="1"/>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decimal"/>
      <w:start w:val="1"/>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1)"/>
      <w:numFmt w:val="lowerRoman"/>
      <w:start w:val="2"/>
    </w:lvl>
  </w:abstractNum>
  <w:abstractNum w:abstractNumId="79">
    <w:nsid w:val="14330624"/>
    <w:multiLevelType w:val="hybridMultilevel"/>
    <w:lvl w:ilvl="0">
      <w:lvlJc w:val="left"/>
      <w:lvlText w:val="(%1)"/>
      <w:numFmt w:val="lowerRoman"/>
      <w:start w:val="8"/>
    </w:lvl>
  </w:abstractNum>
  <w:abstractNum w:abstractNumId="80">
    <w:nsid w:val="7FFFCA11"/>
    <w:multiLevelType w:val="hybridMultilevel"/>
    <w:lvl w:ilvl="0">
      <w:lvlJc w:val="left"/>
      <w:lvlText w:val="(%1)"/>
      <w:numFmt w:val="lowerRoman"/>
      <w:start w:val="1"/>
    </w:lvl>
  </w:abstractNum>
  <w:abstractNum w:abstractNumId="81">
    <w:nsid w:val="1A27709E"/>
    <w:multiLevelType w:val="hybridMultilevel"/>
    <w:lvl w:ilvl="0">
      <w:lvlJc w:val="left"/>
      <w:lvlText w:val="(%1)"/>
      <w:numFmt w:val="lowerRoman"/>
      <w:start w:val="3"/>
    </w:lvl>
  </w:abstractNum>
  <w:abstractNum w:abstractNumId="82">
    <w:nsid w:val="71EA1109"/>
    <w:multiLevelType w:val="hybridMultilevel"/>
    <w:lvl w:ilvl="0">
      <w:lvlJc w:val="left"/>
      <w:lvlText w:val="(%1)"/>
      <w:numFmt w:val="lowerRoman"/>
      <w:start w:val="5"/>
    </w:lvl>
  </w:abstractNum>
  <w:abstractNum w:abstractNumId="83">
    <w:nsid w:val="100F59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2023-11-03T05:33:26Z</dcterms:created>
  <dcterms:modified xsi:type="dcterms:W3CDTF">2023-11-03T05:33:26Z</dcterms:modified>
</cp:coreProperties>
</file>