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78"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10-Q</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rPr>
          <w:sz w:val="20"/>
          <w:szCs w:val="20"/>
          <w:color w:val="auto"/>
        </w:rPr>
      </w:pPr>
      <w:r>
        <w:rPr>
          <w:rFonts w:ascii="Courier New" w:cs="Courier New" w:eastAsia="Courier New" w:hAnsi="Courier New"/>
          <w:sz w:val="17"/>
          <w:szCs w:val="17"/>
          <w:color w:val="auto"/>
        </w:rPr>
        <w:t>___</w:t>
      </w:r>
    </w:p>
    <w:p>
      <w:pPr>
        <w:spacing w:after="0" w:line="6" w:lineRule="exact"/>
        <w:rPr>
          <w:sz w:val="24"/>
          <w:szCs w:val="24"/>
          <w:color w:val="auto"/>
        </w:rPr>
      </w:pPr>
    </w:p>
    <w:p>
      <w:pPr>
        <w:ind w:left="900" w:right="2699" w:hanging="901"/>
        <w:spacing w:after="0" w:line="236" w:lineRule="auto"/>
        <w:tabs>
          <w:tab w:leader="none" w:pos="880" w:val="left"/>
        </w:tabs>
        <w:rPr>
          <w:sz w:val="20"/>
          <w:szCs w:val="20"/>
          <w:color w:val="auto"/>
        </w:rPr>
      </w:pPr>
      <w:r>
        <w:rPr>
          <w:rFonts w:ascii="Courier New" w:cs="Courier New" w:eastAsia="Courier New" w:hAnsi="Courier New"/>
          <w:sz w:val="17"/>
          <w:szCs w:val="17"/>
          <w:color w:val="auto"/>
        </w:rPr>
        <w:t>_X_</w:t>
      </w:r>
      <w:r>
        <w:rPr>
          <w:sz w:val="20"/>
          <w:szCs w:val="20"/>
          <w:color w:val="auto"/>
        </w:rPr>
        <w:tab/>
      </w:r>
      <w:r>
        <w:rPr>
          <w:rFonts w:ascii="Courier New" w:cs="Courier New" w:eastAsia="Courier New" w:hAnsi="Courier New"/>
          <w:sz w:val="17"/>
          <w:szCs w:val="17"/>
          <w:color w:val="auto"/>
        </w:rPr>
        <w:t>QUARTERLY REPORT PURSUANT TO SECTION 13 OR 15(d) OF THE SECURITIES EXCHANGE ACT OF 1934</w:t>
      </w:r>
    </w:p>
    <w:p>
      <w:pPr>
        <w:sectPr>
          <w:pgSz w:w="11900" w:h="16838" w:orient="portrait"/>
          <w:cols w:equalWidth="0" w:num="1">
            <w:col w:w="10219"/>
          </w:cols>
          <w:pgMar w:left="240" w:top="239" w:right="1440" w:bottom="1027" w:gutter="0" w:footer="0" w:header="0"/>
        </w:sectPr>
      </w:pP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March 2, 2002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sectPr>
          <w:pgSz w:w="11900" w:h="16838" w:orient="portrait"/>
          <w:cols w:equalWidth="0" w:num="2">
            <w:col w:w="3000" w:space="100"/>
            <w:col w:w="7119"/>
          </w:cols>
          <w:pgMar w:left="240" w:top="239" w:right="1440" w:bottom="1027" w:gutter="0" w:footer="0" w:header="0"/>
          <w:type w:val="continuous"/>
        </w:sectPr>
      </w:pPr>
    </w:p>
    <w:p>
      <w:pPr>
        <w:ind w:left="3920"/>
        <w:spacing w:after="0"/>
        <w:rPr>
          <w:sz w:val="20"/>
          <w:szCs w:val="20"/>
          <w:color w:val="auto"/>
        </w:rPr>
      </w:pPr>
      <w:r>
        <w:rPr>
          <w:rFonts w:ascii="Courier New" w:cs="Courier New" w:eastAsia="Courier New" w:hAnsi="Courier New"/>
          <w:sz w:val="17"/>
          <w:szCs w:val="17"/>
          <w:color w:val="auto"/>
        </w:rPr>
        <w:t>OR</w:t>
      </w:r>
    </w:p>
    <w:p>
      <w:pPr>
        <w:spacing w:after="0"/>
        <w:rPr>
          <w:sz w:val="20"/>
          <w:szCs w:val="20"/>
          <w:color w:val="auto"/>
        </w:rPr>
      </w:pPr>
      <w:r>
        <w:rPr>
          <w:rFonts w:ascii="Courier New" w:cs="Courier New" w:eastAsia="Courier New" w:hAnsi="Courier New"/>
          <w:sz w:val="17"/>
          <w:szCs w:val="17"/>
          <w:color w:val="auto"/>
        </w:rPr>
        <w:t>___</w:t>
      </w:r>
    </w:p>
    <w:p>
      <w:pPr>
        <w:spacing w:after="0" w:line="6" w:lineRule="exact"/>
        <w:rPr>
          <w:sz w:val="24"/>
          <w:szCs w:val="24"/>
          <w:color w:val="auto"/>
        </w:rPr>
      </w:pPr>
    </w:p>
    <w:p>
      <w:pPr>
        <w:ind w:left="900" w:right="2599" w:hanging="899"/>
        <w:spacing w:after="0" w:line="236" w:lineRule="auto"/>
        <w:tabs>
          <w:tab w:leader="none" w:pos="880" w:val="left"/>
        </w:tabs>
        <w:rPr>
          <w:sz w:val="20"/>
          <w:szCs w:val="20"/>
          <w:color w:val="auto"/>
        </w:rPr>
      </w:pPr>
      <w:r>
        <w:rPr>
          <w:rFonts w:ascii="Courier New" w:cs="Courier New" w:eastAsia="Courier New" w:hAnsi="Courier New"/>
          <w:sz w:val="17"/>
          <w:szCs w:val="17"/>
          <w:color w:val="auto"/>
        </w:rPr>
        <w:t>___</w:t>
      </w:r>
      <w:r>
        <w:rPr>
          <w:sz w:val="20"/>
          <w:szCs w:val="20"/>
          <w:color w:val="auto"/>
        </w:rPr>
        <w:tab/>
      </w:r>
      <w:r>
        <w:rPr>
          <w:rFonts w:ascii="Courier New" w:cs="Courier New" w:eastAsia="Courier New" w:hAnsi="Courier New"/>
          <w:sz w:val="17"/>
          <w:szCs w:val="17"/>
          <w:color w:val="auto"/>
        </w:rPr>
        <w:t>TRANSITION REPORT PURSUANT TO SECTION 13 OR 15(d) OF THE SECURITIES EXCHANGE ACT OF 1934</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 to _______________________</w:t>
      </w:r>
    </w:p>
    <w:p>
      <w:pPr>
        <w:spacing w:after="0" w:line="199" w:lineRule="exact"/>
        <w:rPr>
          <w:sz w:val="24"/>
          <w:szCs w:val="24"/>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Commission file number</w:t>
      </w:r>
      <w:r>
        <w:rPr>
          <w:sz w:val="20"/>
          <w:szCs w:val="20"/>
          <w:color w:val="auto"/>
        </w:rPr>
        <w:tab/>
      </w:r>
      <w:r>
        <w:rPr>
          <w:rFonts w:ascii="Courier New" w:cs="Courier New" w:eastAsia="Courier New" w:hAnsi="Courier New"/>
          <w:sz w:val="16"/>
          <w:szCs w:val="16"/>
          <w:color w:val="auto"/>
        </w:rPr>
        <w:t>1-6403</w:t>
      </w:r>
    </w:p>
    <w:p>
      <w:pPr>
        <w:ind w:left="24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WINNEBAGO INDUSTRIES, INC.</w:t>
      </w:r>
    </w:p>
    <w:p>
      <w:pPr>
        <w:spacing w:after="0" w:line="193"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ind w:left="1000"/>
              <w:spacing w:after="0"/>
              <w:rPr>
                <w:sz w:val="20"/>
                <w:szCs w:val="20"/>
                <w:color w:val="auto"/>
              </w:rPr>
            </w:pPr>
            <w:r>
              <w:rPr>
                <w:rFonts w:ascii="Courier New" w:cs="Courier New" w:eastAsia="Courier New" w:hAnsi="Courier New"/>
                <w:sz w:val="17"/>
                <w:szCs w:val="17"/>
                <w:color w:val="auto"/>
              </w:rPr>
              <w:t>IOWA</w:t>
            </w:r>
          </w:p>
        </w:tc>
        <w:tc>
          <w:tcPr>
            <w:tcW w:w="2860" w:type="dxa"/>
            <w:vAlign w:val="bottom"/>
          </w:tcPr>
          <w:p>
            <w:pPr>
              <w:ind w:left="1460"/>
              <w:spacing w:after="0"/>
              <w:rPr>
                <w:sz w:val="20"/>
                <w:szCs w:val="20"/>
                <w:color w:val="auto"/>
              </w:rPr>
            </w:pPr>
            <w:r>
              <w:rPr>
                <w:rFonts w:ascii="Courier New" w:cs="Courier New" w:eastAsia="Courier New" w:hAnsi="Courier New"/>
                <w:sz w:val="17"/>
                <w:szCs w:val="17"/>
                <w:color w:val="auto"/>
              </w:rPr>
              <w:t>42-0803978</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2860" w:type="dxa"/>
            <w:vAlign w:val="bottom"/>
          </w:tcPr>
          <w:p>
            <w:pPr>
              <w:ind w:left="960"/>
              <w:spacing w:after="0"/>
              <w:rPr>
                <w:sz w:val="20"/>
                <w:szCs w:val="20"/>
                <w:color w:val="auto"/>
              </w:rPr>
            </w:pPr>
            <w:r>
              <w:rPr>
                <w:rFonts w:ascii="Courier New" w:cs="Courier New" w:eastAsia="Courier New" w:hAnsi="Courier New"/>
                <w:sz w:val="17"/>
                <w:szCs w:val="17"/>
                <w:color w:val="auto"/>
              </w:rPr>
              <w:t>(I.R.S. Employer</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2860" w:type="dxa"/>
            <w:vAlign w:val="bottom"/>
          </w:tcPr>
          <w:p>
            <w:pPr>
              <w:ind w:left="960"/>
              <w:spacing w:after="0"/>
              <w:rPr>
                <w:sz w:val="20"/>
                <w:szCs w:val="20"/>
                <w:color w:val="auto"/>
              </w:rPr>
            </w:pPr>
            <w:r>
              <w:rPr>
                <w:rFonts w:ascii="Courier New" w:cs="Courier New" w:eastAsia="Courier New" w:hAnsi="Courier New"/>
                <w:sz w:val="17"/>
                <w:szCs w:val="17"/>
                <w:color w:val="auto"/>
                <w:w w:val="96"/>
              </w:rPr>
              <w:t>Identification No.)</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P. O. Box 152, Forest City, Iowa</w:t>
            </w:r>
          </w:p>
        </w:tc>
        <w:tc>
          <w:tcPr>
            <w:tcW w:w="2860" w:type="dxa"/>
            <w:vAlign w:val="bottom"/>
          </w:tcPr>
          <w:p>
            <w:pPr>
              <w:ind w:left="1460"/>
              <w:spacing w:after="0"/>
              <w:rPr>
                <w:sz w:val="20"/>
                <w:szCs w:val="20"/>
                <w:color w:val="auto"/>
              </w:rPr>
            </w:pPr>
            <w:r>
              <w:rPr>
                <w:rFonts w:ascii="Courier New" w:cs="Courier New" w:eastAsia="Courier New" w:hAnsi="Courier New"/>
                <w:sz w:val="17"/>
                <w:szCs w:val="17"/>
                <w:color w:val="auto"/>
              </w:rPr>
              <w:t>50436</w:t>
            </w:r>
          </w:p>
        </w:tc>
      </w:tr>
      <w:tr>
        <w:trPr>
          <w:trHeight w:val="193"/>
        </w:trPr>
        <w:tc>
          <w:tcPr>
            <w:tcW w:w="4960" w:type="dxa"/>
            <w:vAlign w:val="bottom"/>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2860" w:type="dxa"/>
            <w:vAlign w:val="bottom"/>
          </w:tcPr>
          <w:p>
            <w:pPr>
              <w:ind w:left="1260"/>
              <w:spacing w:after="0"/>
              <w:rPr>
                <w:sz w:val="20"/>
                <w:szCs w:val="20"/>
                <w:color w:val="auto"/>
              </w:rPr>
            </w:pPr>
            <w:r>
              <w:rPr>
                <w:rFonts w:ascii="Courier New" w:cs="Courier New" w:eastAsia="Courier New" w:hAnsi="Courier New"/>
                <w:sz w:val="17"/>
                <w:szCs w:val="17"/>
                <w:color w:val="auto"/>
              </w:rPr>
              <w:t>(Zip Code)</w:t>
            </w:r>
          </w:p>
        </w:tc>
      </w:tr>
    </w:tbl>
    <w:p>
      <w:pPr>
        <w:spacing w:after="0" w:line="193" w:lineRule="exact"/>
        <w:rPr>
          <w:sz w:val="24"/>
          <w:szCs w:val="24"/>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(641) 585-3535</w:t>
      </w:r>
    </w:p>
    <w:p>
      <w:pPr>
        <w:spacing w:after="0" w:line="198"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2"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There were 18,764,093 shares of $.50 par value common stock outstanding on April 11,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6020" w:type="dxa"/>
            <w:vAlign w:val="bottom"/>
          </w:tcPr>
          <w:p>
            <w:pPr>
              <w:ind w:left="1000"/>
              <w:spacing w:after="0"/>
              <w:rPr>
                <w:sz w:val="20"/>
                <w:szCs w:val="20"/>
                <w:color w:val="auto"/>
              </w:rPr>
            </w:pPr>
            <w:r>
              <w:rPr>
                <w:rFonts w:ascii="Courier New" w:cs="Courier New" w:eastAsia="Courier New" w:hAnsi="Courier New"/>
                <w:sz w:val="17"/>
                <w:szCs w:val="17"/>
                <w:color w:val="auto"/>
              </w:rPr>
              <w:t>WINNEBAGO INDUSTRIES, INC. AND SUBSIDIARIES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85"/>
        </w:trPr>
        <w:tc>
          <w:tcPr>
            <w:tcW w:w="900" w:type="dxa"/>
            <w:vAlign w:val="bottom"/>
          </w:tcPr>
          <w:p>
            <w:pPr>
              <w:spacing w:after="0"/>
              <w:rPr>
                <w:sz w:val="24"/>
                <w:szCs w:val="24"/>
                <w:color w:val="auto"/>
              </w:rPr>
            </w:pPr>
          </w:p>
        </w:tc>
        <w:tc>
          <w:tcPr>
            <w:tcW w:w="6020" w:type="dxa"/>
            <w:vAlign w:val="bottom"/>
          </w:tcPr>
          <w:p>
            <w:pPr>
              <w:ind w:left="1700"/>
              <w:spacing w:after="0"/>
              <w:rPr>
                <w:sz w:val="20"/>
                <w:szCs w:val="20"/>
                <w:color w:val="auto"/>
              </w:rPr>
            </w:pPr>
            <w:r>
              <w:rPr>
                <w:rFonts w:ascii="Courier New" w:cs="Courier New" w:eastAsia="Courier New" w:hAnsi="Courier New"/>
                <w:sz w:val="17"/>
                <w:szCs w:val="17"/>
                <w:color w:val="auto"/>
              </w:rPr>
              <w:t>INDEX TO REPORT ON FORM 10-Q</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78"/>
        </w:trPr>
        <w:tc>
          <w:tcPr>
            <w:tcW w:w="9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Courier New" w:cs="Courier New" w:eastAsia="Courier New" w:hAnsi="Courier New"/>
                <w:sz w:val="17"/>
                <w:szCs w:val="17"/>
                <w:color w:val="auto"/>
                <w:w w:val="96"/>
              </w:rPr>
              <w:t>Page Number</w:t>
            </w:r>
          </w:p>
        </w:tc>
      </w:tr>
      <w:tr>
        <w:trPr>
          <w:trHeight w:val="193"/>
        </w:trPr>
        <w:tc>
          <w:tcPr>
            <w:tcW w:w="9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85"/>
        </w:trPr>
        <w:tc>
          <w:tcPr>
            <w:tcW w:w="90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Consolidated Balance Sheets (Interim period information</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3"/>
        </w:trPr>
        <w:tc>
          <w:tcPr>
            <w:tcW w:w="900" w:type="dxa"/>
            <w:vAlign w:val="bottom"/>
          </w:tcPr>
          <w:p>
            <w:pPr>
              <w:spacing w:after="0"/>
              <w:rPr>
                <w:sz w:val="16"/>
                <w:szCs w:val="16"/>
                <w:color w:val="auto"/>
              </w:rPr>
            </w:pPr>
          </w:p>
        </w:tc>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&amp;</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2</w:t>
            </w:r>
          </w:p>
        </w:tc>
      </w:tr>
      <w:tr>
        <w:trPr>
          <w:trHeight w:val="385"/>
        </w:trPr>
        <w:tc>
          <w:tcPr>
            <w:tcW w:w="90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Unaudited Consolidated Statements of Income</w:t>
            </w:r>
          </w:p>
        </w:tc>
        <w:tc>
          <w:tcPr>
            <w:tcW w:w="4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24"/>
                <w:szCs w:val="24"/>
                <w:color w:val="auto"/>
              </w:rPr>
            </w:pPr>
          </w:p>
        </w:tc>
      </w:tr>
      <w:tr>
        <w:trPr>
          <w:trHeight w:val="385"/>
        </w:trPr>
        <w:tc>
          <w:tcPr>
            <w:tcW w:w="90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Unaudited Consolidated Condensed Statements of Cash Flows</w:t>
            </w:r>
          </w:p>
        </w:tc>
        <w:tc>
          <w:tcPr>
            <w:tcW w:w="4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460" w:type="dxa"/>
            <w:vAlign w:val="bottom"/>
          </w:tcPr>
          <w:p>
            <w:pPr>
              <w:spacing w:after="0"/>
              <w:rPr>
                <w:sz w:val="24"/>
                <w:szCs w:val="24"/>
                <w:color w:val="auto"/>
              </w:rPr>
            </w:pPr>
          </w:p>
        </w:tc>
      </w:tr>
      <w:tr>
        <w:trPr>
          <w:trHeight w:val="385"/>
        </w:trPr>
        <w:tc>
          <w:tcPr>
            <w:tcW w:w="90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Unaudited Condensed Notes to Consolidated Financial</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3"/>
        </w:trPr>
        <w:tc>
          <w:tcPr>
            <w:tcW w:w="900" w:type="dxa"/>
            <w:vAlign w:val="bottom"/>
          </w:tcPr>
          <w:p>
            <w:pPr>
              <w:spacing w:after="0"/>
              <w:rPr>
                <w:sz w:val="16"/>
                <w:szCs w:val="16"/>
                <w:color w:val="auto"/>
              </w:rPr>
            </w:pPr>
          </w:p>
        </w:tc>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Statements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8</w:t>
            </w:r>
          </w:p>
        </w:tc>
      </w:tr>
      <w:tr>
        <w:trPr>
          <w:trHeight w:val="385"/>
        </w:trPr>
        <w:tc>
          <w:tcPr>
            <w:tcW w:w="90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w w:val="98"/>
              </w:rPr>
              <w:t>Management's Discussion and Analysis of Financial Condition</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3"/>
        </w:trPr>
        <w:tc>
          <w:tcPr>
            <w:tcW w:w="900" w:type="dxa"/>
            <w:vAlign w:val="bottom"/>
          </w:tcPr>
          <w:p>
            <w:pPr>
              <w:spacing w:after="0"/>
              <w:rPr>
                <w:sz w:val="16"/>
                <w:szCs w:val="16"/>
                <w:color w:val="auto"/>
              </w:rPr>
            </w:pPr>
          </w:p>
        </w:tc>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and Results of Operations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12</w:t>
            </w:r>
          </w:p>
        </w:tc>
      </w:tr>
      <w:tr>
        <w:trPr>
          <w:trHeight w:val="385"/>
        </w:trPr>
        <w:tc>
          <w:tcPr>
            <w:tcW w:w="90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Independent Accountants' Report</w:t>
            </w:r>
          </w:p>
        </w:tc>
        <w:tc>
          <w:tcPr>
            <w:tcW w:w="4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w w:val="87"/>
              </w:rPr>
              <w:t>13</w:t>
            </w:r>
          </w:p>
        </w:tc>
        <w:tc>
          <w:tcPr>
            <w:tcW w:w="460" w:type="dxa"/>
            <w:vAlign w:val="bottom"/>
          </w:tcPr>
          <w:p>
            <w:pPr>
              <w:spacing w:after="0"/>
              <w:rPr>
                <w:sz w:val="24"/>
                <w:szCs w:val="24"/>
                <w:color w:val="auto"/>
              </w:rPr>
            </w:pPr>
          </w:p>
        </w:tc>
      </w:tr>
      <w:tr>
        <w:trPr>
          <w:trHeight w:val="385"/>
        </w:trPr>
        <w:tc>
          <w:tcPr>
            <w:tcW w:w="90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16</w:t>
            </w:r>
          </w:p>
        </w:tc>
      </w:tr>
    </w:tbl>
    <w:p>
      <w:pPr>
        <w:sectPr>
          <w:pgSz w:w="11900" w:h="16838" w:orient="portrait"/>
          <w:cols w:equalWidth="0" w:num="1">
            <w:col w:w="10219"/>
          </w:cols>
          <w:pgMar w:left="240" w:top="239" w:right="1440" w:bottom="102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Part I Financial Information</w:t>
      </w:r>
    </w:p>
    <w:p>
      <w:pPr>
        <w:spacing w:after="0"/>
        <w:rPr>
          <w:sz w:val="20"/>
          <w:szCs w:val="20"/>
          <w:color w:val="auto"/>
        </w:rPr>
      </w:pPr>
      <w:r>
        <w:rPr>
          <w:rFonts w:ascii="Courier New" w:cs="Courier New" w:eastAsia="Courier New" w:hAnsi="Courier New"/>
          <w:sz w:val="17"/>
          <w:szCs w:val="17"/>
          <w:color w:val="auto"/>
        </w:rPr>
        <w:t>Item 1.</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WINNEBAGO INDUSTRIES, INC. AND SUBSIDIARIES</w:t>
      </w:r>
    </w:p>
    <w:p>
      <w:pPr>
        <w:jc w:val="center"/>
        <w:ind w:right="209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MARCH 2,</w:t>
            </w:r>
          </w:p>
        </w:tc>
        <w:tc>
          <w:tcPr>
            <w:tcW w:w="2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6"/>
              </w:rPr>
              <w:t>AUGUST 25,</w:t>
            </w:r>
          </w:p>
        </w:tc>
      </w:tr>
      <w:tr>
        <w:trPr>
          <w:trHeight w:val="193"/>
        </w:trPr>
        <w:tc>
          <w:tcPr>
            <w:tcW w:w="5720" w:type="dxa"/>
            <w:vAlign w:val="bottom"/>
          </w:tcPr>
          <w:p>
            <w:pPr>
              <w:ind w:left="2400"/>
              <w:spacing w:after="0"/>
              <w:rPr>
                <w:sz w:val="20"/>
                <w:szCs w:val="20"/>
                <w:color w:val="auto"/>
              </w:rPr>
            </w:pPr>
            <w:r>
              <w:rPr>
                <w:rFonts w:ascii="Courier New" w:cs="Courier New" w:eastAsia="Courier New" w:hAnsi="Courier New"/>
                <w:sz w:val="17"/>
                <w:szCs w:val="17"/>
                <w:color w:val="auto"/>
              </w:rPr>
              <w:t>ASSETS</w:t>
            </w:r>
          </w:p>
        </w:tc>
        <w:tc>
          <w:tcPr>
            <w:tcW w:w="24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2002</w:t>
            </w:r>
          </w:p>
        </w:tc>
        <w:tc>
          <w:tcPr>
            <w:tcW w:w="2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4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(Unaudited)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134,477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102,280</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Receivables, less allowance for doubtful</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720" w:type="dxa"/>
            <w:vAlign w:val="bottom"/>
          </w:tcPr>
          <w:p>
            <w:pPr>
              <w:ind w:left="300"/>
              <w:spacing w:after="0"/>
              <w:rPr>
                <w:sz w:val="20"/>
                <w:szCs w:val="20"/>
                <w:color w:val="auto"/>
              </w:rPr>
            </w:pPr>
            <w:r>
              <w:rPr>
                <w:rFonts w:ascii="Courier New" w:cs="Courier New" w:eastAsia="Courier New" w:hAnsi="Courier New"/>
                <w:sz w:val="17"/>
                <w:szCs w:val="17"/>
                <w:color w:val="auto"/>
              </w:rPr>
              <w:t>accounts ($353 and $244, respectively)</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21,763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21,571</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Dealer financing receivables, less allowance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720" w:type="dxa"/>
            <w:vAlign w:val="bottom"/>
          </w:tcPr>
          <w:p>
            <w:pPr>
              <w:ind w:left="300"/>
              <w:spacing w:after="0"/>
              <w:rPr>
                <w:sz w:val="20"/>
                <w:szCs w:val="20"/>
                <w:color w:val="auto"/>
              </w:rPr>
            </w:pPr>
            <w:r>
              <w:rPr>
                <w:rFonts w:ascii="Courier New" w:cs="Courier New" w:eastAsia="Courier New" w:hAnsi="Courier New"/>
                <w:sz w:val="17"/>
                <w:szCs w:val="17"/>
                <w:color w:val="auto"/>
              </w:rPr>
              <w:t>for doubtful accounts ($112 and $117, respectively)</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38,180</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40,263</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83,131</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79,815</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3,675</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3,604</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Prepaid taxes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4,500</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 -</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6,723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6,723</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Total current assets</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292,449</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254,256</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PROPERTY AND EQUIPMENT, at cost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1,018</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1,029</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46,180</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45,992</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84,103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82,182</w:t>
            </w:r>
          </w:p>
        </w:tc>
      </w:t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Transportation equipment</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5,634</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5,482</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136,935</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134,685</w:t>
            </w:r>
          </w:p>
        </w:tc>
      </w:tr>
      <w:tr>
        <w:trPr>
          <w:trHeight w:val="193"/>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Less accumulated depreciation</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90,875</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88,149</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ind w:left="500"/>
              <w:spacing w:after="0"/>
              <w:rPr>
                <w:sz w:val="20"/>
                <w:szCs w:val="20"/>
                <w:color w:val="auto"/>
              </w:rPr>
            </w:pPr>
            <w:r>
              <w:rPr>
                <w:rFonts w:ascii="Courier New" w:cs="Courier New" w:eastAsia="Courier New" w:hAnsi="Courier New"/>
                <w:sz w:val="17"/>
                <w:szCs w:val="17"/>
                <w:color w:val="auto"/>
              </w:rPr>
              <w:t>Total property and equipment, net</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46,060</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46,536</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INVESTMENT IN LIFE INSURANCE</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23,136</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22,223</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INCOME TAXES, NET</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21,495</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21,495</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8,329</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7,412</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391,469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351,922</w:t>
            </w:r>
          </w:p>
        </w:tc>
      </w:tr>
      <w:tr>
        <w:trPr>
          <w:trHeight w:val="193"/>
        </w:trPr>
        <w:tc>
          <w:tcPr>
            <w:tcW w:w="57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9" w:right="1440" w:bottom="1440" w:gutter="0" w:footer="0" w:header="0"/>
        </w:sectPr>
      </w:pPr>
    </w:p>
    <w:bookmarkStart w:id="2" w:name="page3"/>
    <w:bookmarkEnd w:id="2"/>
    <w:p>
      <w:pPr>
        <w:jc w:val="center"/>
        <w:ind w:right="2099"/>
        <w:spacing w:after="0"/>
        <w:rPr>
          <w:sz w:val="20"/>
          <w:szCs w:val="20"/>
          <w:color w:val="auto"/>
        </w:rPr>
      </w:pPr>
      <w:r>
        <w:rPr>
          <w:rFonts w:ascii="Courier New" w:cs="Courier New" w:eastAsia="Courier New" w:hAnsi="Courier New"/>
          <w:sz w:val="17"/>
          <w:szCs w:val="17"/>
          <w:color w:val="auto"/>
        </w:rPr>
        <w:t>WINNEBAGO INDUSTRIES, INC. AND SUBSIDIARIES</w:t>
      </w:r>
    </w:p>
    <w:p>
      <w:pPr>
        <w:jc w:val="center"/>
        <w:ind w:right="209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MARCH 2,</w:t>
            </w:r>
          </w:p>
        </w:tc>
        <w:tc>
          <w:tcPr>
            <w:tcW w:w="2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6"/>
              </w:rPr>
              <w:t>AUGUST 25,</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4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2002</w:t>
            </w:r>
          </w:p>
        </w:tc>
        <w:tc>
          <w:tcPr>
            <w:tcW w:w="20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4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8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(Unaudited)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Accounts payable, trade</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44,694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40,678</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Income tax payable</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12,149</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4,938</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Insurance</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5,686</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4,567</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Product warranties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7,763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8,072</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Accrued compensation</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13,711</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13,730</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Promotional</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7,011</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3,181</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5,013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4,842</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ind w:left="800"/>
              <w:spacing w:after="0"/>
              <w:rPr>
                <w:sz w:val="20"/>
                <w:szCs w:val="20"/>
                <w:color w:val="auto"/>
              </w:rPr>
            </w:pPr>
            <w:r>
              <w:rPr>
                <w:rFonts w:ascii="Courier New" w:cs="Courier New" w:eastAsia="Courier New" w:hAnsi="Courier New"/>
                <w:sz w:val="17"/>
                <w:szCs w:val="17"/>
                <w:color w:val="auto"/>
              </w:rPr>
              <w:t>Total current liabilities</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96,027</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80,008</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POSTRETIREMENT HEALTH CARE AND DEFERRED</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5820" w:type="dxa"/>
            <w:vAlign w:val="bottom"/>
          </w:tcPr>
          <w:p>
            <w:pPr>
              <w:ind w:left="300"/>
              <w:spacing w:after="0"/>
              <w:rPr>
                <w:sz w:val="20"/>
                <w:szCs w:val="20"/>
                <w:color w:val="auto"/>
              </w:rPr>
            </w:pPr>
            <w:r>
              <w:rPr>
                <w:rFonts w:ascii="Courier New" w:cs="Courier New" w:eastAsia="Courier New" w:hAnsi="Courier New"/>
                <w:sz w:val="17"/>
                <w:szCs w:val="17"/>
                <w:color w:val="auto"/>
              </w:rPr>
              <w:t>COMPENSATION BENEFITS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67,284</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64,450</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Capital stock, common, par value $.50; authorized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820" w:type="dxa"/>
            <w:vAlign w:val="bottom"/>
          </w:tcPr>
          <w:p>
            <w:pPr>
              <w:ind w:left="300"/>
              <w:spacing w:after="0"/>
              <w:rPr>
                <w:sz w:val="20"/>
                <w:szCs w:val="20"/>
                <w:color w:val="auto"/>
              </w:rPr>
            </w:pPr>
            <w:r>
              <w:rPr>
                <w:rFonts w:ascii="Courier New" w:cs="Courier New" w:eastAsia="Courier New" w:hAnsi="Courier New"/>
                <w:sz w:val="17"/>
                <w:szCs w:val="17"/>
                <w:color w:val="auto"/>
              </w:rPr>
              <w:t>60,000,000 shares:  issued 25,888,000 and 25,886,000</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3"/>
        </w:trPr>
        <w:tc>
          <w:tcPr>
            <w:tcW w:w="5820" w:type="dxa"/>
            <w:vAlign w:val="bottom"/>
          </w:tcPr>
          <w:p>
            <w:pPr>
              <w:ind w:left="300"/>
              <w:spacing w:after="0"/>
              <w:rPr>
                <w:sz w:val="20"/>
                <w:szCs w:val="20"/>
                <w:color w:val="auto"/>
              </w:rPr>
            </w:pPr>
            <w:r>
              <w:rPr>
                <w:rFonts w:ascii="Courier New" w:cs="Courier New" w:eastAsia="Courier New" w:hAnsi="Courier New"/>
                <w:sz w:val="17"/>
                <w:szCs w:val="17"/>
                <w:color w:val="auto"/>
              </w:rPr>
              <w:t>shares, respectively</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12,944</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12,943</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Additional paid-in capital</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25,714</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22,261</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Reinvested earnings</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252,223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234,139</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290,881</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269,343</w:t>
            </w:r>
          </w:p>
        </w:tc>
      </w:t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Less treasury stock, at cost</w:t>
            </w:r>
          </w:p>
        </w:tc>
        <w:tc>
          <w:tcPr>
            <w:tcW w:w="2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62,723</w:t>
            </w:r>
          </w:p>
        </w:tc>
        <w:tc>
          <w:tcPr>
            <w:tcW w:w="2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61,879</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228,158</w:t>
            </w:r>
          </w:p>
        </w:tc>
        <w:tc>
          <w:tcPr>
            <w:tcW w:w="20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207,464</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391,469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351,922</w:t>
            </w:r>
          </w:p>
        </w:tc>
      </w:tr>
      <w:tr>
        <w:trPr>
          <w:trHeight w:val="193"/>
        </w:trPr>
        <w:tc>
          <w:tcPr>
            <w:tcW w:w="58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7"/>
          <w:szCs w:val="17"/>
          <w:color w:val="auto"/>
        </w:rPr>
        <w:t>WINNEBAGO INDUSTRIES, INC. AND SUBSIDIARIES</w:t>
      </w:r>
    </w:p>
    <w:p>
      <w:pPr>
        <w:ind w:left="1900"/>
        <w:spacing w:after="0"/>
        <w:rPr>
          <w:sz w:val="20"/>
          <w:szCs w:val="20"/>
          <w:color w:val="auto"/>
        </w:rPr>
      </w:pPr>
      <w:r>
        <w:rPr>
          <w:rFonts w:ascii="Courier New" w:cs="Courier New" w:eastAsia="Courier New" w:hAnsi="Courier New"/>
          <w:sz w:val="17"/>
          <w:szCs w:val="17"/>
          <w:color w:val="auto"/>
        </w:rPr>
        <w:t>UNAUDITED CONSOLIDATED STATEMENTS OF INCOME</w:t>
      </w:r>
    </w:p>
    <w:tbl>
      <w:tblPr>
        <w:tblLayout w:type="fixed"/>
        <w:tblInd w:w="0" w:type="dxa"/>
        <w:tblCellMar>
          <w:top w:w="0" w:type="dxa"/>
          <w:left w:w="0" w:type="dxa"/>
          <w:bottom w:w="0" w:type="dxa"/>
          <w:right w:w="0" w:type="dxa"/>
        </w:tblCellMar>
      </w:tblPr>
      <w:tr>
        <w:trPr>
          <w:trHeight w:val="193"/>
        </w:trPr>
        <w:tc>
          <w:tcPr>
            <w:tcW w:w="8580" w:type="dxa"/>
            <w:vAlign w:val="bottom"/>
            <w:gridSpan w:val="5"/>
          </w:tcPr>
          <w:p>
            <w:pPr>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71"/>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TWENTY-SEVEN</w:t>
            </w:r>
          </w:p>
        </w:tc>
        <w:tc>
          <w:tcPr>
            <w:tcW w:w="14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TWENTY-SIX</w:t>
            </w:r>
          </w:p>
        </w:tc>
      </w:tr>
      <w:tr>
        <w:trPr>
          <w:trHeight w:val="193"/>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THIRTEEN WEEKS ENDED</w:t>
            </w:r>
          </w:p>
        </w:tc>
        <w:tc>
          <w:tcPr>
            <w:tcW w:w="15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WEEKS ENDED</w:t>
            </w:r>
          </w:p>
        </w:tc>
        <w:tc>
          <w:tcPr>
            <w:tcW w:w="14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WEEKS ENDED</w:t>
            </w:r>
          </w:p>
        </w:tc>
      </w:tr>
      <w:tr>
        <w:trPr>
          <w:trHeight w:val="193"/>
        </w:trPr>
        <w:tc>
          <w:tcPr>
            <w:tcW w:w="5560" w:type="dxa"/>
            <w:vAlign w:val="bottom"/>
          </w:tcPr>
          <w:p>
            <w:pPr>
              <w:spacing w:after="0"/>
              <w:rPr>
                <w:sz w:val="16"/>
                <w:szCs w:val="16"/>
                <w:color w:val="auto"/>
              </w:rPr>
            </w:pPr>
          </w:p>
        </w:tc>
        <w:tc>
          <w:tcPr>
            <w:tcW w:w="3020" w:type="dxa"/>
            <w:vAlign w:val="bottom"/>
            <w:gridSpan w:val="4"/>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MARCH 2,</w:t>
            </w:r>
          </w:p>
        </w:tc>
        <w:tc>
          <w:tcPr>
            <w:tcW w:w="15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FEBRUARY 24,</w:t>
            </w:r>
          </w:p>
        </w:tc>
        <w:tc>
          <w:tcPr>
            <w:tcW w:w="300" w:type="dxa"/>
            <w:vAlign w:val="bottom"/>
          </w:tcPr>
          <w:p>
            <w:pPr>
              <w:spacing w:after="0"/>
              <w:rPr>
                <w:sz w:val="16"/>
                <w:szCs w:val="16"/>
                <w:color w:val="auto"/>
              </w:rPr>
            </w:pPr>
          </w:p>
        </w:tc>
        <w:tc>
          <w:tcPr>
            <w:tcW w:w="12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MARCH 2,</w:t>
            </w:r>
          </w:p>
        </w:tc>
        <w:tc>
          <w:tcPr>
            <w:tcW w:w="14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FEBRUARY 24,</w:t>
            </w:r>
          </w:p>
        </w:tc>
      </w:tr>
      <w:tr>
        <w:trPr>
          <w:trHeight w:val="193"/>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7"/>
                <w:szCs w:val="17"/>
                <w:color w:val="auto"/>
              </w:rPr>
              <w:t>2002</w:t>
            </w:r>
          </w:p>
        </w:tc>
        <w:tc>
          <w:tcPr>
            <w:tcW w:w="4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2001</w:t>
            </w:r>
          </w:p>
        </w:tc>
        <w:tc>
          <w:tcPr>
            <w:tcW w:w="3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2002</w:t>
            </w:r>
          </w:p>
        </w:tc>
        <w:tc>
          <w:tcPr>
            <w:tcW w:w="400" w:type="dxa"/>
            <w:vAlign w:val="bottom"/>
          </w:tcPr>
          <w:p>
            <w:pPr>
              <w:spacing w:after="0"/>
              <w:rPr>
                <w:sz w:val="16"/>
                <w:szCs w:val="16"/>
                <w:color w:val="auto"/>
              </w:rPr>
            </w:pP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184,169</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142,531</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363,282</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306,698</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160,117</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125,529</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313,687</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267,449</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Gross profit</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24,052</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17,002</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49,595</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39,249</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Selling</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5,607</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5,306</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11,735</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11,409</w:t>
            </w: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5,031</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3,146</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9,135</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5,910</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Total operating expenses</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10,638</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8,452</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20,870</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17,319</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0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13,414</w:t>
            </w:r>
          </w:p>
        </w:tc>
        <w:tc>
          <w:tcPr>
            <w:tcW w:w="40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8,550</w:t>
            </w:r>
          </w:p>
        </w:tc>
        <w:tc>
          <w:tcPr>
            <w:tcW w:w="300" w:type="dxa"/>
            <w:vAlign w:val="bottom"/>
          </w:tcPr>
          <w:p>
            <w:pPr>
              <w:spacing w:after="0"/>
              <w:rPr>
                <w:sz w:val="24"/>
                <w:szCs w:val="24"/>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28,725</w:t>
            </w:r>
          </w:p>
        </w:tc>
        <w:tc>
          <w:tcPr>
            <w:tcW w:w="40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21,930</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Financial income</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912</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901</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1,804</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1,872</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30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14,326</w:t>
            </w:r>
          </w:p>
        </w:tc>
        <w:tc>
          <w:tcPr>
            <w:tcW w:w="40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9,451</w:t>
            </w:r>
          </w:p>
        </w:tc>
        <w:tc>
          <w:tcPr>
            <w:tcW w:w="300" w:type="dxa"/>
            <w:vAlign w:val="bottom"/>
          </w:tcPr>
          <w:p>
            <w:pPr>
              <w:spacing w:after="0"/>
              <w:rPr>
                <w:sz w:val="24"/>
                <w:szCs w:val="24"/>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30,529</w:t>
            </w:r>
          </w:p>
        </w:tc>
        <w:tc>
          <w:tcPr>
            <w:tcW w:w="40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23,802</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Provision for taxes</w:t>
            </w:r>
          </w:p>
        </w:tc>
        <w:tc>
          <w:tcPr>
            <w:tcW w:w="30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4,878</w:t>
            </w:r>
          </w:p>
        </w:tc>
        <w:tc>
          <w:tcPr>
            <w:tcW w:w="40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3,267</w:t>
            </w:r>
          </w:p>
        </w:tc>
        <w:tc>
          <w:tcPr>
            <w:tcW w:w="300" w:type="dxa"/>
            <w:vAlign w:val="bottom"/>
          </w:tcPr>
          <w:p>
            <w:pPr>
              <w:spacing w:after="0"/>
              <w:rPr>
                <w:sz w:val="24"/>
                <w:szCs w:val="24"/>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10,371</w:t>
            </w:r>
          </w:p>
        </w:tc>
        <w:tc>
          <w:tcPr>
            <w:tcW w:w="40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8,022</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 change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ind w:left="300"/>
              <w:spacing w:after="0"/>
              <w:rPr>
                <w:sz w:val="20"/>
                <w:szCs w:val="20"/>
                <w:color w:val="auto"/>
              </w:rPr>
            </w:pPr>
            <w:r>
              <w:rPr>
                <w:rFonts w:ascii="Courier New" w:cs="Courier New" w:eastAsia="Courier New" w:hAnsi="Courier New"/>
                <w:sz w:val="17"/>
                <w:szCs w:val="17"/>
                <w:color w:val="auto"/>
              </w:rPr>
              <w:t>accounting principle</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9,448</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6,184</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20,158</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15,780</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principle, net of taxes</w:t>
            </w:r>
          </w:p>
        </w:tc>
        <w:tc>
          <w:tcPr>
            <w:tcW w:w="30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 -</w:t>
            </w:r>
          </w:p>
        </w:tc>
        <w:tc>
          <w:tcPr>
            <w:tcW w:w="40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 -</w:t>
            </w:r>
          </w:p>
        </w:tc>
        <w:tc>
          <w:tcPr>
            <w:tcW w:w="300" w:type="dxa"/>
            <w:vAlign w:val="bottom"/>
          </w:tcPr>
          <w:p>
            <w:pPr>
              <w:spacing w:after="0"/>
              <w:rPr>
                <w:sz w:val="24"/>
                <w:szCs w:val="24"/>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 -</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(1,050)</w:t>
            </w:r>
          </w:p>
        </w:tc>
      </w:tr>
      <w:tr>
        <w:trPr>
          <w:trHeight w:val="385"/>
        </w:trPr>
        <w:tc>
          <w:tcPr>
            <w:tcW w:w="5560" w:type="dxa"/>
            <w:vAlign w:val="bottom"/>
          </w:tcPr>
          <w:p>
            <w:pPr>
              <w:spacing w:after="0"/>
              <w:rPr>
                <w:sz w:val="24"/>
                <w:szCs w:val="24"/>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9,448</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6,184</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20,158</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14,730</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Earnings per share - basic (Note 8):</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300"/>
              <w:spacing w:after="0"/>
              <w:rPr>
                <w:sz w:val="20"/>
                <w:szCs w:val="20"/>
                <w:color w:val="auto"/>
              </w:rPr>
            </w:pPr>
            <w:r>
              <w:rPr>
                <w:rFonts w:ascii="Courier New" w:cs="Courier New" w:eastAsia="Courier New" w:hAnsi="Courier New"/>
                <w:sz w:val="17"/>
                <w:szCs w:val="17"/>
                <w:color w:val="auto"/>
              </w:rPr>
              <w:t>Income before cumulative effect of change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600"/>
              <w:spacing w:after="0"/>
              <w:rPr>
                <w:sz w:val="20"/>
                <w:szCs w:val="20"/>
                <w:color w:val="auto"/>
              </w:rPr>
            </w:pPr>
            <w:r>
              <w:rPr>
                <w:rFonts w:ascii="Courier New" w:cs="Courier New" w:eastAsia="Courier New" w:hAnsi="Courier New"/>
                <w:sz w:val="17"/>
                <w:szCs w:val="17"/>
                <w:color w:val="auto"/>
              </w:rPr>
              <w:t>accounting principle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w:t>
            </w:r>
          </w:p>
        </w:tc>
      </w:tr>
      <w:tr>
        <w:trPr>
          <w:trHeight w:val="193"/>
        </w:trPr>
        <w:tc>
          <w:tcPr>
            <w:tcW w:w="5560" w:type="dxa"/>
            <w:vAlign w:val="bottom"/>
          </w:tcPr>
          <w:p>
            <w:pPr>
              <w:ind w:left="30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600"/>
              <w:spacing w:after="0"/>
              <w:rPr>
                <w:sz w:val="20"/>
                <w:szCs w:val="20"/>
                <w:color w:val="auto"/>
              </w:rPr>
            </w:pPr>
            <w:r>
              <w:rPr>
                <w:rFonts w:ascii="Courier New" w:cs="Courier New" w:eastAsia="Courier New" w:hAnsi="Courier New"/>
                <w:sz w:val="17"/>
                <w:szCs w:val="17"/>
                <w:color w:val="auto"/>
              </w:rPr>
              <w:t>principle</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 -</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 -</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 -</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(.05)</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Income per share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Earnings per share - diluted (Note 8):</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300"/>
              <w:spacing w:after="0"/>
              <w:rPr>
                <w:sz w:val="20"/>
                <w:szCs w:val="20"/>
                <w:color w:val="auto"/>
              </w:rPr>
            </w:pPr>
            <w:r>
              <w:rPr>
                <w:rFonts w:ascii="Courier New" w:cs="Courier New" w:eastAsia="Courier New" w:hAnsi="Courier New"/>
                <w:sz w:val="17"/>
                <w:szCs w:val="17"/>
                <w:color w:val="auto"/>
              </w:rPr>
              <w:t>Income before cumulative effect of a change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600"/>
              <w:spacing w:after="0"/>
              <w:rPr>
                <w:sz w:val="20"/>
                <w:szCs w:val="20"/>
                <w:color w:val="auto"/>
              </w:rPr>
            </w:pPr>
            <w:r>
              <w:rPr>
                <w:rFonts w:ascii="Courier New" w:cs="Courier New" w:eastAsia="Courier New" w:hAnsi="Courier New"/>
                <w:sz w:val="17"/>
                <w:szCs w:val="17"/>
                <w:color w:val="auto"/>
              </w:rPr>
              <w:t>accounting principle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.45</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.95</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5560" w:type="dxa"/>
            <w:vAlign w:val="bottom"/>
          </w:tcPr>
          <w:p>
            <w:pPr>
              <w:ind w:left="30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5560" w:type="dxa"/>
            <w:vAlign w:val="bottom"/>
          </w:tcPr>
          <w:p>
            <w:pPr>
              <w:ind w:left="600"/>
              <w:spacing w:after="0"/>
              <w:rPr>
                <w:sz w:val="20"/>
                <w:szCs w:val="20"/>
                <w:color w:val="auto"/>
              </w:rPr>
            </w:pPr>
            <w:r>
              <w:rPr>
                <w:rFonts w:ascii="Courier New" w:cs="Courier New" w:eastAsia="Courier New" w:hAnsi="Courier New"/>
                <w:sz w:val="17"/>
                <w:szCs w:val="17"/>
                <w:color w:val="auto"/>
              </w:rPr>
              <w:t>principle</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 -</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 -</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 -</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(.05)</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Income per share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.45</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.95</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Weighted average shares of common stock outstanding: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560" w:type="dxa"/>
            <w:vAlign w:val="bottom"/>
          </w:tcPr>
          <w:p>
            <w:pPr>
              <w:ind w:left="600"/>
              <w:spacing w:after="0"/>
              <w:rPr>
                <w:sz w:val="20"/>
                <w:szCs w:val="20"/>
                <w:color w:val="auto"/>
              </w:rPr>
            </w:pPr>
            <w:r>
              <w:rPr>
                <w:rFonts w:ascii="Courier New" w:cs="Courier New" w:eastAsia="Courier New" w:hAnsi="Courier New"/>
                <w:sz w:val="17"/>
                <w:szCs w:val="17"/>
                <w:color w:val="auto"/>
              </w:rPr>
              <w:t>Basic</w:t>
            </w:r>
          </w:p>
        </w:tc>
        <w:tc>
          <w:tcPr>
            <w:tcW w:w="3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20,760</w:t>
            </w:r>
          </w:p>
        </w:tc>
        <w:tc>
          <w:tcPr>
            <w:tcW w:w="40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20,576</w:t>
            </w:r>
          </w:p>
        </w:tc>
        <w:tc>
          <w:tcPr>
            <w:tcW w:w="30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20,715</w:t>
            </w:r>
          </w:p>
        </w:tc>
        <w:tc>
          <w:tcPr>
            <w:tcW w:w="40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20,839</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560" w:type="dxa"/>
            <w:vAlign w:val="bottom"/>
          </w:tcPr>
          <w:p>
            <w:pPr>
              <w:ind w:left="600"/>
              <w:spacing w:after="0"/>
              <w:rPr>
                <w:sz w:val="20"/>
                <w:szCs w:val="20"/>
                <w:color w:val="auto"/>
              </w:rPr>
            </w:pPr>
            <w:r>
              <w:rPr>
                <w:rFonts w:ascii="Courier New" w:cs="Courier New" w:eastAsia="Courier New" w:hAnsi="Courier New"/>
                <w:sz w:val="17"/>
                <w:szCs w:val="17"/>
                <w:color w:val="auto"/>
              </w:rPr>
              <w:t>Diluted</w:t>
            </w:r>
          </w:p>
        </w:tc>
        <w:tc>
          <w:tcPr>
            <w:tcW w:w="300" w:type="dxa"/>
            <w:vAlign w:val="bottom"/>
          </w:tcPr>
          <w:p>
            <w:pPr>
              <w:spacing w:after="0"/>
              <w:rPr>
                <w:sz w:val="24"/>
                <w:szCs w:val="24"/>
                <w:color w:val="auto"/>
              </w:rPr>
            </w:pP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21,215</w:t>
            </w:r>
          </w:p>
        </w:tc>
        <w:tc>
          <w:tcPr>
            <w:tcW w:w="400" w:type="dxa"/>
            <w:vAlign w:val="bottom"/>
          </w:tcPr>
          <w:p>
            <w:pPr>
              <w:spacing w:after="0"/>
              <w:rPr>
                <w:sz w:val="24"/>
                <w:szCs w:val="24"/>
                <w:color w:val="auto"/>
              </w:rPr>
            </w:pP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20,882</w:t>
            </w:r>
          </w:p>
        </w:tc>
        <w:tc>
          <w:tcPr>
            <w:tcW w:w="300" w:type="dxa"/>
            <w:vAlign w:val="bottom"/>
          </w:tcPr>
          <w:p>
            <w:pPr>
              <w:spacing w:after="0"/>
              <w:rPr>
                <w:sz w:val="24"/>
                <w:szCs w:val="24"/>
                <w:color w:val="auto"/>
              </w:rPr>
            </w:pPr>
          </w:p>
        </w:tc>
        <w:tc>
          <w:tcPr>
            <w:tcW w:w="12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21,157</w:t>
            </w:r>
          </w:p>
        </w:tc>
        <w:tc>
          <w:tcPr>
            <w:tcW w:w="40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21,082</w:t>
            </w:r>
          </w:p>
        </w:tc>
      </w:tr>
      <w:tr>
        <w:trPr>
          <w:trHeight w:val="193"/>
        </w:trPr>
        <w:tc>
          <w:tcPr>
            <w:tcW w:w="5560" w:type="dxa"/>
            <w:vAlign w:val="bottom"/>
          </w:tcPr>
          <w:p>
            <w:pPr>
              <w:spacing w:after="0"/>
              <w:rPr>
                <w:sz w:val="16"/>
                <w:szCs w:val="16"/>
                <w:color w:val="auto"/>
              </w:rPr>
            </w:pPr>
          </w:p>
        </w:tc>
        <w:tc>
          <w:tcPr>
            <w:tcW w:w="15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881" w:right="139" w:bottom="166"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7"/>
          <w:szCs w:val="17"/>
          <w:color w:val="auto"/>
        </w:rPr>
        <w:t>WINNEBAGO INDUSTRIES, INC. AND SUBSIDIARIES</w:t>
      </w:r>
    </w:p>
    <w:p>
      <w:pPr>
        <w:jc w:val="center"/>
        <w:ind w:right="2099"/>
        <w:spacing w:after="0"/>
        <w:rPr>
          <w:sz w:val="20"/>
          <w:szCs w:val="20"/>
          <w:color w:val="auto"/>
        </w:rPr>
      </w:pPr>
      <w:r>
        <w:rPr>
          <w:rFonts w:ascii="Courier New" w:cs="Courier New" w:eastAsia="Courier New" w:hAnsi="Courier New"/>
          <w:sz w:val="17"/>
          <w:szCs w:val="17"/>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2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TWENTY-SEVEN</w:t>
            </w:r>
          </w:p>
        </w:tc>
        <w:tc>
          <w:tcPr>
            <w:tcW w:w="15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TWENTY-SIX</w:t>
            </w: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7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WEEKS ENDED</w:t>
            </w:r>
          </w:p>
        </w:tc>
        <w:tc>
          <w:tcPr>
            <w:tcW w:w="15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WEEKS ENDED</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MARCH 2,</w:t>
            </w:r>
          </w:p>
        </w:tc>
        <w:tc>
          <w:tcPr>
            <w:tcW w:w="15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FEBRUARY 24,</w:t>
            </w:r>
          </w:p>
        </w:tc>
      </w:tr>
      <w:tr>
        <w:trPr>
          <w:trHeight w:val="193"/>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2002</w:t>
            </w:r>
          </w:p>
        </w:tc>
        <w:tc>
          <w:tcPr>
            <w:tcW w:w="460" w:type="dxa"/>
            <w:vAlign w:val="bottom"/>
          </w:tcPr>
          <w:p>
            <w:pPr>
              <w:spacing w:after="0"/>
              <w:rPr>
                <w:sz w:val="16"/>
                <w:szCs w:val="16"/>
                <w:color w:val="auto"/>
              </w:rPr>
            </w:pPr>
          </w:p>
        </w:tc>
        <w:tc>
          <w:tcPr>
            <w:tcW w:w="10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Net income as shown on the statements of income</w:t>
            </w:r>
          </w:p>
        </w:tc>
        <w:tc>
          <w:tcPr>
            <w:tcW w:w="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20,158</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14,730</w:t>
            </w:r>
          </w:p>
        </w:tc>
      </w:tr>
      <w:tr>
        <w:trPr>
          <w:trHeight w:val="193"/>
        </w:trPr>
        <w:tc>
          <w:tcPr>
            <w:tcW w:w="6720" w:type="dxa"/>
            <w:vAlign w:val="bottom"/>
          </w:tcPr>
          <w:p>
            <w:pPr>
              <w:ind w:left="400"/>
              <w:spacing w:after="0"/>
              <w:rPr>
                <w:sz w:val="20"/>
                <w:szCs w:val="20"/>
                <w:color w:val="auto"/>
              </w:rPr>
            </w:pPr>
            <w:r>
              <w:rPr>
                <w:rFonts w:ascii="Courier New" w:cs="Courier New" w:eastAsia="Courier New" w:hAnsi="Courier New"/>
                <w:sz w:val="17"/>
                <w:szCs w:val="17"/>
                <w:color w:val="auto"/>
              </w:rPr>
              <w:t>(page 3)</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provided by</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operating activities:</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3,961</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3,636</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Tax benefit of stock options</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3,008</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 -</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86</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w:t>
            </w: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Change in assets and liabilities:</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(Increase) decrease in receivable and other assets</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(374)</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14,099</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Increase in inventories</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(3,316)</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(3,453)</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Increase (decrease) in accounts payable and accrued expenses</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8,808</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(7,470)</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Increase in income taxes payable</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5,719</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3,536</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Increase in postretirement benefits</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3,238</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3,862</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41,288</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29,046</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20" w:type="dxa"/>
            <w:vAlign w:val="bottom"/>
          </w:tcPr>
          <w:p>
            <w:pPr>
              <w:spacing w:after="0"/>
              <w:rPr>
                <w:sz w:val="20"/>
                <w:szCs w:val="20"/>
                <w:color w:val="auto"/>
              </w:rPr>
            </w:pPr>
            <w:r>
              <w:rPr>
                <w:rFonts w:ascii="Courier New" w:cs="Courier New" w:eastAsia="Courier New" w:hAnsi="Courier New"/>
                <w:sz w:val="17"/>
                <w:szCs w:val="17"/>
                <w:color w:val="auto"/>
              </w:rPr>
              <w:t>Cash flows used by investing activities: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Purchases of property and equipment</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(3,666)</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(4,795)</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Investments in dealer receivables</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(52,795)</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(52,392)</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Collections of dealer receivables</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54,887</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47,220</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(2,037)</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(2,481)</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Net cash used by investing activities</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(3,611)</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(12,448)</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20" w:type="dxa"/>
            <w:vAlign w:val="bottom"/>
          </w:tcPr>
          <w:p>
            <w:pPr>
              <w:spacing w:after="0"/>
              <w:rPr>
                <w:sz w:val="20"/>
                <w:szCs w:val="20"/>
                <w:color w:val="auto"/>
              </w:rPr>
            </w:pPr>
            <w:r>
              <w:rPr>
                <w:rFonts w:ascii="Courier New" w:cs="Courier New" w:eastAsia="Courier New" w:hAnsi="Courier New"/>
                <w:sz w:val="17"/>
                <w:szCs w:val="17"/>
                <w:color w:val="auto"/>
              </w:rPr>
              <w:t>Cash flows used by financing activities and capital transactions: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Payments for purchase of common stock</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(4,078)</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(9,300)</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Payment of cash dividends</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(2,075)</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(2,062)</w:t>
            </w:r>
          </w:p>
        </w:tc>
      </w:tr>
      <w:tr>
        <w:trPr>
          <w:trHeight w:val="193"/>
        </w:trPr>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issuance of common and treasury stock</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673</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1,355</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Net cash used by financing activities and</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6720" w:type="dxa"/>
            <w:vAlign w:val="bottom"/>
          </w:tcPr>
          <w:p>
            <w:pPr>
              <w:ind w:left="300"/>
              <w:spacing w:after="0"/>
              <w:rPr>
                <w:sz w:val="20"/>
                <w:szCs w:val="20"/>
                <w:color w:val="auto"/>
              </w:rPr>
            </w:pPr>
            <w:r>
              <w:rPr>
                <w:rFonts w:ascii="Courier New" w:cs="Courier New" w:eastAsia="Courier New" w:hAnsi="Courier New"/>
                <w:sz w:val="17"/>
                <w:szCs w:val="17"/>
                <w:color w:val="auto"/>
              </w:rPr>
              <w:t>capital transactions</w:t>
            </w:r>
          </w:p>
        </w:tc>
        <w:tc>
          <w:tcPr>
            <w:tcW w:w="340" w:type="dxa"/>
            <w:vAlign w:val="bottom"/>
          </w:tcPr>
          <w:p>
            <w:pPr>
              <w:spacing w:after="0"/>
              <w:rPr>
                <w:sz w:val="16"/>
                <w:szCs w:val="16"/>
                <w:color w:val="auto"/>
              </w:rPr>
            </w:pP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(5,480)</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(10,007)</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2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34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32,197</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6,591</w:t>
            </w:r>
          </w:p>
        </w:tc>
      </w:tr>
      <w:tr>
        <w:trPr>
          <w:trHeight w:val="385"/>
        </w:trPr>
        <w:tc>
          <w:tcPr>
            <w:tcW w:w="672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340" w:type="dxa"/>
            <w:vAlign w:val="bottom"/>
          </w:tcPr>
          <w:p>
            <w:pPr>
              <w:spacing w:after="0"/>
              <w:rPr>
                <w:sz w:val="24"/>
                <w:szCs w:val="24"/>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102,280</w:t>
            </w:r>
          </w:p>
        </w:tc>
        <w:tc>
          <w:tcPr>
            <w:tcW w:w="46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51,443</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2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134,477</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58,034</w:t>
            </w:r>
          </w:p>
        </w:tc>
      </w:tr>
      <w:tr>
        <w:trPr>
          <w:trHeight w:val="193"/>
        </w:trPr>
        <w:tc>
          <w:tcPr>
            <w:tcW w:w="67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81" w:right="1440" w:bottom="1440" w:gutter="0" w:footer="0" w:header="0"/>
        </w:sectPr>
      </w:pPr>
    </w:p>
    <w:bookmarkStart w:id="5" w:name="page6"/>
    <w:bookmarkEnd w:id="5"/>
    <w:p>
      <w:pPr>
        <w:jc w:val="center"/>
        <w:ind w:right="2099"/>
        <w:spacing w:after="0"/>
        <w:rPr>
          <w:sz w:val="20"/>
          <w:szCs w:val="20"/>
          <w:color w:val="auto"/>
        </w:rPr>
      </w:pPr>
      <w:r>
        <w:rPr>
          <w:rFonts w:ascii="Courier New" w:cs="Courier New" w:eastAsia="Courier New" w:hAnsi="Courier New"/>
          <w:sz w:val="17"/>
          <w:szCs w:val="17"/>
          <w:color w:val="auto"/>
        </w:rPr>
        <w:t>WINNEBAGO INDUSTRIES, INC. AND SUBSIDIARIES</w:t>
      </w:r>
    </w:p>
    <w:p>
      <w:pPr>
        <w:jc w:val="center"/>
        <w:ind w:right="2199"/>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BASIS OF PRESENTATION</w:t>
      </w:r>
    </w:p>
    <w:p>
      <w:pPr>
        <w:spacing w:after="0" w:line="198" w:lineRule="exact"/>
        <w:rPr>
          <w:sz w:val="20"/>
          <w:szCs w:val="20"/>
          <w:color w:val="auto"/>
        </w:rPr>
      </w:pPr>
    </w:p>
    <w:p>
      <w:pPr>
        <w:ind w:left="500" w:right="2199"/>
        <w:spacing w:after="0" w:line="255" w:lineRule="auto"/>
        <w:rPr>
          <w:sz w:val="20"/>
          <w:szCs w:val="20"/>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March 2, 2002, the consolidated results of operations for the 27 and 13 weeks ended March 2, 2002 and the 26 and 13 weeks ended February 24, 2001, and the consolidated cash flows for the 27 weeks ended March 2, 2002 and the 26 weeks ended February 24, 2001. The statement of income for the 27 weeks ended March 2, 2002, is not necessarily indicative of the results to be expected for the full year. The balance sheet data as of August 25, 2001 was derived from audited financial statements, but does not include all disclosures contained in the Company's Annual Report to Shareholders for the year ended August 25, 2001. These interim consolidated financial statements should be read in conjunction with the audited financial statements and notes thereto appearing in the Company's Annual Report to Shareholders for the year ended August 25,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NEW ACCOUNTING PRONOUNCEMENTS</w:t>
      </w:r>
    </w:p>
    <w:p>
      <w:pPr>
        <w:spacing w:after="0" w:line="198" w:lineRule="exact"/>
        <w:rPr>
          <w:sz w:val="20"/>
          <w:szCs w:val="20"/>
          <w:color w:val="auto"/>
        </w:rPr>
      </w:pPr>
    </w:p>
    <w:p>
      <w:pPr>
        <w:ind w:left="500" w:right="2199"/>
        <w:spacing w:after="0" w:line="256" w:lineRule="auto"/>
        <w:rPr>
          <w:sz w:val="20"/>
          <w:szCs w:val="20"/>
          <w:color w:val="auto"/>
        </w:rPr>
      </w:pPr>
      <w:r>
        <w:rPr>
          <w:rFonts w:ascii="Courier New" w:cs="Courier New" w:eastAsia="Courier New" w:hAnsi="Courier New"/>
          <w:sz w:val="16"/>
          <w:szCs w:val="16"/>
          <w:color w:val="auto"/>
        </w:rPr>
        <w:t>On August 27, 2000, the Company adopted the Securities and Exchange Commission's (SEC) Staff Accounting Bulletin (SAB) No. 101 - REVENUE RECOGNITION IN FINANCIAL STATEMENTS, which the SEC staff issued in December 1999. SAB No. 101 sets forth the SEC staff's views concerning revenue recognition. As a result of SAB No. 101 the Company began recording revenue upon receipt of products by Winnebago Industries' dealers rather than upon shipment by the Company. This change required an adjustment to income in the Company's first quarter 2001 results, which reflects the cumulative effect on the prior year's results due to the application of SAB No. 101.</w:t>
      </w:r>
    </w:p>
    <w:p>
      <w:pPr>
        <w:spacing w:after="0" w:line="187" w:lineRule="exact"/>
        <w:rPr>
          <w:sz w:val="20"/>
          <w:szCs w:val="20"/>
          <w:color w:val="auto"/>
        </w:rPr>
      </w:pPr>
    </w:p>
    <w:p>
      <w:pPr>
        <w:ind w:left="500" w:right="2299"/>
        <w:spacing w:after="0" w:line="255" w:lineRule="auto"/>
        <w:rPr>
          <w:sz w:val="20"/>
          <w:szCs w:val="20"/>
          <w:color w:val="auto"/>
        </w:rPr>
      </w:pPr>
      <w:r>
        <w:rPr>
          <w:rFonts w:ascii="Courier New" w:cs="Courier New" w:eastAsia="Courier New" w:hAnsi="Courier New"/>
          <w:sz w:val="16"/>
          <w:szCs w:val="16"/>
          <w:color w:val="auto"/>
        </w:rPr>
        <w:t>In July 2001, the Financial Accounting Standards Board (FASB) issued Statement of Financial Accounting Standards (SFAS) No. 141, "Business Combinations." SFAS No. 141 establishes new standards for accounting and reporting requirements for business combinations and requires that the purchase method of accounting be used for all business combinations initiated after June 30, 2001. Use of the pooling-of-interests method will be prohibited. In July 2001, the FASB also issued SFAS No. 142, "Goodwill and Other Tangible Assets." SFAS No. 142 establishes new standards for goodwill acquired in a business combination and eliminates amortization of goodwill and instead sets forth methods to periodically evaluate goodwill for impairment. The Company expects to adopt these statements on September 1, 2002, the first quarter of the Company's fiscal 2003. Management does not believe that either SFAS No. 141 or 142 will have a material impact on the Company's consolidated financial statements.</w:t>
      </w:r>
    </w:p>
    <w:p>
      <w:pPr>
        <w:spacing w:after="0" w:line="195" w:lineRule="exact"/>
        <w:rPr>
          <w:sz w:val="20"/>
          <w:szCs w:val="20"/>
          <w:color w:val="auto"/>
        </w:rPr>
      </w:pPr>
    </w:p>
    <w:p>
      <w:pPr>
        <w:ind w:left="500" w:right="2199"/>
        <w:spacing w:after="0" w:line="255"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No. 143 required entities to record the fair value of a liability for an asset retirement obligation in the period in which it is incurred. Also, in September 2001, the FASB issued SFAS No. 144, "Accounting for the Impairment or Disposal of Long-Lived Assets," which addresses financial accounting and reporting for the impairment or disposal of long-lived assets. While SFAS No. 144 supersedes SFAS No. 121, "Accounting for the Impairment of Long-Lived Assets and for Long-Lived Assets to be Disposed Of," it retains many of the fundamental provisions of that statement. The Company is required to adopt SFAS Nos. 143 and 144 in fiscal 2003. The Company is reviewing the impact of SFAS Nos. 143 and 144, and does not believe adoption of either of these new standards will have a material affect on the Company's financial statements.</w:t>
      </w:r>
    </w:p>
    <w:p>
      <w:pPr>
        <w:spacing w:after="0" w:line="3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NOTE 3: INVENTORIES</w:t>
      </w:r>
    </w:p>
    <w:p>
      <w:pPr>
        <w:spacing w:after="0" w:line="198" w:lineRule="exact"/>
        <w:rPr>
          <w:sz w:val="20"/>
          <w:szCs w:val="20"/>
          <w:color w:val="auto"/>
        </w:rPr>
      </w:pPr>
    </w:p>
    <w:p>
      <w:pPr>
        <w:ind w:left="500" w:right="2199"/>
        <w:spacing w:after="0" w:line="237" w:lineRule="auto"/>
        <w:rPr>
          <w:sz w:val="20"/>
          <w:szCs w:val="20"/>
          <w:color w:val="auto"/>
        </w:rPr>
      </w:pPr>
      <w:r>
        <w:rPr>
          <w:rFonts w:ascii="Courier New" w:cs="Courier New" w:eastAsia="Courier New" w:hAnsi="Courier New"/>
          <w:sz w:val="17"/>
          <w:szCs w:val="17"/>
          <w:color w:val="auto"/>
        </w:rPr>
        <w:t>Inventories are valued at the lower of cost or market, with cost being determined under the last-in, first-out (LIFO) method and market defined as net realizable value.</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Inventories are composed of the following (dollars in thousands):</w:t>
      </w:r>
    </w:p>
    <w:p>
      <w:pPr>
        <w:spacing w:after="0" w:line="193" w:lineRule="exact"/>
        <w:rPr>
          <w:sz w:val="20"/>
          <w:szCs w:val="20"/>
          <w:color w:val="auto"/>
        </w:rPr>
      </w:pPr>
    </w:p>
    <w:tbl>
      <w:tblPr>
        <w:tblLayout w:type="fixed"/>
        <w:tblInd w:w="1900" w:type="dxa"/>
        <w:tblCellMar>
          <w:top w:w="0" w:type="dxa"/>
          <w:left w:w="0" w:type="dxa"/>
          <w:bottom w:w="0" w:type="dxa"/>
          <w:right w:w="0" w:type="dxa"/>
        </w:tblCellMar>
      </w:tblPr>
      <w:tr>
        <w:trPr>
          <w:trHeight w:val="193"/>
        </w:trPr>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March 2,</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August 25,</w:t>
            </w:r>
          </w:p>
        </w:tc>
      </w:tr>
      <w:tr>
        <w:trPr>
          <w:trHeight w:val="193"/>
        </w:trPr>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2002</w:t>
            </w:r>
          </w:p>
        </w:tc>
        <w:tc>
          <w:tcPr>
            <w:tcW w:w="3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26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620" w:type="dxa"/>
            <w:vAlign w:val="bottom"/>
          </w:tcPr>
          <w:p>
            <w:pPr>
              <w:spacing w:after="0"/>
              <w:rPr>
                <w:sz w:val="20"/>
                <w:szCs w:val="20"/>
                <w:color w:val="auto"/>
              </w:rPr>
            </w:pPr>
            <w:r>
              <w:rPr>
                <w:rFonts w:ascii="Courier New" w:cs="Courier New" w:eastAsia="Courier New" w:hAnsi="Courier New"/>
                <w:sz w:val="17"/>
                <w:szCs w:val="17"/>
                <w:color w:val="auto"/>
              </w:rPr>
              <w:t>Finished goods .........</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33,234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36,930</w:t>
            </w:r>
          </w:p>
        </w:tc>
      </w:tr>
      <w:tr>
        <w:trPr>
          <w:trHeight w:val="193"/>
        </w:trPr>
        <w:tc>
          <w:tcPr>
            <w:tcW w:w="2620" w:type="dxa"/>
            <w:vAlign w:val="bottom"/>
          </w:tcPr>
          <w:p>
            <w:pPr>
              <w:spacing w:after="0"/>
              <w:rPr>
                <w:sz w:val="20"/>
                <w:szCs w:val="20"/>
                <w:color w:val="auto"/>
              </w:rPr>
            </w:pPr>
            <w:r>
              <w:rPr>
                <w:rFonts w:ascii="Courier New" w:cs="Courier New" w:eastAsia="Courier New" w:hAnsi="Courier New"/>
                <w:sz w:val="17"/>
                <w:szCs w:val="17"/>
                <w:color w:val="auto"/>
              </w:rPr>
              <w:t>Work in process ........</w:t>
            </w: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23,921</w:t>
            </w:r>
          </w:p>
        </w:tc>
        <w:tc>
          <w:tcPr>
            <w:tcW w:w="3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21,725</w:t>
            </w:r>
          </w:p>
        </w:tc>
      </w:tr>
      <w:tr>
        <w:trPr>
          <w:trHeight w:val="193"/>
        </w:trPr>
        <w:tc>
          <w:tcPr>
            <w:tcW w:w="2620" w:type="dxa"/>
            <w:vAlign w:val="bottom"/>
          </w:tcPr>
          <w:p>
            <w:pPr>
              <w:spacing w:after="0"/>
              <w:rPr>
                <w:sz w:val="20"/>
                <w:szCs w:val="20"/>
                <w:color w:val="auto"/>
              </w:rPr>
            </w:pPr>
            <w:r>
              <w:rPr>
                <w:rFonts w:ascii="Courier New" w:cs="Courier New" w:eastAsia="Courier New" w:hAnsi="Courier New"/>
                <w:sz w:val="17"/>
                <w:szCs w:val="17"/>
                <w:color w:val="auto"/>
              </w:rPr>
              <w:t>Raw materials ..........</w:t>
            </w: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49,752</w:t>
            </w:r>
          </w:p>
        </w:tc>
        <w:tc>
          <w:tcPr>
            <w:tcW w:w="3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44,232</w:t>
            </w:r>
          </w:p>
        </w:tc>
      </w:tr>
      <w:tr>
        <w:trPr>
          <w:trHeight w:val="193"/>
        </w:trPr>
        <w:tc>
          <w:tcPr>
            <w:tcW w:w="26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106,907</w:t>
            </w:r>
          </w:p>
        </w:tc>
        <w:tc>
          <w:tcPr>
            <w:tcW w:w="3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102,887</w:t>
            </w:r>
          </w:p>
        </w:tc>
      </w:tr>
      <w:tr>
        <w:trPr>
          <w:trHeight w:val="193"/>
        </w:trPr>
        <w:tc>
          <w:tcPr>
            <w:tcW w:w="2620" w:type="dxa"/>
            <w:vAlign w:val="bottom"/>
          </w:tcPr>
          <w:p>
            <w:pPr>
              <w:spacing w:after="0"/>
              <w:rPr>
                <w:sz w:val="20"/>
                <w:szCs w:val="20"/>
                <w:color w:val="auto"/>
              </w:rPr>
            </w:pPr>
            <w:r>
              <w:rPr>
                <w:rFonts w:ascii="Courier New" w:cs="Courier New" w:eastAsia="Courier New" w:hAnsi="Courier New"/>
                <w:sz w:val="17"/>
                <w:szCs w:val="17"/>
                <w:color w:val="auto"/>
              </w:rPr>
              <w:t>LIFO reserve ...........</w:t>
            </w:r>
          </w:p>
        </w:tc>
        <w:tc>
          <w:tcPr>
            <w:tcW w:w="4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(23,776)</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(23,072)</w:t>
            </w:r>
          </w:p>
        </w:tc>
      </w:tr>
      <w:tr>
        <w:trPr>
          <w:trHeight w:val="193"/>
        </w:trPr>
        <w:tc>
          <w:tcPr>
            <w:tcW w:w="26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62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83,131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79,815</w:t>
            </w:r>
          </w:p>
        </w:tc>
      </w:tr>
      <w:tr>
        <w:trPr>
          <w:trHeight w:val="193"/>
        </w:trPr>
        <w:tc>
          <w:tcPr>
            <w:tcW w:w="26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LINE OF CREDIT</w:t>
      </w:r>
    </w:p>
    <w:p>
      <w:pPr>
        <w:spacing w:after="0" w:line="198" w:lineRule="exact"/>
        <w:rPr>
          <w:sz w:val="20"/>
          <w:szCs w:val="20"/>
          <w:color w:val="auto"/>
        </w:rPr>
      </w:pPr>
    </w:p>
    <w:p>
      <w:pPr>
        <w:ind w:left="500" w:right="2199"/>
        <w:spacing w:after="0" w:line="257" w:lineRule="auto"/>
        <w:rPr>
          <w:sz w:val="20"/>
          <w:szCs w:val="20"/>
          <w:color w:val="auto"/>
        </w:rPr>
      </w:pPr>
      <w:r>
        <w:rPr>
          <w:rFonts w:ascii="Courier New" w:cs="Courier New" w:eastAsia="Courier New" w:hAnsi="Courier New"/>
          <w:sz w:val="16"/>
          <w:szCs w:val="16"/>
          <w:color w:val="auto"/>
        </w:rPr>
        <w:t>On October 19, 2000, the Company entered into an unsecured Credit Agreement with Wells Fargo Bank Iowa, National Association, as amended. The Credit Agreement provided the Company with a line of credit of $20,000,000. The Company did not renew this agreement when it expired on January 31,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CONTINGENT LIABILITIES AND COMMITMENTS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It is customary practice for manufacturers in the recreation vehicle</w:t>
      </w:r>
    </w:p>
    <w:p>
      <w:pPr>
        <w:ind w:left="500"/>
        <w:spacing w:after="0"/>
        <w:rPr>
          <w:sz w:val="20"/>
          <w:szCs w:val="20"/>
          <w:color w:val="auto"/>
        </w:rPr>
      </w:pPr>
      <w:r>
        <w:rPr>
          <w:rFonts w:ascii="Courier New" w:cs="Courier New" w:eastAsia="Courier New" w:hAnsi="Courier New"/>
          <w:sz w:val="17"/>
          <w:szCs w:val="17"/>
          <w:color w:val="auto"/>
        </w:rPr>
        <w:t>industry to enter into repurchase agreements with lending institutions</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which have provided wholesale floorplan financing to dealers. The Company's</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agreements provide for the repurchase of its products from the financing</w:t>
      </w:r>
    </w:p>
    <w:p>
      <w:pPr>
        <w:ind w:left="500"/>
        <w:spacing w:after="0"/>
        <w:rPr>
          <w:sz w:val="20"/>
          <w:szCs w:val="20"/>
          <w:color w:val="auto"/>
        </w:rPr>
      </w:pPr>
      <w:r>
        <w:rPr>
          <w:rFonts w:ascii="Courier New" w:cs="Courier New" w:eastAsia="Courier New" w:hAnsi="Courier New"/>
          <w:sz w:val="17"/>
          <w:szCs w:val="17"/>
          <w:color w:val="auto"/>
        </w:rPr>
        <w:t>institution in the event of repossession upon a dealer's default. The</w:t>
      </w:r>
    </w:p>
    <w:p>
      <w:pPr>
        <w:ind w:left="500"/>
        <w:spacing w:after="0"/>
        <w:rPr>
          <w:sz w:val="20"/>
          <w:szCs w:val="20"/>
          <w:color w:val="auto"/>
        </w:rPr>
      </w:pPr>
      <w:r>
        <w:rPr>
          <w:rFonts w:ascii="Courier New" w:cs="Courier New" w:eastAsia="Courier New" w:hAnsi="Courier New"/>
          <w:sz w:val="17"/>
          <w:szCs w:val="17"/>
          <w:color w:val="auto"/>
        </w:rPr>
        <w:t>Company was contingently liable for approximately $242,910,000 and</w:t>
      </w:r>
    </w:p>
    <w:p>
      <w:pPr>
        <w:ind w:left="500"/>
        <w:spacing w:after="0"/>
        <w:rPr>
          <w:sz w:val="20"/>
          <w:szCs w:val="20"/>
          <w:color w:val="auto"/>
        </w:rPr>
      </w:pPr>
      <w:r>
        <w:rPr>
          <w:rFonts w:ascii="Courier New" w:cs="Courier New" w:eastAsia="Courier New" w:hAnsi="Courier New"/>
          <w:sz w:val="17"/>
          <w:szCs w:val="17"/>
          <w:color w:val="auto"/>
        </w:rPr>
        <w:t>$216,784,000 under repurchase agreements with lending institutions as of</w:t>
      </w:r>
    </w:p>
    <w:p>
      <w:pPr>
        <w:ind w:left="500"/>
        <w:spacing w:after="0"/>
        <w:rPr>
          <w:sz w:val="20"/>
          <w:szCs w:val="20"/>
          <w:color w:val="auto"/>
        </w:rPr>
      </w:pPr>
      <w:r>
        <w:rPr>
          <w:rFonts w:ascii="Courier New" w:cs="Courier New" w:eastAsia="Courier New" w:hAnsi="Courier New"/>
          <w:sz w:val="17"/>
          <w:szCs w:val="17"/>
          <w:color w:val="auto"/>
        </w:rPr>
        <w:t>March 2, 2002 and August 25, 2001, respectively. Included in these</w:t>
      </w:r>
    </w:p>
    <w:p>
      <w:pPr>
        <w:ind w:left="500"/>
        <w:spacing w:after="0"/>
        <w:rPr>
          <w:sz w:val="20"/>
          <w:szCs w:val="20"/>
          <w:color w:val="auto"/>
        </w:rPr>
      </w:pPr>
      <w:r>
        <w:rPr>
          <w:rFonts w:ascii="Courier New" w:cs="Courier New" w:eastAsia="Courier New" w:hAnsi="Courier New"/>
          <w:sz w:val="17"/>
          <w:szCs w:val="17"/>
          <w:color w:val="auto"/>
        </w:rPr>
        <w:t>contingent liabilities as of March 2, 2002 and August 25, 2001 are</w:t>
      </w:r>
    </w:p>
    <w:p>
      <w:pPr>
        <w:ind w:left="500"/>
        <w:spacing w:after="0"/>
        <w:rPr>
          <w:sz w:val="20"/>
          <w:szCs w:val="20"/>
          <w:color w:val="auto"/>
        </w:rPr>
      </w:pPr>
      <w:r>
        <w:rPr>
          <w:rFonts w:ascii="Courier New" w:cs="Courier New" w:eastAsia="Courier New" w:hAnsi="Courier New"/>
          <w:sz w:val="17"/>
          <w:szCs w:val="17"/>
          <w:color w:val="auto"/>
        </w:rPr>
        <w:t>approximately $517,000 and $3,276,000, respectively, of certain dealer</w:t>
      </w:r>
    </w:p>
    <w:p>
      <w:pPr>
        <w:ind w:left="500"/>
        <w:spacing w:after="0"/>
        <w:rPr>
          <w:sz w:val="20"/>
          <w:szCs w:val="20"/>
          <w:color w:val="auto"/>
        </w:rPr>
      </w:pPr>
      <w:r>
        <w:rPr>
          <w:rFonts w:ascii="Courier New" w:cs="Courier New" w:eastAsia="Courier New" w:hAnsi="Courier New"/>
          <w:sz w:val="17"/>
          <w:szCs w:val="17"/>
          <w:color w:val="auto"/>
        </w:rPr>
        <w:t>receivables subject to recourse agreements with Bank of America Specialty</w:t>
      </w:r>
    </w:p>
    <w:p>
      <w:pPr>
        <w:ind w:left="500"/>
        <w:spacing w:after="0"/>
        <w:rPr>
          <w:sz w:val="20"/>
          <w:szCs w:val="20"/>
          <w:color w:val="auto"/>
        </w:rPr>
      </w:pPr>
      <w:r>
        <w:rPr>
          <w:rFonts w:ascii="Courier New" w:cs="Courier New" w:eastAsia="Courier New" w:hAnsi="Courier New"/>
          <w:sz w:val="17"/>
          <w:szCs w:val="17"/>
          <w:color w:val="auto"/>
        </w:rPr>
        <w:t>Group and Conseco Finance Servicing Group.</w:t>
      </w:r>
    </w:p>
    <w:p>
      <w:pPr>
        <w:spacing w:after="0" w:line="198" w:lineRule="exact"/>
        <w:rPr>
          <w:sz w:val="20"/>
          <w:szCs w:val="20"/>
          <w:color w:val="auto"/>
        </w:rPr>
      </w:pPr>
    </w:p>
    <w:p>
      <w:pPr>
        <w:ind w:left="500" w:right="2199"/>
        <w:spacing w:after="0" w:line="239" w:lineRule="auto"/>
        <w:rPr>
          <w:sz w:val="20"/>
          <w:szCs w:val="20"/>
          <w:color w:val="auto"/>
        </w:rPr>
      </w:pPr>
      <w:r>
        <w:rPr>
          <w:rFonts w:ascii="Courier New" w:cs="Courier New" w:eastAsia="Courier New" w:hAnsi="Courier New"/>
          <w:sz w:val="17"/>
          <w:szCs w:val="17"/>
          <w:color w:val="auto"/>
        </w:rPr>
        <w:t>During the second quarter of fiscal 2002, the Company guaranteed certain interest bearing debt obligations of an unaffiliated vendor to a bank totaling an amount of up to but not to exceed $700,000 and agreed to pledge a $500,000 certificate of deposit to said bank. Mr. John V. Hanson, a director of the Company, is also a director of the bank and its parent and owns approximately 33.3 percent of record and beneficially of the parent's outstanding stock. Mary Jo Boman, the wife of Gerald E. Boman, a director of the Company, is a director of the bank and its parent and owns approximately 33.3 percent of record and beneficially of the parent's outstanding stock. The Company believes that this obligation will be repaid and has therefore provided no reserve for this contingency at March 2, 2002.</w:t>
      </w:r>
    </w:p>
    <w:p>
      <w:pPr>
        <w:spacing w:after="0" w:line="204" w:lineRule="exact"/>
        <w:rPr>
          <w:sz w:val="20"/>
          <w:szCs w:val="20"/>
          <w:color w:val="auto"/>
        </w:rPr>
      </w:pPr>
    </w:p>
    <w:p>
      <w:pPr>
        <w:ind w:left="500" w:right="2299"/>
        <w:spacing w:after="0" w:line="256" w:lineRule="auto"/>
        <w:rPr>
          <w:sz w:val="20"/>
          <w:szCs w:val="20"/>
          <w:color w:val="auto"/>
        </w:rPr>
      </w:pPr>
      <w:r>
        <w:rPr>
          <w:rFonts w:ascii="Courier New" w:cs="Courier New" w:eastAsia="Courier New" w:hAnsi="Courier New"/>
          <w:sz w:val="16"/>
          <w:szCs w:val="16"/>
          <w:color w:val="auto"/>
        </w:rPr>
        <w:t>In February 2002, the Company entered into a repurchase agreement with Transamerica Commercial Finance Corporation, Canada (Transamerica). The agreement provides for the repurchase by the Company from Transamerica of rental units upon default by one of the Company's Canadian dealers under a financing agreement with Transamerica. As of March 2, 2002, there have been no rental transactions between Transamerica and such dealer.</w:t>
      </w: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81" w:right="1440" w:bottom="1440" w:gutter="0" w:footer="0" w:header="0"/>
        </w:sectPr>
      </w:pPr>
    </w:p>
    <w:bookmarkStart w:id="7" w:name="page8"/>
    <w:bookmarkEnd w:id="7"/>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SUPPLEMENTAL CASH FLOW DISCLOSURE</w:t>
      </w:r>
    </w:p>
    <w:p>
      <w:pPr>
        <w:spacing w:after="0" w:line="198" w:lineRule="exact"/>
        <w:rPr>
          <w:sz w:val="20"/>
          <w:szCs w:val="20"/>
          <w:color w:val="auto"/>
        </w:rPr>
      </w:pPr>
    </w:p>
    <w:p>
      <w:pPr>
        <w:ind w:left="500" w:right="2800"/>
        <w:spacing w:after="0" w:line="236" w:lineRule="auto"/>
        <w:rPr>
          <w:sz w:val="20"/>
          <w:szCs w:val="20"/>
          <w:color w:val="auto"/>
        </w:rPr>
      </w:pPr>
      <w:r>
        <w:rPr>
          <w:rFonts w:ascii="Courier New" w:cs="Courier New" w:eastAsia="Courier New" w:hAnsi="Courier New"/>
          <w:sz w:val="17"/>
          <w:szCs w:val="17"/>
          <w:color w:val="auto"/>
        </w:rPr>
        <w:t>For the periods indicated, the Company paid cash for the following (dollars in thousands):</w:t>
      </w:r>
    </w:p>
    <w:p>
      <w:pPr>
        <w:spacing w:after="0" w:line="194" w:lineRule="exact"/>
        <w:rPr>
          <w:sz w:val="20"/>
          <w:szCs w:val="20"/>
          <w:color w:val="auto"/>
        </w:rPr>
      </w:pPr>
    </w:p>
    <w:tbl>
      <w:tblPr>
        <w:tblLayout w:type="fixed"/>
        <w:tblInd w:w="1900" w:type="dxa"/>
        <w:tblCellMar>
          <w:top w:w="0" w:type="dxa"/>
          <w:left w:w="0" w:type="dxa"/>
          <w:bottom w:w="0" w:type="dxa"/>
          <w:right w:w="0" w:type="dxa"/>
        </w:tblCellMar>
      </w:tblPr>
      <w:tr>
        <w:trPr>
          <w:trHeight w:val="193"/>
        </w:trPr>
        <w:tc>
          <w:tcPr>
            <w:tcW w:w="1760" w:type="dxa"/>
            <w:vAlign w:val="bottom"/>
          </w:tcPr>
          <w:p>
            <w:pPr>
              <w:spacing w:after="0"/>
              <w:rPr>
                <w:sz w:val="16"/>
                <w:szCs w:val="16"/>
                <w:color w:val="auto"/>
              </w:rPr>
            </w:pPr>
          </w:p>
        </w:tc>
        <w:tc>
          <w:tcPr>
            <w:tcW w:w="200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Twenty-Seven</w:t>
            </w:r>
          </w:p>
        </w:tc>
        <w:tc>
          <w:tcPr>
            <w:tcW w:w="14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Twenty-Six</w:t>
            </w:r>
          </w:p>
        </w:tc>
      </w:tr>
      <w:tr>
        <w:trPr>
          <w:trHeight w:val="193"/>
        </w:trPr>
        <w:tc>
          <w:tcPr>
            <w:tcW w:w="1760" w:type="dxa"/>
            <w:vAlign w:val="bottom"/>
          </w:tcPr>
          <w:p>
            <w:pPr>
              <w:spacing w:after="0"/>
              <w:rPr>
                <w:sz w:val="16"/>
                <w:szCs w:val="16"/>
                <w:color w:val="auto"/>
              </w:rPr>
            </w:pPr>
          </w:p>
        </w:tc>
        <w:tc>
          <w:tcPr>
            <w:tcW w:w="200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Weeks Ended</w:t>
            </w:r>
          </w:p>
        </w:tc>
        <w:tc>
          <w:tcPr>
            <w:tcW w:w="14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Weeks Ended</w:t>
            </w:r>
          </w:p>
        </w:tc>
      </w:tr>
      <w:tr>
        <w:trPr>
          <w:trHeight w:val="193"/>
        </w:trPr>
        <w:tc>
          <w:tcPr>
            <w:tcW w:w="1760" w:type="dxa"/>
            <w:vAlign w:val="bottom"/>
          </w:tcPr>
          <w:p>
            <w:pPr>
              <w:spacing w:after="0"/>
              <w:rPr>
                <w:sz w:val="16"/>
                <w:szCs w:val="16"/>
                <w:color w:val="auto"/>
              </w:rPr>
            </w:pPr>
          </w:p>
        </w:tc>
        <w:tc>
          <w:tcPr>
            <w:tcW w:w="2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5"/>
              </w:rPr>
              <w:t>March 2,</w:t>
            </w:r>
          </w:p>
        </w:tc>
        <w:tc>
          <w:tcPr>
            <w:tcW w:w="146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6"/>
              </w:rPr>
              <w:t>February 24,</w:t>
            </w:r>
          </w:p>
        </w:tc>
      </w:tr>
      <w:tr>
        <w:trPr>
          <w:trHeight w:val="193"/>
        </w:trPr>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2002</w:t>
            </w:r>
          </w:p>
        </w:tc>
        <w:tc>
          <w:tcPr>
            <w:tcW w:w="5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1760" w:type="dxa"/>
            <w:vAlign w:val="bottom"/>
          </w:tcPr>
          <w:p>
            <w:pPr>
              <w:spacing w:after="0"/>
              <w:rPr>
                <w:sz w:val="16"/>
                <w:szCs w:val="16"/>
                <w:color w:val="auto"/>
              </w:rPr>
            </w:pPr>
          </w:p>
        </w:tc>
        <w:tc>
          <w:tcPr>
            <w:tcW w:w="20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Interest</w:t>
            </w:r>
          </w:p>
        </w:tc>
        <w:tc>
          <w:tcPr>
            <w:tcW w:w="7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 -</w:t>
            </w:r>
          </w:p>
        </w:tc>
        <w:tc>
          <w:tcPr>
            <w:tcW w:w="5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7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4,500</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3,000</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 REPURCHASE OF OUTSTANDING STOCK</w:t>
      </w:r>
    </w:p>
    <w:p>
      <w:pPr>
        <w:spacing w:after="0" w:line="198" w:lineRule="exact"/>
        <w:rPr>
          <w:sz w:val="20"/>
          <w:szCs w:val="20"/>
          <w:color w:val="auto"/>
        </w:rPr>
      </w:pPr>
    </w:p>
    <w:p>
      <w:pPr>
        <w:ind w:left="500" w:right="2900"/>
        <w:spacing w:after="0" w:line="238" w:lineRule="auto"/>
        <w:rPr>
          <w:sz w:val="20"/>
          <w:szCs w:val="20"/>
          <w:color w:val="auto"/>
        </w:rPr>
      </w:pPr>
      <w:r>
        <w:rPr>
          <w:rFonts w:ascii="Courier New" w:cs="Courier New" w:eastAsia="Courier New" w:hAnsi="Courier New"/>
          <w:sz w:val="17"/>
          <w:szCs w:val="17"/>
          <w:color w:val="auto"/>
        </w:rPr>
        <w:t>On March 14, 2001, the Board of Directors authorized the repurchase of outstanding shares of the Company's common stock for an aggregate purchase price of up to $15,000,000. As of March 2, 2002, 218,000 shares had been repurchased for an aggregate consideration of approximately $4,491,000 under this authorization.</w:t>
      </w:r>
    </w:p>
    <w:p>
      <w:pPr>
        <w:spacing w:after="0" w:line="202" w:lineRule="exact"/>
        <w:rPr>
          <w:sz w:val="20"/>
          <w:szCs w:val="20"/>
          <w:color w:val="auto"/>
        </w:rPr>
      </w:pPr>
    </w:p>
    <w:p>
      <w:pPr>
        <w:ind w:left="500" w:right="2800"/>
        <w:spacing w:after="0" w:line="239" w:lineRule="auto"/>
        <w:rPr>
          <w:sz w:val="20"/>
          <w:szCs w:val="20"/>
          <w:color w:val="auto"/>
        </w:rPr>
      </w:pPr>
      <w:r>
        <w:rPr>
          <w:rFonts w:ascii="Courier New" w:cs="Courier New" w:eastAsia="Courier New" w:hAnsi="Courier New"/>
          <w:sz w:val="17"/>
          <w:szCs w:val="17"/>
          <w:color w:val="auto"/>
        </w:rPr>
        <w:t>On April 5, 2002, pursuant to an authorization of the Board of Directors, the Company repurchased 2,100,000 shares of common stock from Hanson Capital Partners, LLC ("HCP"). HCP is a Delaware limited liability company whose members are the Luise V. Hanson Qualified Terminable Interest Property Marital Deduction Trust (the "QTIP Trust"), which has a 34.9 percent membership interest in HCP, and the Luise V. Hanson Revocable Trust, dated September 22, 1984 (the "Revocable Trust"), which has a 65.1 percent membership interest in HCP. John V. Hanson, a director of the Company, Mary Jo Boman, the wife of Gerald E. Boman, a director of the Company, Paul D. Hanson and Bessemer Trust Company, N.A. act as co-trustees under the QTIP Trust. Mrs. Luise V. Hanson is trustee of the Revocable Trust. As a result of the foregoing, Mrs. Hanson is a controlling person of the Company. Mrs. Hanson is the mother of John V. Hanson, Mary Joan Boman and Paul D. Hanson and the mother-in-law of Gerald E. Boman. The shares were repurchased for an aggregate purchase price of $77,700,000 ($37 per share). The Company utilized its cash on hand to pay the purchase price of the stock.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 INCOME PER SHARE</w:t>
      </w:r>
    </w:p>
    <w:p>
      <w:pPr>
        <w:spacing w:after="0" w:line="198" w:lineRule="exact"/>
        <w:rPr>
          <w:sz w:val="20"/>
          <w:szCs w:val="20"/>
          <w:color w:val="auto"/>
        </w:rPr>
      </w:pPr>
    </w:p>
    <w:p>
      <w:pPr>
        <w:ind w:left="500" w:right="2900"/>
        <w:spacing w:after="0" w:line="259" w:lineRule="auto"/>
        <w:rPr>
          <w:sz w:val="20"/>
          <w:szCs w:val="20"/>
          <w:color w:val="auto"/>
        </w:rPr>
      </w:pPr>
      <w:r>
        <w:rPr>
          <w:rFonts w:ascii="Courier New" w:cs="Courier New" w:eastAsia="Courier New" w:hAnsi="Courier New"/>
          <w:sz w:val="16"/>
          <w:szCs w:val="16"/>
          <w:color w:val="auto"/>
        </w:rPr>
        <w:t>The following table reflects the calculation of basic and diluted earnings per share for the 13 and 27 weeks ended March 2, 2002 and the 13 and 26 weeks ended February 24, 2001 (in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TWENTY-SEVEN</w:t>
            </w:r>
          </w:p>
        </w:tc>
        <w:tc>
          <w:tcPr>
            <w:tcW w:w="1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TWENTY-SIX</w:t>
            </w:r>
          </w:p>
        </w:tc>
      </w:tr>
      <w:tr>
        <w:trPr>
          <w:trHeight w:val="193"/>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THIRTEEN WEEKS ENDED</w:t>
            </w:r>
          </w:p>
        </w:tc>
        <w:tc>
          <w:tcPr>
            <w:tcW w:w="1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WEEKS ENDED</w:t>
            </w:r>
          </w:p>
        </w:tc>
        <w:tc>
          <w:tcPr>
            <w:tcW w:w="14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WEEKS ENDED</w:t>
            </w:r>
          </w:p>
        </w:tc>
      </w:tr>
      <w:tr>
        <w:trPr>
          <w:trHeight w:val="193"/>
        </w:trPr>
        <w:tc>
          <w:tcPr>
            <w:tcW w:w="412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4"/>
              </w:rPr>
              <w:t>----------------------------</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MARCH 2,</w:t>
            </w:r>
          </w:p>
        </w:tc>
        <w:tc>
          <w:tcPr>
            <w:tcW w:w="1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FEBRUARY 24,</w:t>
            </w:r>
          </w:p>
        </w:tc>
        <w:tc>
          <w:tcPr>
            <w:tcW w:w="360" w:type="dxa"/>
            <w:vAlign w:val="bottom"/>
          </w:tcPr>
          <w:p>
            <w:pPr>
              <w:spacing w:after="0"/>
              <w:rPr>
                <w:sz w:val="16"/>
                <w:szCs w:val="16"/>
                <w:color w:val="auto"/>
              </w:rPr>
            </w:pP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MARCH 2,</w:t>
            </w:r>
          </w:p>
        </w:tc>
        <w:tc>
          <w:tcPr>
            <w:tcW w:w="140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6"/>
              </w:rPr>
              <w:t>FEBRUARY 24,</w:t>
            </w:r>
          </w:p>
        </w:tc>
      </w:tr>
      <w:tr>
        <w:trPr>
          <w:trHeight w:val="193"/>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2002</w:t>
            </w:r>
          </w:p>
        </w:tc>
        <w:tc>
          <w:tcPr>
            <w:tcW w:w="44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2001</w:t>
            </w:r>
          </w:p>
        </w:tc>
        <w:tc>
          <w:tcPr>
            <w:tcW w:w="3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2002</w:t>
            </w:r>
          </w:p>
        </w:tc>
        <w:tc>
          <w:tcPr>
            <w:tcW w:w="46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9,448</w:t>
            </w:r>
          </w:p>
        </w:tc>
        <w:tc>
          <w:tcPr>
            <w:tcW w:w="4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6,184</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20,158</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14,730</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20,760</w:t>
            </w:r>
          </w:p>
        </w:tc>
        <w:tc>
          <w:tcPr>
            <w:tcW w:w="44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20,576</w:t>
            </w:r>
          </w:p>
        </w:tc>
        <w:tc>
          <w:tcPr>
            <w:tcW w:w="360" w:type="dxa"/>
            <w:vAlign w:val="bottom"/>
          </w:tcPr>
          <w:p>
            <w:pPr>
              <w:spacing w:after="0"/>
              <w:rPr>
                <w:sz w:val="16"/>
                <w:szCs w:val="16"/>
                <w:color w:val="auto"/>
              </w:rPr>
            </w:pP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20,715</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20,839</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w:t>
            </w:r>
          </w:p>
        </w:tc>
        <w:tc>
          <w:tcPr>
            <w:tcW w:w="4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9,448</w:t>
            </w:r>
          </w:p>
        </w:tc>
        <w:tc>
          <w:tcPr>
            <w:tcW w:w="4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6,184</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20,158</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14,730</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20,760</w:t>
            </w:r>
          </w:p>
        </w:tc>
        <w:tc>
          <w:tcPr>
            <w:tcW w:w="44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20,576</w:t>
            </w:r>
          </w:p>
        </w:tc>
        <w:tc>
          <w:tcPr>
            <w:tcW w:w="360" w:type="dxa"/>
            <w:vAlign w:val="bottom"/>
          </w:tcPr>
          <w:p>
            <w:pPr>
              <w:spacing w:after="0"/>
              <w:rPr>
                <w:sz w:val="16"/>
                <w:szCs w:val="16"/>
                <w:color w:val="auto"/>
              </w:rPr>
            </w:pP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20,715</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20,839</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Dilutive impact of options outstanding</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455</w:t>
            </w:r>
          </w:p>
        </w:tc>
        <w:tc>
          <w:tcPr>
            <w:tcW w:w="44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306</w:t>
            </w:r>
          </w:p>
        </w:tc>
        <w:tc>
          <w:tcPr>
            <w:tcW w:w="360" w:type="dxa"/>
            <w:vAlign w:val="bottom"/>
          </w:tcPr>
          <w:p>
            <w:pPr>
              <w:spacing w:after="0"/>
              <w:rPr>
                <w:sz w:val="16"/>
                <w:szCs w:val="16"/>
                <w:color w:val="auto"/>
              </w:rPr>
            </w:pP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442</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243</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Weighted average shares &amp; potential</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120" w:type="dxa"/>
            <w:vAlign w:val="bottom"/>
          </w:tcPr>
          <w:p>
            <w:pPr>
              <w:ind w:left="400"/>
              <w:spacing w:after="0"/>
              <w:rPr>
                <w:sz w:val="20"/>
                <w:szCs w:val="20"/>
                <w:color w:val="auto"/>
              </w:rPr>
            </w:pPr>
            <w:r>
              <w:rPr>
                <w:rFonts w:ascii="Courier New" w:cs="Courier New" w:eastAsia="Courier New" w:hAnsi="Courier New"/>
                <w:sz w:val="17"/>
                <w:szCs w:val="17"/>
                <w:color w:val="auto"/>
              </w:rPr>
              <w:t>dilutive shares outstanding</w:t>
            </w:r>
          </w:p>
        </w:tc>
        <w:tc>
          <w:tcPr>
            <w:tcW w:w="4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21,215</w:t>
            </w:r>
          </w:p>
        </w:tc>
        <w:tc>
          <w:tcPr>
            <w:tcW w:w="44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20,882</w:t>
            </w:r>
          </w:p>
        </w:tc>
        <w:tc>
          <w:tcPr>
            <w:tcW w:w="360" w:type="dxa"/>
            <w:vAlign w:val="bottom"/>
          </w:tcPr>
          <w:p>
            <w:pPr>
              <w:spacing w:after="0"/>
              <w:rPr>
                <w:sz w:val="16"/>
                <w:szCs w:val="16"/>
                <w:color w:val="auto"/>
              </w:rPr>
            </w:pP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21,157</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21,082</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w:t>
            </w:r>
          </w:p>
        </w:tc>
        <w:tc>
          <w:tcPr>
            <w:tcW w:w="4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.95</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193"/>
        </w:trPr>
        <w:tc>
          <w:tcPr>
            <w:tcW w:w="4120" w:type="dxa"/>
            <w:vAlign w:val="bottom"/>
          </w:tcPr>
          <w:p>
            <w:pPr>
              <w:spacing w:after="0"/>
              <w:rPr>
                <w:sz w:val="16"/>
                <w:szCs w:val="16"/>
                <w:color w:val="auto"/>
              </w:rPr>
            </w:pP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left="500" w:right="3000"/>
        <w:spacing w:after="0" w:line="259" w:lineRule="auto"/>
        <w:rPr>
          <w:sz w:val="20"/>
          <w:szCs w:val="20"/>
          <w:color w:val="auto"/>
        </w:rPr>
      </w:pPr>
      <w:r>
        <w:rPr>
          <w:rFonts w:ascii="Courier New" w:cs="Courier New" w:eastAsia="Courier New" w:hAnsi="Courier New"/>
          <w:sz w:val="16"/>
          <w:szCs w:val="16"/>
          <w:color w:val="auto"/>
        </w:rPr>
        <w:t>There were options to purchase 166,800 shares of common stock outstanding at a price of $18.50 and 14,000 shares of common stock at a price of $19.71875 per share during the 13 weeks ended February 24, 2001.</w:t>
      </w:r>
    </w:p>
    <w:p>
      <w:pPr>
        <w:sectPr>
          <w:pgSz w:w="11900" w:h="16900" w:orient="portrait"/>
          <w:cols w:equalWidth="0" w:num="1">
            <w:col w:w="10820"/>
          </w:cols>
          <w:pgMar w:left="240" w:top="881" w:right="839" w:bottom="0" w:gutter="0" w:footer="0" w:header="0"/>
        </w:sectPr>
      </w:pPr>
    </w:p>
    <w:bookmarkStart w:id="8" w:name="page9"/>
    <w:bookmarkEnd w:id="8"/>
    <w:p>
      <w:pPr>
        <w:ind w:right="2299"/>
        <w:spacing w:after="0" w:line="237" w:lineRule="auto"/>
        <w:rPr>
          <w:sz w:val="20"/>
          <w:szCs w:val="20"/>
          <w:color w:val="auto"/>
        </w:rPr>
      </w:pPr>
      <w:r>
        <w:rPr>
          <w:rFonts w:ascii="Courier New" w:cs="Courier New" w:eastAsia="Courier New" w:hAnsi="Courier New"/>
          <w:sz w:val="17"/>
          <w:szCs w:val="17"/>
          <w:color w:val="auto"/>
        </w:rPr>
        <w:t>These options were not included in the computation of diluted earnings per share because the option's exercise price was greater than the average market price of the common stock.</w:t>
      </w:r>
    </w:p>
    <w:p>
      <w:pPr>
        <w:spacing w:after="0" w:line="388"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719"/>
          </w:cols>
          <w:pgMar w:left="740" w:top="33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NOTE 9: BUSINESS SEGMENT INFORMATION</w:t>
      </w:r>
    </w:p>
    <w:p>
      <w:pPr>
        <w:spacing w:after="0" w:line="198" w:lineRule="exact"/>
        <w:rPr>
          <w:sz w:val="20"/>
          <w:szCs w:val="20"/>
          <w:color w:val="auto"/>
        </w:rPr>
      </w:pPr>
    </w:p>
    <w:p>
      <w:pPr>
        <w:ind w:left="500" w:right="3200"/>
        <w:spacing w:after="0" w:line="255" w:lineRule="auto"/>
        <w:rPr>
          <w:sz w:val="20"/>
          <w:szCs w:val="20"/>
          <w:color w:val="auto"/>
        </w:rPr>
      </w:pPr>
      <w:r>
        <w:rPr>
          <w:rFonts w:ascii="Courier New" w:cs="Courier New" w:eastAsia="Courier New" w:hAnsi="Courier New"/>
          <w:sz w:val="16"/>
          <w:szCs w:val="16"/>
          <w:color w:val="auto"/>
        </w:rPr>
        <w:t>The Company defines its operations into two business segments: Recreational vehicles and other manufactured products, and dealer financing. Recreation vehicles and other manufactured products includes all data relating to the manufacturing and selling of the Company's Class A, B and C motor home products as well as sales of component products for other manufacturers and recreation vehicle related parts and service revenue. Dealer financing includes floorplan, used and rental unit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195" w:lineRule="exact"/>
        <w:rPr>
          <w:sz w:val="20"/>
          <w:szCs w:val="20"/>
          <w:color w:val="auto"/>
        </w:rPr>
      </w:pPr>
    </w:p>
    <w:p>
      <w:pPr>
        <w:ind w:left="500" w:right="3500"/>
        <w:spacing w:after="0" w:line="236" w:lineRule="auto"/>
        <w:rPr>
          <w:sz w:val="20"/>
          <w:szCs w:val="20"/>
          <w:color w:val="auto"/>
        </w:rPr>
      </w:pPr>
      <w:r>
        <w:rPr>
          <w:rFonts w:ascii="Courier New" w:cs="Courier New" w:eastAsia="Courier New" w:hAnsi="Courier New"/>
          <w:sz w:val="17"/>
          <w:szCs w:val="17"/>
          <w:color w:val="auto"/>
        </w:rPr>
        <w:t>For the 27 weeks ended March 2, 2002 and the 26 weeks ended February 24, 2001, the Company's segment information is as follows:</w:t>
      </w:r>
    </w:p>
    <w:p>
      <w:pPr>
        <w:spacing w:after="0" w:line="200" w:lineRule="exact"/>
        <w:rPr>
          <w:sz w:val="20"/>
          <w:szCs w:val="20"/>
          <w:color w:val="auto"/>
        </w:rPr>
      </w:pPr>
    </w:p>
    <w:p>
      <w:pPr>
        <w:spacing w:after="0" w:line="37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RECREATION</w:t>
      </w:r>
    </w:p>
    <w:p>
      <w:pPr>
        <w:ind w:left="5120"/>
        <w:spacing w:after="0"/>
        <w:rPr>
          <w:sz w:val="20"/>
          <w:szCs w:val="20"/>
          <w:color w:val="auto"/>
        </w:rPr>
      </w:pPr>
      <w:r>
        <w:rPr>
          <w:rFonts w:ascii="Courier New" w:cs="Courier New" w:eastAsia="Courier New" w:hAnsi="Courier New"/>
          <w:sz w:val="17"/>
          <w:szCs w:val="17"/>
          <w:color w:val="auto"/>
        </w:rPr>
        <w:t>VEHICLES &amp; OTHER</w:t>
      </w:r>
    </w:p>
    <w:p>
      <w:pPr>
        <w:ind w:left="5320"/>
        <w:spacing w:after="0"/>
        <w:tabs>
          <w:tab w:leader="none" w:pos="7100" w:val="left"/>
          <w:tab w:leader="none" w:pos="8700" w:val="left"/>
        </w:tabs>
        <w:rPr>
          <w:sz w:val="20"/>
          <w:szCs w:val="20"/>
          <w:color w:val="auto"/>
        </w:rPr>
      </w:pPr>
      <w:r>
        <w:rPr>
          <w:rFonts w:ascii="Courier New" w:cs="Courier New" w:eastAsia="Courier New" w:hAnsi="Courier New"/>
          <w:sz w:val="17"/>
          <w:szCs w:val="17"/>
          <w:color w:val="auto"/>
        </w:rPr>
        <w:t>MANUFACTURED</w:t>
      </w:r>
      <w:r>
        <w:rPr>
          <w:sz w:val="20"/>
          <w:szCs w:val="20"/>
          <w:color w:val="auto"/>
        </w:rPr>
        <w:tab/>
      </w:r>
      <w:r>
        <w:rPr>
          <w:rFonts w:ascii="Courier New" w:cs="Courier New" w:eastAsia="Courier New" w:hAnsi="Courier New"/>
          <w:sz w:val="17"/>
          <w:szCs w:val="17"/>
          <w:color w:val="auto"/>
        </w:rPr>
        <w:t>DEALER</w:t>
      </w:r>
      <w:r>
        <w:rPr>
          <w:sz w:val="20"/>
          <w:szCs w:val="20"/>
          <w:color w:val="auto"/>
        </w:rPr>
        <w:tab/>
      </w:r>
      <w:r>
        <w:rPr>
          <w:rFonts w:ascii="Courier New" w:cs="Courier New" w:eastAsia="Courier New" w:hAnsi="Courier New"/>
          <w:sz w:val="16"/>
          <w:szCs w:val="16"/>
          <w:color w:val="auto"/>
        </w:rPr>
        <w:t>GENERAL</w:t>
      </w:r>
    </w:p>
    <w:p>
      <w:pPr>
        <w:ind w:left="500"/>
        <w:spacing w:after="0"/>
        <w:tabs>
          <w:tab w:leader="none" w:pos="5500" w:val="left"/>
          <w:tab w:leader="none" w:pos="7000" w:val="left"/>
          <w:tab w:leader="none" w:pos="8600" w:val="left"/>
          <w:tab w:leader="none" w:pos="1040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PRODUCTS</w:t>
      </w:r>
      <w:r>
        <w:rPr>
          <w:sz w:val="20"/>
          <w:szCs w:val="20"/>
          <w:color w:val="auto"/>
        </w:rPr>
        <w:tab/>
      </w:r>
      <w:r>
        <w:rPr>
          <w:rFonts w:ascii="Courier New" w:cs="Courier New" w:eastAsia="Courier New" w:hAnsi="Courier New"/>
          <w:sz w:val="17"/>
          <w:szCs w:val="17"/>
          <w:color w:val="auto"/>
        </w:rPr>
        <w:t>FINANCING</w:t>
      </w:r>
      <w:r>
        <w:rPr>
          <w:sz w:val="20"/>
          <w:szCs w:val="20"/>
          <w:color w:val="auto"/>
        </w:rPr>
        <w:tab/>
      </w:r>
      <w:r>
        <w:rPr>
          <w:rFonts w:ascii="Courier New" w:cs="Courier New" w:eastAsia="Courier New" w:hAnsi="Courier New"/>
          <w:sz w:val="17"/>
          <w:szCs w:val="17"/>
          <w:color w:val="auto"/>
        </w:rPr>
        <w:t>CORPORATE</w:t>
      </w:r>
      <w:r>
        <w:rPr>
          <w:sz w:val="20"/>
          <w:szCs w:val="20"/>
          <w:color w:val="auto"/>
        </w:rPr>
        <w:tab/>
      </w:r>
      <w:r>
        <w:rPr>
          <w:rFonts w:ascii="Courier New" w:cs="Courier New" w:eastAsia="Courier New" w:hAnsi="Courier New"/>
          <w:sz w:val="16"/>
          <w:szCs w:val="16"/>
          <w:color w:val="auto"/>
        </w:rPr>
        <w:t>TOTAL</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27 Weeks Ended March 2, 2002</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361,634</w:t>
            </w:r>
          </w:p>
        </w:tc>
        <w:tc>
          <w:tcPr>
            <w:tcW w:w="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1,648</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363,282</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27,752</w:t>
            </w:r>
          </w:p>
        </w:tc>
        <w:tc>
          <w:tcPr>
            <w:tcW w:w="54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630</w:t>
            </w:r>
          </w:p>
        </w:tc>
        <w:tc>
          <w:tcPr>
            <w:tcW w:w="5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343</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28,725</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10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182,137</w:t>
            </w:r>
          </w:p>
        </w:tc>
        <w:tc>
          <w:tcPr>
            <w:tcW w:w="54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38,483</w:t>
            </w:r>
          </w:p>
        </w:tc>
        <w:tc>
          <w:tcPr>
            <w:tcW w:w="5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170,849</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391,469</w:t>
            </w:r>
          </w:p>
        </w:tc>
      </w:tr>
      <w:tr>
        <w:trPr>
          <w:trHeight w:val="385"/>
        </w:trPr>
        <w:tc>
          <w:tcPr>
            <w:tcW w:w="3960" w:type="dxa"/>
            <w:vAlign w:val="bottom"/>
          </w:tcPr>
          <w:p>
            <w:pPr>
              <w:spacing w:after="0"/>
              <w:rPr>
                <w:sz w:val="20"/>
                <w:szCs w:val="20"/>
                <w:color w:val="auto"/>
              </w:rPr>
            </w:pPr>
            <w:r>
              <w:rPr>
                <w:rFonts w:ascii="Courier New" w:cs="Courier New" w:eastAsia="Courier New" w:hAnsi="Courier New"/>
                <w:sz w:val="17"/>
                <w:szCs w:val="17"/>
                <w:color w:val="auto"/>
              </w:rPr>
              <w:t>26 Weeks Ended February 24, 2001</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304,458</w:t>
            </w:r>
          </w:p>
        </w:tc>
        <w:tc>
          <w:tcPr>
            <w:tcW w:w="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2,240</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306,698</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0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20,162</w:t>
            </w:r>
          </w:p>
        </w:tc>
        <w:tc>
          <w:tcPr>
            <w:tcW w:w="54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658</w:t>
            </w:r>
          </w:p>
        </w:tc>
        <w:tc>
          <w:tcPr>
            <w:tcW w:w="5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1,110</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21,930</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106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182,192</w:t>
            </w:r>
          </w:p>
        </w:tc>
        <w:tc>
          <w:tcPr>
            <w:tcW w:w="54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38,750</w:t>
            </w:r>
          </w:p>
        </w:tc>
        <w:tc>
          <w:tcPr>
            <w:tcW w:w="5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90,201</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311,143</w:t>
            </w:r>
          </w:p>
        </w:tc>
      </w:tr>
    </w:tbl>
    <w:p>
      <w:pPr>
        <w:spacing w:after="0" w:line="391" w:lineRule="exact"/>
        <w:rPr>
          <w:sz w:val="20"/>
          <w:szCs w:val="20"/>
          <w:color w:val="auto"/>
        </w:rPr>
      </w:pPr>
    </w:p>
    <w:p>
      <w:pPr>
        <w:ind w:left="500" w:right="3700"/>
        <w:spacing w:after="0" w:line="236" w:lineRule="auto"/>
        <w:rPr>
          <w:sz w:val="20"/>
          <w:szCs w:val="20"/>
          <w:color w:val="auto"/>
        </w:rPr>
      </w:pPr>
      <w:r>
        <w:rPr>
          <w:rFonts w:ascii="Courier New" w:cs="Courier New" w:eastAsia="Courier New" w:hAnsi="Courier New"/>
          <w:sz w:val="17"/>
          <w:szCs w:val="17"/>
          <w:color w:val="auto"/>
        </w:rPr>
        <w:t>Certain prior year information has been reclassified to conform to the current year presentation.</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1220"/>
          </w:cols>
          <w:pgMar w:left="240" w:top="881" w:right="4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Item 2.</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 AND</w:t>
      </w:r>
    </w:p>
    <w:p>
      <w:pPr>
        <w:jc w:val="center"/>
        <w:ind w:right="2099"/>
        <w:spacing w:after="0"/>
        <w:rPr>
          <w:sz w:val="20"/>
          <w:szCs w:val="20"/>
          <w:color w:val="auto"/>
        </w:rPr>
      </w:pPr>
      <w:r>
        <w:rPr>
          <w:rFonts w:ascii="Courier New" w:cs="Courier New" w:eastAsia="Courier New" w:hAnsi="Courier New"/>
          <w:sz w:val="17"/>
          <w:szCs w:val="17"/>
          <w:color w:val="auto"/>
        </w:rPr>
        <w:t>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INFORMATION</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Certain of the matters discussed in this report are "forward looking statements," as defined in the Private Securities Litigation Reform Act of 1995, which involve risks and uncertainties, including, but not limited to, reactions to actual or threatened terrorist attacks, the availability and price of fuel, a significant increase in interest rates, a slowdown in the economy, availability of chassis, slower than anticipated sales of new or existing products, new products introduced by competitors, collections of dealer receivables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preparing the consolidated financial statements, we follow accounting principles generally accepted in the United States of America, which in many cases require us to make assumptions, estimates and judgments that affect the amounts reported. Many of these policies are straightforward. There are, however, a few policies that are critical because they are important in determining the financial condition and results of operations and they can be difficult to apply. These policies were selected because they involve additional management judgment due to the sensitivity of the methods, assumptions and estimates necessary in determining the related income statement, asset and/or liability amounts.</w:t>
      </w:r>
    </w:p>
    <w:p>
      <w:pPr>
        <w:spacing w:after="0" w:line="202"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The Company had reserves for numerous loss exposures, such as product liability, litigation and accounts receivable. The Company also has loss exposure on loan guarantees and repurchase agreements (see Note 5 of Unaudited Condensed Notes to Consolidated Financial Statements).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Thirteen Weeks Ended March 2, 2002 Compared to Thirteen Weeks Ended February 24, 2001</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Net revenues for recreation vehicle and other manufactured products for the 13 weeks ended March 2, 2002 were $183,465,000, an increase of $42,145,000, or 29.8 percent from the 13-week period ended February 24, 2001. Motor home unit sales (Class A and C) were 2,448, an increase of 644 units, or 35.7 percent, during the second quarter of fiscal 2002 compared to the second quarter of fiscal 2001. The percentage increase in net revenue dollars in the second quarter of fiscal 2002 was lower than the percentage increase in motor home unit sales for that period as a result of the excellent acceptance of the Company's new lower priced 2002 motor homes in the Class A and Class C segments. The Company believes that lower interest rates and more favorable general economic conditions contributed to the improvement in revenues.</w:t>
      </w:r>
    </w:p>
    <w:p>
      <w:pPr>
        <w:spacing w:after="0" w:line="203"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Net revenues for dealer financing of Winnebago Acceptance Corporation (WAC) were $704,000 for the 13 weeks ended March 2, 2002; a decrease of $507,000 or 41.9 percent from the 13-week period ended February 24, 2001. A significant reduction in interest rates and to a much lesser extent, a reduction in average borrowings contributed to the decrease when comparing the two quarters.</w:t>
      </w:r>
    </w:p>
    <w:p>
      <w:pPr>
        <w:spacing w:after="0" w:line="18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Gross profit, as a percent of net revenues, was 13.1 percent for the 13 weeks ended March 2, 2002 compared to 11.9 percent for the 13 weeks ended February 24, 2001. The Company's gross profit was higher due primarily to increased volumes of motor home production and shipments.</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81" w:right="1440" w:bottom="1440" w:gutter="0" w:footer="0" w:header="0"/>
        </w:sectPr>
      </w:pPr>
    </w:p>
    <w:bookmarkStart w:id="11" w:name="page12"/>
    <w:bookmarkEnd w:id="11"/>
    <w:p>
      <w:pPr>
        <w:ind w:right="2199"/>
        <w:spacing w:after="0" w:line="256" w:lineRule="auto"/>
        <w:rPr>
          <w:sz w:val="20"/>
          <w:szCs w:val="20"/>
          <w:color w:val="auto"/>
        </w:rPr>
      </w:pPr>
      <w:r>
        <w:rPr>
          <w:rFonts w:ascii="Courier New" w:cs="Courier New" w:eastAsia="Courier New" w:hAnsi="Courier New"/>
          <w:sz w:val="16"/>
          <w:szCs w:val="16"/>
          <w:color w:val="auto"/>
        </w:rPr>
        <w:t>Selling expenses were $5,607,000 or 3.0 percent of net revenues during the second quarter of fiscal 2002 compared to $5,306,000 or 3.7 percent of net revenues during the second quarter of fiscal 2001. The increase in dollars when comparing the two quarters resulted from primarily larger advertising expenses during the second quarter of fiscal 2002. Increased sales volume was the primary cause of the reduction in percentage during the second quarter of fiscal 2002.</w:t>
      </w:r>
    </w:p>
    <w:p>
      <w:pPr>
        <w:spacing w:after="0" w:line="18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General and administrative expenses were $5,031,000 or 2.7 percent of net revenues during the 13 weeks ended March 2, 2002 compared to $3,146,000 or 2.2 percent of net revenues during the 13 weeks ended February 24, 2001. The increases in dollars and percentage when comparing the two quarters were primarily due to increases in employee incentive programs and to a lesser extent increased legal reserves.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had net financial income of $912,000 for the second quarter of fiscal 2002 compared to net financial income of $901,000 for the comparable quarter of fiscal 2001. During the 13 weeks ended March 2, 2002, the Company recorded $918,000 of net interest income and losses of $6,000 in foreign currency transactions. During the 13 weeks ended February 24, 2001, the Company recorded $917,000 of net interest income and losses of $16,000 in foreign currency transactions. When comparing the two quarters, the average available cash for investing during the second quarter of fiscal 2002 was approximately twice as much as was available during the second quarter of fiscal 2001. However, the average rate the Company earned on its permitted investments, under the Company's investment policy, was approximately 50 percent of the average rate earned during the second quarter of fiscal 2001.</w:t>
      </w:r>
    </w:p>
    <w:p>
      <w:pPr>
        <w:spacing w:after="0" w:line="204"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The effective income tax rate decreased to 34.0 percent during the second quarter of fiscal 2002 from 34.6 percent during the second quarter of fiscal 2001.</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For the second quarter of fiscal 2002, the Company had net income of $9,448,000, or $.45 per diluted share compared to the second quarter of fiscal 2001's net income of $6,184,000, or $.30 per diluted share. Net income and earnings per diluted share increased by 52.8 percent and 50.0 percent, respectively, when comparing the second quarter of fiscal 2002 to the second quarter of fiscal 2001.</w:t>
      </w:r>
    </w:p>
    <w:p>
      <w:pPr>
        <w:spacing w:after="0" w:line="198"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7"/>
          <w:szCs w:val="17"/>
          <w:color w:val="auto"/>
        </w:rPr>
        <w:t>Twenty-Seven Weeks Ended March 2, 2002 Compared to Twenty-Six Weeks Ended February 24, 2001</w:t>
      </w:r>
    </w:p>
    <w:p>
      <w:pPr>
        <w:spacing w:after="0" w:line="199"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Net revenues for manufactured products for the 27 weeks ended March 2, 2002 were $361,634,000, an increase of $57,176,000, or 18.8 percent from the 26-week period ended February 24, 2001. Motor home unit sales (Class A and C) were 4,765 units, an increase of 764 units, or 19.1 percent during the 27 weeks ended March 2, 2002 when compared to the 26 weeks ended February 24, 2001. The Company feels the increases and growth were the result of the excellent acceptance of its new products and the continued reduction of interest rates.</w:t>
      </w:r>
    </w:p>
    <w:p>
      <w:pPr>
        <w:spacing w:after="0" w:line="18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Net revenues for dealer financing of WAC were $1,648,000 for the 27 weeks ended March 2, 2002; a decrease of $591,000 or 26.4 percent from the 26-week period ended February 24, 2001. Decreased revenues for dealer financing reflect a decrease of interest rates partially offset by higher average borrowings when comparing the 27 weeks ended March 2, 2002 to the 26 weeks ended February 24, 2001.</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Gross profit, as a percent of net revenue, was 13.7 percent for the 27 weeks ended March 2, 2002 compared to 12.8 percent for the 26 weeks ended February 24, 2001. The Company's higher margins were due primarily to increased volumes of motor home production and shipments.</w:t>
      </w:r>
    </w:p>
    <w:p>
      <w:pPr>
        <w:spacing w:after="0" w:line="200"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Selling expenses were $11,735,000, or 3.2 percent of net revenues during the 27 weeks ended March 2, 2002 compared to $11,409,000, or 3.7 percent of net revenues during the 26 weeks ended February 24, 2001. The increase in selling expense dollars when comparing the two periods consisted primarily of higher advertising expenses during the fiscal 2002 period. Increased sales volume was the primary cause of the reduction in percentage during the fiscal 2002 period.</w:t>
      </w:r>
    </w:p>
    <w:p>
      <w:pPr>
        <w:spacing w:after="0" w:line="189"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General and administrative expenses were $9,135,000 or 2.5 percent of net revenues during the 27 weeks ended March 2, 2002 compared to $5,910,000, or 1.9 of net revenues during the 26 weeks ended February 24, 2001.</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87" w:right="1440" w:bottom="113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7"/>
          <w:szCs w:val="17"/>
          <w:color w:val="auto"/>
        </w:rPr>
        <w:t>The increases in dollars and percentage when comparing the two periods were primarily due to increases in employee incentive programs and to a lesser extent increased legal reserves.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net financial income of $1,804,000 for the 27 weeks ended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2002 compared to net financial income of $1,872,000 for the 26 weeks ended</w:t>
      </w:r>
    </w:p>
    <w:p>
      <w:pPr>
        <w:spacing w:after="0"/>
        <w:rPr>
          <w:sz w:val="20"/>
          <w:szCs w:val="20"/>
          <w:color w:val="auto"/>
        </w:rPr>
      </w:pPr>
      <w:r>
        <w:rPr>
          <w:rFonts w:ascii="Courier New" w:cs="Courier New" w:eastAsia="Courier New" w:hAnsi="Courier New"/>
          <w:sz w:val="17"/>
          <w:szCs w:val="17"/>
          <w:color w:val="auto"/>
        </w:rPr>
        <w:t>February 24, 2001. During the fiscal 2002 period, the Company recorded</w:t>
      </w:r>
    </w:p>
    <w:p>
      <w:pPr>
        <w:spacing w:after="0"/>
        <w:rPr>
          <w:sz w:val="20"/>
          <w:szCs w:val="20"/>
          <w:color w:val="auto"/>
        </w:rPr>
      </w:pPr>
      <w:r>
        <w:rPr>
          <w:rFonts w:ascii="Courier New" w:cs="Courier New" w:eastAsia="Courier New" w:hAnsi="Courier New"/>
          <w:sz w:val="17"/>
          <w:szCs w:val="17"/>
          <w:color w:val="auto"/>
        </w:rPr>
        <w:t>$1,826,000 of net interest income and losses of $22,000 in foreign currency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During the fiscal 2001 period, the Company recorded $1,869,000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interest income and gains of $3,000 in foreign currency transactions. When</w:t>
      </w:r>
    </w:p>
    <w:p>
      <w:pPr>
        <w:spacing w:after="0"/>
        <w:rPr>
          <w:sz w:val="20"/>
          <w:szCs w:val="20"/>
          <w:color w:val="auto"/>
        </w:rPr>
      </w:pPr>
      <w:r>
        <w:rPr>
          <w:rFonts w:ascii="Courier New" w:cs="Courier New" w:eastAsia="Courier New" w:hAnsi="Courier New"/>
          <w:sz w:val="17"/>
          <w:szCs w:val="17"/>
          <w:color w:val="auto"/>
        </w:rPr>
        <w:t>comparing the two periods, the average available cash for investing during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2002 was approximately twice as much as was available during fiscal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the average rate the Company earned on its permitted investments, 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Company's investment policy, was approximately 50 percent of the average</w:t>
      </w:r>
    </w:p>
    <w:p>
      <w:pPr>
        <w:spacing w:after="0"/>
        <w:rPr>
          <w:sz w:val="20"/>
          <w:szCs w:val="20"/>
          <w:color w:val="auto"/>
        </w:rPr>
      </w:pPr>
      <w:r>
        <w:rPr>
          <w:rFonts w:ascii="Courier New" w:cs="Courier New" w:eastAsia="Courier New" w:hAnsi="Courier New"/>
          <w:sz w:val="17"/>
          <w:szCs w:val="17"/>
          <w:color w:val="auto"/>
        </w:rPr>
        <w:t>rate earned during the fiscal 2001 period.</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effective income tax rate increased to 34.0 percent during the 27 weeks ended March 2, 2002 from 33.7 percent during the 26 weeks ended February 24, 2001. The primary reason for the increase was due to higher provisions for state income taxes during the 27 weeks ended March 2, 2002.</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At the start of fiscal 2001, the Company elected to adopt SAB No. 101 issued by the SEC in December 1999. SAB No. 101 set forth the views of the SEC staff concerning revenue recognition. As a result of SAB No. 101, the Company began recording revenue upon receipt of products by the Company's dealers rather than upon shipment by the Company. Adoption of SAB No. 101 during the 26 weeks ended February 24, 2001 resulted in a negative adjustment to the Company's income of $1,050,000, or $.05 per diluted share.</w:t>
      </w:r>
    </w:p>
    <w:p>
      <w:pPr>
        <w:spacing w:after="0" w:line="19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For the 27 weeks ended March 2, 2002, the Company had net income of $20,158,000, or $.95 per diluted share compared to the 26 weeks ended February 24, 2001's net income of $14,730,000, or $.70 per diluted share. Net income and earnings per diluted share increased by 36.9 percent and 35.7 percent, respectively, when comparing the fiscal 2002 period to the fiscal 2001 period.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FINANCIAL CONDITION</w:t>
      </w:r>
    </w:p>
    <w:p>
      <w:pPr>
        <w:spacing w:after="0" w:line="198"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The Company generally meets its working capital, capital equipment and cash requirements with funds generated from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March 2, 2002, working capital was $196,422,000, an increase of</w:t>
      </w:r>
    </w:p>
    <w:p>
      <w:pPr>
        <w:spacing w:after="0" w:line="6"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$22,174,000 from the amount at August 25, 2001. The Company's principal uses of cash during the 27 weeks ended March 2, 2002 were $4,078,000 for the purchase of shares of the Company's Common Stock, $3,666,000 for the purchase of property and equipment and $2,075,000 for the payment of cash dividends. The Company's sources and uses of cash during the 27 weeks ended March 2, 2002 are set forth in the unaudited consolidated condensed statement of cash flows for that period.</w:t>
      </w:r>
    </w:p>
    <w:p>
      <w:pPr>
        <w:spacing w:after="0" w:line="189"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Principal known demands at March 2, 2002 on the Company's liquid assets for the remainder of fiscal 2002 include capital expenditures of approximately $14,000,000 and the payment of cash dividends.</w:t>
      </w:r>
    </w:p>
    <w:p>
      <w:pPr>
        <w:spacing w:after="0" w:line="200" w:lineRule="exact"/>
        <w:rPr>
          <w:sz w:val="20"/>
          <w:szCs w:val="20"/>
          <w:color w:val="auto"/>
        </w:rPr>
      </w:pPr>
    </w:p>
    <w:p>
      <w:pPr>
        <w:ind w:right="2499"/>
        <w:spacing w:after="0" w:line="262"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QUANTITATIVE AND QUALITATIVE DISCLOSURES ABOUT MARKET RISK</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As of March 2, 2002, the Company has an investment portfolio of fixed income securities, which are classified as cash and cash equivalents of $134,477,000. These securities, like all fixed income investments, are subject to interest rate risk and will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189"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As of March 2, 2002, the Company has dealer-financing receivables in the amount of $38,180,000. Interest rates charged on these receivables vary based on the prime rate.</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COMPANY OUTLOOK</w:t>
      </w:r>
    </w:p>
    <w:p>
      <w:pPr>
        <w:spacing w:after="0" w:line="198"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Studies show that the Company's prime target market of people 50 years of age and older will continue to increase by over 4 million a year through the year 2030. Order backlog for the Company's Class A and Class C motor homes was approximately 3,200 orders at March 2, 2002, an increase of 106.5 percent over sales order backlog of approximately 1,550 orders at February 24, 2001.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8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INDEPENDENT ACCOUNTANTS' REPORT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of</w:t>
      </w:r>
    </w:p>
    <w:p>
      <w:pPr>
        <w:spacing w:after="0"/>
        <w:rPr>
          <w:sz w:val="20"/>
          <w:szCs w:val="20"/>
          <w:color w:val="auto"/>
        </w:rPr>
      </w:pPr>
      <w:r>
        <w:rPr>
          <w:rFonts w:ascii="Courier New" w:cs="Courier New" w:eastAsia="Courier New" w:hAnsi="Courier New"/>
          <w:sz w:val="17"/>
          <w:szCs w:val="17"/>
          <w:color w:val="auto"/>
        </w:rPr>
        <w:t>Winnebago Industries, Inc.</w:t>
      </w:r>
    </w:p>
    <w:p>
      <w:pPr>
        <w:spacing w:after="0"/>
        <w:rPr>
          <w:sz w:val="20"/>
          <w:szCs w:val="20"/>
          <w:color w:val="auto"/>
        </w:rPr>
      </w:pPr>
      <w:r>
        <w:rPr>
          <w:rFonts w:ascii="Courier New" w:cs="Courier New" w:eastAsia="Courier New" w:hAnsi="Courier New"/>
          <w:sz w:val="17"/>
          <w:szCs w:val="17"/>
          <w:color w:val="auto"/>
        </w:rPr>
        <w:t>Forest City, Iowa</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We have reviewed the accompanying condensed consolidated balance sheet of Winnebago Industries, Inc. and subsidiaries (the Company) as of March 2, 2002, and the related condensed consolidated statements of income and cash flows for the 13-week and 27-week periods ended March 2, 2002 and 13-week and 26-week periods ended February 24, 2001. These financial statements are the responsibility of the Company's management.</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20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We have previously audited, in accordance with generally accepted auditing standards, the consolidated balance sheet of the Company as of August 25, 2001, and the related consolidated statements of income, stockholders' equity, and cash flows for the year then ended (not presented herein); and in our report dated October 3, 2001, we expressed an unqualified opinion on those consolidated financial statements. In our opinion, the information set forth in the accompanying condensed consolidated balance sheet as of August 25, 2001 is fairly stated, in all material respects, in relation to the consolidated balance sheet from which it has been derived.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rPr>
          <w:sz w:val="20"/>
          <w:szCs w:val="20"/>
          <w:color w:val="auto"/>
        </w:rPr>
      </w:pPr>
      <w:r>
        <w:rPr>
          <w:rFonts w:ascii="Courier New" w:cs="Courier New" w:eastAsia="Courier New" w:hAnsi="Courier New"/>
          <w:sz w:val="17"/>
          <w:szCs w:val="17"/>
          <w:color w:val="auto"/>
        </w:rPr>
        <w:t>Minneapolis, Minnesota</w:t>
      </w:r>
    </w:p>
    <w:p>
      <w:pPr>
        <w:spacing w:after="0"/>
        <w:rPr>
          <w:sz w:val="20"/>
          <w:szCs w:val="20"/>
          <w:color w:val="auto"/>
        </w:rPr>
      </w:pPr>
      <w:r>
        <w:rPr>
          <w:rFonts w:ascii="Courier New" w:cs="Courier New" w:eastAsia="Courier New" w:hAnsi="Courier New"/>
          <w:sz w:val="17"/>
          <w:szCs w:val="17"/>
          <w:color w:val="auto"/>
        </w:rPr>
        <w:t>April 8, 2002</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81" w:right="1440" w:bottom="1440" w:gutter="0" w:footer="0" w:header="0"/>
        </w:sectPr>
      </w:pPr>
    </w:p>
    <w:bookmarkStart w:id="15" w:name="page16"/>
    <w:bookmarkEnd w:id="15"/>
    <w:p>
      <w:pPr>
        <w:spacing w:after="0"/>
        <w:tabs>
          <w:tab w:leader="none" w:pos="8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3" w:lineRule="exact"/>
        <w:rPr>
          <w:sz w:val="20"/>
          <w:szCs w:val="20"/>
          <w:color w:val="auto"/>
        </w:rPr>
      </w:pPr>
    </w:p>
    <w:p>
      <w:pPr>
        <w:ind w:left="1400" w:hanging="495"/>
        <w:spacing w:after="0"/>
        <w:tabs>
          <w:tab w:leader="none" w:pos="1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shareholders was held January 15, 2002.</w:t>
      </w:r>
    </w:p>
    <w:p>
      <w:pPr>
        <w:spacing w:after="0" w:line="198" w:lineRule="exact"/>
        <w:rPr>
          <w:rFonts w:ascii="Courier New" w:cs="Courier New" w:eastAsia="Courier New" w:hAnsi="Courier New"/>
          <w:sz w:val="17"/>
          <w:szCs w:val="17"/>
          <w:color w:val="auto"/>
        </w:rPr>
      </w:pPr>
    </w:p>
    <w:p>
      <w:pPr>
        <w:ind w:left="1400" w:right="2299" w:hanging="495"/>
        <w:spacing w:after="0" w:line="236" w:lineRule="auto"/>
        <w:tabs>
          <w:tab w:leader="none" w:pos="1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breakdown of votes for the election of three directors was as follows*:</w:t>
      </w:r>
    </w:p>
    <w:p>
      <w:pPr>
        <w:spacing w:after="0" w:line="194"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7"/>
                <w:szCs w:val="17"/>
                <w:color w:val="auto"/>
              </w:rPr>
              <w:t>Votes Cast For</w:t>
            </w:r>
          </w:p>
        </w:tc>
        <w:tc>
          <w:tcPr>
            <w:tcW w:w="1960" w:type="dxa"/>
            <w:vAlign w:val="bottom"/>
          </w:tcPr>
          <w:p>
            <w:pPr>
              <w:ind w:left="160"/>
              <w:spacing w:after="0"/>
              <w:rPr>
                <w:sz w:val="20"/>
                <w:szCs w:val="20"/>
                <w:color w:val="auto"/>
              </w:rPr>
            </w:pPr>
            <w:r>
              <w:rPr>
                <w:rFonts w:ascii="Courier New" w:cs="Courier New" w:eastAsia="Courier New" w:hAnsi="Courier New"/>
                <w:sz w:val="17"/>
                <w:szCs w:val="17"/>
                <w:color w:val="auto"/>
                <w:w w:val="96"/>
              </w:rPr>
              <w:t>Authority Withheld</w:t>
            </w:r>
          </w:p>
        </w:tc>
      </w:tr>
      <w:tr>
        <w:trPr>
          <w:trHeight w:val="193"/>
        </w:trPr>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19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Gerald E. Boman</w:t>
            </w:r>
          </w:p>
        </w:tc>
        <w:tc>
          <w:tcPr>
            <w:tcW w:w="14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(2005)</w:t>
            </w:r>
          </w:p>
        </w:tc>
        <w:tc>
          <w:tcPr>
            <w:tcW w:w="1640" w:type="dxa"/>
            <w:vAlign w:val="bottom"/>
          </w:tcPr>
          <w:p>
            <w:pPr>
              <w:jc w:val="center"/>
              <w:spacing w:after="0"/>
              <w:rPr>
                <w:sz w:val="20"/>
                <w:szCs w:val="20"/>
                <w:color w:val="auto"/>
              </w:rPr>
            </w:pPr>
            <w:r>
              <w:rPr>
                <w:rFonts w:ascii="Courier New" w:cs="Courier New" w:eastAsia="Courier New" w:hAnsi="Courier New"/>
                <w:sz w:val="17"/>
                <w:szCs w:val="17"/>
                <w:color w:val="auto"/>
                <w:w w:val="97"/>
              </w:rPr>
              <w:t>19,479,389</w:t>
            </w:r>
          </w:p>
        </w:tc>
        <w:tc>
          <w:tcPr>
            <w:tcW w:w="19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36,142</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Jerry N. Currie</w:t>
            </w:r>
          </w:p>
        </w:tc>
        <w:tc>
          <w:tcPr>
            <w:tcW w:w="14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(2005)</w:t>
            </w:r>
          </w:p>
        </w:tc>
        <w:tc>
          <w:tcPr>
            <w:tcW w:w="1640" w:type="dxa"/>
            <w:vAlign w:val="bottom"/>
          </w:tcPr>
          <w:p>
            <w:pPr>
              <w:jc w:val="center"/>
              <w:spacing w:after="0"/>
              <w:rPr>
                <w:sz w:val="20"/>
                <w:szCs w:val="20"/>
                <w:color w:val="auto"/>
              </w:rPr>
            </w:pPr>
            <w:r>
              <w:rPr>
                <w:rFonts w:ascii="Courier New" w:cs="Courier New" w:eastAsia="Courier New" w:hAnsi="Courier New"/>
                <w:sz w:val="17"/>
                <w:szCs w:val="17"/>
                <w:color w:val="auto"/>
                <w:w w:val="97"/>
              </w:rPr>
              <w:t>19,495,995</w:t>
            </w:r>
          </w:p>
        </w:tc>
        <w:tc>
          <w:tcPr>
            <w:tcW w:w="19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19,537</w:t>
            </w:r>
          </w:p>
        </w:tc>
      </w:tr>
      <w:tr>
        <w:trPr>
          <w:trHeight w:val="193"/>
        </w:trPr>
        <w:tc>
          <w:tcPr>
            <w:tcW w:w="3020" w:type="dxa"/>
            <w:vAlign w:val="bottom"/>
            <w:gridSpan w:val="2"/>
          </w:tcPr>
          <w:p>
            <w:pPr>
              <w:spacing w:after="0"/>
              <w:rPr>
                <w:sz w:val="20"/>
                <w:szCs w:val="20"/>
                <w:color w:val="auto"/>
              </w:rPr>
            </w:pPr>
            <w:r>
              <w:rPr>
                <w:rFonts w:ascii="Courier New" w:cs="Courier New" w:eastAsia="Courier New" w:hAnsi="Courier New"/>
                <w:sz w:val="17"/>
                <w:szCs w:val="17"/>
                <w:color w:val="auto"/>
              </w:rPr>
              <w:t>Frederick M. Zimmerman (2005)</w:t>
            </w:r>
          </w:p>
        </w:tc>
        <w:tc>
          <w:tcPr>
            <w:tcW w:w="1640" w:type="dxa"/>
            <w:vAlign w:val="bottom"/>
          </w:tcPr>
          <w:p>
            <w:pPr>
              <w:jc w:val="center"/>
              <w:spacing w:after="0"/>
              <w:rPr>
                <w:sz w:val="20"/>
                <w:szCs w:val="20"/>
                <w:color w:val="auto"/>
              </w:rPr>
            </w:pPr>
            <w:r>
              <w:rPr>
                <w:rFonts w:ascii="Courier New" w:cs="Courier New" w:eastAsia="Courier New" w:hAnsi="Courier New"/>
                <w:sz w:val="17"/>
                <w:szCs w:val="17"/>
                <w:color w:val="auto"/>
                <w:w w:val="97"/>
              </w:rPr>
              <w:t>19,495,459</w:t>
            </w:r>
          </w:p>
        </w:tc>
        <w:tc>
          <w:tcPr>
            <w:tcW w:w="19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20,072</w:t>
            </w:r>
          </w:p>
        </w:tc>
      </w:tr>
    </w:tbl>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 There were no broker non-votes.</w:t>
      </w:r>
    </w:p>
    <w:p>
      <w:pPr>
        <w:spacing w:after="0" w:line="6" w:lineRule="exact"/>
        <w:rPr>
          <w:sz w:val="20"/>
          <w:szCs w:val="20"/>
          <w:color w:val="auto"/>
        </w:rPr>
      </w:pPr>
    </w:p>
    <w:p>
      <w:pPr>
        <w:ind w:left="1300" w:right="2799" w:hanging="395"/>
        <w:spacing w:after="0" w:line="236" w:lineRule="auto"/>
        <w:tabs>
          <w:tab w:leader="none" w:pos="11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Represents year of Annual Meeting that individual's term will expire.</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3" w:lineRule="exact"/>
        <w:rPr>
          <w:sz w:val="20"/>
          <w:szCs w:val="20"/>
          <w:color w:val="auto"/>
        </w:rPr>
      </w:pPr>
    </w:p>
    <w:p>
      <w:pPr>
        <w:ind w:left="1400" w:hanging="495"/>
        <w:spacing w:after="0"/>
        <w:tabs>
          <w:tab w:leader="none" w:pos="1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 See Exhibit Index on page 16.</w:t>
      </w:r>
    </w:p>
    <w:p>
      <w:pPr>
        <w:spacing w:after="0" w:line="198" w:lineRule="exact"/>
        <w:rPr>
          <w:rFonts w:ascii="Courier New" w:cs="Courier New" w:eastAsia="Courier New" w:hAnsi="Courier New"/>
          <w:sz w:val="17"/>
          <w:szCs w:val="17"/>
          <w:color w:val="auto"/>
        </w:rPr>
      </w:pPr>
    </w:p>
    <w:p>
      <w:pPr>
        <w:ind w:left="1400" w:right="2899" w:hanging="495"/>
        <w:spacing w:after="0" w:line="236" w:lineRule="auto"/>
        <w:tabs>
          <w:tab w:leader="none" w:pos="1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did not file any reports on Form 8-K during the period covered by this report.</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81" w:right="1440" w:bottom="1440" w:gutter="0" w:footer="0" w:header="0"/>
        </w:sectPr>
      </w:pPr>
    </w:p>
    <w:bookmarkStart w:id="16" w:name="page17"/>
    <w:bookmarkEnd w:id="16"/>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391"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WINNEBAGO INDUSTRIES, INC.</w:t>
      </w:r>
    </w:p>
    <w:p>
      <w:pPr>
        <w:spacing w:after="0" w:line="6"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881"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April 11,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D. Hertzke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D. Hertzke</w:t>
      </w:r>
    </w:p>
    <w:p>
      <w:pPr>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rPr>
          <w:sz w:val="20"/>
          <w:szCs w:val="20"/>
          <w:color w:val="auto"/>
        </w:rPr>
      </w:pPr>
      <w:r>
        <w:rPr>
          <w:rFonts w:ascii="Courier New" w:cs="Courier New" w:eastAsia="Courier New" w:hAnsi="Courier New"/>
          <w:sz w:val="17"/>
          <w:szCs w:val="17"/>
          <w:color w:val="auto"/>
        </w:rPr>
        <w:t>Officer, and President</w:t>
      </w:r>
    </w:p>
    <w:p>
      <w:pPr>
        <w:ind w:left="700"/>
        <w:spacing w:after="0"/>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ectPr>
          <w:pgSz w:w="11900" w:h="16838" w:orient="portrait"/>
          <w:cols w:equalWidth="0" w:num="3">
            <w:col w:w="400" w:space="100"/>
            <w:col w:w="2800" w:space="720"/>
            <w:col w:w="6199"/>
          </w:cols>
          <w:pgMar w:left="240" w:top="881" w:right="1440" w:bottom="1440" w:gutter="0" w:footer="0" w:header="0"/>
          <w:type w:val="continuous"/>
        </w:sect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April 11,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Edwin F. Barker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F. Barker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ectPr>
          <w:pgSz w:w="11900" w:h="16838" w:orient="portrait"/>
          <w:cols w:equalWidth="0" w:num="3">
            <w:col w:w="400" w:space="100"/>
            <w:col w:w="2800" w:space="720"/>
            <w:col w:w="6199"/>
          </w:cols>
          <w:pgMar w:left="240" w:top="881" w:right="1440" w:bottom="1440" w:gutter="0" w:footer="0" w:header="0"/>
          <w:type w:val="continuous"/>
        </w:sectPr>
      </w:pPr>
    </w:p>
    <w:p>
      <w:pPr>
        <w:spacing w:after="0" w:line="1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81" w:right="1440" w:bottom="1440" w:gutter="0" w:footer="0" w:header="0"/>
          <w:type w:val="continuous"/>
        </w:sectPr>
      </w:pPr>
    </w:p>
    <w:bookmarkStart w:id="17" w:name="page18"/>
    <w:bookmarkEnd w:id="17"/>
    <w:p>
      <w:pPr>
        <w:ind w:left="342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37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3b.</w:t>
      </w:r>
      <w:r>
        <w:rPr>
          <w:sz w:val="20"/>
          <w:szCs w:val="20"/>
          <w:color w:val="auto"/>
        </w:rPr>
        <w:tab/>
      </w:r>
      <w:r>
        <w:rPr>
          <w:rFonts w:ascii="Courier New" w:cs="Courier New" w:eastAsia="Courier New" w:hAnsi="Courier New"/>
          <w:sz w:val="17"/>
          <w:szCs w:val="17"/>
          <w:color w:val="auto"/>
        </w:rPr>
        <w:t>Amended Bylaws of the Registrant.</w:t>
      </w:r>
    </w:p>
    <w:p>
      <w:pPr>
        <w:spacing w:after="0" w:line="198" w:lineRule="exact"/>
        <w:rPr>
          <w:sz w:val="20"/>
          <w:szCs w:val="20"/>
          <w:color w:val="auto"/>
        </w:rPr>
      </w:pPr>
    </w:p>
    <w:p>
      <w:pPr>
        <w:ind w:left="900" w:right="2299" w:hanging="899"/>
        <w:spacing w:after="0" w:line="236" w:lineRule="auto"/>
        <w:tabs>
          <w:tab w:leader="none" w:pos="880" w:val="left"/>
        </w:tabs>
        <w:rPr>
          <w:sz w:val="20"/>
          <w:szCs w:val="20"/>
          <w:color w:val="auto"/>
        </w:rPr>
      </w:pPr>
      <w:r>
        <w:rPr>
          <w:rFonts w:ascii="Courier New" w:cs="Courier New" w:eastAsia="Courier New" w:hAnsi="Courier New"/>
          <w:sz w:val="17"/>
          <w:szCs w:val="17"/>
          <w:color w:val="auto"/>
        </w:rPr>
        <w:t>4b.</w:t>
      </w:r>
      <w:r>
        <w:rPr>
          <w:sz w:val="20"/>
          <w:szCs w:val="20"/>
          <w:color w:val="auto"/>
        </w:rPr>
        <w:tab/>
      </w:r>
      <w:r>
        <w:rPr>
          <w:rFonts w:ascii="Courier New" w:cs="Courier New" w:eastAsia="Courier New" w:hAnsi="Courier New"/>
          <w:sz w:val="17"/>
          <w:szCs w:val="17"/>
          <w:color w:val="auto"/>
        </w:rPr>
        <w:t>Letter of Intent dated March 1, 2002 among Winnebago Industries, Inc., Forest City Economic Development, and CDI, LLC.</w:t>
      </w:r>
    </w:p>
    <w:p>
      <w:pPr>
        <w:spacing w:after="0" w:line="199" w:lineRule="exact"/>
        <w:rPr>
          <w:sz w:val="20"/>
          <w:szCs w:val="20"/>
          <w:color w:val="auto"/>
        </w:rPr>
      </w:pPr>
    </w:p>
    <w:p>
      <w:pPr>
        <w:ind w:left="900" w:right="2399" w:hanging="899"/>
        <w:spacing w:after="0" w:line="236" w:lineRule="auto"/>
        <w:tabs>
          <w:tab w:leader="none" w:pos="880" w:val="left"/>
        </w:tabs>
        <w:rPr>
          <w:sz w:val="20"/>
          <w:szCs w:val="20"/>
          <w:color w:val="auto"/>
        </w:rPr>
      </w:pPr>
      <w:r>
        <w:rPr>
          <w:rFonts w:ascii="Courier New" w:cs="Courier New" w:eastAsia="Courier New" w:hAnsi="Courier New"/>
          <w:sz w:val="17"/>
          <w:szCs w:val="17"/>
          <w:color w:val="auto"/>
        </w:rPr>
        <w:t>10v.</w:t>
      </w:r>
      <w:r>
        <w:rPr>
          <w:sz w:val="20"/>
          <w:szCs w:val="20"/>
          <w:color w:val="auto"/>
        </w:rPr>
        <w:tab/>
      </w:r>
      <w:r>
        <w:rPr>
          <w:rFonts w:ascii="Courier New" w:cs="Courier New" w:eastAsia="Courier New" w:hAnsi="Courier New"/>
          <w:sz w:val="17"/>
          <w:szCs w:val="17"/>
          <w:color w:val="auto"/>
        </w:rPr>
        <w:t>Agreement dated March 13, 2002 between Winnebago Industries, Inc. and Bruce D. Hertzke.</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881" w:right="1440" w:bottom="1440" w:gutter="0" w:footer="0" w:header="0"/>
        </w:sectPr>
      </w:pPr>
    </w:p>
    <w:bookmarkStart w:id="18" w:name="page19"/>
    <w:bookmarkEnd w:id="18"/>
    <w:p>
      <w:pPr>
        <w:spacing w:after="0" w:line="4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EXHIBIT 3b.</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BY-LAWS</w:t>
      </w:r>
    </w:p>
    <w:p>
      <w:pPr>
        <w:jc w:val="center"/>
        <w:ind w:right="2199"/>
        <w:spacing w:after="0"/>
        <w:rPr>
          <w:sz w:val="20"/>
          <w:szCs w:val="20"/>
          <w:color w:val="auto"/>
        </w:rPr>
      </w:pPr>
      <w:r>
        <w:rPr>
          <w:rFonts w:ascii="Courier New" w:cs="Courier New" w:eastAsia="Courier New" w:hAnsi="Courier New"/>
          <w:sz w:val="17"/>
          <w:szCs w:val="17"/>
          <w:color w:val="auto"/>
        </w:rPr>
        <w:t>OF</w:t>
      </w:r>
    </w:p>
    <w:p>
      <w:pPr>
        <w:jc w:val="center"/>
        <w:ind w:right="2199"/>
        <w:spacing w:after="0"/>
        <w:rPr>
          <w:sz w:val="20"/>
          <w:szCs w:val="20"/>
          <w:color w:val="auto"/>
        </w:rPr>
      </w:pPr>
      <w:r>
        <w:rPr>
          <w:rFonts w:ascii="Courier New" w:cs="Courier New" w:eastAsia="Courier New" w:hAnsi="Courier New"/>
          <w:sz w:val="17"/>
          <w:szCs w:val="17"/>
          <w:color w:val="auto"/>
        </w:rPr>
        <w:t>WINNEBAGO INDUSTRIES, INC.</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AS AMENDED</w:t>
      </w:r>
    </w:p>
    <w:p>
      <w:pPr>
        <w:spacing w:after="0" w:line="386"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ARTICLE I. OFFICES</w:t>
      </w:r>
    </w:p>
    <w:p>
      <w:pPr>
        <w:spacing w:after="0" w:line="198"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The principal office of the Corporation in the State of Iowa, shall be located in the City of Forest City, County of Winnebago, State of Iowa.</w:t>
      </w:r>
    </w:p>
    <w:p>
      <w:pPr>
        <w:spacing w:after="0" w:line="199"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The Corporation may have such other offices, either within or without of the State of Iowa, as the Board of Directors may designate or as the business of the Corporation may require from time to time.</w:t>
      </w:r>
    </w:p>
    <w:p>
      <w:pPr>
        <w:spacing w:after="0" w:line="195"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ARTICLE II. SHAREHOLDERS</w:t>
      </w:r>
    </w:p>
    <w:p>
      <w:pPr>
        <w:spacing w:after="0" w:line="19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Annual Meeting</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Annual Meeting of the Shareholders shall be held on a date in the month of January of each year,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9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Notice of Shareholder Business and Nominations</w:t>
      </w:r>
    </w:p>
    <w:p>
      <w:pPr>
        <w:spacing w:after="0" w:line="198" w:lineRule="exact"/>
        <w:rPr>
          <w:sz w:val="20"/>
          <w:szCs w:val="20"/>
          <w:color w:val="auto"/>
        </w:rPr>
      </w:pPr>
    </w:p>
    <w:p>
      <w:pPr>
        <w:ind w:right="2299" w:firstLine="905"/>
        <w:spacing w:after="0" w:line="239" w:lineRule="auto"/>
        <w:tabs>
          <w:tab w:leader="none" w:pos="13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2 who is entitled to vote at the meeting and who complies with the notice procedures set forth in this Section 2.</w:t>
      </w:r>
    </w:p>
    <w:p>
      <w:pPr>
        <w:spacing w:after="0" w:line="200" w:lineRule="exact"/>
        <w:rPr>
          <w:rFonts w:ascii="Courier New" w:cs="Courier New" w:eastAsia="Courier New" w:hAnsi="Courier New"/>
          <w:sz w:val="17"/>
          <w:szCs w:val="17"/>
          <w:color w:val="auto"/>
        </w:rPr>
      </w:pPr>
    </w:p>
    <w:p>
      <w:pPr>
        <w:ind w:right="2199" w:firstLine="905"/>
        <w:spacing w:after="0" w:line="255" w:lineRule="auto"/>
        <w:tabs>
          <w:tab w:leader="none" w:pos="130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an annual meeting by a shareholder pursuant to clause (c) of Section 2(1) of these By-Laws,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of shareholders; provided, however, that in the event that the date of the annual meeting to which such shareholder's notice relates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first made by the Corporation. In no event shall the public announcement of an adjournment of an annual meeting commence a new time period for the giving of a shareholder's notice as described above. Such shareholder's notice shall set forth (a) as to each person whom the shareholder proposes to nominate for election or reelection as a director all information relating to such person that is required to be disclosed in solicitations of proxies for election of directors in an election contest, or is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required, in each case pursuant to Regulation 14A under the Securities Exchange Act of 1934 as amended (the "Exchange Act") and Rule 14a-11 thereunder (including such person's written consent to being named in the proxy statement as a nominee and to serving as a director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the beneficial owner, if any, on whose behalf the proposal is made; and (c) as to the shareholder giving the notice and the beneficial owner, if any, on whose behalf the nomination or proposal is made</w:t>
      </w:r>
    </w:p>
    <w:p>
      <w:pPr>
        <w:spacing w:after="0" w:line="2" w:lineRule="exact"/>
        <w:rPr>
          <w:sz w:val="20"/>
          <w:szCs w:val="20"/>
          <w:color w:val="auto"/>
        </w:rPr>
      </w:pPr>
    </w:p>
    <w:p>
      <w:pPr>
        <w:ind w:right="2299" w:firstLine="3"/>
        <w:spacing w:after="0" w:line="238" w:lineRule="auto"/>
        <w:tabs>
          <w:tab w:leader="none" w:pos="4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and address of such shareholder, as they appear on the Corporation's books, and of such beneficial owner and (ii) the class and number of shares of the Corporation which are owned beneficially and of record by such shareholder and such beneficial owner.</w:t>
      </w:r>
    </w:p>
    <w:p>
      <w:pPr>
        <w:spacing w:after="0" w:line="194"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ARTICLE III. BOARD OF DIRECTORS</w:t>
      </w:r>
    </w:p>
    <w:p>
      <w:pPr>
        <w:spacing w:after="0" w:line="19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General Powers</w:t>
      </w:r>
    </w:p>
    <w:p>
      <w:pPr>
        <w:sectPr>
          <w:pgSz w:w="11900" w:h="16886" w:orient="portrait"/>
          <w:cols w:equalWidth="0" w:num="1">
            <w:col w:w="10219"/>
          </w:cols>
          <w:pgMar w:left="240" w:top="136" w:right="1440" w:bottom="0" w:gutter="0" w:footer="0" w:header="0"/>
        </w:sectPr>
      </w:pPr>
    </w:p>
    <w:bookmarkStart w:id="19" w:name="page20"/>
    <w:bookmarkEnd w:id="19"/>
    <w:p>
      <w:pPr>
        <w:ind w:right="2499" w:firstLine="902"/>
        <w:spacing w:after="0" w:line="236" w:lineRule="auto"/>
        <w:rPr>
          <w:sz w:val="20"/>
          <w:szCs w:val="20"/>
          <w:color w:val="auto"/>
        </w:rPr>
      </w:pPr>
      <w:r>
        <w:rPr>
          <w:rFonts w:ascii="Courier New" w:cs="Courier New" w:eastAsia="Courier New" w:hAnsi="Courier New"/>
          <w:sz w:val="17"/>
          <w:szCs w:val="17"/>
          <w:color w:val="auto"/>
        </w:rPr>
        <w:t>The business and affairs of this Corporation shall be managed by its Board of Directors.</w:t>
      </w:r>
    </w:p>
    <w:p>
      <w:pPr>
        <w:spacing w:after="0" w:line="19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Number, Tenure and Qualifications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number of directors constituting the Board of Directors of the Corporation shall be not more than fifteen (15) and not less than three (3), the precise number to be determined by resolution of the Board of Directors from time to time. Effective with the election of the directors at the annual meeting of shareholders to be held in 2000, the directors shall be classified, with respect to the time for which they severally hold office, into three classes, as nearly equal in number as possible, with the Board of Directors consisting of eight (8) members existing at the time of the annual meeting of shareholders to be held in 2000 to be classified as follows: Two directors to hold office initially for a term expiring at the annual meeting of shareholders to be held in 2001,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20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3.</w:t>
      </w:r>
      <w:r>
        <w:rPr>
          <w:sz w:val="20"/>
          <w:szCs w:val="20"/>
          <w:color w:val="auto"/>
        </w:rPr>
        <w:tab/>
      </w:r>
      <w:r>
        <w:rPr>
          <w:rFonts w:ascii="Courier New" w:cs="Courier New" w:eastAsia="Courier New" w:hAnsi="Courier New"/>
          <w:sz w:val="16"/>
          <w:szCs w:val="16"/>
          <w:color w:val="auto"/>
        </w:rPr>
        <w:t>Regular Meetings</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9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4.</w:t>
      </w:r>
      <w:r>
        <w:rPr>
          <w:sz w:val="20"/>
          <w:szCs w:val="20"/>
          <w:color w:val="auto"/>
        </w:rPr>
        <w:tab/>
      </w:r>
      <w:r>
        <w:rPr>
          <w:rFonts w:ascii="Courier New" w:cs="Courier New" w:eastAsia="Courier New" w:hAnsi="Courier New"/>
          <w:sz w:val="16"/>
          <w:szCs w:val="16"/>
          <w:color w:val="auto"/>
        </w:rPr>
        <w:t>Special Meetings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ectPr>
          <w:pgSz w:w="11900" w:h="16838" w:orient="portrait"/>
          <w:cols w:equalWidth="0" w:num="1">
            <w:col w:w="10219"/>
          </w:cols>
          <w:pgMar w:left="240" w:top="334" w:right="1440" w:bottom="1440" w:gutter="0" w:footer="0" w:header="0"/>
        </w:sectPr>
      </w:pPr>
    </w:p>
    <w:bookmarkStart w:id="20" w:name="page21"/>
    <w:bookmarkEnd w:id="20"/>
    <w:p>
      <w:pPr>
        <w:spacing w:after="0"/>
        <w:tabs>
          <w:tab w:leader="none" w:pos="1380" w:val="left"/>
        </w:tabs>
        <w:rPr>
          <w:sz w:val="20"/>
          <w:szCs w:val="20"/>
          <w:color w:val="auto"/>
        </w:rPr>
      </w:pPr>
      <w:r>
        <w:rPr>
          <w:rFonts w:ascii="Courier New" w:cs="Courier New" w:eastAsia="Courier New" w:hAnsi="Courier New"/>
          <w:sz w:val="17"/>
          <w:szCs w:val="17"/>
          <w:color w:val="auto"/>
        </w:rPr>
        <w:t>Section 5.</w:t>
      </w:r>
      <w:r>
        <w:rPr>
          <w:sz w:val="20"/>
          <w:szCs w:val="20"/>
          <w:color w:val="auto"/>
        </w:rPr>
        <w:tab/>
      </w:r>
      <w:r>
        <w:rPr>
          <w:rFonts w:ascii="Courier New" w:cs="Courier New" w:eastAsia="Courier New" w:hAnsi="Courier New"/>
          <w:sz w:val="16"/>
          <w:szCs w:val="16"/>
          <w:color w:val="auto"/>
        </w:rPr>
        <w:t>Notice of Meetings</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6.</w:t>
      </w:r>
      <w:r>
        <w:rPr>
          <w:sz w:val="20"/>
          <w:szCs w:val="20"/>
          <w:color w:val="auto"/>
        </w:rPr>
        <w:tab/>
      </w:r>
      <w:r>
        <w:rPr>
          <w:rFonts w:ascii="Courier New" w:cs="Courier New" w:eastAsia="Courier New" w:hAnsi="Courier New"/>
          <w:sz w:val="16"/>
          <w:szCs w:val="16"/>
          <w:color w:val="auto"/>
        </w:rPr>
        <w:t>Committees</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19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ARTICLE IV. OFFICERS</w:t>
      </w:r>
    </w:p>
    <w:p>
      <w:pPr>
        <w:spacing w:after="0" w:line="19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Number</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19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Election and Term of Office</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9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ARTICLE V. FISCAL YEAR</w:t>
      </w:r>
    </w:p>
    <w:p>
      <w:pPr>
        <w:spacing w:after="0" w:line="198" w:lineRule="exact"/>
        <w:rPr>
          <w:sz w:val="20"/>
          <w:szCs w:val="20"/>
          <w:color w:val="auto"/>
        </w:rPr>
      </w:pPr>
    </w:p>
    <w:p>
      <w:pPr>
        <w:ind w:right="2799" w:firstLine="902"/>
        <w:spacing w:after="0" w:line="236" w:lineRule="auto"/>
        <w:rPr>
          <w:sz w:val="20"/>
          <w:szCs w:val="20"/>
          <w:color w:val="auto"/>
        </w:rPr>
      </w:pPr>
      <w:r>
        <w:rPr>
          <w:rFonts w:ascii="Courier New" w:cs="Courier New" w:eastAsia="Courier New" w:hAnsi="Courier New"/>
          <w:sz w:val="17"/>
          <w:szCs w:val="17"/>
          <w:color w:val="auto"/>
        </w:rPr>
        <w:t>The fiscal year of this Corporation shall begin on the 1st day of September and end on the last day of August, in each year.</w:t>
      </w:r>
    </w:p>
    <w:p>
      <w:pPr>
        <w:spacing w:after="0" w:line="194"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ARTICLE VI. AMENDMENTS</w:t>
      </w:r>
    </w:p>
    <w:p>
      <w:pPr>
        <w:spacing w:after="0" w:line="198"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19"/>
          </w:cols>
          <w:pgMar w:left="240" w:top="881" w:right="1440" w:bottom="1440" w:gutter="0" w:footer="0" w:header="0"/>
        </w:sectPr>
      </w:pPr>
    </w:p>
    <w:bookmarkStart w:id="21" w:name="page22"/>
    <w:bookmarkEnd w:id="21"/>
    <w:p>
      <w:pPr>
        <w:jc w:val="center"/>
        <w:ind w:right="2099"/>
        <w:spacing w:after="0"/>
        <w:rPr>
          <w:sz w:val="20"/>
          <w:szCs w:val="20"/>
          <w:color w:val="auto"/>
        </w:rPr>
      </w:pPr>
      <w:r>
        <w:rPr>
          <w:rFonts w:ascii="Courier New" w:cs="Courier New" w:eastAsia="Courier New" w:hAnsi="Courier New"/>
          <w:sz w:val="17"/>
          <w:szCs w:val="17"/>
          <w:color w:val="auto"/>
        </w:rPr>
        <w:t>PROPOSED AMENDMENT TO BY-LAWS</w:t>
      </w:r>
    </w:p>
    <w:p>
      <w:pPr>
        <w:jc w:val="center"/>
        <w:ind w:right="2199"/>
        <w:spacing w:after="0"/>
        <w:rPr>
          <w:sz w:val="20"/>
          <w:szCs w:val="20"/>
          <w:color w:val="auto"/>
        </w:rPr>
      </w:pPr>
      <w:r>
        <w:rPr>
          <w:rFonts w:ascii="Courier New" w:cs="Courier New" w:eastAsia="Courier New" w:hAnsi="Courier New"/>
          <w:sz w:val="17"/>
          <w:szCs w:val="17"/>
          <w:color w:val="auto"/>
        </w:rPr>
        <w:t>OF</w:t>
      </w:r>
    </w:p>
    <w:p>
      <w:pPr>
        <w:jc w:val="center"/>
        <w:ind w:right="2199"/>
        <w:spacing w:after="0"/>
        <w:rPr>
          <w:sz w:val="20"/>
          <w:szCs w:val="20"/>
          <w:color w:val="auto"/>
        </w:rPr>
      </w:pPr>
      <w:r>
        <w:rPr>
          <w:rFonts w:ascii="Courier New" w:cs="Courier New" w:eastAsia="Courier New" w:hAnsi="Courier New"/>
          <w:sz w:val="17"/>
          <w:szCs w:val="17"/>
          <w:color w:val="auto"/>
        </w:rPr>
        <w:t>WINNEBAGO INDUSTRIES,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III, Section 2 of the By-Laws currently reads as follows:</w:t>
      </w:r>
    </w:p>
    <w:p>
      <w:pPr>
        <w:spacing w:after="0" w:line="193"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Number, Tenure and Qualifications</w:t>
      </w:r>
    </w:p>
    <w:p>
      <w:pPr>
        <w:spacing w:after="0" w:line="198" w:lineRule="exact"/>
        <w:rPr>
          <w:sz w:val="20"/>
          <w:szCs w:val="20"/>
          <w:color w:val="auto"/>
        </w:rPr>
      </w:pPr>
    </w:p>
    <w:p>
      <w:pPr>
        <w:ind w:right="2299" w:firstLine="1102"/>
        <w:spacing w:after="0" w:line="239" w:lineRule="auto"/>
        <w:rPr>
          <w:sz w:val="20"/>
          <w:szCs w:val="20"/>
          <w:color w:val="auto"/>
        </w:rPr>
      </w:pPr>
      <w:r>
        <w:rPr>
          <w:rFonts w:ascii="Courier New" w:cs="Courier New" w:eastAsia="Courier New" w:hAnsi="Courier New"/>
          <w:sz w:val="17"/>
          <w:szCs w:val="17"/>
          <w:color w:val="auto"/>
        </w:rPr>
        <w:t>The number of directors constituting the Board of Directors of the Corporation shall be eight (8) until increased or decreased by proper amendment thereto. Each director shall hold office until the next annual meeting of the shareholders and until his successor shall have been elected and qualified. Directors need not be residents of the State of Iowa nor shareholders of the Corporation."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Proposed new Article III, Section 2:</w:t>
      </w:r>
    </w:p>
    <w:p>
      <w:pPr>
        <w:spacing w:after="0" w:line="193"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Number, Tenure and Qualifications</w:t>
      </w:r>
    </w:p>
    <w:p>
      <w:pPr>
        <w:spacing w:after="0" w:line="198"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The number of directors constituting the Board of Directors of the Corporation shall be not more than fifteen (15) and not less than three (3), the precise number to be determined by resolution of the Board of Directors from time to time. Effective with the election of the directors at the annual meeting of shareholders to be held in 2000, the directors shall be classified, with respect to the time for which they severally hold office, into three classes, as nearly equal in number as possible, with the Board of Directors consisting of eight (8) members existing at the time of the annual meeting of shareholders to be held in 2000 to be classified as follows: Two directors to hold office initially for a term expiring at the annual meeting of shareholders to be held in 2001,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ectPr>
          <w:pgSz w:w="11900" w:h="16838" w:orient="portrait"/>
          <w:cols w:equalWidth="0" w:num="1">
            <w:col w:w="10219"/>
          </w:cols>
          <w:pgMar w:left="240" w:top="881" w:right="1440" w:bottom="1440" w:gutter="0" w:footer="0" w:header="0"/>
        </w:sectPr>
      </w:pPr>
    </w:p>
    <w:bookmarkStart w:id="22" w:name="page23"/>
    <w:bookmarkEnd w:id="22"/>
    <w:p>
      <w:pPr>
        <w:ind w:left="3520"/>
        <w:spacing w:after="0"/>
        <w:rPr>
          <w:sz w:val="20"/>
          <w:szCs w:val="20"/>
          <w:color w:val="auto"/>
        </w:rPr>
      </w:pPr>
      <w:r>
        <w:rPr>
          <w:rFonts w:ascii="Courier New" w:cs="Courier New" w:eastAsia="Courier New" w:hAnsi="Courier New"/>
          <w:sz w:val="17"/>
          <w:szCs w:val="17"/>
          <w:color w:val="auto"/>
        </w:rPr>
        <w:t>EXHIBIT 4b.</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[LOGO] MBT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Manufacturers Bank &amp; Trust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5, 2002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Hertzke, President &amp; CEO</w:t>
      </w:r>
    </w:p>
    <w:p>
      <w:pPr>
        <w:spacing w:after="0"/>
        <w:rPr>
          <w:sz w:val="20"/>
          <w:szCs w:val="20"/>
          <w:color w:val="auto"/>
        </w:rPr>
      </w:pPr>
      <w:r>
        <w:rPr>
          <w:rFonts w:ascii="Courier New" w:cs="Courier New" w:eastAsia="Courier New" w:hAnsi="Courier New"/>
          <w:sz w:val="17"/>
          <w:szCs w:val="17"/>
          <w:color w:val="auto"/>
        </w:rPr>
        <w:t>Winnebago Industries</w:t>
      </w:r>
    </w:p>
    <w:p>
      <w:pPr>
        <w:spacing w:after="0"/>
        <w:rPr>
          <w:sz w:val="20"/>
          <w:szCs w:val="20"/>
          <w:color w:val="auto"/>
        </w:rPr>
      </w:pPr>
      <w:r>
        <w:rPr>
          <w:rFonts w:ascii="Courier New" w:cs="Courier New" w:eastAsia="Courier New" w:hAnsi="Courier New"/>
          <w:sz w:val="17"/>
          <w:szCs w:val="17"/>
          <w:color w:val="auto"/>
        </w:rPr>
        <w:t>P.O. Box 474</w:t>
      </w:r>
    </w:p>
    <w:p>
      <w:pPr>
        <w:spacing w:after="0"/>
        <w:rPr>
          <w:sz w:val="20"/>
          <w:szCs w:val="20"/>
          <w:color w:val="auto"/>
        </w:rPr>
      </w:pPr>
      <w:r>
        <w:rPr>
          <w:rFonts w:ascii="Courier New" w:cs="Courier New" w:eastAsia="Courier New" w:hAnsi="Courier New"/>
          <w:sz w:val="17"/>
          <w:szCs w:val="17"/>
          <w:color w:val="auto"/>
        </w:rPr>
        <w:t>Forest City, IA 50436</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LETTER OF INTENT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Bruce:</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Manufacturers Bank (MBT) is considering a loan to Forest City Economic Development., Inc. The loan is for 95% of the project cost ($2.2 Mil. of $2.325 Mil.). It is illegal and presents unacceptable risk to make a loan of this type. Therefore, Forest City Economic Development, Inc., through MBT, requests that Winnebago Industries guarantee a portion of the loan and pledge a C.D. as additional collateral.</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 consideration of a loan by MBT to Forest City Economic Development, Inc. in the amount of $2.2 Mil. to build a painting facility, Winnebago Industries agrees to pledge a $500,000 certificate of deposit at MBT and guarantee any loan balances over $1,500,000.</w:t>
      </w:r>
    </w:p>
    <w:p>
      <w:pPr>
        <w:spacing w:after="0" w:line="200"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In the event of termination of CDI, or default on the MBT loan, Winnebago Industries will buy the property at the pay-off balance or assume the Capital Lease between FCED and CDI.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hanging="197"/>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11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 David L. Kingland President/CEO</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agree substantially to these terms.</w:t>
      </w:r>
    </w:p>
    <w:p>
      <w:pPr>
        <w:spacing w:after="0" w:line="200" w:lineRule="exact"/>
        <w:rPr>
          <w:sz w:val="20"/>
          <w:szCs w:val="20"/>
          <w:color w:val="auto"/>
        </w:rPr>
      </w:pPr>
    </w:p>
    <w:p>
      <w:pPr>
        <w:spacing w:after="0" w:line="378" w:lineRule="exact"/>
        <w:rPr>
          <w:sz w:val="20"/>
          <w:szCs w:val="20"/>
          <w:color w:val="auto"/>
        </w:rPr>
      </w:pPr>
    </w:p>
    <w:p>
      <w:pPr>
        <w:ind w:left="200" w:hanging="197"/>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right="891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Bruce Hertzke President/CEO</w:t>
      </w:r>
    </w:p>
    <w:p>
      <w:pPr>
        <w:sectPr>
          <w:pgSz w:w="11900" w:h="16838" w:orient="portrait"/>
          <w:cols w:equalWidth="0" w:num="1">
            <w:col w:w="10219"/>
          </w:cols>
          <w:pgMar w:left="240" w:top="136" w:right="1440" w:bottom="1440" w:gutter="0" w:footer="0" w:header="0"/>
        </w:sectPr>
      </w:pPr>
    </w:p>
    <w:bookmarkStart w:id="23" w:name="page24"/>
    <w:bookmarkEnd w:id="23"/>
    <w:p>
      <w:pPr>
        <w:ind w:left="3420"/>
        <w:spacing w:after="0"/>
        <w:rPr>
          <w:sz w:val="20"/>
          <w:szCs w:val="20"/>
          <w:color w:val="auto"/>
        </w:rPr>
      </w:pPr>
      <w:r>
        <w:rPr>
          <w:rFonts w:ascii="Courier New" w:cs="Courier New" w:eastAsia="Courier New" w:hAnsi="Courier New"/>
          <w:sz w:val="17"/>
          <w:szCs w:val="17"/>
          <w:color w:val="auto"/>
        </w:rPr>
        <w:t>EXHIBIT 10v.</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AGREEMENT</w:t>
      </w:r>
    </w:p>
    <w:p>
      <w:pPr>
        <w:spacing w:after="0" w:line="391"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This Agreement is made as of March 13, 2002, by and between Winnebago Industries, Inc., an Iowa corporation (the "Company") and Bruce D. Hertzke ("Hertzke").</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WHEREAS, Hertzke is Chairman of the Board, Chief Executive Officer and President of the Company and has made and is expected to continue to make major contributions to the profitability, growth and financial strength of the Company;</w:t>
      </w:r>
    </w:p>
    <w:p>
      <w:pPr>
        <w:spacing w:after="0" w:line="200" w:lineRule="exact"/>
        <w:rPr>
          <w:sz w:val="20"/>
          <w:szCs w:val="20"/>
          <w:color w:val="auto"/>
        </w:rPr>
      </w:pPr>
    </w:p>
    <w:p>
      <w:pPr>
        <w:jc w:val="both"/>
        <w:ind w:right="2499" w:firstLine="902"/>
        <w:spacing w:after="0" w:line="259" w:lineRule="auto"/>
        <w:rPr>
          <w:sz w:val="20"/>
          <w:szCs w:val="20"/>
          <w:color w:val="auto"/>
        </w:rPr>
      </w:pPr>
      <w:r>
        <w:rPr>
          <w:rFonts w:ascii="Courier New" w:cs="Courier New" w:eastAsia="Courier New" w:hAnsi="Courier New"/>
          <w:sz w:val="16"/>
          <w:szCs w:val="16"/>
          <w:color w:val="auto"/>
        </w:rPr>
        <w:t>WHEREAS, it is in the best interests of the Company, considering the past and future services of Hertzke, to improve the security and climate for objective decision making by providing for the personal security of Hertzke;</w:t>
      </w:r>
    </w:p>
    <w:p>
      <w:pPr>
        <w:spacing w:after="0" w:line="184"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WHEREAS, Hertzke, who has been an employee of the Company since October 4, 1971, has been a participant in the Winnebago Industries, Inc. Deferred Compensation Plan (the "Plan") since 1983, has made several contributions to the Plan subsequent to 1992 and he is not vested in such 1993 and subsequent deferrals because of a Plan change adopted in 1992 which provided that for 1993 and subsequent deferrals vesting occurred upon five years of service after each deferral and attaining age 55 (Mr. Hertzke's date of birth is July 6, 1951);</w:t>
      </w:r>
    </w:p>
    <w:p>
      <w:pPr>
        <w:spacing w:after="0" w:line="18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WHEREAS, Hertzke has been the most adversely impacted of any participant in the Plan by amendments made to the Deferred Compensation Plan in 1994;</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WHEREAS, at a meeting held on January 16, 2002 the Board of Directors of the Company took action to immediately vest Hertzke in any post-1992 deferrals to the Plan and authorized Raymond M. Beebe, Vice President-General Counsel and Secretary, on behalf of the Company to execute an agreement with Mr. Hertzke to such effect:</w:t>
      </w:r>
    </w:p>
    <w:p>
      <w:pPr>
        <w:spacing w:after="0" w:line="19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left="900" w:right="2199" w:firstLine="902"/>
        <w:spacing w:after="0" w:line="239" w:lineRule="auto"/>
        <w:rPr>
          <w:sz w:val="20"/>
          <w:szCs w:val="20"/>
          <w:color w:val="auto"/>
        </w:rPr>
      </w:pPr>
      <w:r>
        <w:rPr>
          <w:rFonts w:ascii="Courier New" w:cs="Courier New" w:eastAsia="Courier New" w:hAnsi="Courier New"/>
          <w:sz w:val="17"/>
          <w:szCs w:val="17"/>
          <w:color w:val="auto"/>
        </w:rPr>
        <w:t>It is therefore agreed by and between the Company and Hertzke that the rule change adopted in 1992 which provided that for 1993 and subsequent deferrals to the Plan vesting occurs upon five years of service after each deferral and attaining age 55 is hereby waived as to Hertzke and that any contributions which Hertzke made to the Plan in 1993 and subsequent years are by the terms of this Agreement immediately vested as of March 13, 2002.</w:t>
      </w:r>
    </w:p>
    <w:p>
      <w:pPr>
        <w:spacing w:after="0" w:line="199" w:lineRule="exact"/>
        <w:rPr>
          <w:sz w:val="20"/>
          <w:szCs w:val="20"/>
          <w:color w:val="auto"/>
        </w:rPr>
      </w:pPr>
    </w:p>
    <w:p>
      <w:pPr>
        <w:ind w:left="900" w:right="2599"/>
        <w:spacing w:after="0" w:line="236"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WINNEBAGO INDUSTRIES,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ectPr>
          <w:pgSz w:w="11900" w:h="16838" w:orient="portrait"/>
          <w:cols w:equalWidth="0" w:num="1">
            <w:col w:w="10219"/>
          </w:cols>
          <w:pgMar w:left="240" w:top="136" w:right="1440" w:bottom="1440" w:gutter="0" w:footer="0" w:header="0"/>
        </w:sectPr>
      </w:pP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Raymond M. Beebe</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Vice President-General Counsel &amp; Secretary</w:t>
      </w:r>
    </w:p>
    <w:p>
      <w:pPr>
        <w:spacing w:after="0" w:line="20" w:lineRule="exact"/>
        <w:rPr>
          <w:sz w:val="20"/>
          <w:szCs w:val="20"/>
          <w:color w:val="auto"/>
        </w:rPr>
      </w:pPr>
      <w:r>
        <w:rPr>
          <w:sz w:val="20"/>
          <w:szCs w:val="20"/>
          <w:color w:val="auto"/>
        </w:rPr>
        <w:br w:type="column"/>
      </w:r>
    </w:p>
    <w:p>
      <w:pPr>
        <w:ind w:right="2199"/>
        <w:spacing w:after="0" w:line="236" w:lineRule="auto"/>
        <w:rPr>
          <w:sz w:val="20"/>
          <w:szCs w:val="20"/>
          <w:color w:val="auto"/>
        </w:rPr>
      </w:pPr>
      <w:r>
        <w:rPr>
          <w:rFonts w:ascii="Courier New" w:cs="Courier New" w:eastAsia="Courier New" w:hAnsi="Courier New"/>
          <w:sz w:val="17"/>
          <w:szCs w:val="17"/>
          <w:color w:val="auto"/>
        </w:rPr>
        <w:t>------------------------------ Bruce D. Hertzke</w:t>
      </w:r>
    </w:p>
    <w:sectPr>
      <w:pgSz w:w="11900" w:h="16838" w:orient="portrait"/>
      <w:cols w:equalWidth="0" w:num="2">
        <w:col w:w="4620" w:space="400"/>
        <w:col w:w="51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2019-12-12T10:45:56Z</dcterms:created>
  <dcterms:modified xsi:type="dcterms:W3CDTF">2019-12-12T10:45:56Z</dcterms:modified>
</cp:coreProperties>
</file>