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ectPr>
          <w:pgSz w:w="11900" w:h="16934" w:orient="portrait"/>
          <w:cols w:equalWidth="0" w:num="1">
            <w:col w:w="11400"/>
          </w:cols>
          <w:pgMar w:left="240" w:top="1313" w:right="259" w:bottom="0" w:gutter="0" w:footer="0" w:header="0"/>
        </w:sectPr>
      </w:pPr>
    </w:p>
    <w:p>
      <w:pPr>
        <w:spacing w:after="0" w:line="304" w:lineRule="exact"/>
        <w:rPr>
          <w:sz w:val="24"/>
          <w:szCs w:val="24"/>
          <w:color w:val="auto"/>
        </w:rPr>
      </w:pPr>
    </w:p>
    <w:p>
      <w:pPr>
        <w:ind w:left="3000"/>
        <w:spacing w:after="0"/>
        <w:rPr>
          <w:sz w:val="20"/>
          <w:szCs w:val="20"/>
          <w:color w:val="auto"/>
        </w:rPr>
      </w:pPr>
      <w:r>
        <w:rPr>
          <w:rFonts w:ascii="Arial" w:cs="Arial" w:eastAsia="Arial" w:hAnsi="Arial"/>
          <w:sz w:val="19"/>
          <w:szCs w:val="19"/>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June 21, 2006</w:t>
      </w:r>
    </w:p>
    <w:p>
      <w:pPr>
        <w:spacing w:after="0" w:line="211" w:lineRule="exact"/>
        <w:rPr>
          <w:sz w:val="24"/>
          <w:szCs w:val="24"/>
          <w:color w:val="auto"/>
        </w:rPr>
      </w:pPr>
    </w:p>
    <w:p>
      <w:pPr>
        <w:sectPr>
          <w:pgSz w:w="11900" w:h="16934" w:orient="portrait"/>
          <w:cols w:equalWidth="0" w:num="2">
            <w:col w:w="7020" w:space="220"/>
            <w:col w:w="4160"/>
          </w:cols>
          <w:pgMar w:left="240" w:top="1313" w:right="259" w:bottom="0" w:gutter="0" w:footer="0" w:header="0"/>
          <w:type w:val="continuous"/>
        </w:sectPr>
      </w:pP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9"/>
          <w:szCs w:val="39"/>
          <w:color w:val="auto"/>
        </w:rPr>
        <w:t>Winnebago Industries, Inc.</w:t>
      </w:r>
    </w:p>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34" w:orient="portrait"/>
          <w:cols w:equalWidth="0" w:num="1">
            <w:col w:w="11400"/>
          </w:cols>
          <w:pgMar w:left="240" w:top="1313" w:right="259" w:bottom="0" w:gutter="0" w:footer="0" w:header="0"/>
          <w:type w:val="continuous"/>
        </w:sectPr>
      </w:pPr>
    </w:p>
    <w:p>
      <w:pPr>
        <w:spacing w:after="0" w:line="198" w:lineRule="exact"/>
        <w:rPr>
          <w:sz w:val="24"/>
          <w:szCs w:val="24"/>
          <w:color w:val="auto"/>
        </w:rPr>
      </w:pPr>
    </w:p>
    <w:p>
      <w:pPr>
        <w:ind w:left="1740"/>
        <w:spacing w:after="0"/>
        <w:rPr>
          <w:sz w:val="20"/>
          <w:szCs w:val="20"/>
          <w:color w:val="auto"/>
        </w:rPr>
      </w:pPr>
      <w:r>
        <w:rPr>
          <w:rFonts w:ascii="Arial" w:cs="Arial" w:eastAsia="Arial" w:hAnsi="Arial"/>
          <w:sz w:val="19"/>
          <w:szCs w:val="19"/>
          <w:color w:val="auto"/>
        </w:rPr>
        <w:t>Iowa</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9"/>
          <w:szCs w:val="19"/>
          <w:color w:val="auto"/>
        </w:rPr>
        <w:t>001-06403</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9"/>
          <w:szCs w:val="19"/>
          <w:color w:val="auto"/>
        </w:rPr>
        <w:t>42-0802678</w:t>
      </w:r>
    </w:p>
    <w:p>
      <w:pPr>
        <w:spacing w:after="0" w:line="53" w:lineRule="exact"/>
        <w:rPr>
          <w:sz w:val="24"/>
          <w:szCs w:val="24"/>
          <w:color w:val="auto"/>
        </w:rPr>
      </w:pPr>
    </w:p>
    <w:p>
      <w:pPr>
        <w:sectPr>
          <w:pgSz w:w="11900" w:h="16934" w:orient="portrait"/>
          <w:cols w:equalWidth="0" w:num="3">
            <w:col w:w="4600" w:space="720"/>
            <w:col w:w="2980" w:space="720"/>
            <w:col w:w="2380"/>
          </w:cols>
          <w:pgMar w:left="240" w:top="1313" w:right="259" w:bottom="0" w:gutter="0" w:footer="0" w:header="0"/>
          <w:type w:val="continuous"/>
        </w:sectPr>
      </w:pPr>
    </w:p>
    <w:p>
      <w:pPr>
        <w:spacing w:after="0" w:line="3"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(State or Other Jurisdiction</w:t>
      </w:r>
    </w:p>
    <w:p>
      <w:pPr>
        <w:spacing w:after="0" w:line="52"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8"/>
          <w:szCs w:val="18"/>
          <w:color w:val="auto"/>
        </w:rPr>
        <w:t>(IRS Employer</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934" w:orient="portrait"/>
          <w:cols w:equalWidth="0" w:num="3">
            <w:col w:w="4100" w:space="720"/>
            <w:col w:w="3340" w:space="720"/>
            <w:col w:w="2520"/>
          </w:cols>
          <w:pgMar w:left="240" w:top="1313" w:right="259" w:bottom="0" w:gutter="0" w:footer="0" w:header="0"/>
          <w:type w:val="continuous"/>
        </w:sectPr>
      </w:pPr>
    </w:p>
    <w:p>
      <w:pPr>
        <w:spacing w:after="0" w:line="39" w:lineRule="exact"/>
        <w:rPr>
          <w:sz w:val="24"/>
          <w:szCs w:val="24"/>
          <w:color w:val="auto"/>
        </w:rPr>
      </w:pPr>
    </w:p>
    <w:p>
      <w:pPr>
        <w:ind w:left="580"/>
        <w:spacing w:after="0"/>
        <w:rPr>
          <w:sz w:val="20"/>
          <w:szCs w:val="20"/>
          <w:color w:val="auto"/>
        </w:rPr>
      </w:pPr>
      <w:r>
        <w:rPr>
          <w:rFonts w:ascii="Arial" w:cs="Arial" w:eastAsia="Arial" w:hAnsi="Arial"/>
          <w:sz w:val="19"/>
          <w:szCs w:val="19"/>
          <w:color w:val="auto"/>
        </w:rPr>
        <w:t>P.O. Box 152, Forest City, Iowa</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9"/>
          <w:szCs w:val="19"/>
          <w:color w:val="auto"/>
        </w:rPr>
        <w:t>50436</w:t>
      </w:r>
    </w:p>
    <w:p>
      <w:pPr>
        <w:spacing w:after="0" w:line="56" w:lineRule="exact"/>
        <w:rPr>
          <w:sz w:val="24"/>
          <w:szCs w:val="24"/>
          <w:color w:val="auto"/>
        </w:rPr>
      </w:pPr>
    </w:p>
    <w:p>
      <w:pPr>
        <w:sectPr>
          <w:pgSz w:w="11900" w:h="16934" w:orient="portrait"/>
          <w:cols w:equalWidth="0" w:num="2">
            <w:col w:w="8560" w:space="720"/>
            <w:col w:w="2120"/>
          </w:cols>
          <w:pgMar w:left="240" w:top="1313" w:right="259" w:bottom="0" w:gutter="0" w:footer="0" w:header="0"/>
          <w:type w:val="continuous"/>
        </w:sectPr>
      </w:pPr>
    </w:p>
    <w:p>
      <w:pPr>
        <w:ind w:left="5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34" w:orient="portrait"/>
          <w:cols w:equalWidth="0" w:num="2">
            <w:col w:w="8440" w:space="720"/>
            <w:col w:w="2240"/>
          </w:cols>
          <w:pgMar w:left="240" w:top="1313" w:right="259" w:bottom="0" w:gutter="0" w:footer="0" w:header="0"/>
          <w:type w:val="continuous"/>
        </w:sectPr>
      </w:pPr>
    </w:p>
    <w:p>
      <w:pPr>
        <w:spacing w:after="0" w:line="260"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22"/>
          <w:szCs w:val="22"/>
          <w:color w:val="auto"/>
        </w:rPr>
        <w:t>Registrant’s telephone number, including area code</w:t>
      </w:r>
      <w:r>
        <w:rPr>
          <w:sz w:val="20"/>
          <w:szCs w:val="20"/>
          <w:color w:val="auto"/>
        </w:rPr>
        <w:tab/>
      </w:r>
      <w:r>
        <w:rPr>
          <w:rFonts w:ascii="Arial" w:cs="Arial" w:eastAsia="Arial" w:hAnsi="Arial"/>
          <w:sz w:val="19"/>
          <w:szCs w:val="19"/>
          <w:color w:val="auto"/>
        </w:rPr>
        <w:t>641-585-3535</w:t>
      </w:r>
    </w:p>
    <w:p>
      <w:pPr>
        <w:sectPr>
          <w:pgSz w:w="11900" w:h="16934" w:orient="portrait"/>
          <w:cols w:equalWidth="0" w:num="1">
            <w:col w:w="11400"/>
          </w:cols>
          <w:pgMar w:left="240" w:top="1313" w:right="259" w:bottom="0" w:gutter="0" w:footer="0" w:header="0"/>
          <w:type w:val="continuous"/>
        </w:sectPr>
      </w:pPr>
    </w:p>
    <w:p>
      <w:pPr>
        <w:spacing w:after="0" w:line="21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2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93" w:lineRule="exact"/>
        <w:rPr>
          <w:sz w:val="24"/>
          <w:szCs w:val="24"/>
          <w:color w:val="auto"/>
        </w:rPr>
      </w:pPr>
    </w:p>
    <w:p>
      <w:pPr>
        <w:ind w:right="20" w:firstLine="432"/>
        <w:spacing w:after="0" w:line="277" w:lineRule="auto"/>
        <w:rPr>
          <w:sz w:val="20"/>
          <w:szCs w:val="20"/>
          <w:color w:val="auto"/>
        </w:rPr>
      </w:pPr>
      <w:r>
        <w:rPr>
          <w:rFonts w:ascii="Arial" w:cs="Arial" w:eastAsia="Arial" w:hAnsi="Arial"/>
          <w:sz w:val="19"/>
          <w:szCs w:val="19"/>
          <w:color w:val="auto"/>
        </w:rPr>
        <w:t xml:space="preserve">On June 21, 2006, the Board of Directors of Winnebago Industries, Inc.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upon the recommendation of the Human Resources Committee (the </w:t>
      </w:r>
      <w:r>
        <w:rPr>
          <w:rFonts w:ascii="Arial" w:cs="Arial" w:eastAsia="Arial" w:hAnsi="Arial"/>
          <w:sz w:val="19"/>
          <w:szCs w:val="19"/>
          <w:i w:val="1"/>
          <w:iCs w:val="1"/>
          <w:color w:val="auto"/>
        </w:rPr>
        <w:t>“Committee”</w:t>
      </w:r>
      <w:r>
        <w:rPr>
          <w:rFonts w:ascii="Arial" w:cs="Arial" w:eastAsia="Arial" w:hAnsi="Arial"/>
          <w:sz w:val="19"/>
          <w:szCs w:val="19"/>
          <w:color w:val="auto"/>
        </w:rPr>
        <w:t xml:space="preserve">), approved effective August 27, 2006, the beginning of the Company’s 2007 fiscal year, (i) the Officers Incentive Compensation Plan—Fiscal Period 2007 (the </w:t>
      </w:r>
      <w:r>
        <w:rPr>
          <w:rFonts w:ascii="Arial" w:cs="Arial" w:eastAsia="Arial" w:hAnsi="Arial"/>
          <w:sz w:val="19"/>
          <w:szCs w:val="19"/>
          <w:i w:val="1"/>
          <w:iCs w:val="1"/>
          <w:color w:val="auto"/>
        </w:rPr>
        <w:t>“2007 Incentive Compensation Plan”</w:t>
      </w:r>
      <w:r>
        <w:rPr>
          <w:rFonts w:ascii="Arial" w:cs="Arial" w:eastAsia="Arial" w:hAnsi="Arial"/>
          <w:sz w:val="19"/>
          <w:szCs w:val="19"/>
          <w:color w:val="auto"/>
        </w:rPr>
        <w:t xml:space="preserve">) and (ii) the Officers Long-Term Incentive Plan—Fiscal Three-Year Period 2007, 2008 and 2009 (the </w:t>
      </w:r>
      <w:r>
        <w:rPr>
          <w:rFonts w:ascii="Arial" w:cs="Arial" w:eastAsia="Arial" w:hAnsi="Arial"/>
          <w:sz w:val="19"/>
          <w:szCs w:val="19"/>
          <w:i w:val="1"/>
          <w:iCs w:val="1"/>
          <w:color w:val="auto"/>
        </w:rPr>
        <w:t>“LTIP 2007-2009”</w:t>
      </w:r>
      <w:r>
        <w:rPr>
          <w:rFonts w:ascii="Arial" w:cs="Arial" w:eastAsia="Arial" w:hAnsi="Arial"/>
          <w:sz w:val="19"/>
          <w:szCs w:val="19"/>
          <w:color w:val="auto"/>
        </w:rPr>
        <w:t xml:space="preserve">). Bruce D. Hertzke (Chairman and Chief Executive Officer), Edwin F. Barker (President), Raymond M. Beebe (Vice President, General Counsel and Secretary), William J. O’Leary (Vice President, Product Development) and Robert J. Olson (Senior Vice President, Operations) (collectively, the </w:t>
      </w:r>
      <w:r>
        <w:rPr>
          <w:rFonts w:ascii="Arial" w:cs="Arial" w:eastAsia="Arial" w:hAnsi="Arial"/>
          <w:sz w:val="19"/>
          <w:szCs w:val="19"/>
          <w:i w:val="1"/>
          <w:iCs w:val="1"/>
          <w:color w:val="auto"/>
        </w:rPr>
        <w:t>“Named Executive Officers”</w:t>
      </w:r>
      <w:r>
        <w:rPr>
          <w:rFonts w:ascii="Arial" w:cs="Arial" w:eastAsia="Arial" w:hAnsi="Arial"/>
          <w:sz w:val="19"/>
          <w:szCs w:val="19"/>
          <w:color w:val="auto"/>
        </w:rPr>
        <w:t>) participate in both the 2007 Incentive Compensation Plan and the LTIP 2007-2009.</w:t>
      </w:r>
    </w:p>
    <w:p>
      <w:pPr>
        <w:spacing w:after="0" w:line="153" w:lineRule="exact"/>
        <w:rPr>
          <w:sz w:val="24"/>
          <w:szCs w:val="24"/>
          <w:color w:val="auto"/>
        </w:rPr>
      </w:pPr>
    </w:p>
    <w:p>
      <w:pPr>
        <w:ind w:firstLine="428"/>
        <w:spacing w:after="0" w:line="275" w:lineRule="auto"/>
        <w:rPr>
          <w:sz w:val="20"/>
          <w:szCs w:val="20"/>
          <w:color w:val="auto"/>
        </w:rPr>
      </w:pPr>
      <w:r>
        <w:rPr>
          <w:rFonts w:ascii="Arial" w:cs="Arial" w:eastAsia="Arial" w:hAnsi="Arial"/>
          <w:sz w:val="19"/>
          <w:szCs w:val="19"/>
          <w:color w:val="auto"/>
        </w:rPr>
        <w:t>The 2007 Incentive Compensation Plan provides for quarterly incentive awards based upon financial performance of the Company. The purpose of the 2007 Incentive Compensation Plan is to promote the growth and profitability of the Company by providing its officers with an incentive to achieve corporate profit objectives and to attract and retain officers who will contribute to the achievement of growth and profitability of the Company. The 2007 Incentive Compensation Plan is an annual program that provides for quarterly cumulative measurements of financial performance and an opportunity for quarterly incentive payments based on financial results measured against a financial performance target established by the Board of Directors. Under the 2007 Incentive Compensation Plan, the amount of the Named Executive Officers’ incentive compensation for the quarter shall be in direct proportion to the Company’s financial performance expressed as a percentage (Financial Factor) against the base salary</w:t>
      </w:r>
    </w:p>
    <w:p>
      <w:pPr>
        <w:sectPr>
          <w:pgSz w:w="11900" w:h="16934" w:orient="portrait"/>
          <w:cols w:equalWidth="0" w:num="1">
            <w:col w:w="11400"/>
          </w:cols>
          <w:pgMar w:left="240" w:top="1313" w:right="259" w:bottom="0" w:gutter="0" w:footer="0" w:header="0"/>
          <w:type w:val="continuous"/>
        </w:sectPr>
      </w:pPr>
    </w:p>
    <w:bookmarkStart w:id="1" w:name="page2"/>
    <w:bookmarkEnd w:id="1"/>
    <w:p>
      <w:pPr>
        <w:ind w:right="280"/>
        <w:spacing w:after="0" w:line="241" w:lineRule="auto"/>
        <w:rPr>
          <w:sz w:val="20"/>
          <w:szCs w:val="20"/>
          <w:color w:val="auto"/>
        </w:rPr>
      </w:pPr>
      <w:r>
        <w:rPr>
          <w:rFonts w:ascii="Arial" w:cs="Arial" w:eastAsia="Arial" w:hAnsi="Arial"/>
          <w:sz w:val="22"/>
          <w:szCs w:val="22"/>
          <w:color w:val="auto"/>
        </w:rPr>
        <w:t>bonus (Target) for each participant. The Named Executive Officers must be employed by the Company at the end of the fiscal period for any quarterly incentive payment and as of the end of the fiscal year to be eligible for any holdback payment discussed below.</w:t>
      </w:r>
    </w:p>
    <w:p>
      <w:pPr>
        <w:spacing w:after="0" w:line="184" w:lineRule="exact"/>
        <w:rPr>
          <w:sz w:val="20"/>
          <w:szCs w:val="20"/>
          <w:color w:val="auto"/>
        </w:rPr>
      </w:pPr>
    </w:p>
    <w:p>
      <w:pPr>
        <w:ind w:right="20" w:firstLine="428"/>
        <w:spacing w:after="0" w:line="273" w:lineRule="auto"/>
        <w:rPr>
          <w:sz w:val="20"/>
          <w:szCs w:val="20"/>
          <w:color w:val="auto"/>
        </w:rPr>
      </w:pPr>
      <w:r>
        <w:rPr>
          <w:rFonts w:ascii="Arial" w:cs="Arial" w:eastAsia="Arial" w:hAnsi="Arial"/>
          <w:sz w:val="19"/>
          <w:szCs w:val="19"/>
          <w:color w:val="auto"/>
        </w:rPr>
        <w:t>The 2007 Incentive Compensation Plan provides for a bonus (Target) of 105% (for the Chief Executive Officer) and 60% (in the case of the other Named Executive Officers) of base salary comprised of 2/3 cash and 1/3 stock (or in cash at the participant’s election), at 100% achievement of the financial objectives.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(in the form of restricted stock or cash, as elected by the participant). The Target bonus is inclusive of this matched incentive compensation. The annual supplementary match is paid as soon as practical after the final fiscal year-end compensation accounting and payment of any remaining incentive compensation holdback for the fiscal year.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firstLine="432"/>
        <w:spacing w:after="0" w:line="249" w:lineRule="auto"/>
        <w:rPr>
          <w:sz w:val="20"/>
          <w:szCs w:val="20"/>
          <w:color w:val="auto"/>
        </w:rPr>
      </w:pPr>
      <w:r>
        <w:rPr>
          <w:rFonts w:ascii="Arial" w:cs="Arial" w:eastAsia="Arial" w:hAnsi="Arial"/>
          <w:sz w:val="21"/>
          <w:szCs w:val="21"/>
          <w:color w:val="auto"/>
        </w:rPr>
        <w:t>Pursuant to the 2007 Incentive Compensation Plan, 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 revenue growth; market share; product quality; product introductions; customer satisfaction; inventory management; technical innovation; and ethical business practices.</w:t>
      </w:r>
    </w:p>
    <w:p>
      <w:pPr>
        <w:spacing w:after="0" w:line="179" w:lineRule="exact"/>
        <w:rPr>
          <w:sz w:val="20"/>
          <w:szCs w:val="20"/>
          <w:color w:val="auto"/>
        </w:rPr>
      </w:pPr>
    </w:p>
    <w:p>
      <w:pPr>
        <w:ind w:firstLine="432"/>
        <w:spacing w:after="0" w:line="238" w:lineRule="auto"/>
        <w:rPr>
          <w:sz w:val="20"/>
          <w:szCs w:val="20"/>
          <w:color w:val="auto"/>
        </w:rPr>
      </w:pPr>
      <w:r>
        <w:rPr>
          <w:rFonts w:ascii="Arial" w:cs="Arial" w:eastAsia="Arial" w:hAnsi="Arial"/>
          <w:sz w:val="22"/>
          <w:szCs w:val="22"/>
          <w:color w:val="auto"/>
        </w:rPr>
        <w:t>In the event of a “Change in Control” (as defined in the 2007 Incentive Compensation Plan) participants are entitled to receive full annual awards (including the annual supplementary cash match payment described above) within 15 days of the effective date of the Change of Control based on the Committee’s estimate of the Company’s financial performance through the end of the year in which such Change in Control occurs.</w:t>
      </w:r>
    </w:p>
    <w:p>
      <w:pPr>
        <w:spacing w:after="0" w:line="185" w:lineRule="exact"/>
        <w:rPr>
          <w:sz w:val="20"/>
          <w:szCs w:val="20"/>
          <w:color w:val="auto"/>
        </w:rPr>
      </w:pPr>
    </w:p>
    <w:p>
      <w:pPr>
        <w:ind w:right="220" w:firstLine="428"/>
        <w:spacing w:after="0" w:line="328" w:lineRule="auto"/>
        <w:rPr>
          <w:sz w:val="20"/>
          <w:szCs w:val="20"/>
          <w:color w:val="auto"/>
        </w:rPr>
      </w:pPr>
      <w:r>
        <w:rPr>
          <w:rFonts w:ascii="Arial" w:cs="Arial" w:eastAsia="Arial" w:hAnsi="Arial"/>
          <w:sz w:val="19"/>
          <w:szCs w:val="19"/>
          <w:color w:val="auto"/>
        </w:rPr>
        <w:t>The financial performance measurements and the threshold, target and maximum performance levels for which bonuses will be paid pursuant to the 2007 Incentive Compensation Plan have not yet been established by the Committee or the Board.</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The Named Executive Officers are also eligible for incentive awards under the LTIP 2007-2009. The purpose of the LTIP</w:t>
      </w:r>
    </w:p>
    <w:p>
      <w:pPr>
        <w:spacing w:after="0" w:line="20"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2007-2009 is to promote the long-term growth and profitability of the Company by providing the officers of the Company with an incentive to achieve long-term corporate profit objectives and to attract and retain officers who will contribute to the achievement of growth and profitability of the Company. The LTIP 2007-2009 provides for incentive awards consisting of stock grants made in restricted shares of the Company’s Common Stock, or at the election of a participating officer, in cash. The awards under the LTIP 2007-2009 are based upon the Company’s financial performance as measured against the three-year management plan established by the Board of Directors. The Named Executive Officers must be employed by the Company at the end of fiscal 2009 to be eligible for an incentive award under the LTIP 2007-2009, except upon a Change in Control, as described below, or as waived by the Committee for normal retirement and disability.</w:t>
      </w:r>
    </w:p>
    <w:p>
      <w:pPr>
        <w:spacing w:after="0" w:line="155" w:lineRule="exact"/>
        <w:rPr>
          <w:sz w:val="20"/>
          <w:szCs w:val="20"/>
          <w:color w:val="auto"/>
        </w:rPr>
      </w:pPr>
    </w:p>
    <w:p>
      <w:pPr>
        <w:ind w:right="340" w:firstLine="432"/>
        <w:spacing w:after="0" w:line="236" w:lineRule="auto"/>
        <w:rPr>
          <w:sz w:val="20"/>
          <w:szCs w:val="20"/>
          <w:color w:val="auto"/>
        </w:rPr>
      </w:pPr>
      <w:r>
        <w:rPr>
          <w:rFonts w:ascii="Arial" w:cs="Arial" w:eastAsia="Arial" w:hAnsi="Arial"/>
          <w:sz w:val="22"/>
          <w:szCs w:val="22"/>
          <w:color w:val="auto"/>
        </w:rPr>
        <w:t>Under the LTIP 2007-2009, the amount of the participants’ long-term incentive award for the three-year fiscal period is in direct proportion to the Company’s financial performance expressed as a percentage (Financial Factor) against award targets for each participant determined prior to the commencement of the three year fiscal period. The Company’s financial results for the three fiscal year period are used in determining the Financial Factor to be used for that plan period when calculating the participants’ long-term incentive awards.</w:t>
      </w:r>
    </w:p>
    <w:p>
      <w:pPr>
        <w:spacing w:after="0" w:line="188" w:lineRule="exact"/>
        <w:rPr>
          <w:sz w:val="20"/>
          <w:szCs w:val="20"/>
          <w:color w:val="auto"/>
        </w:rPr>
      </w:pPr>
    </w:p>
    <w:p>
      <w:pPr>
        <w:ind w:right="40" w:firstLine="428"/>
        <w:spacing w:after="0" w:line="249" w:lineRule="auto"/>
        <w:rPr>
          <w:sz w:val="20"/>
          <w:szCs w:val="20"/>
          <w:color w:val="auto"/>
        </w:rPr>
      </w:pPr>
      <w:r>
        <w:rPr>
          <w:rFonts w:ascii="Arial" w:cs="Arial" w:eastAsia="Arial" w:hAnsi="Arial"/>
          <w:sz w:val="21"/>
          <w:szCs w:val="21"/>
          <w:color w:val="auto"/>
        </w:rPr>
        <w:t>The long-term incentive for the Named Executive Officers provides for an opportunity of 25% of the annualized base salary (Target) to be awarded in restricted stock or cash at 100% achievement of the Long-Term Financial Target. The annualized base salary figure used is the salary in place for each participant as of January 2007. The resultant incentive award (at 100% of the three fiscal year management plan) will be adjusted up or down as determined by actual financial performance expressed as a percentage (Financial Factor) at the end of the three year fiscal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432"/>
        <w:spacing w:after="0"/>
        <w:rPr>
          <w:sz w:val="20"/>
          <w:szCs w:val="20"/>
          <w:color w:val="auto"/>
        </w:rPr>
      </w:pPr>
      <w:r>
        <w:rPr>
          <w:rFonts w:ascii="Arial" w:cs="Arial" w:eastAsia="Arial" w:hAnsi="Arial"/>
          <w:sz w:val="22"/>
          <w:szCs w:val="22"/>
          <w:color w:val="auto"/>
        </w:rPr>
        <w:t>In the event of a “Change in Control” (as defined in the LTIP 2007-2009) participants are entitled to receive a full three year plan award within 15 days of the effective date based on the Committee’s estimate of the Company’s financial performance through the end of the LTIP 2007-2009 three fiscal year period.</w:t>
      </w:r>
    </w:p>
    <w:p>
      <w:pPr>
        <w:sectPr>
          <w:pgSz w:w="11900" w:h="16838" w:orient="portrait"/>
          <w:cols w:equalWidth="0" w:num="1">
            <w:col w:w="11400"/>
          </w:cols>
          <w:pgMar w:left="240" w:top="118" w:right="259" w:bottom="163" w:gutter="0" w:footer="0" w:header="0"/>
        </w:sectPr>
      </w:pPr>
    </w:p>
    <w:bookmarkStart w:id="2" w:name="page3"/>
    <w:bookmarkEnd w:id="2"/>
    <w:p>
      <w:pPr>
        <w:ind w:right="380" w:firstLine="428"/>
        <w:spacing w:after="0" w:line="329" w:lineRule="auto"/>
        <w:rPr>
          <w:sz w:val="20"/>
          <w:szCs w:val="20"/>
          <w:color w:val="auto"/>
        </w:rPr>
      </w:pPr>
      <w:r>
        <w:rPr>
          <w:rFonts w:ascii="Arial" w:cs="Arial" w:eastAsia="Arial" w:hAnsi="Arial"/>
          <w:sz w:val="19"/>
          <w:szCs w:val="19"/>
          <w:color w:val="auto"/>
        </w:rPr>
        <w:t>The financial performance measurements and the threshold, target and maximum performance levels for which incentive awards will be paid pursuant to the LTIP 2007-2009 have not yet been established by the Committee or the Board.</w:t>
      </w:r>
    </w:p>
    <w:p>
      <w:pPr>
        <w:spacing w:after="0" w:line="104" w:lineRule="exact"/>
        <w:rPr>
          <w:sz w:val="20"/>
          <w:szCs w:val="20"/>
          <w:color w:val="auto"/>
        </w:rPr>
      </w:pPr>
    </w:p>
    <w:p>
      <w:pPr>
        <w:ind w:right="20" w:firstLine="432"/>
        <w:spacing w:after="0" w:line="251" w:lineRule="auto"/>
        <w:rPr>
          <w:sz w:val="20"/>
          <w:szCs w:val="20"/>
          <w:color w:val="auto"/>
        </w:rPr>
      </w:pPr>
      <w:r>
        <w:rPr>
          <w:rFonts w:ascii="Arial" w:cs="Arial" w:eastAsia="Arial" w:hAnsi="Arial"/>
          <w:sz w:val="22"/>
          <w:szCs w:val="22"/>
          <w:color w:val="auto"/>
        </w:rPr>
        <w:t>Reference is made to each of the 2007 Incentive Compensation Plan and the LTIP 2007-2009 filed as Exhibits 99.1 and 99.2, respectively, to this Report and are incorporated herein by this reference.</w:t>
      </w:r>
    </w:p>
    <w:p>
      <w:pPr>
        <w:spacing w:after="0" w:line="23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93" w:lineRule="exact"/>
        <w:rPr>
          <w:sz w:val="20"/>
          <w:szCs w:val="20"/>
          <w:color w:val="auto"/>
        </w:rPr>
      </w:pPr>
    </w:p>
    <w:p>
      <w:pPr>
        <w:ind w:left="900" w:hanging="460"/>
        <w:spacing w:after="0"/>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22"/>
          <w:szCs w:val="22"/>
          <w:b w:val="1"/>
          <w:bCs w:val="1"/>
          <w:color w:val="auto"/>
        </w:rPr>
        <w:t>Number</w:t>
        <w:tab/>
        <w:t>Description</w:t>
      </w:r>
    </w:p>
    <w:p>
      <w:pPr>
        <w:spacing w:after="0" w:line="215"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Officers Incentive Compensation Plan—Fiscal Period 2007</w:t>
      </w:r>
    </w:p>
    <w:p>
      <w:pPr>
        <w:spacing w:after="0" w:line="233"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99.2</w:t>
      </w:r>
      <w:r>
        <w:rPr>
          <w:sz w:val="20"/>
          <w:szCs w:val="20"/>
          <w:color w:val="auto"/>
        </w:rPr>
        <w:tab/>
      </w:r>
      <w:r>
        <w:rPr>
          <w:rFonts w:ascii="Arial" w:cs="Arial" w:eastAsia="Arial" w:hAnsi="Arial"/>
          <w:sz w:val="19"/>
          <w:szCs w:val="19"/>
          <w:color w:val="auto"/>
        </w:rPr>
        <w:t>Officers Long-Term Incentive Plan—Fiscal Three-Year Period 2007, 2008 and 2009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30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240" w:type="dxa"/>
            <w:vAlign w:val="bottom"/>
          </w:tcPr>
          <w:p>
            <w:pPr>
              <w:spacing w:after="0"/>
              <w:rPr>
                <w:sz w:val="20"/>
                <w:szCs w:val="20"/>
                <w:color w:val="auto"/>
              </w:rPr>
            </w:pPr>
            <w:r>
              <w:rPr>
                <w:rFonts w:ascii="Arial" w:cs="Arial" w:eastAsia="Arial" w:hAnsi="Arial"/>
                <w:sz w:val="22"/>
                <w:szCs w:val="22"/>
                <w:color w:val="auto"/>
              </w:rPr>
              <w:t>Date:  June 27, 2006</w:t>
            </w:r>
          </w:p>
        </w:tc>
        <w:tc>
          <w:tcPr>
            <w:tcW w:w="7380" w:type="dxa"/>
            <w:vAlign w:val="bottom"/>
            <w:gridSpan w:val="3"/>
          </w:tcPr>
          <w:p>
            <w:pPr>
              <w:ind w:left="140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240" w:type="dxa"/>
            <w:vAlign w:val="bottom"/>
          </w:tcPr>
          <w:p>
            <w:pPr>
              <w:spacing w:after="0"/>
              <w:rPr>
                <w:sz w:val="24"/>
                <w:szCs w:val="24"/>
                <w:color w:val="auto"/>
              </w:rPr>
            </w:pPr>
          </w:p>
        </w:tc>
        <w:tc>
          <w:tcPr>
            <w:tcW w:w="2060" w:type="dxa"/>
            <w:vAlign w:val="bottom"/>
          </w:tcPr>
          <w:p>
            <w:pPr>
              <w:ind w:left="1400"/>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Bruce D. Hertzke</w:t>
            </w:r>
          </w:p>
        </w:tc>
      </w:tr>
      <w:tr>
        <w:trPr>
          <w:trHeight w:val="242"/>
        </w:trPr>
        <w:tc>
          <w:tcPr>
            <w:tcW w:w="3240" w:type="dxa"/>
            <w:vAlign w:val="bottom"/>
          </w:tcPr>
          <w:p>
            <w:pPr>
              <w:spacing w:after="0"/>
              <w:rPr>
                <w:sz w:val="21"/>
                <w:szCs w:val="21"/>
                <w:color w:val="auto"/>
              </w:rPr>
            </w:pPr>
          </w:p>
        </w:tc>
        <w:tc>
          <w:tcPr>
            <w:tcW w:w="2060" w:type="dxa"/>
            <w:vAlign w:val="bottom"/>
          </w:tcPr>
          <w:p>
            <w:pPr>
              <w:ind w:left="1400"/>
              <w:spacing w:after="0" w:line="242" w:lineRule="exact"/>
              <w:rPr>
                <w:sz w:val="20"/>
                <w:szCs w:val="20"/>
                <w:color w:val="auto"/>
              </w:rPr>
            </w:pPr>
            <w:r>
              <w:rPr>
                <w:rFonts w:ascii="Arial" w:cs="Arial" w:eastAsia="Arial" w:hAnsi="Arial"/>
                <w:sz w:val="22"/>
                <w:szCs w:val="22"/>
                <w:color w:val="auto"/>
                <w:w w:val="98"/>
              </w:rPr>
              <w:t>Name:</w:t>
            </w:r>
          </w:p>
        </w:tc>
        <w:tc>
          <w:tcPr>
            <w:tcW w:w="532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Bruce D. Hertzke</w:t>
            </w:r>
          </w:p>
        </w:tc>
      </w:tr>
      <w:tr>
        <w:trPr>
          <w:trHeight w:val="275"/>
        </w:trPr>
        <w:tc>
          <w:tcPr>
            <w:tcW w:w="3240" w:type="dxa"/>
            <w:vAlign w:val="bottom"/>
          </w:tcPr>
          <w:p>
            <w:pPr>
              <w:spacing w:after="0"/>
              <w:rPr>
                <w:sz w:val="23"/>
                <w:szCs w:val="23"/>
                <w:color w:val="auto"/>
              </w:rPr>
            </w:pPr>
          </w:p>
        </w:tc>
        <w:tc>
          <w:tcPr>
            <w:tcW w:w="2060" w:type="dxa"/>
            <w:vAlign w:val="bottom"/>
          </w:tcPr>
          <w:p>
            <w:pPr>
              <w:ind w:left="1400"/>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3"/>
                <w:szCs w:val="23"/>
                <w:color w:val="auto"/>
              </w:rPr>
            </w:pPr>
          </w:p>
        </w:tc>
        <w:tc>
          <w:tcPr>
            <w:tcW w:w="5240" w:type="dxa"/>
            <w:vAlign w:val="bottom"/>
          </w:tcPr>
          <w:p>
            <w:pPr>
              <w:ind w:left="4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21"/>
          <w:szCs w:val="21"/>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21"/>
          <w:szCs w:val="21"/>
          <w:b w:val="1"/>
          <w:bCs w:val="1"/>
          <w:color w:val="auto"/>
        </w:rPr>
        <w:t>NDEX</w:t>
      </w:r>
    </w:p>
    <w:p>
      <w:pPr>
        <w:spacing w:after="0" w:line="299"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22"/>
          <w:szCs w:val="22"/>
          <w:b w:val="1"/>
          <w:bCs w:val="1"/>
          <w:color w:val="auto"/>
        </w:rPr>
        <w:t>Number</w:t>
        <w:tab/>
        <w:t>Description</w:t>
      </w:r>
    </w:p>
    <w:p>
      <w:pPr>
        <w:spacing w:after="0" w:line="215"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Officers Incentive Compensation Plan—Fiscal Period 2007</w:t>
      </w:r>
    </w:p>
    <w:p>
      <w:pPr>
        <w:spacing w:after="0" w:line="233"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99.2</w:t>
      </w:r>
      <w:r>
        <w:rPr>
          <w:sz w:val="20"/>
          <w:szCs w:val="20"/>
          <w:color w:val="auto"/>
        </w:rPr>
        <w:tab/>
      </w:r>
      <w:r>
        <w:rPr>
          <w:rFonts w:ascii="Arial" w:cs="Arial" w:eastAsia="Arial" w:hAnsi="Arial"/>
          <w:sz w:val="19"/>
          <w:szCs w:val="19"/>
          <w:color w:val="auto"/>
        </w:rPr>
        <w:t>Officers Long-Term Incentive Plan—Fiscal Three-Year Period 2007, 2008 and 2009</w:t>
      </w:r>
    </w:p>
    <w:p>
      <w:pPr>
        <w:sectPr>
          <w:pgSz w:w="11900" w:h="16838" w:orient="portrait"/>
          <w:cols w:equalWidth="0" w:num="1">
            <w:col w:w="11280"/>
          </w:cols>
          <w:pgMar w:left="240" w:top="118" w:right="379" w:bottom="2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118" w:right="379" w:bottom="275"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748665</wp:posOffset>
            </wp:positionV>
            <wp:extent cx="2590165" cy="977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INCENTIVE COMPENSATION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GROUP A – OFFICERS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PERIOD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1016635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INCENTIVE COMPENSATION PLAN</w:t>
      </w:r>
    </w:p>
    <w:p>
      <w:pPr>
        <w:jc w:val="center"/>
        <w:spacing w:after="0"/>
        <w:rPr>
          <w:sz w:val="20"/>
          <w:szCs w:val="20"/>
          <w:color w:val="auto"/>
        </w:rPr>
      </w:pPr>
      <w:r>
        <w:rPr>
          <w:rFonts w:ascii="Arial" w:cs="Arial" w:eastAsia="Arial" w:hAnsi="Arial"/>
          <w:sz w:val="22"/>
          <w:szCs w:val="22"/>
          <w:b w:val="1"/>
          <w:bCs w:val="1"/>
          <w:color w:val="auto"/>
        </w:rPr>
        <w:t>Fiscal Period 2007</w:t>
      </w:r>
    </w:p>
    <w:p>
      <w:pPr>
        <w:spacing w:after="0" w:line="195" w:lineRule="exact"/>
        <w:rPr>
          <w:sz w:val="20"/>
          <w:szCs w:val="20"/>
          <w:color w:val="auto"/>
        </w:rPr>
      </w:pPr>
    </w:p>
    <w:p>
      <w:pPr>
        <w:ind w:left="460" w:right="240" w:hanging="452"/>
        <w:spacing w:after="0" w:line="26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the Winnebago Industries, Inc. Officers Incentive Compensation Plan (the “Plan”) is to promote the growth and profitability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Winnebago Industries, Inc. (the “Company”) by providing its officers with an incentive to achieve corporate profit objectives and to attract and retain officers who will contribute to the achievement of growth and profitability of the company.</w:t>
      </w:r>
    </w:p>
    <w:p>
      <w:pPr>
        <w:spacing w:after="0" w:line="186"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1"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1360" w:right="320" w:hanging="447"/>
        <w:spacing w:after="0" w:line="310" w:lineRule="auto"/>
        <w:tabs>
          <w:tab w:leader="none" w:pos="1360" w:val="left"/>
        </w:tabs>
        <w:numPr>
          <w:ilvl w:val="1"/>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year.</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6"/>
          <w:szCs w:val="16"/>
          <w:color w:val="auto"/>
        </w:rPr>
      </w:pPr>
      <w:r>
        <w:rPr>
          <w:rFonts w:ascii="Arial" w:cs="Arial" w:eastAsia="Arial" w:hAnsi="Arial"/>
          <w:sz w:val="16"/>
          <w:szCs w:val="16"/>
          <w:color w:val="auto"/>
        </w:rPr>
        <w:t>Participants must be an officer of the Company with responsibilities that can have a real impact on the Corporation’s end results.</w:t>
      </w:r>
    </w:p>
    <w:p>
      <w:pPr>
        <w:spacing w:after="0" w:line="241" w:lineRule="exact"/>
        <w:rPr>
          <w:rFonts w:ascii="Arial" w:cs="Arial" w:eastAsia="Arial" w:hAnsi="Arial"/>
          <w:sz w:val="16"/>
          <w:szCs w:val="16"/>
          <w:color w:val="auto"/>
        </w:rPr>
      </w:pPr>
    </w:p>
    <w:p>
      <w:pPr>
        <w:ind w:left="1360" w:hanging="447"/>
        <w:spacing w:after="0"/>
        <w:tabs>
          <w:tab w:leader="none" w:pos="13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Committee will approve all initial participation prior to the beginning of each new program except as provided for in section c. below.</w:t>
      </w:r>
    </w:p>
    <w:p>
      <w:pPr>
        <w:spacing w:after="0" w:line="248" w:lineRule="exact"/>
        <w:rPr>
          <w:rFonts w:ascii="Arial" w:cs="Arial" w:eastAsia="Arial" w:hAnsi="Arial"/>
          <w:sz w:val="16"/>
          <w:szCs w:val="16"/>
          <w:color w:val="auto"/>
        </w:rPr>
      </w:pPr>
    </w:p>
    <w:p>
      <w:pPr>
        <w:ind w:left="1360" w:right="80" w:hanging="447"/>
        <w:spacing w:after="0" w:line="335" w:lineRule="auto"/>
        <w:tabs>
          <w:tab w:leader="none" w:pos="136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The Chairman of the Board and CEO of Winnebago Industries, Inc. will make the determination on participation for new participants and for payment of earned holdback allocations due to retirement, disability or death. Unless otherwise specified, participants must be employed as of the end of the fiscal period for any quarterly incentive payment and employed as of the end of the fiscal year to be eligible for any holdback.</w:t>
      </w:r>
    </w:p>
    <w:p>
      <w:pPr>
        <w:spacing w:after="0" w:line="136" w:lineRule="exact"/>
        <w:rPr>
          <w:rFonts w:ascii="Arial" w:cs="Arial" w:eastAsia="Arial" w:hAnsi="Arial"/>
          <w:sz w:val="15"/>
          <w:szCs w:val="15"/>
          <w:color w:val="auto"/>
        </w:rPr>
      </w:pPr>
    </w:p>
    <w:p>
      <w:pPr>
        <w:ind w:left="460" w:right="20" w:hanging="452"/>
        <w:spacing w:after="0" w:line="339"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the Plan</w:t>
      </w:r>
      <w:r>
        <w:rPr>
          <w:rFonts w:ascii="Arial" w:cs="Arial" w:eastAsia="Arial" w:hAnsi="Arial"/>
          <w:sz w:val="16"/>
          <w:szCs w:val="16"/>
          <w:color w:val="auto"/>
        </w:rPr>
        <w:t>. The incentive award is based upon financial performance of the Corporation. The Plan is an annual program that provides for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cumulative measurements of financial performance and an opportunity for quarterly incentive payment based on performance results.</w:t>
      </w:r>
    </w:p>
    <w:p>
      <w:pPr>
        <w:spacing w:after="0" w:line="134" w:lineRule="exact"/>
        <w:rPr>
          <w:rFonts w:ascii="Arial" w:cs="Arial" w:eastAsia="Arial" w:hAnsi="Arial"/>
          <w:sz w:val="16"/>
          <w:szCs w:val="16"/>
          <w:color w:val="auto"/>
        </w:rPr>
      </w:pPr>
    </w:p>
    <w:p>
      <w:pPr>
        <w:ind w:left="460" w:right="260"/>
        <w:spacing w:after="0" w:line="306" w:lineRule="auto"/>
        <w:rPr>
          <w:rFonts w:ascii="Arial" w:cs="Arial" w:eastAsia="Arial" w:hAnsi="Arial"/>
          <w:sz w:val="16"/>
          <w:szCs w:val="16"/>
          <w:color w:val="auto"/>
        </w:rPr>
      </w:pPr>
      <w:r>
        <w:rPr>
          <w:rFonts w:ascii="Arial" w:cs="Arial" w:eastAsia="Arial" w:hAnsi="Arial"/>
          <w:sz w:val="16"/>
          <w:szCs w:val="16"/>
          <w:color w:val="auto"/>
        </w:rPr>
        <w:t>The financial performance measurements for this Plan will be based upon one or more pre-established financial criteria. These financial performance measurements will provide an appropriate balance between quality and quantity of earnings. The Board annually establishes the financial measurements including a Target, a minimum threshold below which an incentive will not be paid and a maximum incentive level.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9" w:right="239" w:bottom="26"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807085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52" w:right="100" w:hanging="452"/>
        <w:spacing w:after="0" w:line="301" w:lineRule="auto"/>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The amount of the participants’ incentive compensation for the quarter shall be in direct proportion to the financial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expressed as a percentage (Financial Factor) against predetermined compensation targets for each participant. Upon completion of the first quarter of the fiscal year, quarterly results thereafter shall be combined to form cumulative fiscal year-to-date results. The results for the respective period will be used in identifying the Financial Factor to be used for that period when calculating the participants incentive compensation.</w:t>
      </w:r>
    </w:p>
    <w:p>
      <w:pPr>
        <w:spacing w:after="0" w:line="163" w:lineRule="exact"/>
        <w:rPr>
          <w:rFonts w:ascii="Arial" w:cs="Arial" w:eastAsia="Arial" w:hAnsi="Arial"/>
          <w:sz w:val="16"/>
          <w:szCs w:val="16"/>
          <w:color w:val="auto"/>
        </w:rPr>
      </w:pPr>
    </w:p>
    <w:p>
      <w:pPr>
        <w:jc w:val="both"/>
        <w:ind w:left="452" w:right="280"/>
        <w:spacing w:after="0" w:line="306" w:lineRule="auto"/>
        <w:rPr>
          <w:rFonts w:ascii="Arial" w:cs="Arial" w:eastAsia="Arial" w:hAnsi="Arial"/>
          <w:sz w:val="16"/>
          <w:szCs w:val="16"/>
          <w:color w:val="auto"/>
        </w:rPr>
      </w:pPr>
      <w:r>
        <w:rPr>
          <w:rFonts w:ascii="Arial" w:cs="Arial" w:eastAsia="Arial" w:hAnsi="Arial"/>
          <w:sz w:val="16"/>
          <w:szCs w:val="16"/>
          <w:color w:val="auto"/>
        </w:rPr>
        <w:t>50% of the quarterly calculated incentive will be paid within 45 days after the close of the fiscal quarter. The remaining 50% of the quarterly calculated incentive will be held back and carried forward into the next cumulative quarter. At the end of the fourth fiscal quarter (fiscal year end), a final year-end accounting will be made prior to the payment of any remaining incentive holdback for the year.</w:t>
      </w:r>
    </w:p>
    <w:p>
      <w:pPr>
        <w:spacing w:after="0" w:line="160" w:lineRule="exact"/>
        <w:rPr>
          <w:rFonts w:ascii="Arial" w:cs="Arial" w:eastAsia="Arial" w:hAnsi="Arial"/>
          <w:sz w:val="16"/>
          <w:szCs w:val="16"/>
          <w:color w:val="auto"/>
        </w:rPr>
      </w:pPr>
    </w:p>
    <w:p>
      <w:pPr>
        <w:ind w:left="452" w:right="40"/>
        <w:spacing w:after="0" w:line="256" w:lineRule="auto"/>
        <w:rPr>
          <w:rFonts w:ascii="Arial" w:cs="Arial" w:eastAsia="Arial" w:hAnsi="Arial"/>
          <w:sz w:val="16"/>
          <w:szCs w:val="16"/>
          <w:color w:val="auto"/>
        </w:rPr>
      </w:pPr>
      <w:r>
        <w:rPr>
          <w:rFonts w:ascii="Arial" w:cs="Arial" w:eastAsia="Arial" w:hAnsi="Arial"/>
          <w:sz w:val="18"/>
          <w:szCs w:val="18"/>
          <w:color w:val="auto"/>
        </w:rPr>
        <w:t>The incentive for the officers except for the Chief Executive Officer, provides for a 60% bonus (Target) comprised of (2/3) cash and (1/3) stock (or in cash at the participants election pursuant to Section 7) at 100% achievement of the financial objectives. The incentive for the Chief Executive Officer provides for a 105% bonus (Target) comprised of (2/3) cash and (1/3) stock (or in cash at the participants election pursuant to Section 7) at 100% achievement of the financial objectives.</w:t>
      </w:r>
    </w:p>
    <w:p>
      <w:pPr>
        <w:spacing w:after="0" w:line="197" w:lineRule="exact"/>
        <w:rPr>
          <w:rFonts w:ascii="Arial" w:cs="Arial" w:eastAsia="Arial" w:hAnsi="Arial"/>
          <w:sz w:val="16"/>
          <w:szCs w:val="16"/>
          <w:color w:val="auto"/>
        </w:rPr>
      </w:pPr>
    </w:p>
    <w:p>
      <w:pPr>
        <w:ind w:left="452" w:right="280"/>
        <w:spacing w:after="0" w:line="332" w:lineRule="auto"/>
        <w:rPr>
          <w:rFonts w:ascii="Arial" w:cs="Arial" w:eastAsia="Arial" w:hAnsi="Arial"/>
          <w:sz w:val="16"/>
          <w:szCs w:val="16"/>
          <w:color w:val="auto"/>
        </w:rPr>
      </w:pPr>
      <w:r>
        <w:rPr>
          <w:rFonts w:ascii="Arial" w:cs="Arial" w:eastAsia="Arial" w:hAnsi="Arial"/>
          <w:sz w:val="16"/>
          <w:szCs w:val="16"/>
          <w:color w:val="auto"/>
        </w:rPr>
        <w:t>A participant must be employed by Winnebago Industries, Inc. at the end of the fiscal year to be eligible for any previous quarterly holdback allocations except as waived by the Chairman of the Board and CEO of Winnebago Industries, Inc. for normal retirement and disability.</w:t>
      </w:r>
    </w:p>
    <w:p>
      <w:pPr>
        <w:spacing w:after="0" w:line="133" w:lineRule="exact"/>
        <w:rPr>
          <w:rFonts w:ascii="Arial" w:cs="Arial" w:eastAsia="Arial" w:hAnsi="Arial"/>
          <w:sz w:val="16"/>
          <w:szCs w:val="16"/>
          <w:color w:val="auto"/>
        </w:rPr>
      </w:pPr>
    </w:p>
    <w:p>
      <w:pPr>
        <w:ind w:left="452" w:right="100" w:hanging="452"/>
        <w:spacing w:after="0" w:line="310" w:lineRule="auto"/>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Strategic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Human Resources Committee reserves the right to modify the core incentive eligibility by plus/minus 20% (of the calculated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Factor) based upon strategic organizational priorities. Strategic performance will be measured at the end of the fiscal year only. Strategic measurements may focus on one or more of the following strategic factors but are not limited to those stated.</w:t>
      </w:r>
    </w:p>
    <w:p>
      <w:pPr>
        <w:sectPr>
          <w:pgSz w:w="11900" w:h="16838" w:orient="portrait"/>
          <w:cols w:equalWidth="0" w:num="1">
            <w:col w:w="11412"/>
          </w:cols>
          <w:pgMar w:left="248" w:top="1440" w:right="239" w:bottom="0" w:gutter="0" w:footer="0" w:header="0"/>
        </w:sectPr>
      </w:pPr>
    </w:p>
    <w:p>
      <w:pPr>
        <w:spacing w:after="0" w:line="157" w:lineRule="exact"/>
        <w:rPr>
          <w:sz w:val="20"/>
          <w:szCs w:val="20"/>
          <w:color w:val="auto"/>
        </w:rPr>
      </w:pPr>
    </w:p>
    <w:p>
      <w:pPr>
        <w:ind w:left="1792"/>
        <w:spacing w:after="0"/>
        <w:rPr>
          <w:sz w:val="20"/>
          <w:szCs w:val="20"/>
          <w:color w:val="auto"/>
        </w:rPr>
      </w:pPr>
      <w:r>
        <w:rPr>
          <w:rFonts w:ascii="Arial" w:cs="Arial" w:eastAsia="Arial" w:hAnsi="Arial"/>
          <w:sz w:val="18"/>
          <w:szCs w:val="18"/>
          <w:color w:val="auto"/>
        </w:rPr>
        <w:t>Revenue Growth</w:t>
      </w:r>
    </w:p>
    <w:p>
      <w:pPr>
        <w:spacing w:after="0" w:line="15" w:lineRule="exact"/>
        <w:rPr>
          <w:sz w:val="20"/>
          <w:szCs w:val="20"/>
          <w:color w:val="auto"/>
        </w:rPr>
      </w:pPr>
    </w:p>
    <w:p>
      <w:pPr>
        <w:ind w:left="1792"/>
        <w:spacing w:after="0"/>
        <w:rPr>
          <w:sz w:val="20"/>
          <w:szCs w:val="20"/>
          <w:color w:val="auto"/>
        </w:rPr>
      </w:pPr>
      <w:r>
        <w:rPr>
          <w:rFonts w:ascii="Arial" w:cs="Arial" w:eastAsia="Arial" w:hAnsi="Arial"/>
          <w:sz w:val="18"/>
          <w:szCs w:val="18"/>
          <w:color w:val="auto"/>
        </w:rPr>
        <w:t>Market Share</w:t>
      </w:r>
    </w:p>
    <w:p>
      <w:pPr>
        <w:spacing w:after="0" w:line="9" w:lineRule="exact"/>
        <w:rPr>
          <w:sz w:val="20"/>
          <w:szCs w:val="20"/>
          <w:color w:val="auto"/>
        </w:rPr>
      </w:pPr>
    </w:p>
    <w:p>
      <w:pPr>
        <w:ind w:left="1792"/>
        <w:spacing w:after="0"/>
        <w:rPr>
          <w:sz w:val="20"/>
          <w:szCs w:val="20"/>
          <w:color w:val="auto"/>
        </w:rPr>
      </w:pPr>
      <w:r>
        <w:rPr>
          <w:rFonts w:ascii="Arial" w:cs="Arial" w:eastAsia="Arial" w:hAnsi="Arial"/>
          <w:sz w:val="18"/>
          <w:szCs w:val="18"/>
          <w:color w:val="auto"/>
        </w:rPr>
        <w:t>Product Quality</w:t>
      </w:r>
    </w:p>
    <w:p>
      <w:pPr>
        <w:spacing w:after="0" w:line="9" w:lineRule="exact"/>
        <w:rPr>
          <w:sz w:val="20"/>
          <w:szCs w:val="20"/>
          <w:color w:val="auto"/>
        </w:rPr>
      </w:pPr>
    </w:p>
    <w:p>
      <w:pPr>
        <w:ind w:left="1792"/>
        <w:spacing w:after="0"/>
        <w:rPr>
          <w:sz w:val="20"/>
          <w:szCs w:val="20"/>
          <w:color w:val="auto"/>
        </w:rPr>
      </w:pPr>
      <w:r>
        <w:rPr>
          <w:rFonts w:ascii="Arial" w:cs="Arial" w:eastAsia="Arial" w:hAnsi="Arial"/>
          <w:sz w:val="16"/>
          <w:szCs w:val="16"/>
          <w:color w:val="auto"/>
        </w:rPr>
        <w:t>Product Introductions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Customer Satisfaction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Inventory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Ethical Business Practices</w:t>
      </w:r>
    </w:p>
    <w:p>
      <w:pPr>
        <w:spacing w:after="0" w:line="211" w:lineRule="exact"/>
        <w:rPr>
          <w:sz w:val="20"/>
          <w:szCs w:val="20"/>
          <w:color w:val="auto"/>
        </w:rPr>
      </w:pPr>
    </w:p>
    <w:p>
      <w:pPr>
        <w:sectPr>
          <w:pgSz w:w="11900" w:h="16838" w:orient="portrait"/>
          <w:cols w:equalWidth="0" w:num="2">
            <w:col w:w="5512" w:space="720"/>
            <w:col w:w="5180"/>
          </w:cols>
          <w:pgMar w:left="248" w:top="1440" w:right="239" w:bottom="0" w:gutter="0" w:footer="0" w:header="0"/>
          <w:type w:val="continuous"/>
        </w:sectPr>
      </w:pPr>
    </w:p>
    <w:p>
      <w:pPr>
        <w:spacing w:after="0" w:line="36" w:lineRule="exact"/>
        <w:rPr>
          <w:sz w:val="20"/>
          <w:szCs w:val="20"/>
          <w:color w:val="auto"/>
        </w:rPr>
      </w:pPr>
    </w:p>
    <w:p>
      <w:pPr>
        <w:ind w:left="452" w:hanging="452"/>
        <w:spacing w:after="0" w:line="293" w:lineRule="auto"/>
        <w:tabs>
          <w:tab w:leader="none" w:pos="452"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Supplementary Match.</w:t>
      </w:r>
      <w:r>
        <w:rPr>
          <w:rFonts w:ascii="Arial" w:cs="Arial" w:eastAsia="Arial" w:hAnsi="Arial"/>
          <w:sz w:val="16"/>
          <w:szCs w:val="16"/>
          <w:b w:val="1"/>
          <w:bCs w:val="1"/>
          <w:color w:val="auto"/>
        </w:rPr>
        <w:t xml:space="preserve"> </w:t>
      </w:r>
      <w:r>
        <w:rPr>
          <w:rFonts w:ascii="Arial" w:cs="Arial" w:eastAsia="Arial" w:hAnsi="Arial"/>
          <w:sz w:val="16"/>
          <w:szCs w:val="16"/>
          <w:color w:val="auto"/>
        </w:rPr>
        <w:t>Fifty percent (50%) of a participant’s cash incentive compensation earned for the year, pursuant to Paragraph 5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matched annually by the Company in the form of restricted company stock (or in cash if elected by the participant). The annual supplementary Company match shall be paid as soon as practical after the final year-end compensation accounting and payment of any remaining incentive compensation holdback for the year. Participants shall elect in writing within 45 days following the end of the fiscal year whether to receive the total of any annual supplementary company match in the form of restricted company stock or in the form of cash. A participant shall be eligible for the supplementary match only if such participant is actively employed at the end of the fiscal year.</w:t>
      </w:r>
    </w:p>
    <w:p>
      <w:pPr>
        <w:spacing w:after="0" w:line="164" w:lineRule="exact"/>
        <w:rPr>
          <w:rFonts w:ascii="Arial" w:cs="Arial" w:eastAsia="Arial" w:hAnsi="Arial"/>
          <w:sz w:val="16"/>
          <w:szCs w:val="16"/>
          <w:color w:val="auto"/>
        </w:rPr>
      </w:pPr>
    </w:p>
    <w:p>
      <w:pPr>
        <w:ind w:left="452" w:right="200" w:hanging="452"/>
        <w:spacing w:after="0" w:line="275"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Company undergoes a change in control during the Plan year including, without limitation, an acquisition or merger</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Corporation (“Change in Control”), the Committee shall, prior to the effective date of the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866775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52" w:right="180"/>
        <w:spacing w:after="0" w:line="291" w:lineRule="auto"/>
        <w:rPr>
          <w:sz w:val="20"/>
          <w:szCs w:val="20"/>
          <w:color w:val="auto"/>
        </w:rPr>
      </w:pPr>
      <w:r>
        <w:rPr>
          <w:rFonts w:ascii="Arial" w:cs="Arial" w:eastAsia="Arial" w:hAnsi="Arial"/>
          <w:sz w:val="16"/>
          <w:szCs w:val="16"/>
          <w:color w:val="auto"/>
        </w:rPr>
        <w:t>Change in Control (the “Effective Date”), make a good faith estimate with respect to the achievement of the financial performance through the end of the Plan year immediately preceding the Effective Date. In making such estimate, the Committee may compare the achievement of the finance performance against forecast through the Plan period and may consider such factors as it deems appropriate. The Committee shall exclude from any such estimate any and all costs and expenses arising out of or in connection with the Change in Control. Based on such estimate, the Committee shall make a full Plan year award within 15 days after the Effective Date to all participants. Any holdback for previous period(s) will be released and paid to the participant together with the annual supplementary cash match payment earned.</w:t>
      </w:r>
    </w:p>
    <w:p>
      <w:pPr>
        <w:spacing w:after="0" w:line="168" w:lineRule="exact"/>
        <w:rPr>
          <w:sz w:val="20"/>
          <w:szCs w:val="20"/>
          <w:color w:val="auto"/>
        </w:rPr>
      </w:pPr>
    </w:p>
    <w:p>
      <w:pPr>
        <w:ind w:left="452" w:right="20"/>
        <w:spacing w:after="0" w:line="290"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for the purposes of the Officers Incentive Compensation Plan shall mean the time when (i) any Person becomes an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1752" w:right="60" w:hanging="631"/>
        <w:spacing w:after="0" w:line="306" w:lineRule="auto"/>
        <w:tabs>
          <w:tab w:leader="none" w:pos="17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w:t>
      </w:r>
    </w:p>
    <w:p>
      <w:pPr>
        <w:sectPr>
          <w:pgSz w:w="11900" w:h="16838" w:orient="portrait"/>
          <w:cols w:equalWidth="0" w:num="1">
            <w:col w:w="11412"/>
          </w:cols>
          <w:pgMar w:left="248" w:top="1440" w:right="239" w:bottom="0" w:gutter="0" w:footer="0" w:header="0"/>
          <w:type w:val="continuous"/>
        </w:sectPr>
      </w:pPr>
    </w:p>
    <w:bookmarkStart w:id="5" w:name="page6"/>
    <w:bookmarkEnd w:id="5"/>
    <w:p>
      <w:pPr>
        <w:ind w:left="1752"/>
        <w:spacing w:after="0" w:line="306" w:lineRule="auto"/>
        <w:rPr>
          <w:sz w:val="20"/>
          <w:szCs w:val="20"/>
          <w:color w:val="auto"/>
        </w:rPr>
      </w:pPr>
      <w:r>
        <w:rPr>
          <w:rFonts w:ascii="Arial" w:cs="Arial" w:eastAsia="Arial" w:hAnsi="Arial"/>
          <w:sz w:val="16"/>
          <w:szCs w:val="16"/>
          <w:color w:val="auto"/>
        </w:rPr>
        <w:t>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8" w:lineRule="exact"/>
        <w:rPr>
          <w:sz w:val="20"/>
          <w:szCs w:val="20"/>
          <w:color w:val="auto"/>
        </w:rPr>
      </w:pPr>
    </w:p>
    <w:p>
      <w:pPr>
        <w:ind w:left="1752" w:right="60" w:hanging="631"/>
        <w:spacing w:after="0" w:line="332"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66" w:lineRule="exact"/>
        <w:rPr>
          <w:rFonts w:ascii="Arial" w:cs="Arial" w:eastAsia="Arial" w:hAnsi="Arial"/>
          <w:sz w:val="16"/>
          <w:szCs w:val="16"/>
          <w:color w:val="auto"/>
        </w:rPr>
      </w:pPr>
    </w:p>
    <w:p>
      <w:pPr>
        <w:ind w:left="1752" w:right="580" w:hanging="631"/>
        <w:spacing w:after="0" w:line="268" w:lineRule="auto"/>
        <w:tabs>
          <w:tab w:leader="none" w:pos="1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212" w:lineRule="exact"/>
        <w:rPr>
          <w:rFonts w:ascii="Arial" w:cs="Arial" w:eastAsia="Arial" w:hAnsi="Arial"/>
          <w:sz w:val="18"/>
          <w:szCs w:val="18"/>
          <w:color w:val="auto"/>
        </w:rPr>
      </w:pPr>
    </w:p>
    <w:p>
      <w:pPr>
        <w:ind w:left="1752" w:right="620" w:hanging="631"/>
        <w:spacing w:after="0" w:line="332"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“Associate” means (1) any corporate, partnership, limited liability company, entity or organization (other than the Company or a majority-owned subsidiary of the Company) of which such a Person is an officer, director, member, or</w:t>
      </w: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523875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72" w:right="60"/>
        <w:spacing w:after="0" w:line="256" w:lineRule="auto"/>
        <w:rPr>
          <w:sz w:val="20"/>
          <w:szCs w:val="20"/>
          <w:color w:val="auto"/>
        </w:rPr>
      </w:pPr>
      <w:r>
        <w:rPr>
          <w:rFonts w:ascii="Arial" w:cs="Arial" w:eastAsia="Arial" w:hAnsi="Arial"/>
          <w:sz w:val="18"/>
          <w:szCs w:val="18"/>
          <w:color w:val="auto"/>
        </w:rPr>
        <w:t>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7" w:lineRule="exact"/>
        <w:rPr>
          <w:sz w:val="20"/>
          <w:szCs w:val="20"/>
          <w:color w:val="auto"/>
        </w:rPr>
      </w:pPr>
    </w:p>
    <w:p>
      <w:pPr>
        <w:ind w:left="1572" w:hanging="667"/>
        <w:spacing w:after="0"/>
        <w:tabs>
          <w:tab w:leader="none" w:pos="1572"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25" w:lineRule="exact"/>
        <w:rPr>
          <w:rFonts w:ascii="Arial" w:cs="Arial" w:eastAsia="Arial" w:hAnsi="Arial"/>
          <w:sz w:val="18"/>
          <w:szCs w:val="18"/>
          <w:color w:val="auto"/>
        </w:rPr>
      </w:pPr>
    </w:p>
    <w:p>
      <w:pPr>
        <w:ind w:left="1572" w:right="160" w:hanging="667"/>
        <w:spacing w:after="0" w:line="268" w:lineRule="auto"/>
        <w:tabs>
          <w:tab w:leader="none" w:pos="157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179" w:lineRule="exact"/>
        <w:rPr>
          <w:rFonts w:ascii="Arial" w:cs="Arial" w:eastAsia="Arial" w:hAnsi="Arial"/>
          <w:sz w:val="18"/>
          <w:szCs w:val="18"/>
          <w:color w:val="auto"/>
        </w:rPr>
      </w:pPr>
    </w:p>
    <w:p>
      <w:pPr>
        <w:ind w:left="452" w:right="200" w:hanging="452"/>
        <w:spacing w:after="0" w:line="275"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452" w:right="260" w:hanging="452"/>
        <w:spacing w:after="0" w:line="275"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489585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72"/>
          </w:cols>
          <w:pgMar w:left="248" w:top="131"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654050</wp:posOffset>
            </wp:positionV>
            <wp:extent cx="2590165" cy="977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016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OFFICERS LONG-TERM INCENTIVE PLAN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FISCAL THREE-YEAR PERIOD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2007, 2008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956945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LONG-TERM INCENTIVE PLAN</w:t>
      </w:r>
    </w:p>
    <w:p>
      <w:pPr>
        <w:jc w:val="center"/>
        <w:spacing w:after="0"/>
        <w:rPr>
          <w:sz w:val="20"/>
          <w:szCs w:val="20"/>
          <w:color w:val="auto"/>
        </w:rPr>
      </w:pPr>
      <w:r>
        <w:rPr>
          <w:rFonts w:ascii="Arial" w:cs="Arial" w:eastAsia="Arial" w:hAnsi="Arial"/>
          <w:sz w:val="22"/>
          <w:szCs w:val="22"/>
          <w:b w:val="1"/>
          <w:bCs w:val="1"/>
          <w:color w:val="auto"/>
        </w:rPr>
        <w:t>Fiscal Three-Year Period 2007, 2008 and 2009</w:t>
      </w:r>
    </w:p>
    <w:p>
      <w:pPr>
        <w:spacing w:after="0" w:line="195" w:lineRule="exact"/>
        <w:rPr>
          <w:sz w:val="20"/>
          <w:szCs w:val="20"/>
          <w:color w:val="auto"/>
        </w:rPr>
      </w:pPr>
    </w:p>
    <w:p>
      <w:pPr>
        <w:ind w:left="460" w:right="60" w:hanging="452"/>
        <w:spacing w:after="0" w:line="31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color w:val="auto"/>
        </w:rPr>
        <w:t>. The purpose of the Winnebago Industries, Inc. Officers Long-Term Incentive Plan (the “Plan”) is to promote the long-term growth and</w:t>
      </w:r>
      <w:r>
        <w:rPr>
          <w:rFonts w:ascii="Arial" w:cs="Arial" w:eastAsia="Arial" w:hAnsi="Arial"/>
          <w:sz w:val="16"/>
          <w:szCs w:val="16"/>
          <w:b w:val="1"/>
          <w:bCs w:val="1"/>
          <w:color w:val="auto"/>
        </w:rPr>
        <w:t xml:space="preserve"> </w:t>
      </w:r>
      <w:r>
        <w:rPr>
          <w:rFonts w:ascii="Arial" w:cs="Arial" w:eastAsia="Arial" w:hAnsi="Arial"/>
          <w:sz w:val="16"/>
          <w:szCs w:val="16"/>
          <w:color w:val="auto"/>
        </w:rPr>
        <w:t>profitability of Winnebago Industries, Inc. (the “Company”) by providing its officers with an incentive to achieve long-term corporate profit objectives and to attract and retain officers who will contribute to the achievement of growth and profitability of the Company.</w:t>
      </w:r>
    </w:p>
    <w:p>
      <w:pPr>
        <w:spacing w:after="0" w:line="151" w:lineRule="exact"/>
        <w:rPr>
          <w:rFonts w:ascii="Arial" w:cs="Arial" w:eastAsia="Arial" w:hAnsi="Arial"/>
          <w:sz w:val="16"/>
          <w:szCs w:val="16"/>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p>
    <w:p>
      <w:pPr>
        <w:spacing w:after="0" w:line="21"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Human Resources Committee</w:t>
      </w:r>
      <w:r>
        <w:rPr>
          <w:rFonts w:ascii="Arial" w:cs="Arial" w:eastAsia="Arial" w:hAnsi="Arial"/>
          <w:sz w:val="16"/>
          <w:szCs w:val="16"/>
          <w:color w:val="auto"/>
        </w:rPr>
        <w:t>. The Plan shall be administered by a Committee (the “Committee”) appointed by the Board of Directors.</w:t>
      </w:r>
    </w:p>
    <w:p>
      <w:pPr>
        <w:spacing w:after="0" w:line="235" w:lineRule="exact"/>
        <w:rPr>
          <w:rFonts w:ascii="Arial" w:cs="Arial" w:eastAsia="Arial" w:hAnsi="Arial"/>
          <w:sz w:val="16"/>
          <w:szCs w:val="16"/>
          <w:color w:val="auto"/>
        </w:rPr>
      </w:pPr>
    </w:p>
    <w:p>
      <w:pPr>
        <w:ind w:left="1360" w:right="320" w:hanging="447"/>
        <w:spacing w:after="0" w:line="310"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and Duties</w:t>
      </w:r>
      <w:r>
        <w:rPr>
          <w:rFonts w:ascii="Arial" w:cs="Arial" w:eastAsia="Arial" w:hAnsi="Arial"/>
          <w:sz w:val="16"/>
          <w:szCs w:val="16"/>
          <w:color w:val="auto"/>
        </w:rPr>
        <w:t>. The Committee shall have sole discretion and authority to make any and all determinations necessary or advisable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and may amend or revoke any rule or regulation so established for the proper administration of the Plan. All interpretations, decisions, or determinations made by the Committee pursuant to the Plan shall be final and conclusive.</w:t>
      </w:r>
    </w:p>
    <w:p>
      <w:pPr>
        <w:spacing w:after="0" w:line="151" w:lineRule="exact"/>
        <w:rPr>
          <w:rFonts w:ascii="Arial" w:cs="Arial" w:eastAsia="Arial" w:hAnsi="Arial"/>
          <w:sz w:val="16"/>
          <w:szCs w:val="16"/>
          <w:color w:val="auto"/>
        </w:rPr>
      </w:pPr>
    </w:p>
    <w:p>
      <w:pPr>
        <w:ind w:left="1360" w:hanging="447"/>
        <w:spacing w:after="0" w:line="275"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must approve the Plan prior to the beginning of each new fiscal three (3) year plan period. Each year a new</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be established for a new three-year period.</w:t>
      </w:r>
    </w:p>
    <w:p>
      <w:pPr>
        <w:spacing w:after="0" w:line="17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Participation Eligibility</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Participants must be an officer of the Company with responsibilities that can have a real impact on the Corporation’s end results.</w:t>
      </w:r>
    </w:p>
    <w:p>
      <w:pPr>
        <w:spacing w:after="0" w:line="241" w:lineRule="exact"/>
        <w:rPr>
          <w:rFonts w:ascii="Arial" w:cs="Arial" w:eastAsia="Arial" w:hAnsi="Arial"/>
          <w:sz w:val="16"/>
          <w:szCs w:val="16"/>
          <w:color w:val="auto"/>
        </w:rPr>
      </w:pPr>
    </w:p>
    <w:p>
      <w:pPr>
        <w:ind w:left="1360" w:hanging="447"/>
        <w:spacing w:after="0"/>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Committee will approve all initial participation prior to the beginning of each new program except as provided for in section c. below.</w:t>
      </w:r>
    </w:p>
    <w:p>
      <w:pPr>
        <w:spacing w:after="0" w:line="248" w:lineRule="exact"/>
        <w:rPr>
          <w:rFonts w:ascii="Arial" w:cs="Arial" w:eastAsia="Arial" w:hAnsi="Arial"/>
          <w:sz w:val="16"/>
          <w:szCs w:val="16"/>
          <w:color w:val="auto"/>
        </w:rPr>
      </w:pPr>
    </w:p>
    <w:p>
      <w:pPr>
        <w:ind w:left="1360" w:right="240" w:hanging="447"/>
        <w:spacing w:after="0" w:line="259"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Chairman of the Board and CEO of Winnebago Industries, Inc. will make the determination on participation for new participants, for partial awards due to retirement, disability or death. Unless otherwise specified, participants must be employed as of the end of the three (3) year fiscal period to be eligible for any incentive award.</w:t>
      </w:r>
    </w:p>
    <w:p>
      <w:pPr>
        <w:spacing w:after="0" w:line="188" w:lineRule="exact"/>
        <w:rPr>
          <w:rFonts w:ascii="Arial" w:cs="Arial" w:eastAsia="Arial" w:hAnsi="Arial"/>
          <w:sz w:val="18"/>
          <w:szCs w:val="18"/>
          <w:color w:val="auto"/>
        </w:rPr>
      </w:pPr>
    </w:p>
    <w:p>
      <w:pPr>
        <w:ind w:left="460" w:right="160" w:hanging="452"/>
        <w:spacing w:after="0" w:line="26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the Plan</w:t>
      </w:r>
      <w:r>
        <w:rPr>
          <w:rFonts w:ascii="Arial" w:cs="Arial" w:eastAsia="Arial" w:hAnsi="Arial"/>
          <w:sz w:val="18"/>
          <w:szCs w:val="18"/>
          <w:color w:val="auto"/>
        </w:rPr>
        <w:t>. The long-term incentive award is based upon financial performance of the Corporation. The Plan is a three (3) year (fiscal)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that provides for an opportunity for an incentive award based on the achievement of long-term financial performance results as measured at the end of the three (3) year fiscal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639" w:right="239" w:bottom="701" w:gutter="0" w:footer="0" w:header="0"/>
        </w:sectPr>
      </w:pPr>
    </w:p>
    <w:bookmarkStart w:id="7" w:name="page8"/>
    <w:bookmarkEnd w:id="7"/>
    <w:p>
      <w:pPr>
        <w:ind w:left="452"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 financial performance measurements for this Plan will be based upon one or more pre-established financial criteria. These financial performance measurements will provide an appropriate balance between quality and quantity of earnings. The Board establishes the financial measurements including a Target, a minimum threshold below which an incentive will not be paid and a maximum incentive level.</w:t>
      </w:r>
    </w:p>
    <w:p>
      <w:pPr>
        <w:spacing w:after="0" w:line="155" w:lineRule="exact"/>
        <w:rPr>
          <w:sz w:val="20"/>
          <w:szCs w:val="20"/>
          <w:color w:val="auto"/>
        </w:rPr>
      </w:pPr>
    </w:p>
    <w:p>
      <w:pPr>
        <w:ind w:left="452" w:right="20" w:hanging="452"/>
        <w:spacing w:after="0" w:line="256"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The long-term incentive award will be a performance stock grant made in restricted shares of the common stock of Winnebago</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Inc. or in cash if elected by the participant. The amount of the participants’ long-term incentive award for the three (3) year fiscal period shall be in direct proportion to the financial performance expressed as a percentage (Financial Factor) against predetermined award targets for each participant. The results for the fiscal three (3) year period will be used in identifying the Financial Factor to be used for that plan period when calculating the participants long-term incentive awards.</w:t>
      </w:r>
    </w:p>
    <w:p>
      <w:pPr>
        <w:spacing w:after="0" w:line="198" w:lineRule="exact"/>
        <w:rPr>
          <w:rFonts w:ascii="Arial" w:cs="Arial" w:eastAsia="Arial" w:hAnsi="Arial"/>
          <w:sz w:val="18"/>
          <w:szCs w:val="18"/>
          <w:color w:val="auto"/>
        </w:rPr>
      </w:pPr>
    </w:p>
    <w:p>
      <w:pPr>
        <w:ind w:left="452" w:right="60"/>
        <w:spacing w:after="0" w:line="254" w:lineRule="auto"/>
        <w:rPr>
          <w:rFonts w:ascii="Arial" w:cs="Arial" w:eastAsia="Arial" w:hAnsi="Arial"/>
          <w:sz w:val="18"/>
          <w:szCs w:val="18"/>
          <w:color w:val="auto"/>
        </w:rPr>
      </w:pPr>
      <w:r>
        <w:rPr>
          <w:rFonts w:ascii="Arial" w:cs="Arial" w:eastAsia="Arial" w:hAnsi="Arial"/>
          <w:sz w:val="18"/>
          <w:szCs w:val="18"/>
          <w:color w:val="auto"/>
        </w:rPr>
        <w:t>The long-term incentive for the officers provides for an opportunity of 25% of the annualized base salary (Target) to be awarded in restricted stock or cash at 100% achievement of the financial long-term objectives. The annualized base salary figure used shall be the salary in place for each participant as of January 2007. The resultant stock unit share opportunity or cash award opportunity (at 100% of Plan) will be adjusted up or down as determined by actual financial performance expressed as a percentage (Financial Factor) at the end of the three (3) year fiscal period. Participants shall elect in writing within 45 days following the end of the three (3) year fiscal period whether to receive the total of any such long-term incentive award in the form of restricted company stock or in the form of cash.</w:t>
      </w:r>
    </w:p>
    <w:p>
      <w:pPr>
        <w:spacing w:after="0" w:line="198" w:lineRule="exact"/>
        <w:rPr>
          <w:rFonts w:ascii="Arial" w:cs="Arial" w:eastAsia="Arial" w:hAnsi="Arial"/>
          <w:sz w:val="18"/>
          <w:szCs w:val="18"/>
          <w:color w:val="auto"/>
        </w:rPr>
      </w:pPr>
    </w:p>
    <w:p>
      <w:pPr>
        <w:ind w:left="452" w:right="60"/>
        <w:spacing w:after="0" w:line="332" w:lineRule="auto"/>
        <w:rPr>
          <w:rFonts w:ascii="Arial" w:cs="Arial" w:eastAsia="Arial" w:hAnsi="Arial"/>
          <w:sz w:val="18"/>
          <w:szCs w:val="18"/>
          <w:color w:val="auto"/>
        </w:rPr>
      </w:pPr>
      <w:r>
        <w:rPr>
          <w:rFonts w:ascii="Arial" w:cs="Arial" w:eastAsia="Arial" w:hAnsi="Arial"/>
          <w:sz w:val="16"/>
          <w:szCs w:val="16"/>
          <w:color w:val="auto"/>
        </w:rPr>
        <w:t>A participant must be employed by Winnebago Industries, Inc. at the end of the fiscal three (3) year period to be eligible for any long-term incentive award except as waived by the Chairman of the Board and CEO of Winnebago Industries, Inc. for normal retirement and disability.</w:t>
      </w:r>
    </w:p>
    <w:p>
      <w:pPr>
        <w:spacing w:after="0" w:line="133" w:lineRule="exact"/>
        <w:rPr>
          <w:rFonts w:ascii="Arial" w:cs="Arial" w:eastAsia="Arial" w:hAnsi="Arial"/>
          <w:sz w:val="18"/>
          <w:szCs w:val="18"/>
          <w:color w:val="auto"/>
        </w:rPr>
      </w:pPr>
    </w:p>
    <w:p>
      <w:pPr>
        <w:ind w:left="452" w:right="120" w:hanging="452"/>
        <w:spacing w:after="0" w:line="291"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undergoes a change in control during the fiscal three (3) year plan period including, without limitation, an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 merger involving the Corporation (“Change in Control”), the Committee shall, prior to the effective date of the Change in Control (the “Effective Date”), make a good faith estimate with respect to the achievement of the financial performance through the end of the Plan three (3) year period. In making such estimate, the Committee may compare the achievement of the financial performance against the forecast through the Plan three (3) year period and may consider such other factors as it deems appropriate. The Committee shall exclude from any such estimate any and all costs and expenses arising out of or in connection with the Change in Control. Based on such estimate, the Committee shall make a full three (3) year Plan award within 15 days after the Effective date to all participants.</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866775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52"/>
        <w:spacing w:after="0"/>
        <w:rPr>
          <w:sz w:val="20"/>
          <w:szCs w:val="20"/>
          <w:color w:val="auto"/>
        </w:rPr>
      </w:pPr>
      <w:r>
        <w:rPr>
          <w:rFonts w:ascii="Arial" w:cs="Arial" w:eastAsia="Arial" w:hAnsi="Arial"/>
          <w:sz w:val="15"/>
          <w:szCs w:val="15"/>
          <w:b w:val="1"/>
          <w:bCs w:val="1"/>
          <w:color w:val="auto"/>
        </w:rPr>
        <w:t xml:space="preserve">“Change in Control” </w:t>
      </w:r>
      <w:r>
        <w:rPr>
          <w:rFonts w:ascii="Arial" w:cs="Arial" w:eastAsia="Arial" w:hAnsi="Arial"/>
          <w:sz w:val="15"/>
          <w:szCs w:val="15"/>
          <w:color w:val="auto"/>
        </w:rPr>
        <w:t>for the purposes of the Officers Long-Term Incentive Plan shall mean the time when (i) any Person becomes an Acquiring Person, or</w:t>
      </w:r>
    </w:p>
    <w:p>
      <w:pPr>
        <w:spacing w:after="0" w:line="56" w:lineRule="exact"/>
        <w:rPr>
          <w:sz w:val="20"/>
          <w:szCs w:val="20"/>
          <w:color w:val="auto"/>
        </w:rPr>
      </w:pPr>
    </w:p>
    <w:p>
      <w:pPr>
        <w:ind w:left="452" w:right="140" w:firstLine="4"/>
        <w:spacing w:after="0" w:line="288" w:lineRule="auto"/>
        <w:tabs>
          <w:tab w:leader="none" w:pos="7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For the purpose of the definition “Change of Control:”</w:t>
      </w:r>
    </w:p>
    <w:p>
      <w:pPr>
        <w:spacing w:after="0" w:line="225" w:lineRule="exact"/>
        <w:rPr>
          <w:sz w:val="20"/>
          <w:szCs w:val="20"/>
          <w:color w:val="auto"/>
        </w:rPr>
      </w:pPr>
    </w:p>
    <w:p>
      <w:pPr>
        <w:ind w:left="1752" w:right="40" w:hanging="631"/>
        <w:spacing w:after="0" w:line="291" w:lineRule="auto"/>
        <w:tabs>
          <w:tab w:leader="none" w:pos="17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201" w:lineRule="exact"/>
        <w:rPr>
          <w:rFonts w:ascii="Arial" w:cs="Arial" w:eastAsia="Arial" w:hAnsi="Arial"/>
          <w:sz w:val="16"/>
          <w:szCs w:val="16"/>
          <w:color w:val="auto"/>
        </w:rPr>
      </w:pPr>
    </w:p>
    <w:p>
      <w:pPr>
        <w:ind w:left="1752" w:right="100" w:hanging="631"/>
        <w:spacing w:after="0" w:line="332" w:lineRule="auto"/>
        <w:tabs>
          <w:tab w:leader="none" w:pos="17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w:t>
      </w:r>
    </w:p>
    <w:p>
      <w:pPr>
        <w:spacing w:after="0" w:line="166" w:lineRule="exact"/>
        <w:rPr>
          <w:rFonts w:ascii="Arial" w:cs="Arial" w:eastAsia="Arial" w:hAnsi="Arial"/>
          <w:sz w:val="16"/>
          <w:szCs w:val="16"/>
          <w:color w:val="auto"/>
        </w:rPr>
      </w:pPr>
    </w:p>
    <w:p>
      <w:pPr>
        <w:ind w:left="1752" w:right="620" w:hanging="631"/>
        <w:spacing w:after="0" w:line="268" w:lineRule="auto"/>
        <w:tabs>
          <w:tab w:leader="none" w:pos="1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the person specified.</w:t>
      </w:r>
    </w:p>
    <w:p>
      <w:pPr>
        <w:spacing w:after="0" w:line="212" w:lineRule="exact"/>
        <w:rPr>
          <w:rFonts w:ascii="Arial" w:cs="Arial" w:eastAsia="Arial" w:hAnsi="Arial"/>
          <w:sz w:val="18"/>
          <w:szCs w:val="18"/>
          <w:color w:val="auto"/>
        </w:rPr>
      </w:pPr>
    </w:p>
    <w:p>
      <w:pPr>
        <w:ind w:left="1752" w:right="60" w:hanging="631"/>
        <w:spacing w:after="0" w:line="254" w:lineRule="auto"/>
        <w:tabs>
          <w:tab w:leader="none" w:pos="17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ectPr>
          <w:pgSz w:w="11900" w:h="16838" w:orient="portrait"/>
          <w:cols w:equalWidth="0" w:num="1">
            <w:col w:w="11412"/>
          </w:cols>
          <w:pgMar w:left="248" w:top="941" w:right="239" w:bottom="94" w:gutter="0" w:footer="0" w:header="0"/>
        </w:sectPr>
      </w:pPr>
    </w:p>
    <w:bookmarkStart w:id="8" w:name="page9"/>
    <w:bookmarkEnd w:id="8"/>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712470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52" w:hanging="631"/>
        <w:spacing w:after="0"/>
        <w:tabs>
          <w:tab w:leader="none" w:pos="17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“Company” means Winnebago Industries, Inc., an Iowa corporation.</w:t>
      </w:r>
    </w:p>
    <w:p>
      <w:pPr>
        <w:spacing w:after="0" w:line="252" w:lineRule="exact"/>
        <w:rPr>
          <w:rFonts w:ascii="Arial" w:cs="Arial" w:eastAsia="Arial" w:hAnsi="Arial"/>
          <w:sz w:val="18"/>
          <w:szCs w:val="18"/>
          <w:color w:val="auto"/>
        </w:rPr>
      </w:pPr>
    </w:p>
    <w:p>
      <w:pPr>
        <w:ind w:left="1752" w:hanging="631"/>
        <w:spacing w:after="0" w:line="268" w:lineRule="auto"/>
        <w:tabs>
          <w:tab w:leader="none" w:pos="17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association, joint stock company, trust, unincorporated organization or government or political subdivision thereof.</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452" w:right="200" w:hanging="452"/>
        <w:spacing w:after="0" w:line="275"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preempted by federal law, the consideration and operation of the Plan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Iowa.</w:t>
      </w:r>
    </w:p>
    <w:p>
      <w:pPr>
        <w:spacing w:after="0" w:line="173" w:lineRule="exact"/>
        <w:rPr>
          <w:rFonts w:ascii="Arial" w:cs="Arial" w:eastAsia="Arial" w:hAnsi="Arial"/>
          <w:sz w:val="18"/>
          <w:szCs w:val="18"/>
          <w:color w:val="auto"/>
        </w:rPr>
      </w:pPr>
    </w:p>
    <w:p>
      <w:pPr>
        <w:ind w:left="452" w:right="260" w:hanging="452"/>
        <w:spacing w:after="0" w:line="275"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shall confer upon any employee the right to continue in the employ of the Company, or affect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terminate an employee’s employment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489585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72"/>
      </w:cols>
      <w:pgMar w:left="248"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3"/>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decimal"/>
      <w:start w:val="1"/>
    </w:lvl>
    <w:lvl w:ilvl="1">
      <w:lvlJc w:val="left"/>
      <w:lvlText w:val="(%2)"/>
      <w:numFmt w:val="lowerLetter"/>
      <w:start w:val="5"/>
    </w:lvl>
  </w:abstractNum>
  <w:abstractNum w:abstractNumId="8">
    <w:nsid w:val="66EF438D"/>
    <w:multiLevelType w:val="hybridMultilevel"/>
    <w:lvl w:ilvl="0">
      <w:lvlJc w:val="left"/>
      <w:lvlText w:val="%1."/>
      <w:numFmt w:val="decimal"/>
      <w:start w:val="9"/>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5"/>
    </w:lvl>
  </w:abstractNum>
  <w:abstractNum w:abstractNumId="14">
    <w:nsid w:val="1BEFD79F"/>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2019-12-13T08:24:33Z</dcterms:created>
  <dcterms:modified xsi:type="dcterms:W3CDTF">2019-12-13T08:24:33Z</dcterms:modified>
</cp:coreProperties>
</file>