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40"/>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SCHEDULE 13D</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WINNEBAGO INDUSTRIES, INC.</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(Name of Issuer)</w:t>
      </w:r>
    </w:p>
    <w:p>
      <w:pPr>
        <w:spacing w:after="0" w:line="19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COMMON STOCK, $.50 PAR VALUE</w:t>
      </w:r>
    </w:p>
    <w:p>
      <w:pPr>
        <w:spacing w:after="0" w:line="8" w:lineRule="exact"/>
        <w:rPr>
          <w:sz w:val="24"/>
          <w:szCs w:val="24"/>
          <w:color w:val="auto"/>
        </w:rPr>
      </w:pPr>
    </w:p>
    <w:p>
      <w:pPr>
        <w:jc w:val="center"/>
        <w:ind w:right="3640"/>
        <w:spacing w:after="0"/>
        <w:rPr>
          <w:sz w:val="20"/>
          <w:szCs w:val="20"/>
          <w:color w:val="auto"/>
        </w:rPr>
      </w:pPr>
      <w:r>
        <w:rPr>
          <w:rFonts w:ascii="Courier New" w:cs="Courier New" w:eastAsia="Courier New" w:hAnsi="Courier New"/>
          <w:sz w:val="16"/>
          <w:szCs w:val="16"/>
          <w:color w:val="auto"/>
        </w:rPr>
        <w:t>(Title of Class of Securities)</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974637100</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(CUSIP Number)</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WILLIAM M. LIBIT, ESQ.</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CHAPMAN AND CUTLER LLP</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111 WEST MONROE STREET</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CHICAGO, ILLINOIS 60603</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(312) 845-2981</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8"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9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NOVEMBER 7, 2003</w:t>
      </w:r>
    </w:p>
    <w:p>
      <w:pPr>
        <w:spacing w:after="0" w:line="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(Date of Event which Requires</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right="3740"/>
        <w:spacing w:after="0" w:line="252"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187" w:lineRule="exact"/>
        <w:rPr>
          <w:sz w:val="24"/>
          <w:szCs w:val="24"/>
          <w:color w:val="auto"/>
        </w:rPr>
      </w:pPr>
    </w:p>
    <w:p>
      <w:pPr>
        <w:ind w:right="3640"/>
        <w:spacing w:after="0" w:line="252"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right="3640"/>
        <w:spacing w:after="0" w:line="252"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974637100</w:t>
      </w:r>
    </w:p>
    <w:p>
      <w:pPr>
        <w:spacing w:after="0" w:line="8" w:lineRule="exact"/>
        <w:rPr>
          <w:sz w:val="24"/>
          <w:szCs w:val="24"/>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880" w:hanging="879"/>
        <w:spacing w:after="0"/>
        <w:tabs>
          <w:tab w:leader="none" w:pos="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Nos. of Above Person</w:t>
      </w:r>
    </w:p>
    <w:p>
      <w:pPr>
        <w:spacing w:after="0" w:line="198" w:lineRule="exact"/>
        <w:rPr>
          <w:sz w:val="24"/>
          <w:szCs w:val="24"/>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880" w:right="382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Hanson Capital Partners, L.L.C. I.R.S. Identification No. 52-2286575 John V. Hanson</w:t>
      </w:r>
    </w:p>
    <w:p>
      <w:pPr>
        <w:ind w:left="880" w:right="916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Mary Joan Boman Paul D. Hanson</w:t>
      </w:r>
    </w:p>
    <w:p>
      <w:pPr>
        <w:spacing w:after="0" w:line="373"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(2)</w:t>
            </w:r>
          </w:p>
        </w:tc>
        <w:tc>
          <w:tcPr>
            <w:tcW w:w="8280" w:type="dxa"/>
            <w:vAlign w:val="bottom"/>
          </w:tcPr>
          <w:p>
            <w:pPr>
              <w:ind w:left="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tc>
        <w:tc>
          <w:tcPr>
            <w:tcW w:w="1820" w:type="dxa"/>
            <w:vAlign w:val="bottom"/>
          </w:tcPr>
          <w:p>
            <w:pPr>
              <w:ind w:left="1280"/>
              <w:spacing w:after="0"/>
              <w:rPr>
                <w:sz w:val="20"/>
                <w:szCs w:val="20"/>
                <w:color w:val="auto"/>
              </w:rPr>
            </w:pPr>
            <w:r>
              <w:rPr>
                <w:rFonts w:ascii="Courier New" w:cs="Courier New" w:eastAsia="Courier New" w:hAnsi="Courier New"/>
                <w:sz w:val="16"/>
                <w:szCs w:val="16"/>
                <w:color w:val="auto"/>
              </w:rPr>
              <w:t>(a)</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w w:val="97"/>
              </w:rPr>
              <w:t>[x]</w:t>
            </w:r>
          </w:p>
        </w:tc>
      </w:tr>
      <w:tr>
        <w:trPr>
          <w:trHeight w:val="190"/>
        </w:trPr>
        <w:tc>
          <w:tcPr>
            <w:tcW w:w="60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820" w:type="dxa"/>
            <w:vAlign w:val="bottom"/>
          </w:tcPr>
          <w:p>
            <w:pPr>
              <w:ind w:left="1280"/>
              <w:spacing w:after="0"/>
              <w:rPr>
                <w:sz w:val="20"/>
                <w:szCs w:val="20"/>
                <w:color w:val="auto"/>
              </w:rPr>
            </w:pPr>
            <w:r>
              <w:rPr>
                <w:rFonts w:ascii="Courier New" w:cs="Courier New" w:eastAsia="Courier New" w:hAnsi="Courier New"/>
                <w:sz w:val="16"/>
                <w:szCs w:val="16"/>
                <w:color w:val="auto"/>
              </w:rPr>
              <w:t>(b)</w:t>
            </w:r>
          </w:p>
        </w:tc>
        <w:tc>
          <w:tcPr>
            <w:tcW w:w="540" w:type="dxa"/>
            <w:vAlign w:val="bottom"/>
          </w:tcPr>
          <w:p>
            <w:pPr>
              <w:ind w:left="240"/>
              <w:spacing w:after="0"/>
              <w:rPr>
                <w:sz w:val="20"/>
                <w:szCs w:val="20"/>
                <w:color w:val="auto"/>
              </w:rPr>
            </w:pPr>
            <w:r>
              <w:rPr>
                <w:rFonts w:ascii="Courier New" w:cs="Courier New" w:eastAsia="Courier New" w:hAnsi="Courier New"/>
                <w:sz w:val="16"/>
                <w:szCs w:val="16"/>
                <w:color w:val="auto"/>
                <w:w w:val="97"/>
              </w:rPr>
              <w:t>[ ]</w:t>
            </w:r>
          </w:p>
        </w:tc>
      </w:tr>
    </w:tbl>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1520"/>
          </w:cols>
          <w:pgMar w:left="240" w:top="243" w:right="139" w:bottom="139"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jc w:val="both"/>
        <w:ind w:left="880" w:right="9160" w:hanging="879"/>
        <w:spacing w:after="0" w:line="506" w:lineRule="auto"/>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tabs>
          <w:tab w:leader="none" w:pos="860" w:val="left"/>
          <w:tab w:leader="none" w:pos="1102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Check if Disclosure of Legal Proceedings is Required Pursuant 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880" w:hanging="879"/>
        <w:spacing w:after="0"/>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19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Hanson Capital Partners, L.L.C. is a Delaware limited liability company.</w:t>
      </w:r>
    </w:p>
    <w:p>
      <w:pPr>
        <w:spacing w:after="0" w:line="197"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V. Hanson, Mary Joan Boman and Paul D. Hanson are United States citizens.</w:t>
      </w:r>
    </w:p>
    <w:p>
      <w:pPr>
        <w:sectPr>
          <w:pgSz w:w="11900" w:h="16838" w:orient="portrait"/>
          <w:cols w:equalWidth="0" w:num="1">
            <w:col w:w="11520"/>
          </w:cols>
          <w:pgMar w:left="240" w:top="331" w:right="139" w:bottom="1440" w:gutter="0" w:footer="0" w:header="0"/>
        </w:sectPr>
      </w:pPr>
    </w:p>
    <w:bookmarkStart w:id="2" w:name="page3"/>
    <w:bookmarkEnd w:id="2"/>
    <w:p>
      <w:pPr>
        <w:spacing w:after="0"/>
        <w:tabs>
          <w:tab w:leader="none" w:pos="106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1620" w:type="dxa"/>
            <w:vAlign w:val="bottom"/>
          </w:tcPr>
          <w:p>
            <w:pPr>
              <w:spacing w:after="0"/>
              <w:rPr>
                <w:sz w:val="16"/>
                <w:szCs w:val="16"/>
                <w:color w:val="auto"/>
              </w:rPr>
            </w:pPr>
          </w:p>
        </w:tc>
        <w:tc>
          <w:tcPr>
            <w:tcW w:w="920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w:t>
            </w:r>
          </w:p>
        </w:tc>
      </w:tr>
      <w:tr>
        <w:trPr>
          <w:trHeight w:val="190"/>
        </w:trPr>
        <w:tc>
          <w:tcPr>
            <w:tcW w:w="162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(7)</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Hanson Capital</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Partners, L.L.C.</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3,517,306 shares (20.8%)</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John V.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20,130 (includes 100 shares owned by wife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and 20,000 shares which John V. Hanson has a</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Mary Joan Boman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75,864 (includes 28,084 shares owned by</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husband, Gerald E. Boman, and 20,000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which Gerald E. Boman has the right to</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Paul D.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*less than 1.0 percent.</w:t>
            </w:r>
          </w:p>
        </w:tc>
        <w:tc>
          <w:tcPr>
            <w:tcW w:w="5500" w:type="dxa"/>
            <w:vAlign w:val="bottom"/>
          </w:tcPr>
          <w:p>
            <w:pPr>
              <w:spacing w:after="0"/>
              <w:rPr>
                <w:sz w:val="16"/>
                <w:szCs w:val="16"/>
                <w:color w:val="auto"/>
              </w:rPr>
            </w:pPr>
          </w:p>
        </w:tc>
      </w:tr>
      <w:tr>
        <w:trPr>
          <w:trHeight w:val="758"/>
        </w:trPr>
        <w:tc>
          <w:tcPr>
            <w:tcW w:w="162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1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SHARES</w:t>
            </w:r>
          </w:p>
        </w:tc>
        <w:tc>
          <w:tcPr>
            <w:tcW w:w="37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5"/>
              </w:rPr>
              <w:t>-----------------------------------------------------------------------------------------</w:t>
            </w: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58"/>
              <w:spacing w:after="0"/>
              <w:rPr>
                <w:sz w:val="20"/>
                <w:szCs w:val="20"/>
                <w:color w:val="auto"/>
              </w:rPr>
            </w:pPr>
            <w:r>
              <w:rPr>
                <w:rFonts w:ascii="Courier New" w:cs="Courier New" w:eastAsia="Courier New" w:hAnsi="Courier New"/>
                <w:sz w:val="16"/>
                <w:szCs w:val="16"/>
                <w:color w:val="auto"/>
              </w:rPr>
              <w:t>BENEFICIALLY</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(8)</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OWNED BY</w:t>
            </w: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EACH</w:t>
            </w: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Not Applicable</w:t>
            </w:r>
          </w:p>
        </w:tc>
        <w:tc>
          <w:tcPr>
            <w:tcW w:w="5500" w:type="dxa"/>
            <w:vAlign w:val="bottom"/>
          </w:tcPr>
          <w:p>
            <w:pPr>
              <w:spacing w:after="0"/>
              <w:rPr>
                <w:sz w:val="16"/>
                <w:szCs w:val="16"/>
                <w:color w:val="auto"/>
              </w:rPr>
            </w:pPr>
          </w:p>
        </w:tc>
      </w:tr>
      <w:tr>
        <w:trPr>
          <w:trHeight w:val="190"/>
        </w:trPr>
        <w:tc>
          <w:tcPr>
            <w:tcW w:w="1620" w:type="dxa"/>
            <w:vAlign w:val="bottom"/>
          </w:tcPr>
          <w:p>
            <w:pPr>
              <w:ind w:left="180"/>
              <w:spacing w:after="0"/>
              <w:rPr>
                <w:sz w:val="20"/>
                <w:szCs w:val="20"/>
                <w:color w:val="auto"/>
              </w:rPr>
            </w:pPr>
            <w:r>
              <w:rPr>
                <w:rFonts w:ascii="Courier New" w:cs="Courier New" w:eastAsia="Courier New" w:hAnsi="Courier New"/>
                <w:sz w:val="16"/>
                <w:szCs w:val="16"/>
                <w:color w:val="auto"/>
              </w:rPr>
              <w:t>REPORTING</w:t>
            </w: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PERSON</w:t>
            </w:r>
          </w:p>
        </w:tc>
        <w:tc>
          <w:tcPr>
            <w:tcW w:w="3700" w:type="dxa"/>
            <w:vAlign w:val="bottom"/>
            <w:gridSpan w:val="2"/>
          </w:tcPr>
          <w:p>
            <w:pPr>
              <w:ind w:left="440"/>
              <w:spacing w:after="0"/>
              <w:rPr>
                <w:sz w:val="20"/>
                <w:szCs w:val="20"/>
                <w:color w:val="auto"/>
              </w:rPr>
            </w:pPr>
            <w:r>
              <w:rPr>
                <w:rFonts w:ascii="Courier New" w:cs="Courier New" w:eastAsia="Courier New" w:hAnsi="Courier New"/>
                <w:sz w:val="8"/>
                <w:szCs w:val="8"/>
                <w:color w:val="auto"/>
                <w:w w:val="75"/>
              </w:rPr>
              <w:t>-----------------------------------------------------------------------------------------</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(9)</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Hanson Capital</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ind w:left="300"/>
              <w:spacing w:after="0"/>
              <w:rPr>
                <w:sz w:val="20"/>
                <w:szCs w:val="20"/>
                <w:color w:val="auto"/>
              </w:rPr>
            </w:pPr>
            <w:r>
              <w:rPr>
                <w:rFonts w:ascii="Courier New" w:cs="Courier New" w:eastAsia="Courier New" w:hAnsi="Courier New"/>
                <w:sz w:val="16"/>
                <w:szCs w:val="16"/>
                <w:color w:val="auto"/>
              </w:rPr>
              <w:t>Partners, L.L.C.</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3,517,306 shares (20.8%)</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John V.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20,130 (includes 100 shares owned by wife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and 20,000 shares which John V. Hanson has a</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Mary Joan Boman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75,864 (includes 28,084 shares owned by</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husband, Gerald E. Boman, and 20,000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which Gerald E. Boman has the right to</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acquire)*</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Paul D. Hanson</w:t>
            </w:r>
          </w:p>
        </w:tc>
        <w:tc>
          <w:tcPr>
            <w:tcW w:w="55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*less than 1.0 percent.</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9200" w:type="dxa"/>
            <w:vAlign w:val="bottom"/>
            <w:gridSpan w:val="3"/>
          </w:tcPr>
          <w:p>
            <w:pPr>
              <w:ind w:left="440"/>
              <w:spacing w:after="0"/>
              <w:rPr>
                <w:sz w:val="20"/>
                <w:szCs w:val="20"/>
                <w:color w:val="auto"/>
              </w:rPr>
            </w:pPr>
            <w:r>
              <w:rPr>
                <w:rFonts w:ascii="Courier New" w:cs="Courier New" w:eastAsia="Courier New" w:hAnsi="Courier New"/>
                <w:sz w:val="16"/>
                <w:szCs w:val="16"/>
                <w:color w:val="auto"/>
              </w:rPr>
              <w:t>-----------------------------------------------------------------------------------------</w:t>
            </w:r>
          </w:p>
        </w:tc>
      </w:tr>
      <w:tr>
        <w:trPr>
          <w:trHeight w:val="190"/>
        </w:trPr>
        <w:tc>
          <w:tcPr>
            <w:tcW w:w="162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WITH</w:t>
            </w:r>
          </w:p>
        </w:tc>
        <w:tc>
          <w:tcPr>
            <w:tcW w:w="1320" w:type="dxa"/>
            <w:vAlign w:val="bottom"/>
          </w:tcPr>
          <w:p>
            <w:pPr>
              <w:ind w:left="440"/>
              <w:spacing w:after="0"/>
              <w:rPr>
                <w:sz w:val="20"/>
                <w:szCs w:val="20"/>
                <w:color w:val="auto"/>
              </w:rPr>
            </w:pPr>
            <w:r>
              <w:rPr>
                <w:rFonts w:ascii="Courier New" w:cs="Courier New" w:eastAsia="Courier New" w:hAnsi="Courier New"/>
                <w:sz w:val="16"/>
                <w:szCs w:val="16"/>
                <w:color w:val="auto"/>
              </w:rPr>
              <w:t>(10)</w:t>
            </w: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5500" w:type="dxa"/>
            <w:vAlign w:val="bottom"/>
          </w:tcPr>
          <w:p>
            <w:pPr>
              <w:spacing w:after="0"/>
              <w:rPr>
                <w:sz w:val="16"/>
                <w:szCs w:val="16"/>
                <w:color w:val="auto"/>
              </w:rPr>
            </w:pPr>
          </w:p>
        </w:tc>
      </w:tr>
      <w:tr>
        <w:trPr>
          <w:trHeight w:val="190"/>
        </w:trPr>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6"/>
                <w:szCs w:val="16"/>
                <w:color w:val="auto"/>
              </w:rPr>
              <w:t>See (9) above.</w:t>
            </w:r>
          </w:p>
        </w:tc>
        <w:tc>
          <w:tcPr>
            <w:tcW w:w="5500" w:type="dxa"/>
            <w:vAlign w:val="bottom"/>
          </w:tcPr>
          <w:p>
            <w:pPr>
              <w:spacing w:after="0"/>
              <w:rPr>
                <w:sz w:val="16"/>
                <w:szCs w:val="16"/>
                <w:color w:val="auto"/>
              </w:rPr>
            </w:pPr>
          </w:p>
        </w:tc>
      </w:tr>
    </w:tbl>
    <w:p>
      <w:pPr>
        <w:sectPr>
          <w:pgSz w:w="11900" w:h="16838" w:orient="portrait"/>
          <w:cols w:equalWidth="0" w:num="1">
            <w:col w:w="11520"/>
          </w:cols>
          <w:pgMar w:left="240" w:top="685" w:right="139" w:bottom="1440" w:gutter="0" w:footer="0" w:header="0"/>
        </w:sectPr>
      </w:pPr>
    </w:p>
    <w:bookmarkStart w:id="3" w:name="page4"/>
    <w:bookmarkEnd w:id="3"/>
    <w:p>
      <w:pPr>
        <w:spacing w:after="0"/>
        <w:tabs>
          <w:tab w:leader="none" w:pos="107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8"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66"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80" w:right="4720" w:hanging="879"/>
        <w:spacing w:after="0" w:line="506" w:lineRule="auto"/>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See (7) and (9) above.</w:t>
      </w:r>
    </w:p>
    <w:p>
      <w:pPr>
        <w:spacing w:after="0" w:line="184" w:lineRule="exact"/>
        <w:rPr>
          <w:sz w:val="20"/>
          <w:szCs w:val="20"/>
          <w:color w:val="auto"/>
        </w:rPr>
      </w:pPr>
    </w:p>
    <w:p>
      <w:pPr>
        <w:spacing w:after="0"/>
        <w:tabs>
          <w:tab w:leader="none" w:pos="860" w:val="left"/>
          <w:tab w:leader="none" w:pos="110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Check if the Aggregate Amount in Row (11) Excludes Certain Shares (See Instructions)</w:t>
      </w:r>
      <w:r>
        <w:rPr>
          <w:sz w:val="20"/>
          <w:szCs w:val="20"/>
          <w:color w:val="auto"/>
        </w:rPr>
        <w:tab/>
      </w:r>
      <w:r>
        <w:rPr>
          <w:rFonts w:ascii="Courier New" w:cs="Courier New" w:eastAsia="Courier New" w:hAnsi="Courier New"/>
          <w:sz w:val="16"/>
          <w:szCs w:val="16"/>
          <w:color w:val="auto"/>
        </w:rPr>
        <w:t>[ ]</w:t>
      </w:r>
    </w:p>
    <w:p>
      <w:pPr>
        <w:spacing w:after="0" w:line="388" w:lineRule="exact"/>
        <w:rPr>
          <w:sz w:val="20"/>
          <w:szCs w:val="20"/>
          <w:color w:val="auto"/>
        </w:rPr>
      </w:pPr>
    </w:p>
    <w:p>
      <w:pPr>
        <w:ind w:left="880" w:right="5700" w:hanging="879"/>
        <w:spacing w:after="0" w:line="506" w:lineRule="auto"/>
        <w:tabs>
          <w:tab w:leader="none" w:pos="8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See (7) and (9) above.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880" w:right="6400" w:hanging="879"/>
        <w:spacing w:after="0" w:line="502" w:lineRule="auto"/>
        <w:tabs>
          <w:tab w:leader="none" w:pos="8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V. Hanson, IN; Mary Joan Boman, IN; Paul D. Hanson, IN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SECURITY AND ISSUER</w:t>
      </w:r>
    </w:p>
    <w:p>
      <w:pPr>
        <w:spacing w:after="0" w:line="198" w:lineRule="exact"/>
        <w:rPr>
          <w:sz w:val="20"/>
          <w:szCs w:val="20"/>
          <w:color w:val="auto"/>
        </w:rPr>
      </w:pPr>
    </w:p>
    <w:p>
      <w:pPr>
        <w:ind w:right="4220" w:firstLine="887"/>
        <w:spacing w:after="0" w:line="252"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8" w:lineRule="exact"/>
        <w:rPr>
          <w:sz w:val="20"/>
          <w:szCs w:val="20"/>
          <w:color w:val="auto"/>
        </w:rPr>
      </w:pPr>
    </w:p>
    <w:p>
      <w:pPr>
        <w:ind w:right="3640" w:firstLine="887"/>
        <w:spacing w:after="0" w:line="251"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two members, the Luise V. Hanson Qualified Terminable Interest Property Marital Deduction Trust (the "QTIP TRUST") and the Luise V. Hanson Revocable Trust dated September 22, 1984 (the "REVOCABLE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1520"/>
          </w:cols>
          <w:pgMar w:left="240" w:top="685" w:right="139" w:bottom="1440" w:gutter="0" w:footer="0" w:header="0"/>
        </w:sectPr>
      </w:pPr>
    </w:p>
    <w:bookmarkStart w:id="4" w:name="page5"/>
    <w:bookmarkEnd w:id="4"/>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190" w:lineRule="exact"/>
        <w:rPr>
          <w:sz w:val="20"/>
          <w:szCs w:val="20"/>
          <w:color w:val="auto"/>
        </w:rPr>
      </w:pPr>
    </w:p>
    <w:p>
      <w:pPr>
        <w:jc w:val="both"/>
        <w:ind w:right="2519" w:firstLine="887"/>
        <w:spacing w:after="0" w:line="251"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ind w:right="2339"/>
        <w:spacing w:after="0" w:line="251" w:lineRule="auto"/>
        <w:rPr>
          <w:sz w:val="20"/>
          <w:szCs w:val="20"/>
          <w:color w:val="auto"/>
        </w:rPr>
      </w:pPr>
      <w:r>
        <w:rPr>
          <w:rFonts w:ascii="Courier New" w:cs="Courier New" w:eastAsia="Courier New" w:hAnsi="Courier New"/>
          <w:sz w:val="16"/>
          <w:szCs w:val="16"/>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19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John V. Hanson, Mary Joan Boman and Paul D. Hanson are United States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8"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HCP of an aggregate of 329,000 shares of Common Stock as a result of the sale by HCP of 329,000 shares of Common Stock. Reference is made to Item 4 for a description of the transaction.</w:t>
      </w:r>
    </w:p>
    <w:p>
      <w:pPr>
        <w:spacing w:after="0" w:line="37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On October 31, 2003 HCP sold 20,000 shares of Common Stock through a broker for an approximate purchase price of $1,172,000 or an average price of $58.60 per share; on November 3, 2003 HCP sold 99,000 shares of Common Stock through a broker for an approximate purchase price of $5,692,837 or an average purchase price per share of $57.5034; on November 4, 2003 HCP sold 67,600 shares of Common Stock through a broker for an approximate purchase price of $3,816,811 or an average purchase price per share of $56.4617; on November 5, 2003 HCP sold 27,400 shares of Common Stock through a broker for an approximate purchase price of $1,534,307 or an average purchase price per share of $55.9966; on November 6, 2003 HCP sold 60,300 shares of Common Stock through a broker for an approximate purchase price of $3,402,729 or an average purchase price per share of $56.43; and on November 7, 2003 HCP sold 54,700 shares of Common Stock through a broker for an approximate purchase price of $3,085,206 or an average purchase price per share of $56.4023.</w:t>
      </w:r>
    </w:p>
    <w:p>
      <w:pPr>
        <w:sectPr>
          <w:pgSz w:w="11900" w:h="16838" w:orient="portrait"/>
          <w:cols w:equalWidth="0" w:num="1">
            <w:col w:w="10219"/>
          </w:cols>
          <w:pgMar w:left="240" w:top="496" w:right="1440" w:bottom="1440" w:gutter="0" w:footer="0" w:header="0"/>
        </w:sectPr>
      </w:pPr>
    </w:p>
    <w:bookmarkStart w:id="5" w:name="page6"/>
    <w:bookmarkEnd w:id="5"/>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right="2519" w:firstLine="887"/>
        <w:spacing w:after="0" w:line="253" w:lineRule="auto"/>
        <w:rPr>
          <w:sz w:val="20"/>
          <w:szCs w:val="20"/>
          <w:color w:val="auto"/>
        </w:rPr>
      </w:pPr>
      <w:r>
        <w:rPr>
          <w:rFonts w:ascii="Courier New" w:cs="Courier New" w:eastAsia="Courier New" w:hAnsi="Courier New"/>
          <w:sz w:val="16"/>
          <w:szCs w:val="16"/>
          <w:color w:val="auto"/>
        </w:rPr>
        <w:t>The QTIP Trust, the Revocable Trust, the John V. Hanson Family Trust, the Paul D. Hanson Family Trust and the Mary Joan Boman Family Trust are the only members of HCP.</w:t>
      </w:r>
    </w:p>
    <w:p>
      <w:pPr>
        <w:spacing w:after="0" w:line="185"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The undersigned do not presently have any plans or proposals which relate to or would result in:</w:t>
      </w:r>
    </w:p>
    <w:p>
      <w:pPr>
        <w:spacing w:after="0" w:line="184" w:lineRule="exact"/>
        <w:rPr>
          <w:sz w:val="20"/>
          <w:szCs w:val="20"/>
          <w:color w:val="auto"/>
        </w:rPr>
      </w:pPr>
    </w:p>
    <w:p>
      <w:pPr>
        <w:ind w:left="880" w:right="2339" w:hanging="879"/>
        <w:spacing w:after="0" w:line="252"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880" w:right="3019" w:hanging="879"/>
        <w:spacing w:after="0" w:line="253"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extraordinary corporate transaction, such as a merger, reorganization or liquidation, involving Winnebago or any of its subsidiaries;</w:t>
      </w:r>
    </w:p>
    <w:p>
      <w:pPr>
        <w:spacing w:after="0" w:line="185" w:lineRule="exact"/>
        <w:rPr>
          <w:rFonts w:ascii="Courier New" w:cs="Courier New" w:eastAsia="Courier New" w:hAnsi="Courier New"/>
          <w:sz w:val="16"/>
          <w:szCs w:val="16"/>
          <w:color w:val="auto"/>
        </w:rPr>
      </w:pPr>
    </w:p>
    <w:p>
      <w:pPr>
        <w:ind w:left="880" w:right="251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transfer of a material amount of assets of Winnebago or any of its subsidiaries;</w:t>
      </w:r>
    </w:p>
    <w:p>
      <w:pPr>
        <w:spacing w:after="0" w:line="183" w:lineRule="exact"/>
        <w:rPr>
          <w:rFonts w:ascii="Courier New" w:cs="Courier New" w:eastAsia="Courier New" w:hAnsi="Courier New"/>
          <w:sz w:val="16"/>
          <w:szCs w:val="16"/>
          <w:color w:val="auto"/>
        </w:rPr>
      </w:pPr>
    </w:p>
    <w:p>
      <w:pPr>
        <w:ind w:left="880" w:right="2719" w:hanging="879"/>
        <w:spacing w:after="0" w:line="253"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85" w:lineRule="exact"/>
        <w:rPr>
          <w:rFonts w:ascii="Courier New" w:cs="Courier New" w:eastAsia="Courier New" w:hAnsi="Courier New"/>
          <w:sz w:val="16"/>
          <w:szCs w:val="16"/>
          <w:color w:val="auto"/>
        </w:rPr>
      </w:pPr>
    </w:p>
    <w:p>
      <w:pPr>
        <w:ind w:left="880" w:right="233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the present capitalization or dividend policy of Winnebago;</w:t>
      </w:r>
    </w:p>
    <w:p>
      <w:pPr>
        <w:spacing w:after="0" w:line="183" w:lineRule="exact"/>
        <w:rPr>
          <w:rFonts w:ascii="Courier New" w:cs="Courier New" w:eastAsia="Courier New" w:hAnsi="Courier New"/>
          <w:sz w:val="16"/>
          <w:szCs w:val="16"/>
          <w:color w:val="auto"/>
        </w:rPr>
      </w:pPr>
    </w:p>
    <w:p>
      <w:pPr>
        <w:ind w:left="880" w:right="321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 change in Winnebago's business or corporate structure;</w:t>
      </w:r>
    </w:p>
    <w:p>
      <w:pPr>
        <w:spacing w:after="0" w:line="183" w:lineRule="exact"/>
        <w:rPr>
          <w:rFonts w:ascii="Courier New" w:cs="Courier New" w:eastAsia="Courier New" w:hAnsi="Courier New"/>
          <w:sz w:val="16"/>
          <w:szCs w:val="16"/>
          <w:color w:val="auto"/>
        </w:rPr>
      </w:pPr>
    </w:p>
    <w:p>
      <w:pPr>
        <w:ind w:left="880" w:right="2339" w:hanging="879"/>
        <w:spacing w:after="0" w:line="253"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Winnebago's charter, bylaws or instruments corresponding thereto or other actions which may impede the acquisition of control of Winnebago by any person;</w:t>
      </w:r>
    </w:p>
    <w:p>
      <w:pPr>
        <w:spacing w:after="0" w:line="185" w:lineRule="exact"/>
        <w:rPr>
          <w:rFonts w:ascii="Courier New" w:cs="Courier New" w:eastAsia="Courier New" w:hAnsi="Courier New"/>
          <w:sz w:val="16"/>
          <w:szCs w:val="16"/>
          <w:color w:val="auto"/>
        </w:rPr>
      </w:pPr>
    </w:p>
    <w:p>
      <w:pPr>
        <w:ind w:left="880" w:right="2339" w:hanging="879"/>
        <w:spacing w:after="0" w:line="252"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186" w:lineRule="exact"/>
        <w:rPr>
          <w:rFonts w:ascii="Courier New" w:cs="Courier New" w:eastAsia="Courier New" w:hAnsi="Courier New"/>
          <w:sz w:val="16"/>
          <w:szCs w:val="16"/>
          <w:color w:val="auto"/>
        </w:rPr>
      </w:pPr>
    </w:p>
    <w:p>
      <w:pPr>
        <w:ind w:left="880" w:right="2339" w:hanging="879"/>
        <w:spacing w:after="0" w:line="255" w:lineRule="auto"/>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83"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similar to any of those enumerated above.</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 IN SECURITIES OF THE ISSUER</w:t>
      </w:r>
    </w:p>
    <w:p>
      <w:pPr>
        <w:spacing w:after="0" w:line="198" w:lineRule="exact"/>
        <w:rPr>
          <w:sz w:val="20"/>
          <w:szCs w:val="20"/>
          <w:color w:val="auto"/>
        </w:rPr>
      </w:pPr>
    </w:p>
    <w:p>
      <w:pPr>
        <w:ind w:left="880" w:right="2339" w:hanging="879"/>
        <w:spacing w:after="0" w:line="251" w:lineRule="auto"/>
        <w:tabs>
          <w:tab w:leader="none" w:pos="8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HCP is the beneficial owner of 3,517,306 shares of Common Stock, which represent approximately 20.8%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ectPr>
          <w:pgSz w:w="11900" w:h="16838" w:orient="portrait"/>
          <w:cols w:equalWidth="0" w:num="1">
            <w:col w:w="10219"/>
          </w:cols>
          <w:pgMar w:left="240" w:top="1064" w:right="1440" w:bottom="1440" w:gutter="0" w:footer="0" w:header="0"/>
        </w:sectPr>
      </w:pPr>
    </w:p>
    <w:bookmarkStart w:id="6" w:name="page7"/>
    <w:bookmarkEnd w:id="6"/>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left="880" w:right="2339" w:hanging="879"/>
        <w:spacing w:after="0" w:line="251"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the Revocable Trust's 64.4% membership interest in HCP, a majority of the Individual Trustees together with the Corporate Trustee have sole voting power with respect to 3,517,306 shares of Common Stock of which HCP is the beneficial owner. A majority of the Individual Trustees together with the Corporate Trustee have sole dispositive power with respect to the 3,517,306 shares of Common Stock of which HCP is the beneficial owner, except that disposition of all or substantially all of those shares requires the unanimous approval of all members of HCP.</w:t>
      </w:r>
    </w:p>
    <w:p>
      <w:pPr>
        <w:spacing w:after="0" w:line="379" w:lineRule="exact"/>
        <w:rPr>
          <w:rFonts w:ascii="Courier New" w:cs="Courier New" w:eastAsia="Courier New" w:hAnsi="Courier New"/>
          <w:sz w:val="16"/>
          <w:szCs w:val="16"/>
          <w:color w:val="auto"/>
        </w:rPr>
      </w:pPr>
    </w:p>
    <w:p>
      <w:pPr>
        <w:ind w:left="880" w:right="2439" w:hanging="879"/>
        <w:spacing w:after="0" w:line="252" w:lineRule="auto"/>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transactions described in Item 4 and the sale by HCP of 1,450,000 shares of Common Stock to the Company on October 20, 2003, none of HCP, John V. Hanson, Mary Joan Boman or Paul D. Hanson has had any transactions in Common Stock during the past 60 days.</w:t>
      </w:r>
    </w:p>
    <w:p>
      <w:pPr>
        <w:spacing w:after="0" w:line="186"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7" w:lineRule="exact"/>
        <w:rPr>
          <w:rFonts w:ascii="Courier New" w:cs="Courier New" w:eastAsia="Courier New" w:hAnsi="Courier New"/>
          <w:sz w:val="16"/>
          <w:szCs w:val="16"/>
          <w:color w:val="auto"/>
        </w:rPr>
      </w:pPr>
    </w:p>
    <w:p>
      <w:pPr>
        <w:ind w:left="880" w:hanging="879"/>
        <w:spacing w:after="0"/>
        <w:tabs>
          <w:tab w:leader="none" w:pos="8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388" w:lineRule="exact"/>
        <w:rPr>
          <w:sz w:val="20"/>
          <w:szCs w:val="20"/>
          <w:color w:val="auto"/>
        </w:rPr>
      </w:pPr>
    </w:p>
    <w:p>
      <w:pPr>
        <w:ind w:left="880" w:right="399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SECURITIES OF THE ISSUER</w:t>
      </w:r>
    </w:p>
    <w:p>
      <w:pPr>
        <w:spacing w:after="0" w:line="184"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37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7.</w:t>
        <w:tab/>
        <w:t>MATERIAL TO BE FILED AS EXHIBITS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1064" w:right="1440" w:bottom="1440" w:gutter="0" w:footer="0" w:header="0"/>
        </w:sectPr>
      </w:pPr>
    </w:p>
    <w:bookmarkStart w:id="7" w:name="page8"/>
    <w:bookmarkEnd w:id="7"/>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HANSON CAPITAL PARTNERS, L.L.C.</w:t>
            </w:r>
          </w:p>
        </w:tc>
      </w:tr>
      <w:tr>
        <w:trPr>
          <w:trHeight w:val="379"/>
        </w:trPr>
        <w:tc>
          <w:tcPr>
            <w:tcW w:w="296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November 10, 2003</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/s/ John V. Hanson</w:t>
            </w:r>
          </w:p>
        </w:tc>
      </w:tr>
      <w:tr>
        <w:trPr>
          <w:trHeight w:val="190"/>
        </w:trPr>
        <w:tc>
          <w:tcPr>
            <w:tcW w:w="296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w:t>
            </w:r>
          </w:p>
        </w:tc>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90"/>
        </w:trPr>
        <w:tc>
          <w:tcPr>
            <w:tcW w:w="2960" w:type="dxa"/>
            <w:vAlign w:val="bottom"/>
          </w:tcPr>
          <w:p>
            <w:pPr>
              <w:jc w:val="right"/>
              <w:ind w:right="1498"/>
              <w:spacing w:after="0"/>
              <w:rPr>
                <w:sz w:val="20"/>
                <w:szCs w:val="20"/>
                <w:color w:val="auto"/>
              </w:rPr>
            </w:pPr>
            <w:r>
              <w:rPr>
                <w:rFonts w:ascii="Courier New" w:cs="Courier New" w:eastAsia="Courier New" w:hAnsi="Courier New"/>
                <w:sz w:val="16"/>
                <w:szCs w:val="16"/>
                <w:color w:val="auto"/>
              </w:rPr>
              <w:t>(Date)</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John V. Hanson, as Managing Director</w:t>
            </w:r>
          </w:p>
        </w:tc>
      </w:tr>
      <w:tr>
        <w:trPr>
          <w:trHeight w:val="758"/>
        </w:trPr>
        <w:tc>
          <w:tcPr>
            <w:tcW w:w="296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November 10, 2003</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/s/ Mary Joan Boman</w:t>
            </w:r>
          </w:p>
        </w:tc>
      </w:tr>
      <w:tr>
        <w:trPr>
          <w:trHeight w:val="190"/>
        </w:trPr>
        <w:tc>
          <w:tcPr>
            <w:tcW w:w="296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w:t>
            </w:r>
          </w:p>
        </w:tc>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90"/>
        </w:trPr>
        <w:tc>
          <w:tcPr>
            <w:tcW w:w="2960" w:type="dxa"/>
            <w:vAlign w:val="bottom"/>
          </w:tcPr>
          <w:p>
            <w:pPr>
              <w:jc w:val="right"/>
              <w:ind w:right="1498"/>
              <w:spacing w:after="0"/>
              <w:rPr>
                <w:sz w:val="20"/>
                <w:szCs w:val="20"/>
                <w:color w:val="auto"/>
              </w:rPr>
            </w:pPr>
            <w:r>
              <w:rPr>
                <w:rFonts w:ascii="Courier New" w:cs="Courier New" w:eastAsia="Courier New" w:hAnsi="Courier New"/>
                <w:sz w:val="16"/>
                <w:szCs w:val="16"/>
                <w:color w:val="auto"/>
              </w:rPr>
              <w:t>(Date)</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Mary Joan Boman, as Managing Director</w:t>
            </w:r>
          </w:p>
        </w:tc>
      </w:tr>
      <w:tr>
        <w:trPr>
          <w:trHeight w:val="569"/>
        </w:trPr>
        <w:tc>
          <w:tcPr>
            <w:tcW w:w="2960" w:type="dxa"/>
            <w:vAlign w:val="bottom"/>
          </w:tcPr>
          <w:p>
            <w:pPr>
              <w:jc w:val="right"/>
              <w:ind w:right="898"/>
              <w:spacing w:after="0"/>
              <w:rPr>
                <w:sz w:val="20"/>
                <w:szCs w:val="20"/>
                <w:color w:val="auto"/>
              </w:rPr>
            </w:pPr>
            <w:r>
              <w:rPr>
                <w:rFonts w:ascii="Courier New" w:cs="Courier New" w:eastAsia="Courier New" w:hAnsi="Courier New"/>
                <w:sz w:val="16"/>
                <w:szCs w:val="16"/>
                <w:color w:val="auto"/>
              </w:rPr>
              <w:t>November 10, 2003</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/s/ Paul D. Hanson</w:t>
            </w:r>
          </w:p>
        </w:tc>
      </w:tr>
      <w:tr>
        <w:trPr>
          <w:trHeight w:val="190"/>
        </w:trPr>
        <w:tc>
          <w:tcPr>
            <w:tcW w:w="296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 ----------------------</w:t>
            </w:r>
          </w:p>
        </w:tc>
        <w:tc>
          <w:tcPr>
            <w:tcW w:w="4240" w:type="dxa"/>
            <w:vAlign w:val="bottom"/>
          </w:tcPr>
          <w:p>
            <w:pPr>
              <w:ind w:left="780"/>
              <w:spacing w:after="0"/>
              <w:rPr>
                <w:sz w:val="20"/>
                <w:szCs w:val="20"/>
                <w:color w:val="auto"/>
              </w:rPr>
            </w:pPr>
            <w:r>
              <w:rPr>
                <w:rFonts w:ascii="Courier New" w:cs="Courier New" w:eastAsia="Courier New" w:hAnsi="Courier New"/>
                <w:sz w:val="16"/>
                <w:szCs w:val="16"/>
                <w:color w:val="auto"/>
              </w:rPr>
              <w:t>------------------</w:t>
            </w:r>
          </w:p>
        </w:tc>
      </w:tr>
      <w:tr>
        <w:trPr>
          <w:trHeight w:val="190"/>
        </w:trPr>
        <w:tc>
          <w:tcPr>
            <w:tcW w:w="2960" w:type="dxa"/>
            <w:vAlign w:val="bottom"/>
          </w:tcPr>
          <w:p>
            <w:pPr>
              <w:jc w:val="right"/>
              <w:ind w:right="1498"/>
              <w:spacing w:after="0"/>
              <w:rPr>
                <w:sz w:val="20"/>
                <w:szCs w:val="20"/>
                <w:color w:val="auto"/>
              </w:rPr>
            </w:pPr>
            <w:r>
              <w:rPr>
                <w:rFonts w:ascii="Courier New" w:cs="Courier New" w:eastAsia="Courier New" w:hAnsi="Courier New"/>
                <w:sz w:val="16"/>
                <w:szCs w:val="16"/>
                <w:color w:val="auto"/>
              </w:rPr>
              <w:t>(Date)</w:t>
            </w:r>
          </w:p>
        </w:tc>
        <w:tc>
          <w:tcPr>
            <w:tcW w:w="4240" w:type="dxa"/>
            <w:vAlign w:val="bottom"/>
          </w:tcPr>
          <w:p>
            <w:pPr>
              <w:ind w:left="600"/>
              <w:spacing w:after="0"/>
              <w:rPr>
                <w:sz w:val="20"/>
                <w:szCs w:val="20"/>
                <w:color w:val="auto"/>
              </w:rPr>
            </w:pPr>
            <w:r>
              <w:rPr>
                <w:rFonts w:ascii="Courier New" w:cs="Courier New" w:eastAsia="Courier New" w:hAnsi="Courier New"/>
                <w:sz w:val="16"/>
                <w:szCs w:val="16"/>
                <w:color w:val="auto"/>
              </w:rPr>
              <w:t>Paul D. Hanson, as Managing Director</w:t>
            </w:r>
          </w:p>
        </w:tc>
      </w:tr>
    </w:tbl>
    <w:p>
      <w:pPr>
        <w:sectPr>
          <w:pgSz w:w="11900" w:h="16838" w:orient="portrait"/>
          <w:cols w:equalWidth="0" w:num="1">
            <w:col w:w="10219"/>
          </w:cols>
          <w:pgMar w:left="240" w:top="685" w:right="1440" w:bottom="1440" w:gutter="0" w:footer="0" w:header="0"/>
        </w:sectPr>
      </w:pPr>
    </w:p>
    <w:bookmarkStart w:id="8" w:name="page9"/>
    <w:bookmarkEnd w:id="8"/>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November 10,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Mary Joan Boman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 Joan Boman</w:t>
      </w:r>
    </w:p>
    <w:p>
      <w:pPr>
        <w:sectPr>
          <w:pgSz w:w="11900" w:h="16838" w:orient="portrait"/>
          <w:cols w:equalWidth="0" w:num="2">
            <w:col w:w="2840" w:space="720"/>
            <w:col w:w="6659"/>
          </w:cols>
          <w:pgMar w:left="240" w:top="875" w:right="1440" w:bottom="1440" w:gutter="0" w:footer="0" w:header="0"/>
          <w:type w:val="continuous"/>
        </w:sectPr>
      </w:pPr>
    </w:p>
    <w:bookmarkStart w:id="9" w:name="page10"/>
    <w:bookmarkEnd w:id="9"/>
    <w:p>
      <w:pPr>
        <w:spacing w:after="0"/>
        <w:tabs>
          <w:tab w:leader="none" w:pos="72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November 10,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V. Hanson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V. Hanson</w:t>
      </w:r>
    </w:p>
    <w:p>
      <w:pPr>
        <w:sectPr>
          <w:pgSz w:w="11900" w:h="16838" w:orient="portrait"/>
          <w:cols w:equalWidth="0" w:num="2">
            <w:col w:w="2840" w:space="720"/>
            <w:col w:w="6659"/>
          </w:cols>
          <w:pgMar w:left="240" w:top="875" w:right="1440" w:bottom="1440" w:gutter="0" w:footer="0" w:header="0"/>
          <w:type w:val="continuous"/>
        </w:sectPr>
      </w:pPr>
    </w:p>
    <w:bookmarkStart w:id="10" w:name="page11"/>
    <w:bookmarkEnd w:id="10"/>
    <w:p>
      <w:pPr>
        <w:spacing w:after="0"/>
        <w:tabs>
          <w:tab w:leader="none" w:pos="718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875"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November 10,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Paul D. Hanson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D. Hanson</w:t>
      </w:r>
    </w:p>
    <w:sectPr>
      <w:pgSz w:w="11900" w:h="16838" w:orient="portrait"/>
      <w:cols w:equalWidth="0" w:num="2">
        <w:col w:w="2840" w:space="720"/>
        <w:col w:w="6659"/>
      </w:cols>
      <w:pgMar w:left="240" w:top="8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3"/>
    </w:lvl>
  </w:abstractNum>
  <w:abstractNum w:abstractNumId="8">
    <w:nsid w:val="216231B"/>
    <w:multiLevelType w:val="hybridMultilevel"/>
    <w:lvl w:ilvl="0">
      <w:lvlJc w:val="left"/>
      <w:lvlText w:val="(%1)"/>
      <w:numFmt w:val="decimal"/>
      <w:start w:val="1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2019-12-13T08:13:52Z</dcterms:created>
  <dcterms:modified xsi:type="dcterms:W3CDTF">2019-12-13T08:13:52Z</dcterms:modified>
</cp:coreProperties>
</file>