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9" w:lineRule="exact"/>
        <w:rPr>
          <w:sz w:val="24"/>
          <w:szCs w:val="24"/>
          <w:color w:val="auto"/>
        </w:rPr>
      </w:pPr>
    </w:p>
    <w:tbl>
      <w:tblPr>
        <w:tblLayout w:type="fixed"/>
        <w:tblInd w:w="980" w:type="dxa"/>
        <w:tblCellMar>
          <w:top w:w="0" w:type="dxa"/>
          <w:left w:w="0" w:type="dxa"/>
          <w:bottom w:w="0" w:type="dxa"/>
          <w:right w:w="0" w:type="dxa"/>
        </w:tblCellMar>
      </w:tblP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w w:val="97"/>
              </w:rPr>
              <w:t>Date of Report (Date of earliest event reported)</w:t>
            </w:r>
          </w:p>
        </w:tc>
        <w:tc>
          <w:tcPr>
            <w:tcW w:w="1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October 12, 2005</w:t>
            </w:r>
          </w:p>
        </w:tc>
        <w:tc>
          <w:tcPr>
            <w:tcW w:w="254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r>
        <w:trPr>
          <w:trHeight w:val="5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40" w:type="dxa"/>
            <w:vAlign w:val="bottom"/>
            <w:gridSpan w:val="2"/>
          </w:tcPr>
          <w:p>
            <w:pPr>
              <w:jc w:val="center"/>
              <w:ind w:right="1052"/>
              <w:spacing w:after="0"/>
              <w:rPr>
                <w:sz w:val="20"/>
                <w:szCs w:val="20"/>
                <w:color w:val="auto"/>
              </w:rPr>
            </w:pPr>
            <w:r>
              <w:rPr>
                <w:rFonts w:ascii="Arial" w:cs="Arial" w:eastAsia="Arial" w:hAnsi="Arial"/>
                <w:sz w:val="18"/>
                <w:szCs w:val="18"/>
                <w:color w:val="auto"/>
                <w:w w:val="89"/>
              </w:rPr>
              <w:t>Winnebago Industries, Inc.</w:t>
            </w:r>
          </w:p>
        </w:tc>
        <w:tc>
          <w:tcPr>
            <w:tcW w:w="2540" w:type="dxa"/>
            <w:vAlign w:val="bottom"/>
          </w:tcPr>
          <w:p>
            <w:pPr>
              <w:spacing w:after="0"/>
              <w:rPr>
                <w:sz w:val="24"/>
                <w:szCs w:val="24"/>
                <w:color w:val="auto"/>
              </w:rPr>
            </w:pPr>
          </w:p>
        </w:tc>
      </w:tr>
      <w:tr>
        <w:trPr>
          <w:trHeight w:val="110"/>
        </w:trPr>
        <w:tc>
          <w:tcPr>
            <w:tcW w:w="20" w:type="dxa"/>
            <w:vAlign w:val="bottom"/>
          </w:tcPr>
          <w:p>
            <w:pPr>
              <w:spacing w:after="0"/>
              <w:rPr>
                <w:sz w:val="9"/>
                <w:szCs w:val="9"/>
                <w:color w:val="auto"/>
              </w:rPr>
            </w:pPr>
          </w:p>
        </w:tc>
        <w:tc>
          <w:tcPr>
            <w:tcW w:w="6900" w:type="dxa"/>
            <w:vAlign w:val="bottom"/>
            <w:tcBorders>
              <w:bottom w:val="single" w:sz="8" w:color="auto"/>
            </w:tcBorders>
            <w:gridSpan w:val="3"/>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6900" w:type="dxa"/>
            <w:vAlign w:val="bottom"/>
            <w:gridSpan w:val="3"/>
          </w:tcPr>
          <w:p>
            <w:pPr>
              <w:jc w:val="center"/>
              <w:ind w:left="2452"/>
              <w:spacing w:after="0"/>
              <w:rPr>
                <w:sz w:val="20"/>
                <w:szCs w:val="20"/>
                <w:color w:val="auto"/>
              </w:rPr>
            </w:pPr>
            <w:r>
              <w:rPr>
                <w:rFonts w:ascii="Arial" w:cs="Arial" w:eastAsia="Arial" w:hAnsi="Arial"/>
                <w:sz w:val="18"/>
                <w:szCs w:val="18"/>
                <w:color w:val="auto"/>
                <w:w w:val="88"/>
              </w:rPr>
              <w:t>(Exact Name of Registrant as Specified in its Charter)</w:t>
            </w:r>
          </w:p>
        </w:tc>
        <w:tc>
          <w:tcPr>
            <w:tcW w:w="25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660" w:type="dxa"/>
            <w:vAlign w:val="bottom"/>
          </w:tcPr>
          <w:p>
            <w:pPr>
              <w:jc w:val="center"/>
              <w:ind w:right="452"/>
              <w:spacing w:after="0"/>
              <w:rPr>
                <w:sz w:val="20"/>
                <w:szCs w:val="20"/>
                <w:color w:val="auto"/>
              </w:rPr>
            </w:pPr>
            <w:r>
              <w:rPr>
                <w:rFonts w:ascii="Arial" w:cs="Arial" w:eastAsia="Arial" w:hAnsi="Arial"/>
                <w:sz w:val="18"/>
                <w:szCs w:val="18"/>
                <w:color w:val="auto"/>
                <w:w w:val="94"/>
              </w:rPr>
              <w:t>Iowa</w:t>
            </w:r>
          </w:p>
        </w:tc>
        <w:tc>
          <w:tcPr>
            <w:tcW w:w="3240" w:type="dxa"/>
            <w:vAlign w:val="bottom"/>
            <w:gridSpan w:val="2"/>
          </w:tcPr>
          <w:p>
            <w:pPr>
              <w:jc w:val="center"/>
              <w:ind w:right="1072"/>
              <w:spacing w:after="0"/>
              <w:rPr>
                <w:sz w:val="20"/>
                <w:szCs w:val="20"/>
                <w:color w:val="auto"/>
              </w:rPr>
            </w:pPr>
            <w:r>
              <w:rPr>
                <w:rFonts w:ascii="Arial" w:cs="Arial" w:eastAsia="Arial" w:hAnsi="Arial"/>
                <w:sz w:val="18"/>
                <w:szCs w:val="18"/>
                <w:color w:val="auto"/>
                <w:w w:val="88"/>
              </w:rPr>
              <w:t>001-06403</w:t>
            </w:r>
          </w:p>
        </w:tc>
        <w:tc>
          <w:tcPr>
            <w:tcW w:w="2540" w:type="dxa"/>
            <w:vAlign w:val="bottom"/>
          </w:tcPr>
          <w:p>
            <w:pPr>
              <w:jc w:val="center"/>
              <w:ind w:right="532"/>
              <w:spacing w:after="0"/>
              <w:rPr>
                <w:sz w:val="20"/>
                <w:szCs w:val="20"/>
                <w:color w:val="auto"/>
              </w:rPr>
            </w:pPr>
            <w:r>
              <w:rPr>
                <w:rFonts w:ascii="Arial" w:cs="Arial" w:eastAsia="Arial" w:hAnsi="Arial"/>
                <w:sz w:val="18"/>
                <w:szCs w:val="18"/>
                <w:color w:val="auto"/>
                <w:w w:val="87"/>
              </w:rPr>
              <w:t>42-0802678</w:t>
            </w:r>
          </w:p>
        </w:tc>
      </w:tr>
      <w:tr>
        <w:trPr>
          <w:trHeight w:val="110"/>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r>
        <w:trPr>
          <w:trHeight w:val="309"/>
        </w:trPr>
        <w:tc>
          <w:tcPr>
            <w:tcW w:w="20" w:type="dxa"/>
            <w:vAlign w:val="bottom"/>
          </w:tcPr>
          <w:p>
            <w:pPr>
              <w:spacing w:after="0"/>
              <w:rPr>
                <w:sz w:val="24"/>
                <w:szCs w:val="24"/>
                <w:color w:val="auto"/>
              </w:rPr>
            </w:pPr>
          </w:p>
        </w:tc>
        <w:tc>
          <w:tcPr>
            <w:tcW w:w="36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3240" w:type="dxa"/>
            <w:vAlign w:val="bottom"/>
            <w:gridSpan w:val="2"/>
          </w:tcPr>
          <w:p>
            <w:pPr>
              <w:jc w:val="center"/>
              <w:ind w:right="1052"/>
              <w:spacing w:after="0"/>
              <w:rPr>
                <w:sz w:val="20"/>
                <w:szCs w:val="20"/>
                <w:color w:val="auto"/>
              </w:rPr>
            </w:pPr>
            <w:r>
              <w:rPr>
                <w:rFonts w:ascii="Arial" w:cs="Arial" w:eastAsia="Arial" w:hAnsi="Arial"/>
                <w:sz w:val="18"/>
                <w:szCs w:val="18"/>
                <w:color w:val="auto"/>
                <w:w w:val="90"/>
              </w:rPr>
              <w:t>(Commission File Number)</w:t>
            </w:r>
          </w:p>
        </w:tc>
        <w:tc>
          <w:tcPr>
            <w:tcW w:w="2540" w:type="dxa"/>
            <w:vAlign w:val="bottom"/>
          </w:tcPr>
          <w:p>
            <w:pPr>
              <w:jc w:val="center"/>
              <w:ind w:right="532"/>
              <w:spacing w:after="0"/>
              <w:rPr>
                <w:sz w:val="20"/>
                <w:szCs w:val="20"/>
                <w:color w:val="auto"/>
              </w:rPr>
            </w:pPr>
            <w:r>
              <w:rPr>
                <w:rFonts w:ascii="Arial" w:cs="Arial" w:eastAsia="Arial" w:hAnsi="Arial"/>
                <w:sz w:val="18"/>
                <w:szCs w:val="18"/>
                <w:color w:val="auto"/>
                <w:w w:val="92"/>
              </w:rPr>
              <w:t>(IRS Employer</w:t>
            </w:r>
          </w:p>
        </w:tc>
      </w:tr>
      <w:tr>
        <w:trPr>
          <w:trHeight w:val="222"/>
        </w:trPr>
        <w:tc>
          <w:tcPr>
            <w:tcW w:w="2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Arial" w:cs="Arial" w:eastAsia="Arial" w:hAnsi="Arial"/>
                <w:sz w:val="18"/>
                <w:szCs w:val="18"/>
                <w:color w:val="auto"/>
                <w:w w:val="92"/>
              </w:rPr>
              <w:t>of incorporation)</w:t>
            </w: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540" w:type="dxa"/>
            <w:vAlign w:val="bottom"/>
          </w:tcPr>
          <w:p>
            <w:pPr>
              <w:jc w:val="center"/>
              <w:ind w:right="532"/>
              <w:spacing w:after="0"/>
              <w:rPr>
                <w:sz w:val="20"/>
                <w:szCs w:val="20"/>
                <w:color w:val="auto"/>
              </w:rPr>
            </w:pPr>
            <w:r>
              <w:rPr>
                <w:rFonts w:ascii="Arial" w:cs="Arial" w:eastAsia="Arial" w:hAnsi="Arial"/>
                <w:sz w:val="18"/>
                <w:szCs w:val="18"/>
                <w:color w:val="auto"/>
                <w:w w:val="94"/>
              </w:rPr>
              <w:t>Identification No.)</w:t>
            </w:r>
          </w:p>
        </w:tc>
      </w:tr>
      <w:tr>
        <w:trPr>
          <w:trHeight w:val="459"/>
        </w:trPr>
        <w:tc>
          <w:tcPr>
            <w:tcW w:w="20" w:type="dxa"/>
            <w:vAlign w:val="bottom"/>
          </w:tcPr>
          <w:p>
            <w:pPr>
              <w:spacing w:after="0"/>
              <w:rPr>
                <w:sz w:val="24"/>
                <w:szCs w:val="24"/>
                <w:color w:val="auto"/>
              </w:rPr>
            </w:pPr>
          </w:p>
        </w:tc>
        <w:tc>
          <w:tcPr>
            <w:tcW w:w="6900" w:type="dxa"/>
            <w:vAlign w:val="bottom"/>
            <w:gridSpan w:val="3"/>
          </w:tcPr>
          <w:p>
            <w:pPr>
              <w:jc w:val="center"/>
              <w:ind w:right="692"/>
              <w:spacing w:after="0"/>
              <w:rPr>
                <w:sz w:val="20"/>
                <w:szCs w:val="20"/>
                <w:color w:val="auto"/>
              </w:rPr>
            </w:pPr>
            <w:r>
              <w:rPr>
                <w:rFonts w:ascii="Arial" w:cs="Arial" w:eastAsia="Arial" w:hAnsi="Arial"/>
                <w:sz w:val="18"/>
                <w:szCs w:val="18"/>
                <w:color w:val="auto"/>
                <w:w w:val="88"/>
              </w:rPr>
              <w:t>P.O. Box 152, Forest City, Iowa</w:t>
            </w:r>
          </w:p>
        </w:tc>
        <w:tc>
          <w:tcPr>
            <w:tcW w:w="2540" w:type="dxa"/>
            <w:vAlign w:val="bottom"/>
          </w:tcPr>
          <w:p>
            <w:pPr>
              <w:jc w:val="right"/>
              <w:ind w:right="1352"/>
              <w:spacing w:after="0"/>
              <w:rPr>
                <w:sz w:val="20"/>
                <w:szCs w:val="20"/>
                <w:color w:val="auto"/>
              </w:rPr>
            </w:pPr>
            <w:r>
              <w:rPr>
                <w:rFonts w:ascii="Arial" w:cs="Arial" w:eastAsia="Arial" w:hAnsi="Arial"/>
                <w:sz w:val="18"/>
                <w:szCs w:val="18"/>
                <w:color w:val="auto"/>
              </w:rPr>
              <w:t>50436</w:t>
            </w:r>
          </w:p>
        </w:tc>
      </w:tr>
      <w:tr>
        <w:trPr>
          <w:trHeight w:val="110"/>
        </w:trPr>
        <w:tc>
          <w:tcPr>
            <w:tcW w:w="20" w:type="dxa"/>
            <w:vAlign w:val="bottom"/>
          </w:tcPr>
          <w:p>
            <w:pPr>
              <w:spacing w:after="0"/>
              <w:rPr>
                <w:sz w:val="9"/>
                <w:szCs w:val="9"/>
                <w:color w:val="auto"/>
              </w:rPr>
            </w:pPr>
          </w:p>
        </w:tc>
        <w:tc>
          <w:tcPr>
            <w:tcW w:w="6900" w:type="dxa"/>
            <w:vAlign w:val="bottom"/>
            <w:tcBorders>
              <w:bottom w:val="single" w:sz="8" w:color="auto"/>
            </w:tcBorders>
            <w:gridSpan w:val="3"/>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6900" w:type="dxa"/>
            <w:vAlign w:val="bottom"/>
            <w:gridSpan w:val="3"/>
          </w:tcPr>
          <w:p>
            <w:pPr>
              <w:jc w:val="center"/>
              <w:ind w:right="692"/>
              <w:spacing w:after="0"/>
              <w:rPr>
                <w:sz w:val="20"/>
                <w:szCs w:val="20"/>
                <w:color w:val="auto"/>
              </w:rPr>
            </w:pPr>
            <w:r>
              <w:rPr>
                <w:rFonts w:ascii="Arial" w:cs="Arial" w:eastAsia="Arial" w:hAnsi="Arial"/>
                <w:sz w:val="18"/>
                <w:szCs w:val="18"/>
                <w:color w:val="auto"/>
                <w:w w:val="90"/>
              </w:rPr>
              <w:t>(Address of principal executive offices)</w:t>
            </w:r>
          </w:p>
        </w:tc>
        <w:tc>
          <w:tcPr>
            <w:tcW w:w="2540" w:type="dxa"/>
            <w:vAlign w:val="bottom"/>
          </w:tcPr>
          <w:p>
            <w:pPr>
              <w:jc w:val="center"/>
              <w:ind w:right="672"/>
              <w:spacing w:after="0"/>
              <w:rPr>
                <w:sz w:val="20"/>
                <w:szCs w:val="20"/>
                <w:color w:val="auto"/>
              </w:rPr>
            </w:pPr>
            <w:r>
              <w:rPr>
                <w:rFonts w:ascii="Arial" w:cs="Arial" w:eastAsia="Arial" w:hAnsi="Arial"/>
                <w:sz w:val="18"/>
                <w:szCs w:val="18"/>
                <w:color w:val="auto"/>
                <w:w w:val="91"/>
              </w:rPr>
              <w:t>(Zip Code)</w:t>
            </w:r>
          </w:p>
        </w:tc>
      </w:tr>
      <w:tr>
        <w:trPr>
          <w:trHeight w:val="459"/>
        </w:trPr>
        <w:tc>
          <w:tcPr>
            <w:tcW w:w="3680" w:type="dxa"/>
            <w:vAlign w:val="bottom"/>
            <w:gridSpan w:val="2"/>
          </w:tcPr>
          <w:p>
            <w:pPr>
              <w:spacing w:after="0"/>
              <w:rPr>
                <w:sz w:val="20"/>
                <w:szCs w:val="20"/>
                <w:color w:val="auto"/>
              </w:rPr>
            </w:pPr>
            <w:r>
              <w:rPr>
                <w:rFonts w:ascii="Arial" w:cs="Arial" w:eastAsia="Arial" w:hAnsi="Arial"/>
                <w:sz w:val="18"/>
                <w:szCs w:val="18"/>
                <w:color w:val="auto"/>
                <w:w w:val="88"/>
              </w:rPr>
              <w:t>Registrant’s telephone number, including area code</w:t>
            </w: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641-585-3535</w:t>
            </w:r>
          </w:p>
        </w:tc>
        <w:tc>
          <w:tcPr>
            <w:tcW w:w="2540" w:type="dxa"/>
            <w:vAlign w:val="bottom"/>
          </w:tcPr>
          <w:p>
            <w:pPr>
              <w:spacing w:after="0"/>
              <w:rPr>
                <w:sz w:val="24"/>
                <w:szCs w:val="24"/>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291465</wp:posOffset>
            </wp:positionV>
            <wp:extent cx="6003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312"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The Human Resources Committee of the Board of Directors of Winnebago Industries, Inc. (</w:t>
      </w:r>
      <w:r>
        <w:rPr>
          <w:rFonts w:ascii="Arial" w:cs="Arial" w:eastAsia="Arial" w:hAnsi="Arial"/>
          <w:sz w:val="16"/>
          <w:szCs w:val="16"/>
          <w:i w:val="1"/>
          <w:iCs w:val="1"/>
          <w:color w:val="auto"/>
        </w:rPr>
        <w:t>“Winnebago”</w:t>
      </w:r>
      <w:r>
        <w:rPr>
          <w:rFonts w:ascii="Arial" w:cs="Arial" w:eastAsia="Arial" w:hAnsi="Arial"/>
          <w:sz w:val="16"/>
          <w:szCs w:val="16"/>
          <w:color w:val="auto"/>
        </w:rPr>
        <w:t>) recommended, and on October 12, 2005 the full Board of Directors approved, effective January 1, 2006, a four percent (4%) increase in the base salary of each of Mr. Bruce D. Hertzke and Mr. Edwin F. Barker, such that effective January 1, 2006, Mr. Hertzke’s base salary will be $523,615 and Mr. Barker’s base salary will be $364,000.</w:t>
      </w:r>
    </w:p>
    <w:p>
      <w:pPr>
        <w:spacing w:after="0" w:line="161"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Winnebago from time to time makes stock option awards to its directors and employees pursuant to the shareholder approved Winnebago Industries, Inc. 2004 Incentive Compensation Plan (the </w:t>
      </w:r>
      <w:r>
        <w:rPr>
          <w:rFonts w:ascii="Arial" w:cs="Arial" w:eastAsia="Arial" w:hAnsi="Arial"/>
          <w:sz w:val="18"/>
          <w:szCs w:val="18"/>
          <w:i w:val="1"/>
          <w:iCs w:val="1"/>
          <w:color w:val="auto"/>
        </w:rPr>
        <w:t>“Plan”</w:t>
      </w:r>
      <w:r>
        <w:rPr>
          <w:rFonts w:ascii="Arial" w:cs="Arial" w:eastAsia="Arial" w:hAnsi="Arial"/>
          <w:sz w:val="18"/>
          <w:szCs w:val="18"/>
          <w:color w:val="auto"/>
        </w:rPr>
        <w:t>). Winnebago filed a copy of the Plan with the Securities and Exchange Commission as Appendix B to Winnebago’s Proxy Statement filed on November 21, 2003.</w:t>
      </w:r>
    </w:p>
    <w:p>
      <w:pPr>
        <w:spacing w:after="0" w:line="194"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color w:val="auto"/>
        </w:rPr>
        <w:t>The Human Resources Committee of the Board of Directors of Winnebago recommended the grant of, and on October 12, 2005 the full Board of Directors of Winnebago granted, options to purchase Winnebago’s Common Stock under the Plan to the following named executive officers, in the following amounts, at an exercise price of $26.93 per share. The options become exercisable in annual increments of one-third commencing October 12, 2006 and expire 10 years from the date of grant, unless terminated earlier in accordance with the applicable agreement.</w:t>
      </w:r>
    </w:p>
    <w:p>
      <w:pPr>
        <w:spacing w:after="0" w:line="167" w:lineRule="exact"/>
        <w:rPr>
          <w:sz w:val="24"/>
          <w:szCs w:val="24"/>
          <w:color w:val="auto"/>
        </w:rPr>
      </w:pPr>
    </w:p>
    <w:p>
      <w:pPr>
        <w:ind w:left="560" w:right="760"/>
        <w:spacing w:after="0" w:line="268" w:lineRule="auto"/>
        <w:rPr>
          <w:sz w:val="20"/>
          <w:szCs w:val="20"/>
          <w:color w:val="auto"/>
        </w:rPr>
      </w:pPr>
      <w:r>
        <w:rPr>
          <w:rFonts w:ascii="Arial" w:cs="Arial" w:eastAsia="Arial" w:hAnsi="Arial"/>
          <w:sz w:val="18"/>
          <w:szCs w:val="18"/>
          <w:color w:val="auto"/>
        </w:rPr>
        <w:t>Bruce D. Hertzke (Chairman of the Board and Chief Executive Officer) – Options for 50,000 shares (3,713 Incentive Stock Options and 46,287 Non-Qualified Stock Options)</w:t>
      </w:r>
    </w:p>
    <w:p>
      <w:pPr>
        <w:spacing w:after="0" w:line="213" w:lineRule="exact"/>
        <w:rPr>
          <w:sz w:val="24"/>
          <w:szCs w:val="24"/>
          <w:color w:val="auto"/>
        </w:rPr>
      </w:pPr>
    </w:p>
    <w:p>
      <w:pPr>
        <w:ind w:left="560" w:right="780"/>
        <w:spacing w:after="0" w:line="268" w:lineRule="auto"/>
        <w:rPr>
          <w:sz w:val="20"/>
          <w:szCs w:val="20"/>
          <w:color w:val="auto"/>
        </w:rPr>
      </w:pPr>
      <w:r>
        <w:rPr>
          <w:rFonts w:ascii="Arial" w:cs="Arial" w:eastAsia="Arial" w:hAnsi="Arial"/>
          <w:sz w:val="18"/>
          <w:szCs w:val="18"/>
          <w:color w:val="auto"/>
        </w:rPr>
        <w:t>Edwin F. Barker (President and Chief Financial Officer) – Options for 25,000 shares (3,713 Incentive Stock Options and 21,287 Non-Qualified Stock Options)</w:t>
      </w:r>
    </w:p>
    <w:p>
      <w:pPr>
        <w:spacing w:after="0" w:line="213" w:lineRule="exact"/>
        <w:rPr>
          <w:sz w:val="24"/>
          <w:szCs w:val="24"/>
          <w:color w:val="auto"/>
        </w:rPr>
      </w:pPr>
    </w:p>
    <w:p>
      <w:pPr>
        <w:ind w:left="560" w:right="940"/>
        <w:spacing w:after="0" w:line="268" w:lineRule="auto"/>
        <w:rPr>
          <w:sz w:val="20"/>
          <w:szCs w:val="20"/>
          <w:color w:val="auto"/>
        </w:rPr>
      </w:pPr>
      <w:r>
        <w:rPr>
          <w:rFonts w:ascii="Arial" w:cs="Arial" w:eastAsia="Arial" w:hAnsi="Arial"/>
          <w:sz w:val="18"/>
          <w:szCs w:val="18"/>
          <w:color w:val="auto"/>
        </w:rPr>
        <w:t>Raymond M. Beebe (Vice President – General Counsel and Secretary) – Options for 12,500 shares (3,713 Incentive Stock Options and 8,787 Non-Qualified Stock Options)</w:t>
      </w:r>
    </w:p>
    <w:p>
      <w:pPr>
        <w:spacing w:after="0" w:line="213" w:lineRule="exact"/>
        <w:rPr>
          <w:sz w:val="24"/>
          <w:szCs w:val="24"/>
          <w:color w:val="auto"/>
        </w:rPr>
      </w:pPr>
    </w:p>
    <w:p>
      <w:pPr>
        <w:ind w:left="560" w:right="700"/>
        <w:spacing w:after="0" w:line="268" w:lineRule="auto"/>
        <w:rPr>
          <w:sz w:val="20"/>
          <w:szCs w:val="20"/>
          <w:color w:val="auto"/>
        </w:rPr>
      </w:pPr>
      <w:r>
        <w:rPr>
          <w:rFonts w:ascii="Arial" w:cs="Arial" w:eastAsia="Arial" w:hAnsi="Arial"/>
          <w:sz w:val="18"/>
          <w:szCs w:val="18"/>
          <w:color w:val="auto"/>
        </w:rPr>
        <w:t>Robert L. Gossett (Vice President – Administration) – Options for 12,500 shares (3,713 Incentive Stock Options and 8,787 Non-Qualified Stock Options)</w:t>
      </w:r>
    </w:p>
    <w:p>
      <w:pPr>
        <w:sectPr>
          <w:pgSz w:w="11900" w:h="16933" w:orient="portrait"/>
          <w:cols w:equalWidth="0" w:num="1">
            <w:col w:w="11400"/>
          </w:cols>
          <w:pgMar w:left="240" w:top="233" w:right="259" w:bottom="0" w:gutter="0" w:footer="0" w:header="0"/>
        </w:sectPr>
      </w:pPr>
    </w:p>
    <w:bookmarkStart w:id="1" w:name="page2"/>
    <w:bookmarkEnd w:id="1"/>
    <w:p>
      <w:pPr>
        <w:ind w:left="560" w:right="800"/>
        <w:spacing w:after="0" w:line="268" w:lineRule="auto"/>
        <w:rPr>
          <w:sz w:val="20"/>
          <w:szCs w:val="20"/>
          <w:color w:val="auto"/>
        </w:rPr>
      </w:pPr>
      <w:r>
        <w:rPr>
          <w:rFonts w:ascii="Arial" w:cs="Arial" w:eastAsia="Arial" w:hAnsi="Arial"/>
          <w:sz w:val="18"/>
          <w:szCs w:val="18"/>
          <w:color w:val="auto"/>
        </w:rPr>
        <w:t>Roger W. Martin (Vice President – Sales and Marketing) – Options for 12,500 shares (3,713 Incentive Stock Options and 8,787 Non-Qualified Stock Options)</w:t>
      </w:r>
    </w:p>
    <w:p>
      <w:pPr>
        <w:spacing w:after="0" w:line="213" w:lineRule="exact"/>
        <w:rPr>
          <w:sz w:val="20"/>
          <w:szCs w:val="20"/>
          <w:color w:val="auto"/>
        </w:rPr>
      </w:pPr>
    </w:p>
    <w:p>
      <w:pPr>
        <w:ind w:left="560" w:right="1200"/>
        <w:spacing w:after="0" w:line="268" w:lineRule="auto"/>
        <w:rPr>
          <w:sz w:val="20"/>
          <w:szCs w:val="20"/>
          <w:color w:val="auto"/>
        </w:rPr>
      </w:pPr>
      <w:r>
        <w:rPr>
          <w:rFonts w:ascii="Arial" w:cs="Arial" w:eastAsia="Arial" w:hAnsi="Arial"/>
          <w:sz w:val="18"/>
          <w:szCs w:val="18"/>
          <w:color w:val="auto"/>
        </w:rPr>
        <w:t>William J. O’Leary (Vice President – Product Development) – Options for 12,500 shares (3,713 Incentive Stock Options and 8,787 Non-Qualified Stock Options)</w:t>
      </w:r>
    </w:p>
    <w:p>
      <w:pPr>
        <w:spacing w:after="0" w:line="213" w:lineRule="exact"/>
        <w:rPr>
          <w:sz w:val="20"/>
          <w:szCs w:val="20"/>
          <w:color w:val="auto"/>
        </w:rPr>
      </w:pPr>
    </w:p>
    <w:p>
      <w:pPr>
        <w:ind w:left="560" w:right="840"/>
        <w:spacing w:after="0" w:line="268" w:lineRule="auto"/>
        <w:rPr>
          <w:sz w:val="20"/>
          <w:szCs w:val="20"/>
          <w:color w:val="auto"/>
        </w:rPr>
      </w:pPr>
      <w:r>
        <w:rPr>
          <w:rFonts w:ascii="Arial" w:cs="Arial" w:eastAsia="Arial" w:hAnsi="Arial"/>
          <w:sz w:val="18"/>
          <w:szCs w:val="18"/>
          <w:color w:val="auto"/>
        </w:rPr>
        <w:t>Robert J. Olson (Vice President – Manufacturing) – Options for 12,500 shares (3,713 Incentive Stock Options and 8,787 Non-Qualified Stock Options)</w:t>
      </w: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grants were made pursuant to the forms of master Incentive Stock Option Agreement and master Non-Qualified Stock Option Agreement to be entered into between Winnebago and participants under the Plan for grants of incentive stock options and non-qualified stock options, respectively, filed on Exhibits 10.1 and 10.2 to Winnebago’s Current Report on Form 8-K dated October 13, 2004.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860" w:type="dxa"/>
            <w:vAlign w:val="bottom"/>
          </w:tcPr>
          <w:p>
            <w:pPr>
              <w:spacing w:after="0"/>
              <w:rPr>
                <w:sz w:val="20"/>
                <w:szCs w:val="20"/>
                <w:color w:val="auto"/>
              </w:rPr>
            </w:pPr>
            <w:r>
              <w:rPr>
                <w:rFonts w:ascii="Arial" w:cs="Arial" w:eastAsia="Arial" w:hAnsi="Arial"/>
                <w:sz w:val="18"/>
                <w:szCs w:val="18"/>
                <w:color w:val="auto"/>
              </w:rPr>
              <w:t>Date: October 17, 2005</w:t>
            </w:r>
          </w:p>
        </w:tc>
        <w:tc>
          <w:tcPr>
            <w:tcW w:w="7060" w:type="dxa"/>
            <w:vAlign w:val="bottom"/>
            <w:gridSpan w:val="3"/>
          </w:tcPr>
          <w:p>
            <w:pPr>
              <w:ind w:left="22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860" w:type="dxa"/>
            <w:vAlign w:val="bottom"/>
          </w:tcPr>
          <w:p>
            <w:pPr>
              <w:spacing w:after="0"/>
              <w:rPr>
                <w:sz w:val="24"/>
                <w:szCs w:val="24"/>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860" w:type="dxa"/>
            <w:vAlign w:val="bottom"/>
          </w:tcPr>
          <w:p>
            <w:pPr>
              <w:spacing w:after="0"/>
              <w:rPr>
                <w:sz w:val="22"/>
                <w:szCs w:val="22"/>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860" w:type="dxa"/>
            <w:vAlign w:val="bottom"/>
          </w:tcPr>
          <w:p>
            <w:pPr>
              <w:spacing w:after="0"/>
              <w:rPr>
                <w:sz w:val="21"/>
                <w:szCs w:val="21"/>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80"/>
      </w:cols>
      <w:pgMar w:left="240" w:top="3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2019-12-13T08:11:15Z</dcterms:created>
  <dcterms:modified xsi:type="dcterms:W3CDTF">2019-12-13T08:11:15Z</dcterms:modified>
</cp:coreProperties>
</file>