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9"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SCHEDULE 14A</w:t>
      </w:r>
    </w:p>
    <w:p>
      <w:pPr>
        <w:spacing w:after="0" w:line="23"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(RULE 14a-101)</w:t>
      </w:r>
    </w:p>
    <w:p>
      <w:pPr>
        <w:ind w:left="1840"/>
        <w:spacing w:after="0" w:line="237" w:lineRule="auto"/>
        <w:rPr>
          <w:sz w:val="20"/>
          <w:szCs w:val="20"/>
          <w:color w:val="auto"/>
        </w:rPr>
      </w:pPr>
      <w:r>
        <w:rPr>
          <w:rFonts w:ascii="Courier New" w:cs="Courier New" w:eastAsia="Courier New" w:hAnsi="Courier New"/>
          <w:sz w:val="15"/>
          <w:szCs w:val="15"/>
          <w:color w:val="auto"/>
        </w:rPr>
        <w:t>INFORMATION REQUIRED IN PROXY STATEMENT</w:t>
      </w:r>
    </w:p>
    <w:p>
      <w:pPr>
        <w:ind w:left="2460"/>
        <w:spacing w:after="0"/>
        <w:rPr>
          <w:sz w:val="20"/>
          <w:szCs w:val="20"/>
          <w:color w:val="auto"/>
        </w:rPr>
      </w:pPr>
      <w:r>
        <w:rPr>
          <w:rFonts w:ascii="Courier New" w:cs="Courier New" w:eastAsia="Courier New" w:hAnsi="Courier New"/>
          <w:sz w:val="15"/>
          <w:szCs w:val="15"/>
          <w:color w:val="auto"/>
        </w:rPr>
        <w:t>SCHEDULE 14A INFORMATION</w:t>
      </w:r>
    </w:p>
    <w:p>
      <w:pPr>
        <w:spacing w:after="0" w:line="140"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24"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SECURITIES EXCHANGE ACT OF 1934 (AMENDMENT NO. )</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24" w:lineRule="exact"/>
        <w:rPr>
          <w:sz w:val="24"/>
          <w:szCs w:val="24"/>
          <w:color w:val="auto"/>
        </w:rPr>
      </w:pPr>
    </w:p>
    <w:p>
      <w:pPr>
        <w:ind w:right="7439" w:firstLine="10"/>
        <w:spacing w:after="0" w:line="254" w:lineRule="auto"/>
        <w:tabs>
          <w:tab w:leader="none" w:pos="43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proxy statement [ ] Definitive proxy statement</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  Definitive additional materials</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  Soliciting material pursuant to Rule 14a-11(c) or Rule 14a-12</w:t>
      </w:r>
    </w:p>
    <w:p>
      <w:pPr>
        <w:ind w:left="440" w:right="4019" w:hanging="437"/>
        <w:spacing w:after="0" w:line="30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 Confidential, for Use of the Commission Only (as permitted by Rule 14a-6(e)(2))</w:t>
      </w:r>
    </w:p>
    <w:p>
      <w:pPr>
        <w:spacing w:after="0" w:line="44"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WINNEBAGO INDUSTRIES, INC.</w:t>
      </w:r>
    </w:p>
    <w:p>
      <w:pPr>
        <w:spacing w:after="0" w:line="24"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200" w:lineRule="exact"/>
        <w:rPr>
          <w:rFonts w:ascii="Courier New" w:cs="Courier New" w:eastAsia="Courier New" w:hAnsi="Courier New"/>
          <w:sz w:val="14"/>
          <w:szCs w:val="14"/>
          <w:color w:val="auto"/>
        </w:rPr>
      </w:pPr>
    </w:p>
    <w:p>
      <w:pPr>
        <w:spacing w:after="0" w:line="276"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24" w:lineRule="exact"/>
        <w:rPr>
          <w:sz w:val="24"/>
          <w:szCs w:val="24"/>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40"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transactions applies:</w:t>
      </w:r>
    </w:p>
    <w:p>
      <w:pPr>
        <w:spacing w:after="0" w:line="166" w:lineRule="exact"/>
        <w:rPr>
          <w:rFonts w:ascii="Courier New" w:cs="Courier New" w:eastAsia="Courier New" w:hAnsi="Courier New"/>
          <w:sz w:val="15"/>
          <w:szCs w:val="15"/>
          <w:color w:val="auto"/>
        </w:rPr>
      </w:pPr>
    </w:p>
    <w:p>
      <w:pPr>
        <w:ind w:left="880" w:right="3239" w:hanging="433"/>
        <w:spacing w:after="0" w:line="290"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24"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9" w:lineRule="exact"/>
        <w:rPr>
          <w:rFonts w:ascii="Courier New" w:cs="Courier New" w:eastAsia="Courier New" w:hAnsi="Courier New"/>
          <w:sz w:val="14"/>
          <w:szCs w:val="14"/>
          <w:color w:val="auto"/>
        </w:rPr>
      </w:pPr>
    </w:p>
    <w:p>
      <w:pPr>
        <w:ind w:left="440" w:right="331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69"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MEETING</w:t>
      </w:r>
    </w:p>
    <w:p>
      <w:pPr>
        <w:spacing w:after="0" w:line="2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OF SHAREHOLDERS</w:t>
      </w:r>
    </w:p>
    <w:p>
      <w:pPr>
        <w:jc w:val="center"/>
        <w:ind w:right="3139"/>
        <w:spacing w:after="0"/>
        <w:rPr>
          <w:sz w:val="20"/>
          <w:szCs w:val="20"/>
          <w:color w:val="auto"/>
        </w:rPr>
      </w:pPr>
      <w:r>
        <w:rPr>
          <w:rFonts w:ascii="Courier New" w:cs="Courier New" w:eastAsia="Courier New" w:hAnsi="Courier New"/>
          <w:sz w:val="15"/>
          <w:szCs w:val="15"/>
          <w:color w:val="auto"/>
        </w:rPr>
        <w:t>TO BE HELD JANUARY 11, 2000</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 the Shareholders of</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40" w:lineRule="exact"/>
        <w:rPr>
          <w:sz w:val="24"/>
          <w:szCs w:val="24"/>
          <w:color w:val="auto"/>
        </w:rPr>
      </w:pPr>
    </w:p>
    <w:p>
      <w:pPr>
        <w:ind w:right="3399" w:firstLine="787"/>
        <w:spacing w:after="0" w:line="273" w:lineRule="auto"/>
        <w:rPr>
          <w:sz w:val="20"/>
          <w:szCs w:val="20"/>
          <w:color w:val="auto"/>
        </w:rPr>
      </w:pPr>
      <w:r>
        <w:rPr>
          <w:rFonts w:ascii="Courier New" w:cs="Courier New" w:eastAsia="Courier New" w:hAnsi="Courier New"/>
          <w:sz w:val="15"/>
          <w:szCs w:val="15"/>
          <w:color w:val="auto"/>
        </w:rPr>
        <w:t>The Annual Meeting of Shareholders of Winnebago Industries, Inc. will be held on Tuesday, January 11, 2000, at 7:30 p.m., Central Standard Time, at Friendship Hall, Highway 69 South, Forest City, Iowa, for the following purposes:</w:t>
      </w:r>
    </w:p>
    <w:p>
      <w:pPr>
        <w:spacing w:after="0" w:line="68"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1. To elect eight people to the Board of Directors of the</w:t>
      </w:r>
    </w:p>
    <w:p>
      <w:pPr>
        <w:spacing w:after="0" w:line="24"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Company;</w:t>
      </w:r>
    </w:p>
    <w:p>
      <w:pPr>
        <w:spacing w:after="0" w:line="140" w:lineRule="exact"/>
        <w:rPr>
          <w:sz w:val="24"/>
          <w:szCs w:val="24"/>
          <w:color w:val="auto"/>
        </w:rPr>
      </w:pPr>
    </w:p>
    <w:p>
      <w:pPr>
        <w:ind w:left="800" w:right="3239" w:firstLine="784"/>
        <w:spacing w:after="0" w:line="273" w:lineRule="auto"/>
        <w:tabs>
          <w:tab w:leader="none" w:pos="18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amendments to the Company's Articles of Incorporation to (a) provide for the classification of the Board of Directors into three classes, (b) provide that the number of directors constituting the Board of Directors shall be not more than fifteen (15) and not less than three (3), the precise number to be determined by resolution of the Board of Directors from time to time, (c) provide that directors may be removed only for cause and (d) require a vote of 75% of the outstanding shares of the Company to amend these provisions;</w:t>
      </w:r>
    </w:p>
    <w:p>
      <w:pPr>
        <w:spacing w:after="0" w:line="70" w:lineRule="exact"/>
        <w:rPr>
          <w:rFonts w:ascii="Courier New" w:cs="Courier New" w:eastAsia="Courier New" w:hAnsi="Courier New"/>
          <w:sz w:val="14"/>
          <w:szCs w:val="14"/>
          <w:color w:val="auto"/>
        </w:rPr>
      </w:pPr>
    </w:p>
    <w:p>
      <w:pPr>
        <w:ind w:left="800" w:right="3839" w:firstLine="784"/>
        <w:spacing w:after="0" w:line="344" w:lineRule="auto"/>
        <w:tabs>
          <w:tab w:leader="none" w:pos="18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Articles of Incorporation to authorize the issuance of Preferred Stock;</w:t>
      </w:r>
    </w:p>
    <w:p>
      <w:pPr>
        <w:spacing w:after="0" w:line="17" w:lineRule="exact"/>
        <w:rPr>
          <w:rFonts w:ascii="Courier New" w:cs="Courier New" w:eastAsia="Courier New" w:hAnsi="Courier New"/>
          <w:sz w:val="15"/>
          <w:szCs w:val="15"/>
          <w:color w:val="auto"/>
        </w:rPr>
      </w:pPr>
    </w:p>
    <w:p>
      <w:pPr>
        <w:ind w:left="800" w:right="3579" w:firstLine="784"/>
        <w:spacing w:after="0" w:line="381" w:lineRule="auto"/>
        <w:tabs>
          <w:tab w:leader="none" w:pos="18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a shareholder proposal concerning cumulative voting, if the proposal is presented at the meeting; and</w:t>
      </w:r>
    </w:p>
    <w:p>
      <w:pPr>
        <w:spacing w:after="0" w:line="1" w:lineRule="exact"/>
        <w:rPr>
          <w:rFonts w:ascii="Courier New" w:cs="Courier New" w:eastAsia="Courier New" w:hAnsi="Courier New"/>
          <w:sz w:val="14"/>
          <w:szCs w:val="14"/>
          <w:color w:val="auto"/>
        </w:rPr>
      </w:pPr>
    </w:p>
    <w:p>
      <w:pPr>
        <w:ind w:left="800" w:right="3239" w:firstLine="784"/>
        <w:spacing w:after="0" w:line="344" w:lineRule="auto"/>
        <w:tabs>
          <w:tab w:leader="none" w:pos="18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thereof.</w:t>
      </w:r>
    </w:p>
    <w:p>
      <w:pPr>
        <w:sectPr>
          <w:pgSz w:w="11900" w:h="17017" w:orient="portrait"/>
          <w:cols w:equalWidth="0" w:num="1">
            <w:col w:w="10239"/>
          </w:cols>
          <w:pgMar w:left="220" w:top="542" w:right="1440" w:bottom="0" w:gutter="0" w:footer="0" w:header="0"/>
        </w:sectPr>
      </w:pPr>
    </w:p>
    <w:bookmarkStart w:id="1" w:name="page2"/>
    <w:bookmarkEnd w:id="1"/>
    <w:p>
      <w:pPr>
        <w:ind w:right="3399" w:firstLine="787"/>
        <w:spacing w:after="0" w:line="273" w:lineRule="auto"/>
        <w:rPr>
          <w:sz w:val="20"/>
          <w:szCs w:val="20"/>
          <w:color w:val="auto"/>
        </w:rPr>
      </w:pPr>
      <w:r>
        <w:rPr>
          <w:rFonts w:ascii="Courier New" w:cs="Courier New" w:eastAsia="Courier New" w:hAnsi="Courier New"/>
          <w:sz w:val="15"/>
          <w:szCs w:val="15"/>
          <w:color w:val="auto"/>
        </w:rPr>
        <w:t>The Board of Directors of the Company has fixed the close of business on November 8, 1999, as the record date for the determination of shareholders entitled to notice of and to vote at this meeting and at any and all adjournments thereof.</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5"/>
          <w:szCs w:val="15"/>
          <w:color w:val="auto"/>
        </w:rPr>
        <w:t>RAYMOND M. BEEBE</w:t>
      </w:r>
    </w:p>
    <w:p>
      <w:pPr>
        <w:jc w:val="right"/>
        <w:ind w:right="5419"/>
        <w:spacing w:after="0"/>
        <w:rPr>
          <w:sz w:val="20"/>
          <w:szCs w:val="20"/>
          <w:color w:val="auto"/>
        </w:rPr>
      </w:pPr>
      <w:r>
        <w:rPr>
          <w:rFonts w:ascii="Courier New" w:cs="Courier New" w:eastAsia="Courier New" w:hAnsi="Courier New"/>
          <w:sz w:val="15"/>
          <w:szCs w:val="15"/>
          <w:color w:val="auto"/>
        </w:rPr>
        <w:t>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__, 1999</w:t>
      </w:r>
    </w:p>
    <w:p>
      <w:pPr>
        <w:sectPr>
          <w:pgSz w:w="11900" w:h="16838" w:orient="portrait"/>
          <w:cols w:equalWidth="0" w:num="1">
            <w:col w:w="10239"/>
          </w:cols>
          <w:pgMar w:left="220" w:top="284" w:right="1440" w:bottom="144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5"/>
          <w:szCs w:val="15"/>
          <w:color w:val="auto"/>
        </w:rPr>
        <w:t>YOUR VOTE IS IMPORTANT</w:t>
      </w:r>
    </w:p>
    <w:p>
      <w:pPr>
        <w:spacing w:after="0" w:line="166"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5"/>
          <w:szCs w:val="15"/>
          <w:color w:val="auto"/>
        </w:rPr>
        <w:t>WHETHER OR NOT YOU EXPECT TO ATTEND THE MEETING IN PERSON, PLEASE DATE, SIGN AND RETURN THE PROXY CARD IN THE ENCLOSED ENVELOPE SO YOUR SHARES WILL BE VOTED AT THE ANNUAL MEETING. A PROMPT RESPONSE IS HELPFUL AND YOUR COOPERATION IS APPRECIATED.</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66" w:right="1440" w:bottom="1440" w:gutter="0" w:footer="0" w:header="0"/>
        </w:sectPr>
      </w:pPr>
    </w:p>
    <w:bookmarkStart w:id="3" w:name="page4"/>
    <w:bookmarkEnd w:id="3"/>
    <w:p>
      <w:pPr>
        <w:ind w:left="2380"/>
        <w:spacing w:after="0"/>
        <w:rPr>
          <w:sz w:val="20"/>
          <w:szCs w:val="20"/>
          <w:color w:val="auto"/>
        </w:rPr>
      </w:pPr>
      <w:r>
        <w:rPr>
          <w:rFonts w:ascii="Courier New" w:cs="Courier New" w:eastAsia="Courier New" w:hAnsi="Courier New"/>
          <w:sz w:val="15"/>
          <w:szCs w:val="15"/>
          <w:color w:val="auto"/>
        </w:rPr>
        <w:t>WINNEBAGO INDUSTRIES, INC.</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Winnebago Industries, Inc., an Iowa corporation (the "COMPANY"), P.O. Box 152, Forest City, Iowa 50436, of proxies to be used at the Annual Meeting of Shareholders of the Company to be held at Friendship Hall, Highway 69 South, Forest City, Iowa on January 11, 2000, at 7:30 p.m., Central Standard Time, and at any and all adjournments thereof. This Proxy Statement was first mailed to shareholders on or about November __, 1999.</w:t>
      </w:r>
    </w:p>
    <w:p>
      <w:pPr>
        <w:spacing w:after="0" w:line="82" w:lineRule="exact"/>
        <w:rPr>
          <w:sz w:val="20"/>
          <w:szCs w:val="20"/>
          <w:color w:val="auto"/>
        </w:rPr>
      </w:pPr>
    </w:p>
    <w:p>
      <w:pPr>
        <w:ind w:right="3319" w:firstLine="787"/>
        <w:spacing w:after="0" w:line="260" w:lineRule="auto"/>
        <w:rPr>
          <w:sz w:val="20"/>
          <w:szCs w:val="20"/>
          <w:color w:val="auto"/>
        </w:rPr>
      </w:pPr>
      <w:r>
        <w:rPr>
          <w:rFonts w:ascii="Courier New" w:cs="Courier New" w:eastAsia="Courier New" w:hAnsi="Courier New"/>
          <w:sz w:val="14"/>
          <w:szCs w:val="14"/>
          <w:color w:val="auto"/>
        </w:rPr>
        <w:t>Only holders of Common Stock of record at the close of business on November 8, 1999, will be entitled to vote at the Annual Meeting of Shareholders. At such date, the Company had outstanding 21,870,183 shares of Common Stock, par value $.50 per share ("COMMON STOCK"). Each share of Common Stock entitles the holder to one vote upon each matter to be voted upon at the meeting. A majority of the outstanding shares of Common Stock will constitute a quorum for the Annual Meeting of Shareholders. Election of each director (Item</w:t>
      </w:r>
    </w:p>
    <w:p>
      <w:pPr>
        <w:spacing w:after="0" w:line="1" w:lineRule="exact"/>
        <w:rPr>
          <w:sz w:val="20"/>
          <w:szCs w:val="20"/>
          <w:color w:val="auto"/>
        </w:rPr>
      </w:pPr>
    </w:p>
    <w:p>
      <w:pPr>
        <w:ind w:right="3239" w:firstLine="10"/>
        <w:spacing w:after="0" w:line="245" w:lineRule="auto"/>
        <w:tabs>
          <w:tab w:leader="none" w:pos="26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approval of any other matters to come before the Annual Meeting (including Items 2, 3 and 4) require the affirmative vote of the holders of a majority of the shares of the Company's Common Stock present or represented by proxy and voted at the meeting. Abstentions and broker non-votes (i.e., shares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not have any effect on any matters at the Annual Meeting of Shareholders.</w:t>
      </w:r>
    </w:p>
    <w:p>
      <w:pPr>
        <w:spacing w:after="0" w:line="90" w:lineRule="exact"/>
        <w:rPr>
          <w:sz w:val="20"/>
          <w:szCs w:val="20"/>
          <w:color w:val="auto"/>
        </w:rPr>
      </w:pPr>
    </w:p>
    <w:p>
      <w:pPr>
        <w:ind w:right="3239" w:firstLine="787"/>
        <w:spacing w:after="0" w:line="269" w:lineRule="auto"/>
        <w:rPr>
          <w:sz w:val="20"/>
          <w:szCs w:val="20"/>
          <w:color w:val="auto"/>
        </w:rPr>
      </w:pPr>
      <w:r>
        <w:rPr>
          <w:rFonts w:ascii="Courier New" w:cs="Courier New" w:eastAsia="Courier New" w:hAnsi="Courier New"/>
          <w:sz w:val="14"/>
          <w:szCs w:val="14"/>
          <w:color w:val="auto"/>
        </w:rPr>
        <w:t>A form of proxy is enclosed for use at the meeting. If the proxy is executed and returned, it may nevertheless be revoked at any time insofar as it has not been exercised. A person giving the enclosed proxy may revoke it by (i) giving written notice to the Secretary, (ii) subsequently granting a later-dated proxy or (iii) attending the annual meeting and voting in person. You may also be represented by another person at the annual meeting by executing a proper proxy designating that person. Unless revoked, the shares represented by validly executed proxies will be voted at the meeting in accordance with the instructions indicated thereon. Withholding authority to vote on a director nominee will in effect count as a vote against the director nominee.</w:t>
      </w:r>
    </w:p>
    <w:p>
      <w:pPr>
        <w:spacing w:after="0" w:line="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NO INSTRUCTIONS ARE INDICATED ON THE PROXY, IT WILL BE VOTED: (i)</w:t>
      </w:r>
    </w:p>
    <w:p>
      <w:pPr>
        <w:spacing w:after="0" w:line="24"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FOR THE ELECTION OF THE EIGHT NOMINEES FOR DIRECTOR NAMED BELOW (ITEM 1); (ii) FOR THE PROPOSAL TO APPROVE AMENDMENTS TO THE COMPANY'S ARTICLES OF INCORPORATION TO (a) PROVIDE FOR THE CLASSIFICATION OF THE BOARD OF DIRECTORS INTO THREE CLASSES, (b) PROVIDE THAT THE NUMBER OF DIRECTORS CONSTITUTING THE BOARD OF DIRECTORS SHALL BE NOT MORE THAN FIFTEEN (15) AND NOT LESS THAN THREE</w:t>
      </w:r>
    </w:p>
    <w:p>
      <w:pPr>
        <w:spacing w:after="0" w:line="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(3), THE PRECISE NUMBER TO BE DETERMINED BY RESOLUTION OF THE BOARD OF DIRECTORS FROM TIME TO TIME, (c) PROVIDE THAT DIRECTORS MAY BE REMOVED ONLY FOR CAUSE, AND</w:t>
      </w:r>
    </w:p>
    <w:p>
      <w:pPr>
        <w:spacing w:after="0" w:line="1" w:lineRule="exact"/>
        <w:rPr>
          <w:sz w:val="20"/>
          <w:szCs w:val="20"/>
          <w:color w:val="auto"/>
        </w:rPr>
      </w:pPr>
    </w:p>
    <w:p>
      <w:pPr>
        <w:ind w:right="3679" w:firstLine="10"/>
        <w:spacing w:after="0" w:line="307"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A VOTE OF 75% OF THE OUTSTANDING SHARES OF THE COMPANY TO AMEND THESE PROVISIONS (ITEM 2); (iii) FOR THE PROPOSAL TO</w:t>
      </w:r>
    </w:p>
    <w:p>
      <w:pPr>
        <w:sectPr>
          <w:pgSz w:w="11900" w:h="16838" w:orient="portrait"/>
          <w:cols w:equalWidth="0" w:num="1">
            <w:col w:w="10239"/>
          </w:cols>
          <w:pgMar w:left="220" w:top="766" w:right="1440" w:bottom="1440" w:gutter="0" w:footer="0" w:header="0"/>
        </w:sectPr>
      </w:pPr>
    </w:p>
    <w:bookmarkStart w:id="4" w:name="page5"/>
    <w:bookmarkEnd w:id="4"/>
    <w:p>
      <w:pPr>
        <w:ind w:right="3239"/>
        <w:spacing w:after="0" w:line="264" w:lineRule="auto"/>
        <w:rPr>
          <w:sz w:val="20"/>
          <w:szCs w:val="20"/>
          <w:color w:val="auto"/>
        </w:rPr>
      </w:pPr>
      <w:r>
        <w:rPr>
          <w:rFonts w:ascii="Courier New" w:cs="Courier New" w:eastAsia="Courier New" w:hAnsi="Courier New"/>
          <w:sz w:val="15"/>
          <w:szCs w:val="15"/>
          <w:color w:val="auto"/>
        </w:rPr>
        <w:t>APPROVE AN AMENDMENT TO THE COMPANY'S ARTICLES OF INCORPORATION TO AUTHORIZE THE ISSUANCE OF PREFERRED STOCK (ITEM 3); (iv) AGAINST A SHAREHOLDER PROPOSAL CONCERNING CUMULATIVE VOTING, IF THE PROPOSAL IS PRESENTED AT THE MEETING (ITEM 4); AND (v) IN THE DISCRETION OF THE NAMED PROXIES UPON SUCH OTHER MATTERS AS MAY PROPERLY COME BEFORE THE MEETING.</w:t>
      </w:r>
    </w:p>
    <w:p>
      <w:pPr>
        <w:spacing w:after="0" w:line="24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VOTING SECURITIES AND PRINCIPAL HOLDERS THEREOF</w:t>
      </w:r>
    </w:p>
    <w:p>
      <w:pPr>
        <w:spacing w:after="0" w:line="166" w:lineRule="exact"/>
        <w:rPr>
          <w:sz w:val="20"/>
          <w:szCs w:val="20"/>
          <w:color w:val="auto"/>
        </w:rPr>
      </w:pPr>
    </w:p>
    <w:p>
      <w:pPr>
        <w:ind w:right="3239" w:firstLine="787"/>
        <w:spacing w:after="0" w:line="248" w:lineRule="auto"/>
        <w:rPr>
          <w:sz w:val="20"/>
          <w:szCs w:val="20"/>
          <w:color w:val="auto"/>
        </w:rPr>
      </w:pPr>
      <w:r>
        <w:rPr>
          <w:rFonts w:ascii="Courier New" w:cs="Courier New" w:eastAsia="Courier New" w:hAnsi="Courier New"/>
          <w:sz w:val="15"/>
          <w:szCs w:val="15"/>
          <w:color w:val="auto"/>
        </w:rPr>
        <w:t>At November 8, 1999, Mrs. Luise V. Hanson owned an aggregate of 7,981,306 shares 36.5 percent) of the outstanding Common Stock, owning 4,963,374 (22.7 percent) of record and beneficially, and 3,017,932 (13.8 percent) beneficially, as executor of the Estate of John K. Hanson. By virtue of her stock ownership, Mrs. Luise V. Hanson may be deemed to be a controlling person of the Company. At the same date, Mary Jo Boman, daughter of Mrs. Luise V. Hanson, owned 42,171 shares of Common Stock and her husband, Gerald E. Boman, owned 150,471 shares of Common Stock. In addition, Mr. Boman holds options to purchase 12,000 shares of Common Stock. John V. Hanson, son of Mrs. Luise V. Hanson, beneficially owns 630 shares of Common Stock. In addition, Mr. Hanson holds options to purchase 12,000 shares of Common Stock.</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66" w:right="1440" w:bottom="1440" w:gutter="0" w:footer="0" w:header="0"/>
        </w:sectPr>
      </w:pPr>
    </w:p>
    <w:bookmarkStart w:id="5" w:name="page6"/>
    <w:bookmarkEnd w:id="5"/>
    <w:p>
      <w:pPr>
        <w:ind w:right="3319" w:firstLine="787"/>
        <w:spacing w:after="0" w:line="287" w:lineRule="auto"/>
        <w:rPr>
          <w:sz w:val="20"/>
          <w:szCs w:val="20"/>
          <w:color w:val="auto"/>
        </w:rPr>
      </w:pPr>
      <w:r>
        <w:rPr>
          <w:rFonts w:ascii="Courier New" w:cs="Courier New" w:eastAsia="Courier New" w:hAnsi="Courier New"/>
          <w:sz w:val="14"/>
          <w:szCs w:val="14"/>
          <w:color w:val="auto"/>
        </w:rPr>
        <w:t>The following table contains information with respect to the ownership of Common Stock by (i) each person known to the Company who is the beneficial owner of more than five percent of the outstanding Common Stock, (ii) each director, (iii) each nominee for election as a director, (iv) each executive officer listed in the Summary Compensation Table and (v) the group named below.</w:t>
      </w:r>
    </w:p>
    <w:p>
      <w:pPr>
        <w:spacing w:after="0" w:line="5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w w:val="92"/>
              </w:rPr>
              <w:t>SHARES</w:t>
            </w:r>
          </w:p>
        </w:tc>
        <w:tc>
          <w:tcPr>
            <w:tcW w:w="17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OF COMMON STOCK</w:t>
            </w:r>
          </w:p>
        </w:tc>
        <w:tc>
          <w:tcPr>
            <w:tcW w:w="1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PERCENT OF</w:t>
            </w:r>
          </w:p>
        </w:tc>
        <w:tc>
          <w:tcPr>
            <w:tcW w:w="0" w:type="dxa"/>
            <w:vAlign w:val="bottom"/>
          </w:tcPr>
          <w:p>
            <w:pPr>
              <w:spacing w:after="0"/>
              <w:rPr>
                <w:sz w:val="1"/>
                <w:szCs w:val="1"/>
                <w:color w:val="auto"/>
              </w:rPr>
            </w:pPr>
          </w:p>
        </w:tc>
      </w:tr>
      <w:tr>
        <w:trPr>
          <w:trHeight w:val="168"/>
        </w:trPr>
        <w:tc>
          <w:tcPr>
            <w:tcW w:w="25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NAME</w:t>
            </w:r>
          </w:p>
        </w:tc>
        <w:tc>
          <w:tcPr>
            <w:tcW w:w="240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OWNED BENEFICIALLY AT</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vMerge w:val="continue"/>
          </w:tcPr>
          <w:p>
            <w:pPr>
              <w:spacing w:after="0"/>
              <w:rPr>
                <w:sz w:val="21"/>
                <w:szCs w:val="21"/>
                <w:color w:val="auto"/>
              </w:rPr>
            </w:pPr>
          </w:p>
        </w:tc>
        <w:tc>
          <w:tcPr>
            <w:tcW w:w="240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NOVEMBER 8, 1999(1)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Luise V. Hanson</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7,981,306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36.5</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Edwin F. Barker</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81,657</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Raymond M. Beebe</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70,657</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Gerald E. Boman</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204,642</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(2)(4)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Ronald D. Buckmeier</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15,639</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Jerry N. Currie</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Fred G. Dohrmann</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4,345</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John V. Hanson</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12,630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(2)(4)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Bruce D. Hertzke</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83,800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James P. Jaskoviak</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15,325</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Gerald C. Kitch</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17,435</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Robert J. Olson</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20,146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Richard C. Scott</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6,318</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Frederick M. Zimmerman</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13,594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Directors and officers as a</w:t>
            </w:r>
          </w:p>
        </w:tc>
        <w:tc>
          <w:tcPr>
            <w:tcW w:w="7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569,245</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0"/>
                <w:szCs w:val="20"/>
                <w:color w:val="auto"/>
              </w:rPr>
            </w:pPr>
            <w:r>
              <w:rPr>
                <w:rFonts w:ascii="Courier New" w:cs="Courier New" w:eastAsia="Courier New" w:hAnsi="Courier New"/>
                <w:sz w:val="15"/>
                <w:szCs w:val="15"/>
                <w:color w:val="auto"/>
              </w:rPr>
              <w:t>group (16 persons)</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440" w:right="4099" w:hanging="430"/>
        <w:spacing w:after="0" w:line="344"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held jointly with or by spouse and shares held as custodian, beneficial ownership of which is disclaimed.</w:t>
      </w:r>
    </w:p>
    <w:p>
      <w:pPr>
        <w:spacing w:after="0" w:line="17" w:lineRule="exact"/>
        <w:rPr>
          <w:rFonts w:ascii="Courier New" w:cs="Courier New" w:eastAsia="Courier New" w:hAnsi="Courier New"/>
          <w:sz w:val="15"/>
          <w:szCs w:val="15"/>
          <w:color w:val="auto"/>
        </w:rPr>
      </w:pPr>
    </w:p>
    <w:p>
      <w:pPr>
        <w:ind w:left="440" w:right="3839" w:hanging="430"/>
        <w:spacing w:after="0" w:line="344"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narrative above provides further information with regard to such ownership.</w:t>
      </w:r>
    </w:p>
    <w:p>
      <w:pPr>
        <w:spacing w:after="0" w:line="1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66" w:lineRule="exact"/>
        <w:rPr>
          <w:rFonts w:ascii="Courier New" w:cs="Courier New" w:eastAsia="Courier New" w:hAnsi="Courier New"/>
          <w:sz w:val="15"/>
          <w:szCs w:val="15"/>
          <w:color w:val="auto"/>
        </w:rPr>
      </w:pPr>
    </w:p>
    <w:p>
      <w:pPr>
        <w:ind w:left="440" w:right="3239" w:hanging="430"/>
        <w:spacing w:after="0" w:line="258"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57,666, 57,666, 12,000, 10,999, 10,500, 2,000, 12,000, 64,416, 8,668, 12,000, 18,166, 2,000, 11,000 and 289,749 shares, respectively, which Messrs. Barker, Beebe, Boman, Buckmeier, Currie, Dohrmann, Hanson, Hertzke, Jaskoviak, Kitch, Olson, Scott, Zimmerman and the directors and officers as a group have the right to acquire within 60 days of November 8, 1999, through the exercise of stock options.</w:t>
      </w:r>
    </w:p>
    <w:p>
      <w:pPr>
        <w:spacing w:after="0" w:line="81" w:lineRule="exact"/>
        <w:rPr>
          <w:rFonts w:ascii="Courier New" w:cs="Courier New" w:eastAsia="Courier New" w:hAnsi="Courier New"/>
          <w:sz w:val="15"/>
          <w:szCs w:val="15"/>
          <w:color w:val="auto"/>
        </w:rPr>
      </w:pPr>
    </w:p>
    <w:p>
      <w:pPr>
        <w:ind w:left="440" w:right="3399" w:hanging="430"/>
        <w:spacing w:after="0" w:line="287"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738, 4,435, 4,318 and 1,844 Winnebago Stock Units, respectively, held by Messrs. Dohrmann, Kitch, Scott and Zimmerman, respectively, under the Company's Directors' Deferred Compensation Plan. The Winnebago Stock Units are payable in an equal number of shares of Common Stock upon the respective directors' termination of service as a director.</w:t>
      </w:r>
    </w:p>
    <w:p>
      <w:pPr>
        <w:spacing w:after="0" w:line="2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66" w:right="1440" w:bottom="1440" w:gutter="0" w:footer="0" w:header="0"/>
        </w:sectPr>
      </w:pPr>
    </w:p>
    <w:bookmarkStart w:id="6" w:name="page7"/>
    <w:bookmarkEnd w:id="6"/>
    <w:p>
      <w:pPr>
        <w:ind w:left="3240"/>
        <w:spacing w:after="0"/>
        <w:rPr>
          <w:sz w:val="20"/>
          <w:szCs w:val="20"/>
          <w:color w:val="auto"/>
        </w:rPr>
      </w:pPr>
      <w:r>
        <w:rPr>
          <w:rFonts w:ascii="Courier New" w:cs="Courier New" w:eastAsia="Courier New" w:hAnsi="Courier New"/>
          <w:sz w:val="15"/>
          <w:szCs w:val="15"/>
          <w:color w:val="auto"/>
        </w:rPr>
        <w:t>ITEM 1</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right="3239" w:firstLine="787"/>
        <w:spacing w:after="0" w:line="270" w:lineRule="auto"/>
        <w:rPr>
          <w:sz w:val="20"/>
          <w:szCs w:val="20"/>
          <w:color w:val="auto"/>
        </w:rPr>
      </w:pPr>
      <w:r>
        <w:rPr>
          <w:rFonts w:ascii="Courier New" w:cs="Courier New" w:eastAsia="Courier New" w:hAnsi="Courier New"/>
          <w:sz w:val="14"/>
          <w:szCs w:val="14"/>
          <w:color w:val="auto"/>
        </w:rPr>
        <w:t>All current directors are standing for reelection. Each nominee is being elected to serve until the next Annual Meeting of Shareholders at which their class stands for election, if Item 2 is adopted, or until the next Annual Meeting of Shareholders if Item 2 is not adopted, and in either case until their respective successors are duly elected and qualified. Discretionary authority is solicited to vote for the election of a substitute for any of said nominees who, for any reason currently unknown, cannot be a candidate for election. THE SHARES REPRESENTED BY THE ENCLOSED PROXY WILL BE VOTED FOR THE ELECTION AS DIRECTORS OF THE NOMINEES NAMED BELOW IF NO DIRECTION IS MADE OTHERWISE.</w:t>
      </w:r>
    </w:p>
    <w:p>
      <w:pPr>
        <w:spacing w:after="0" w:line="7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table sets forth information concerning the nominees and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40" w:type="dxa"/>
            <w:vAlign w:val="bottom"/>
            <w:gridSpan w:val="2"/>
          </w:tcPr>
          <w:p>
            <w:pPr>
              <w:spacing w:after="0"/>
              <w:rPr>
                <w:sz w:val="20"/>
                <w:szCs w:val="20"/>
                <w:color w:val="auto"/>
              </w:rPr>
            </w:pPr>
            <w:r>
              <w:rPr>
                <w:rFonts w:ascii="Courier New" w:cs="Courier New" w:eastAsia="Courier New" w:hAnsi="Courier New"/>
                <w:sz w:val="15"/>
                <w:szCs w:val="15"/>
                <w:color w:val="auto"/>
              </w:rPr>
              <w:t>the classes for which they will be elected if Item 2 is adopted:</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840" w:type="dxa"/>
            <w:vAlign w:val="bottom"/>
          </w:tcPr>
          <w:p>
            <w:pPr>
              <w:ind w:left="800"/>
              <w:spacing w:after="0"/>
              <w:rPr>
                <w:sz w:val="20"/>
                <w:szCs w:val="20"/>
                <w:color w:val="auto"/>
              </w:rPr>
            </w:pPr>
            <w:r>
              <w:rPr>
                <w:rFonts w:ascii="Courier New" w:cs="Courier New" w:eastAsia="Courier New" w:hAnsi="Courier New"/>
                <w:sz w:val="15"/>
                <w:szCs w:val="15"/>
                <w:color w:val="auto"/>
              </w:rPr>
              <w:t>Class I</w:t>
            </w:r>
          </w:p>
        </w:tc>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Directors to be Elected to Serve until the 2001 Annual</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Meeting</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2"/>
                <w:szCs w:val="22"/>
                <w:color w:val="auto"/>
              </w:rPr>
            </w:pPr>
          </w:p>
        </w:tc>
        <w:tc>
          <w:tcPr>
            <w:tcW w:w="4300" w:type="dxa"/>
            <w:vAlign w:val="bottom"/>
          </w:tcPr>
          <w:p>
            <w:pPr>
              <w:ind w:left="700"/>
              <w:spacing w:after="0"/>
              <w:rPr>
                <w:sz w:val="20"/>
                <w:szCs w:val="20"/>
                <w:color w:val="auto"/>
              </w:rPr>
            </w:pPr>
            <w:r>
              <w:rPr>
                <w:rFonts w:ascii="Courier New" w:cs="Courier New" w:eastAsia="Courier New" w:hAnsi="Courier New"/>
                <w:sz w:val="15"/>
                <w:szCs w:val="15"/>
                <w:color w:val="auto"/>
              </w:rPr>
              <w:t>Fred G. Dohrmann</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300" w:type="dxa"/>
            <w:vAlign w:val="bottom"/>
          </w:tcPr>
          <w:p>
            <w:pPr>
              <w:ind w:left="700"/>
              <w:spacing w:after="0"/>
              <w:rPr>
                <w:sz w:val="20"/>
                <w:szCs w:val="20"/>
                <w:color w:val="auto"/>
              </w:rPr>
            </w:pPr>
            <w:r>
              <w:rPr>
                <w:rFonts w:ascii="Courier New" w:cs="Courier New" w:eastAsia="Courier New" w:hAnsi="Courier New"/>
                <w:sz w:val="15"/>
                <w:szCs w:val="15"/>
                <w:color w:val="auto"/>
              </w:rPr>
              <w:t>Richard C. Scott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840" w:type="dxa"/>
            <w:vAlign w:val="bottom"/>
          </w:tcPr>
          <w:p>
            <w:pPr>
              <w:ind w:left="800"/>
              <w:spacing w:after="0"/>
              <w:rPr>
                <w:sz w:val="20"/>
                <w:szCs w:val="20"/>
                <w:color w:val="auto"/>
              </w:rPr>
            </w:pPr>
            <w:r>
              <w:rPr>
                <w:rFonts w:ascii="Courier New" w:cs="Courier New" w:eastAsia="Courier New" w:hAnsi="Courier New"/>
                <w:sz w:val="15"/>
                <w:szCs w:val="15"/>
                <w:color w:val="auto"/>
              </w:rPr>
              <w:t>Class II</w:t>
            </w:r>
          </w:p>
        </w:tc>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Directors to be Elected to Serve until the 2002 Annual</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Meeting</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2"/>
                <w:szCs w:val="22"/>
                <w:color w:val="auto"/>
              </w:rPr>
            </w:pPr>
          </w:p>
        </w:tc>
        <w:tc>
          <w:tcPr>
            <w:tcW w:w="4300" w:type="dxa"/>
            <w:vAlign w:val="bottom"/>
          </w:tcPr>
          <w:p>
            <w:pPr>
              <w:ind w:left="700"/>
              <w:spacing w:after="0"/>
              <w:rPr>
                <w:sz w:val="20"/>
                <w:szCs w:val="20"/>
                <w:color w:val="auto"/>
              </w:rPr>
            </w:pPr>
            <w:r>
              <w:rPr>
                <w:rFonts w:ascii="Courier New" w:cs="Courier New" w:eastAsia="Courier New" w:hAnsi="Courier New"/>
                <w:sz w:val="15"/>
                <w:szCs w:val="15"/>
                <w:color w:val="auto"/>
              </w:rPr>
              <w:t>Gerald E. Boman</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4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Jerry N. Currie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300" w:type="dxa"/>
            <w:vAlign w:val="bottom"/>
          </w:tcPr>
          <w:p>
            <w:pPr>
              <w:ind w:left="700"/>
              <w:spacing w:after="0"/>
              <w:rPr>
                <w:sz w:val="20"/>
                <w:szCs w:val="20"/>
                <w:color w:val="auto"/>
              </w:rPr>
            </w:pPr>
            <w:r>
              <w:rPr>
                <w:rFonts w:ascii="Courier New" w:cs="Courier New" w:eastAsia="Courier New" w:hAnsi="Courier New"/>
                <w:sz w:val="15"/>
                <w:szCs w:val="15"/>
                <w:color w:val="auto"/>
              </w:rPr>
              <w:t>Frederick M. Zimmerman</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Class III   Directors to be Elected to Serve until the 2003 Annual</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Meeting</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2"/>
                <w:szCs w:val="22"/>
                <w:color w:val="auto"/>
              </w:rPr>
            </w:pPr>
          </w:p>
        </w:tc>
        <w:tc>
          <w:tcPr>
            <w:tcW w:w="4300" w:type="dxa"/>
            <w:vAlign w:val="bottom"/>
          </w:tcPr>
          <w:p>
            <w:pPr>
              <w:ind w:left="700"/>
              <w:spacing w:after="0"/>
              <w:rPr>
                <w:sz w:val="20"/>
                <w:szCs w:val="20"/>
                <w:color w:val="auto"/>
              </w:rPr>
            </w:pPr>
            <w:r>
              <w:rPr>
                <w:rFonts w:ascii="Courier New" w:cs="Courier New" w:eastAsia="Courier New" w:hAnsi="Courier New"/>
                <w:sz w:val="15"/>
                <w:szCs w:val="15"/>
                <w:color w:val="auto"/>
              </w:rPr>
              <w:t>John V. Hanson</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4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Bruce D. Hertzke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300" w:type="dxa"/>
            <w:vAlign w:val="bottom"/>
          </w:tcPr>
          <w:p>
            <w:pPr>
              <w:ind w:left="700"/>
              <w:spacing w:after="0"/>
              <w:rPr>
                <w:sz w:val="20"/>
                <w:szCs w:val="20"/>
                <w:color w:val="auto"/>
              </w:rPr>
            </w:pPr>
            <w:r>
              <w:rPr>
                <w:rFonts w:ascii="Courier New" w:cs="Courier New" w:eastAsia="Courier New" w:hAnsi="Courier New"/>
                <w:sz w:val="15"/>
                <w:szCs w:val="15"/>
                <w:color w:val="auto"/>
              </w:rPr>
              <w:t>Gerald C. Kitch</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8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w w:val="93"/>
              </w:rPr>
              <w:t>YEAR FIRST</w:t>
            </w:r>
          </w:p>
        </w:tc>
        <w:tc>
          <w:tcPr>
            <w:tcW w:w="0" w:type="dxa"/>
            <w:vAlign w:val="bottom"/>
          </w:tcPr>
          <w:p>
            <w:pPr>
              <w:spacing w:after="0"/>
              <w:rPr>
                <w:sz w:val="1"/>
                <w:szCs w:val="1"/>
                <w:color w:val="auto"/>
              </w:rPr>
            </w:pPr>
          </w:p>
        </w:tc>
      </w:tr>
      <w:tr>
        <w:trPr>
          <w:trHeight w:val="168"/>
        </w:trPr>
        <w:tc>
          <w:tcPr>
            <w:tcW w:w="18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NAME (AGE) (1)</w:t>
            </w:r>
          </w:p>
        </w:tc>
        <w:tc>
          <w:tcPr>
            <w:tcW w:w="4300" w:type="dxa"/>
            <w:vAlign w:val="bottom"/>
            <w:vMerge w:val="restart"/>
          </w:tcPr>
          <w:p>
            <w:pPr>
              <w:ind w:left="1500"/>
              <w:spacing w:after="0"/>
              <w:rPr>
                <w:sz w:val="20"/>
                <w:szCs w:val="20"/>
                <w:color w:val="auto"/>
              </w:rPr>
            </w:pPr>
            <w:r>
              <w:rPr>
                <w:rFonts w:ascii="Courier New" w:cs="Courier New" w:eastAsia="Courier New" w:hAnsi="Courier New"/>
                <w:sz w:val="15"/>
                <w:szCs w:val="15"/>
                <w:color w:val="auto"/>
              </w:rPr>
              <w:t>PRINCIPAL OCCUPATION</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BECAME A</w:t>
            </w:r>
          </w:p>
        </w:tc>
        <w:tc>
          <w:tcPr>
            <w:tcW w:w="0" w:type="dxa"/>
            <w:vAlign w:val="bottom"/>
          </w:tcPr>
          <w:p>
            <w:pPr>
              <w:spacing w:after="0"/>
              <w:rPr>
                <w:sz w:val="1"/>
                <w:szCs w:val="1"/>
                <w:color w:val="auto"/>
              </w:rPr>
            </w:pPr>
          </w:p>
        </w:tc>
      </w:tr>
      <w:tr>
        <w:trPr>
          <w:trHeight w:val="245"/>
        </w:trPr>
        <w:tc>
          <w:tcPr>
            <w:tcW w:w="1840" w:type="dxa"/>
            <w:vAlign w:val="bottom"/>
            <w:vMerge w:val="continue"/>
          </w:tcPr>
          <w:p>
            <w:pPr>
              <w:spacing w:after="0"/>
              <w:rPr>
                <w:sz w:val="21"/>
                <w:szCs w:val="21"/>
                <w:color w:val="auto"/>
              </w:rPr>
            </w:pPr>
          </w:p>
        </w:tc>
        <w:tc>
          <w:tcPr>
            <w:tcW w:w="4300" w:type="dxa"/>
            <w:vAlign w:val="bottom"/>
            <w:vMerge w:val="continue"/>
          </w:tcPr>
          <w:p>
            <w:pPr>
              <w:spacing w:after="0"/>
              <w:rPr>
                <w:sz w:val="21"/>
                <w:szCs w:val="21"/>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0"/>
                <w:szCs w:val="20"/>
                <w:color w:val="auto"/>
              </w:rPr>
            </w:pPr>
            <w:r>
              <w:rPr>
                <w:rFonts w:ascii="Courier New" w:cs="Courier New" w:eastAsia="Courier New" w:hAnsi="Courier New"/>
                <w:sz w:val="15"/>
                <w:szCs w:val="15"/>
                <w:color w:val="auto"/>
              </w:rPr>
              <w:t>Gerald E. Boman (64)</w:t>
            </w:r>
          </w:p>
        </w:tc>
        <w:tc>
          <w:tcPr>
            <w:tcW w:w="4300" w:type="dxa"/>
            <w:vAlign w:val="bottom"/>
          </w:tcPr>
          <w:p>
            <w:pPr>
              <w:ind w:left="540"/>
              <w:spacing w:after="0"/>
              <w:rPr>
                <w:sz w:val="20"/>
                <w:szCs w:val="20"/>
                <w:color w:val="auto"/>
              </w:rPr>
            </w:pPr>
            <w:r>
              <w:rPr>
                <w:rFonts w:ascii="Courier New" w:cs="Courier New" w:eastAsia="Courier New" w:hAnsi="Courier New"/>
                <w:sz w:val="15"/>
                <w:szCs w:val="15"/>
                <w:color w:val="auto"/>
              </w:rPr>
              <w:t>Retired; former Senior Vice President,</w:t>
            </w:r>
          </w:p>
        </w:tc>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1962</w:t>
            </w:r>
          </w:p>
        </w:tc>
        <w:tc>
          <w:tcPr>
            <w:tcW w:w="0" w:type="dxa"/>
            <w:vAlign w:val="bottom"/>
          </w:tcPr>
          <w:p>
            <w:pPr>
              <w:spacing w:after="0"/>
              <w:rPr>
                <w:sz w:val="1"/>
                <w:szCs w:val="1"/>
                <w:color w:val="auto"/>
              </w:rPr>
            </w:pPr>
          </w:p>
        </w:tc>
      </w:tr>
      <w:tr>
        <w:trPr>
          <w:trHeight w:val="168"/>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Jerry N. Currie (54)</w:t>
            </w: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Winnebago Industries, Inc.</w:t>
            </w:r>
          </w:p>
        </w:tc>
        <w:tc>
          <w:tcPr>
            <w:tcW w:w="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1840" w:type="dxa"/>
            <w:vAlign w:val="bottom"/>
            <w:vMerge w:val="continue"/>
          </w:tcPr>
          <w:p>
            <w:pPr>
              <w:spacing w:after="0"/>
              <w:rPr>
                <w:sz w:val="14"/>
                <w:szCs w:val="14"/>
                <w:color w:val="auto"/>
              </w:rPr>
            </w:pP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President &amp; Chief Executive Officer of both</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CURRIES Company, manufacturer of steel</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doors and frames for nonresidential</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construction and GRAHAM Manufacturing,</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manufacturer of wood doors for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Fred G. Dohrmann (67)</w:t>
            </w: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nonresidential construction</w:t>
            </w:r>
          </w:p>
        </w:tc>
        <w:tc>
          <w:tcPr>
            <w:tcW w:w="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1989</w:t>
            </w:r>
          </w:p>
        </w:tc>
        <w:tc>
          <w:tcPr>
            <w:tcW w:w="0" w:type="dxa"/>
            <w:vAlign w:val="bottom"/>
          </w:tcPr>
          <w:p>
            <w:pPr>
              <w:spacing w:after="0"/>
              <w:rPr>
                <w:sz w:val="1"/>
                <w:szCs w:val="1"/>
                <w:color w:val="auto"/>
              </w:rPr>
            </w:pPr>
          </w:p>
        </w:tc>
      </w:tr>
      <w:tr>
        <w:trPr>
          <w:trHeight w:val="168"/>
        </w:trPr>
        <w:tc>
          <w:tcPr>
            <w:tcW w:w="1840" w:type="dxa"/>
            <w:vAlign w:val="bottom"/>
            <w:vMerge w:val="continue"/>
          </w:tcPr>
          <w:p>
            <w:pPr>
              <w:spacing w:after="0"/>
              <w:rPr>
                <w:sz w:val="14"/>
                <w:szCs w:val="14"/>
                <w:color w:val="auto"/>
              </w:rPr>
            </w:pP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Retired; former Chairman of the Board of</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Directors and Chief Executive Officer,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John V. Hanson (57)</w:t>
            </w: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Winnebago Industries, Inc.</w:t>
            </w:r>
          </w:p>
        </w:tc>
        <w:tc>
          <w:tcPr>
            <w:tcW w:w="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91"/>
              </w:rPr>
              <w:t>1996(2)</w:t>
            </w:r>
          </w:p>
        </w:tc>
        <w:tc>
          <w:tcPr>
            <w:tcW w:w="0" w:type="dxa"/>
            <w:vAlign w:val="bottom"/>
          </w:tcPr>
          <w:p>
            <w:pPr>
              <w:spacing w:after="0"/>
              <w:rPr>
                <w:sz w:val="1"/>
                <w:szCs w:val="1"/>
                <w:color w:val="auto"/>
              </w:rPr>
            </w:pPr>
          </w:p>
        </w:tc>
      </w:tr>
      <w:tr>
        <w:trPr>
          <w:trHeight w:val="168"/>
        </w:trPr>
        <w:tc>
          <w:tcPr>
            <w:tcW w:w="1840" w:type="dxa"/>
            <w:vAlign w:val="bottom"/>
            <w:vMerge w:val="continue"/>
          </w:tcPr>
          <w:p>
            <w:pPr>
              <w:spacing w:after="0"/>
              <w:rPr>
                <w:sz w:val="14"/>
                <w:szCs w:val="14"/>
                <w:color w:val="auto"/>
              </w:rPr>
            </w:pP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Retired; former President and Deputy</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Chairman of the Board of Directors of</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300" w:type="dxa"/>
            <w:vAlign w:val="bottom"/>
          </w:tcPr>
          <w:p>
            <w:pPr>
              <w:ind w:left="540"/>
              <w:spacing w:after="0"/>
              <w:rPr>
                <w:sz w:val="20"/>
                <w:szCs w:val="20"/>
                <w:color w:val="auto"/>
              </w:rPr>
            </w:pPr>
            <w:r>
              <w:rPr>
                <w:rFonts w:ascii="Courier New" w:cs="Courier New" w:eastAsia="Courier New" w:hAnsi="Courier New"/>
                <w:sz w:val="15"/>
                <w:szCs w:val="15"/>
                <w:color w:val="auto"/>
              </w:rPr>
              <w:t>Winnebago Industries, Inc.</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1840" w:type="dxa"/>
            <w:vAlign w:val="bottom"/>
          </w:tcPr>
          <w:p>
            <w:pPr>
              <w:spacing w:after="0"/>
              <w:rPr>
                <w:sz w:val="24"/>
                <w:szCs w:val="24"/>
                <w:color w:val="auto"/>
              </w:rPr>
            </w:pPr>
          </w:p>
        </w:tc>
        <w:tc>
          <w:tcPr>
            <w:tcW w:w="4300" w:type="dxa"/>
            <w:vAlign w:val="bottom"/>
          </w:tcPr>
          <w:p>
            <w:pPr>
              <w:ind w:left="1060"/>
              <w:spacing w:after="0"/>
              <w:rPr>
                <w:sz w:val="20"/>
                <w:szCs w:val="20"/>
                <w:color w:val="auto"/>
              </w:rPr>
            </w:pPr>
            <w:r>
              <w:rPr>
                <w:rFonts w:ascii="Courier New" w:cs="Courier New" w:eastAsia="Courier New" w:hAnsi="Courier New"/>
                <w:sz w:val="15"/>
                <w:szCs w:val="15"/>
                <w:color w:val="auto"/>
              </w:rPr>
              <w:t>-4-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66"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5"/>
              </w:rPr>
              <w:t>YEAR FIRST</w:t>
            </w:r>
          </w:p>
        </w:tc>
        <w:tc>
          <w:tcPr>
            <w:tcW w:w="0" w:type="dxa"/>
            <w:vAlign w:val="bottom"/>
          </w:tcPr>
          <w:p>
            <w:pPr>
              <w:spacing w:after="0"/>
              <w:rPr>
                <w:sz w:val="1"/>
                <w:szCs w:val="1"/>
                <w:color w:val="auto"/>
              </w:rPr>
            </w:pPr>
          </w:p>
        </w:tc>
      </w:tr>
      <w:tr>
        <w:trPr>
          <w:trHeight w:val="168"/>
        </w:trPr>
        <w:tc>
          <w:tcPr>
            <w:tcW w:w="21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NAME (AGE) (1)</w:t>
            </w:r>
          </w:p>
        </w:tc>
        <w:tc>
          <w:tcPr>
            <w:tcW w:w="1240" w:type="dxa"/>
            <w:vAlign w:val="bottom"/>
          </w:tcPr>
          <w:p>
            <w:pPr>
              <w:spacing w:after="0"/>
              <w:rPr>
                <w:sz w:val="14"/>
                <w:szCs w:val="14"/>
                <w:color w:val="auto"/>
              </w:rPr>
            </w:pPr>
          </w:p>
        </w:tc>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PRINCIPAL OCCUPATION</w:t>
            </w:r>
          </w:p>
        </w:tc>
        <w:tc>
          <w:tcPr>
            <w:tcW w:w="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BECAME A</w:t>
            </w:r>
          </w:p>
        </w:tc>
        <w:tc>
          <w:tcPr>
            <w:tcW w:w="0" w:type="dxa"/>
            <w:vAlign w:val="bottom"/>
          </w:tcPr>
          <w:p>
            <w:pPr>
              <w:spacing w:after="0"/>
              <w:rPr>
                <w:sz w:val="1"/>
                <w:szCs w:val="1"/>
                <w:color w:val="auto"/>
              </w:rPr>
            </w:pPr>
          </w:p>
        </w:tc>
      </w:tr>
      <w:tr>
        <w:trPr>
          <w:trHeight w:val="245"/>
        </w:trPr>
        <w:tc>
          <w:tcPr>
            <w:tcW w:w="2100" w:type="dxa"/>
            <w:vAlign w:val="bottom"/>
            <w:vMerge w:val="continue"/>
          </w:tcPr>
          <w:p>
            <w:pPr>
              <w:spacing w:after="0"/>
              <w:rPr>
                <w:sz w:val="21"/>
                <w:szCs w:val="21"/>
                <w:color w:val="auto"/>
              </w:rPr>
            </w:pPr>
          </w:p>
        </w:tc>
        <w:tc>
          <w:tcPr>
            <w:tcW w:w="1240" w:type="dxa"/>
            <w:vAlign w:val="bottom"/>
          </w:tcPr>
          <w:p>
            <w:pPr>
              <w:spacing w:after="0"/>
              <w:rPr>
                <w:sz w:val="21"/>
                <w:szCs w:val="21"/>
                <w:color w:val="auto"/>
              </w:rPr>
            </w:pPr>
          </w:p>
        </w:tc>
        <w:tc>
          <w:tcPr>
            <w:tcW w:w="2800" w:type="dxa"/>
            <w:vAlign w:val="bottom"/>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7"/>
              </w:rPr>
              <w:t>DIRECTOR</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Bruce D. Hertzke (48)</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w w:val="94"/>
              </w:rPr>
              <w:t>Chairman of</w:t>
            </w:r>
          </w:p>
        </w:tc>
        <w:tc>
          <w:tcPr>
            <w:tcW w:w="2800" w:type="dxa"/>
            <w:vAlign w:val="bottom"/>
          </w:tcPr>
          <w:p>
            <w:pPr>
              <w:ind w:left="80"/>
              <w:spacing w:after="0"/>
              <w:rPr>
                <w:sz w:val="20"/>
                <w:szCs w:val="20"/>
                <w:color w:val="auto"/>
              </w:rPr>
            </w:pPr>
            <w:r>
              <w:rPr>
                <w:rFonts w:ascii="Courier New" w:cs="Courier New" w:eastAsia="Courier New" w:hAnsi="Courier New"/>
                <w:sz w:val="15"/>
                <w:szCs w:val="15"/>
                <w:color w:val="auto"/>
              </w:rPr>
              <w:t>the Board, Chief Executive</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Officer and</w:t>
            </w:r>
          </w:p>
        </w:tc>
        <w:tc>
          <w:tcPr>
            <w:tcW w:w="2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President, Winnebago</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Gerald C. Kitch (61)</w:t>
            </w:r>
          </w:p>
        </w:tc>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Industries,</w:t>
            </w:r>
          </w:p>
        </w:tc>
        <w:tc>
          <w:tcPr>
            <w:tcW w:w="2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40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Retired; former Executive Vice President,</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40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Pentair, Inc., diversified manufacturer of</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Richard C. Scott (65)</w:t>
            </w:r>
          </w:p>
        </w:tc>
        <w:tc>
          <w:tcPr>
            <w:tcW w:w="40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tools, equipment and ammunition</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40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6"/>
              </w:rPr>
              <w:t>Vice President of University Development at</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Frederick M.</w:t>
            </w:r>
          </w:p>
        </w:tc>
        <w:tc>
          <w:tcPr>
            <w:tcW w:w="40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Baylor University, Waco, Texas</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1992</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40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Professor of Manufacturing Systems</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Zimmerman (63)</w:t>
            </w:r>
          </w:p>
        </w:tc>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Engineering</w:t>
            </w:r>
          </w:p>
        </w:tc>
        <w:tc>
          <w:tcPr>
            <w:tcW w:w="2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at The University of St.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w w:val="94"/>
              </w:rPr>
              <w:t>Thomas, St.</w:t>
            </w:r>
          </w:p>
        </w:tc>
        <w:tc>
          <w:tcPr>
            <w:tcW w:w="2800" w:type="dxa"/>
            <w:vAlign w:val="bottom"/>
          </w:tcPr>
          <w:p>
            <w:pPr>
              <w:ind w:left="80"/>
              <w:spacing w:after="0"/>
              <w:rPr>
                <w:sz w:val="20"/>
                <w:szCs w:val="20"/>
                <w:color w:val="auto"/>
              </w:rPr>
            </w:pPr>
            <w:r>
              <w:rPr>
                <w:rFonts w:ascii="Courier New" w:cs="Courier New" w:eastAsia="Courier New" w:hAnsi="Courier New"/>
                <w:sz w:val="15"/>
                <w:szCs w:val="15"/>
                <w:color w:val="auto"/>
              </w:rPr>
              <w:t>Paul, Minnesota</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800" w:hanging="790"/>
        <w:spacing w:after="0"/>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is made to "Voting Securities and Principal Holders Thereof."</w:t>
      </w:r>
    </w:p>
    <w:p>
      <w:pPr>
        <w:spacing w:after="0" w:line="177"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served as a director from 1967 to 1979 and from 1985 to 1989.</w:t>
      </w:r>
    </w:p>
    <w:p>
      <w:pPr>
        <w:spacing w:after="0" w:line="166" w:lineRule="exact"/>
        <w:rPr>
          <w:sz w:val="20"/>
          <w:szCs w:val="20"/>
          <w:color w:val="auto"/>
        </w:rPr>
      </w:pPr>
    </w:p>
    <w:p>
      <w:pPr>
        <w:jc w:val="both"/>
        <w:ind w:right="3239" w:firstLine="787"/>
        <w:spacing w:after="0" w:line="273" w:lineRule="auto"/>
        <w:rPr>
          <w:sz w:val="20"/>
          <w:szCs w:val="20"/>
          <w:color w:val="auto"/>
        </w:rPr>
      </w:pPr>
      <w:r>
        <w:rPr>
          <w:rFonts w:ascii="Courier New" w:cs="Courier New" w:eastAsia="Courier New" w:hAnsi="Courier New"/>
          <w:sz w:val="15"/>
          <w:szCs w:val="15"/>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John V. Hanson and Gerald E. Boman are brothers-in-law.</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BOARD OF DIRECTORS AND COMMITTEES OF THE BOARD</w:t>
      </w:r>
    </w:p>
    <w:p>
      <w:pPr>
        <w:spacing w:after="0" w:line="166" w:lineRule="exact"/>
        <w:rPr>
          <w:sz w:val="20"/>
          <w:szCs w:val="20"/>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The Board has established Audit, Human Resources and Nominating Committees to assist it in the discharge of its responsibilities. The principal responsibilities of each of these committees are described below.</w:t>
      </w:r>
    </w:p>
    <w:p>
      <w:pPr>
        <w:spacing w:after="0" w:line="57" w:lineRule="exact"/>
        <w:rPr>
          <w:sz w:val="20"/>
          <w:szCs w:val="20"/>
          <w:color w:val="auto"/>
        </w:rPr>
      </w:pPr>
    </w:p>
    <w:p>
      <w:pPr>
        <w:ind w:right="3239" w:firstLine="787"/>
        <w:spacing w:after="0" w:line="248" w:lineRule="auto"/>
        <w:rPr>
          <w:sz w:val="20"/>
          <w:szCs w:val="20"/>
          <w:color w:val="auto"/>
        </w:rPr>
      </w:pPr>
      <w:r>
        <w:rPr>
          <w:rFonts w:ascii="Courier New" w:cs="Courier New" w:eastAsia="Courier New" w:hAnsi="Courier New"/>
          <w:sz w:val="15"/>
          <w:szCs w:val="15"/>
          <w:color w:val="auto"/>
        </w:rPr>
        <w:t>The members of the Audit Committee are Messrs. Currie, Scott and Zimmerman. Each year, the committee recommends to the Board the appointment of independent public accountants to examine the books of the Company. It reviews with representatives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 The committee is also prepared to meet privately at any time at the request of the independent public accountants or members of management to review any special situation arising on any of the above subjects. The committee met three times in fiscal 1999.</w:t>
      </w:r>
    </w:p>
    <w:p>
      <w:pPr>
        <w:spacing w:after="0" w:line="8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5"/>
          <w:szCs w:val="15"/>
          <w:color w:val="auto"/>
        </w:rPr>
        <w:t>The Human Resources Committee, consisting of Messrs. Kitch, Scott and Zimmerman, met four times in fiscal 1999. This committee makes recommendations to the Board of Directors as to the salary of the Chief Executive Officer (CEO) and sets the salaries and bonus payments, if any, of all other employee-directors and elected officers. It also has responsibility for administration of the Officers Incentive Compensation Plan and certain other employee incentive plans.</w:t>
      </w:r>
    </w:p>
    <w:p>
      <w:pPr>
        <w:spacing w:after="0" w:line="25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64" w:right="1440" w:bottom="1440" w:gutter="0" w:footer="0" w:header="0"/>
        </w:sectPr>
      </w:pPr>
    </w:p>
    <w:bookmarkStart w:id="8" w:name="page9"/>
    <w:bookmarkEnd w:id="8"/>
    <w:p>
      <w:pPr>
        <w:ind w:right="3239" w:firstLine="787"/>
        <w:spacing w:after="0" w:line="249" w:lineRule="auto"/>
        <w:rPr>
          <w:sz w:val="20"/>
          <w:szCs w:val="20"/>
          <w:color w:val="auto"/>
        </w:rPr>
      </w:pPr>
      <w:r>
        <w:rPr>
          <w:rFonts w:ascii="Courier New" w:cs="Courier New" w:eastAsia="Courier New" w:hAnsi="Courier New"/>
          <w:sz w:val="15"/>
          <w:szCs w:val="15"/>
          <w:color w:val="auto"/>
        </w:rPr>
        <w:t>The members of the Nominating Committee are Messrs. Hanson, Hertzke and Scott.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See "2001 SHAREHOLDER PROPOSALS" for a summary of the procedures that shareholders must follow. The committee met twice in fiscal 1999.</w:t>
      </w:r>
    </w:p>
    <w:p>
      <w:pPr>
        <w:spacing w:after="0" w:line="8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The Board of Directors of the Company held six meetings during fiscal 1999. Actions taken by any committee of the Board are reported to the Board of Directors, usually at its next meeting. During fiscal 1999, all of the directors attended more than 75 percent of the aggregate of Board of Directors' meetings and meetings of committees of the Board on which they served (while such directors were members of the Board of Directors), except for Mr. Currie who attended approximately 67% of such meetings.</w:t>
      </w:r>
    </w:p>
    <w:p>
      <w:pPr>
        <w:spacing w:after="0" w:line="82" w:lineRule="exact"/>
        <w:rPr>
          <w:sz w:val="20"/>
          <w:szCs w:val="20"/>
          <w:color w:val="auto"/>
        </w:rPr>
      </w:pPr>
    </w:p>
    <w:p>
      <w:pPr>
        <w:ind w:right="3239" w:firstLine="787"/>
        <w:spacing w:after="0" w:line="276" w:lineRule="auto"/>
        <w:rPr>
          <w:sz w:val="20"/>
          <w:szCs w:val="20"/>
          <w:color w:val="auto"/>
        </w:rPr>
      </w:pPr>
      <w:r>
        <w:rPr>
          <w:rFonts w:ascii="Courier New" w:cs="Courier New" w:eastAsia="Courier New" w:hAnsi="Courier New"/>
          <w:sz w:val="14"/>
          <w:szCs w:val="14"/>
          <w:color w:val="auto"/>
        </w:rPr>
        <w:t>Employee directors receive no additional compensation for serving on the Board or its Committees. Non-employee directors receive a retainer of $1,600 per month and a $500 per day attendance fee for Board and Committee meetings. Committee Chairmen receive a $750 per day attendance fee. In addition, each year, commencing in fiscal 1999, each Outside Director under the 1997 Stock Option Plan (as those terms are defined below) will receive options for 2,000 shares. Directors are also reimbursed for customary and usual travel expenses.</w:t>
      </w:r>
    </w:p>
    <w:p>
      <w:pPr>
        <w:spacing w:after="0" w:line="69" w:lineRule="exact"/>
        <w:rPr>
          <w:sz w:val="20"/>
          <w:szCs w:val="20"/>
          <w:color w:val="auto"/>
        </w:rPr>
      </w:pPr>
    </w:p>
    <w:p>
      <w:pPr>
        <w:ind w:right="3239" w:firstLine="787"/>
        <w:spacing w:after="0" w:line="260" w:lineRule="auto"/>
        <w:rPr>
          <w:sz w:val="20"/>
          <w:szCs w:val="20"/>
          <w:color w:val="auto"/>
        </w:rPr>
      </w:pPr>
      <w:r>
        <w:rPr>
          <w:rFonts w:ascii="Courier New" w:cs="Courier New" w:eastAsia="Courier New" w:hAnsi="Courier New"/>
          <w:sz w:val="14"/>
          <w:szCs w:val="14"/>
          <w:color w:val="auto"/>
        </w:rPr>
        <w:t>Effective April 1, 1997, the Board of Directors adopted the Winnebago Industries, Inc. Directors' Deferred Compensation Plan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 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Winnebago Stock Units will be recorded in such Participant's account on the basis of the mean between the high and the low prices of the Common Stock of the Company on the date upon which the account is to be credited, as officially reported by the New York Stock Exchange. Any Participant investing Deferred Compensation in Winnebago Stock Units will receive a matching contribution from the Company equal to 25% of the Deferred Compensation so invested.</w:t>
      </w:r>
    </w:p>
    <w:p>
      <w:pPr>
        <w:spacing w:after="0" w:line="200" w:lineRule="exact"/>
        <w:rPr>
          <w:sz w:val="20"/>
          <w:szCs w:val="20"/>
          <w:color w:val="auto"/>
        </w:rPr>
      </w:pPr>
    </w:p>
    <w:p>
      <w:pPr>
        <w:spacing w:after="0" w:line="21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66" w:right="1440" w:bottom="1440" w:gutter="0" w:footer="0" w:header="0"/>
        </w:sectPr>
      </w:pPr>
    </w:p>
    <w:bookmarkStart w:id="9" w:name="page10"/>
    <w:bookmarkEnd w:id="9"/>
    <w:p>
      <w:pPr>
        <w:ind w:right="3239" w:firstLine="787"/>
        <w:spacing w:after="0" w:line="270" w:lineRule="auto"/>
        <w:rPr>
          <w:sz w:val="20"/>
          <w:szCs w:val="20"/>
          <w:color w:val="auto"/>
        </w:rPr>
      </w:pPr>
      <w:r>
        <w:rPr>
          <w:rFonts w:ascii="Courier New" w:cs="Courier New" w:eastAsia="Courier New" w:hAnsi="Courier New"/>
          <w:sz w:val="14"/>
          <w:szCs w:val="14"/>
          <w:color w:val="auto"/>
        </w:rPr>
        <w:t>A Participant's Winnebago Stock Unit account will vest at the rate of 33-1/3% for each complete 12 month period of service as a Director following April 1, 1997. Notwithstanding the above, the Participant's Winnebago Stock Unit account will become fully vested upon his or her attainment of age 69-1/2 while serving as a Director. In the event that a Participant terminates his or her service as a Director, any unvested Winnebago Stock Units will be forfeited by the Director and applied to future Company matching contributions. The Winnebago Stock Units credited to Participant's accounts are included in the Common Stock ownership table under "VOTING SECURITIES AND PRINCIPAL HOLDERS THEREOF."</w:t>
      </w:r>
    </w:p>
    <w:p>
      <w:pPr>
        <w:spacing w:after="0" w:line="76" w:lineRule="exact"/>
        <w:rPr>
          <w:sz w:val="20"/>
          <w:szCs w:val="20"/>
          <w:color w:val="auto"/>
        </w:rPr>
      </w:pPr>
    </w:p>
    <w:p>
      <w:pPr>
        <w:ind w:right="3239" w:firstLine="787"/>
        <w:spacing w:after="0" w:line="270" w:lineRule="auto"/>
        <w:rPr>
          <w:sz w:val="20"/>
          <w:szCs w:val="20"/>
          <w:color w:val="auto"/>
        </w:rPr>
      </w:pPr>
      <w:r>
        <w:rPr>
          <w:rFonts w:ascii="Courier New" w:cs="Courier New" w:eastAsia="Courier New" w:hAnsi="Courier New"/>
          <w:sz w:val="14"/>
          <w:szCs w:val="14"/>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 in the number of Winnebago Stock Units then held in the Participant's Winnebago Stock Unit account, such adjustments will be made by the Directors' Deferred Compensation Plan administrator and will be conclusive and binding for all purposes of said plan.</w:t>
      </w:r>
    </w:p>
    <w:p>
      <w:pPr>
        <w:spacing w:after="0" w:line="76"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In the event of a "change in the control of the Company," as defined in the Directors' Deferred Compensation Plan, the Participant will receive a lump sum distribution of his or her accounts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86" w:lineRule="exact"/>
        <w:rPr>
          <w:sz w:val="20"/>
          <w:szCs w:val="20"/>
          <w:color w:val="auto"/>
        </w:rPr>
      </w:pPr>
    </w:p>
    <w:p>
      <w:pPr>
        <w:ind w:right="3239" w:firstLine="787"/>
        <w:spacing w:after="0" w:line="260" w:lineRule="auto"/>
        <w:rPr>
          <w:sz w:val="20"/>
          <w:szCs w:val="20"/>
          <w:color w:val="auto"/>
        </w:rPr>
      </w:pPr>
      <w:r>
        <w:rPr>
          <w:rFonts w:ascii="Courier New" w:cs="Courier New" w:eastAsia="Courier New" w:hAnsi="Courier New"/>
          <w:sz w:val="14"/>
          <w:szCs w:val="14"/>
          <w:color w:val="auto"/>
        </w:rPr>
        <w:t>The Winnebago Industries, Inc. Stock Option Plan for Outside Directors (the "OUTSIDE DIRECTORS OPTION PLAN") provided that each director who was not a current or former full-time employee of the Company or a subsidiary (for purposes of the Outside Directors Option Plan, an "OUTSIDE DIRECTOR") received an option to purchase 10,000 shares of Common Stock. Pursuant to the Outside Directors Option Plan, each Outside Director as of May 7, 1992 (consisting of three former Directors) automatically received an option to purchase 10,000 shares of Common Stock at a price of $5.50 per share. In addition, each person who first became a member of the Board of Directors as an Outside Director after May 7, 1992 automatically received an option to purchase 10,000 shares of Common Stock as of the date on which such person first became an Outside Director. Under this provision, Frederick M. Zimmerman received an option to purchase 10,000 shares of Common Stock on December 16, 1992 at a price of $9.00 per share, Jerry Currie received an option to purchase 10,000 shares of Common Stock on December 19, 1996 at a price of $7.1875 per share, Gerald Kitch received an option to purchase 10,000 shares of Common Stock on December 19, 1996 at a price of $7.1875 per share and Richard C. Scott received an option to purchase 10,000 shares of Common Stock on March 20, 1997 at a price of $7.25 per share. No option is exercisable during the first year after the date such option is granted. Thereafter, the options are exercisable for a period of ten years from the date each such option is granted. Notwithstanding the foregoing, in the event of a merger, consolidation, dissolution or liquidation of the Company, the expiration dates of any outstanding options may be accelerated and the dates on which outstanding options may be exercised may be accelerated,</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66" w:right="1440" w:bottom="1440" w:gutter="0" w:footer="0" w:header="0"/>
        </w:sectPr>
      </w:pPr>
    </w:p>
    <w:bookmarkStart w:id="10" w:name="page11"/>
    <w:bookmarkEnd w:id="10"/>
    <w:p>
      <w:pPr>
        <w:ind w:right="3239"/>
        <w:spacing w:after="0" w:line="266" w:lineRule="auto"/>
        <w:rPr>
          <w:sz w:val="20"/>
          <w:szCs w:val="20"/>
          <w:color w:val="auto"/>
        </w:rPr>
      </w:pPr>
      <w:r>
        <w:rPr>
          <w:rFonts w:ascii="Courier New" w:cs="Courier New" w:eastAsia="Courier New" w:hAnsi="Courier New"/>
          <w:sz w:val="14"/>
          <w:szCs w:val="14"/>
          <w:color w:val="auto"/>
        </w:rPr>
        <w:t>but the effectiveness of such acceleration and any exercise of options pursuant thereto with respect to shares in excess of the number of shares that could have been exercised in the absence of such acceleration, is conditioned upon, among other requirements, the consummation of the merger, consolidation, dissolution or liquidation. The purchase price of options granted under the plan is equal to 100 percent of the fair market value per share of the Common Stock at the time the option is granted. At August 29, 1999, options for 27,500 shares were outstanding under the Outside Directors Option Plan, options for 62,500 shares were exercised and options for 10,000 shares were available for grant thereunder. The Board of Directors intends to terminate the Outside Directors Option Plan as to future grants. Future grants of options to outside directors will be made under the 1997 Stock Option Plan described below.</w:t>
      </w:r>
    </w:p>
    <w:p>
      <w:pPr>
        <w:spacing w:after="0" w:line="77" w:lineRule="exact"/>
        <w:rPr>
          <w:sz w:val="20"/>
          <w:szCs w:val="20"/>
          <w:color w:val="auto"/>
        </w:rPr>
      </w:pPr>
    </w:p>
    <w:p>
      <w:pPr>
        <w:ind w:right="3239" w:firstLine="787"/>
        <w:spacing w:after="0" w:line="260" w:lineRule="auto"/>
        <w:rPr>
          <w:sz w:val="20"/>
          <w:szCs w:val="20"/>
          <w:color w:val="auto"/>
        </w:rPr>
      </w:pPr>
      <w:r>
        <w:rPr>
          <w:rFonts w:ascii="Courier New" w:cs="Courier New" w:eastAsia="Courier New" w:hAnsi="Courier New"/>
          <w:sz w:val="14"/>
          <w:szCs w:val="14"/>
          <w:color w:val="auto"/>
        </w:rPr>
        <w:t>The Winnebago Industries, Inc. 1997 Stock Option Plan (the "1997 STOCK OPTION PLAN") provides that directors who do not hold a position of employment with the Company or a subsidiary (for purposes of the 1997 Stock Option Plan "OUTSIDE DIRECTORS") shall receive nonqualified stock options and may not be granted incentive stock options. Outside Directors are now granted nonqualified stock options under the 1997 Stock Option Plan and not under the Outside Directors Option Plan. The exercise price per share of options granted to Outside Directors shall be the mean between the high and low prices for a share of the Company's Common Stock on the New York Stock Exchange on the date of grant. Except for vesting upon the occurrence of certain events which result in a change in control, unless otherwise set forth in an agreement granting options under the 1997 Stock Option Plan, no option is exercisable for six months after the date such option is granted. Thereafter, nonqualified stock options are exercisable for a period of not to exceed ten years from the date each such option is granted. Each Outside Director of the Company on the effective date of the 1997 Stock Option Plan who was not granted an option to purchase 10,000 shares under the Outside Directors Option Plan was automatically granted nonqualified options to purchase 10,000 shares. Each Outside Director who, after the effective date of the 1997 Stock Option Plan is elected or appointed to the Board of Directors for the first time and who is not granted an option to purchase 10,000 shares under the Outside Directors Option Plan will, at the time such Director is so elected or appointed and duly qualified, be granted automatically a nonqualified stock option to purchase 10,000 shares at a per share price equal to the fair market value of a share on the date of grant.</w:t>
      </w:r>
    </w:p>
    <w:p>
      <w:pPr>
        <w:spacing w:after="0" w:line="253" w:lineRule="exact"/>
        <w:rPr>
          <w:sz w:val="20"/>
          <w:szCs w:val="20"/>
          <w:color w:val="auto"/>
        </w:rPr>
      </w:pPr>
    </w:p>
    <w:p>
      <w:pPr>
        <w:ind w:right="3239" w:firstLine="787"/>
        <w:spacing w:after="0" w:line="249" w:lineRule="auto"/>
        <w:rPr>
          <w:sz w:val="20"/>
          <w:szCs w:val="20"/>
          <w:color w:val="auto"/>
        </w:rPr>
      </w:pPr>
      <w:r>
        <w:rPr>
          <w:rFonts w:ascii="Courier New" w:cs="Courier New" w:eastAsia="Courier New" w:hAnsi="Courier New"/>
          <w:sz w:val="15"/>
          <w:szCs w:val="15"/>
          <w:color w:val="auto"/>
        </w:rPr>
        <w:t>On August 14, 1997, pursuant to the terms of the 1997 Stock Option Plan, each of Gerald E. Boman and John V. Hanson were granted nonqualified stock options for 10,000 shares at a price of $8.5625 per share (which was the mean between the high and low prices for a share of the Company's Common Stock on the New York Stock Exchange on August 14, 1997). On January 20, 1999, all current directors (except for Mr. Hertzke) were granted nonqualified stock options for 2,000 shares each at a price of $15.375 per share (which was the mean between the high and low prices for a share of the Company's Common Stock on the New York Stock Exchange on January 20, 1999) in accordance with the 1997 Stock Option Plan.</w:t>
      </w:r>
    </w:p>
    <w:p>
      <w:pPr>
        <w:spacing w:after="0" w:line="8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ind w:right="3399" w:firstLine="787"/>
        <w:spacing w:after="0" w:line="273" w:lineRule="auto"/>
        <w:rPr>
          <w:sz w:val="20"/>
          <w:szCs w:val="20"/>
          <w:color w:val="auto"/>
        </w:rPr>
      </w:pPr>
      <w:r>
        <w:rPr>
          <w:rFonts w:ascii="Courier New" w:cs="Courier New" w:eastAsia="Courier New" w:hAnsi="Courier New"/>
          <w:sz w:val="15"/>
          <w:szCs w:val="15"/>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28, 1999, and</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66" w:right="1440" w:bottom="1440" w:gutter="0" w:footer="0" w:header="0"/>
        </w:sectPr>
      </w:pPr>
    </w:p>
    <w:bookmarkStart w:id="11" w:name="page12"/>
    <w:bookmarkEnd w:id="11"/>
    <w:p>
      <w:pPr>
        <w:ind w:left="-10" w:right="3499" w:firstLine="10"/>
        <w:spacing w:after="0" w:line="344" w:lineRule="auto"/>
        <w:tabs>
          <w:tab w:leader="none" w:pos="4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five other most highly compensated executive officers of the Company serving at August 28, 1999.</w:t>
      </w:r>
    </w:p>
    <w:p>
      <w:pPr>
        <w:spacing w:after="0" w:line="186"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766"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5"/>
        </w:trPr>
        <w:tc>
          <w:tcPr>
            <w:tcW w:w="4640" w:type="dxa"/>
            <w:vAlign w:val="bottom"/>
            <w:gridSpan w:val="2"/>
          </w:tcPr>
          <w:p>
            <w:pPr>
              <w:ind w:left="2380"/>
              <w:spacing w:after="0"/>
              <w:rPr>
                <w:sz w:val="20"/>
                <w:szCs w:val="20"/>
                <w:color w:val="auto"/>
              </w:rPr>
            </w:pPr>
            <w:r>
              <w:rPr>
                <w:rFonts w:ascii="Courier New" w:cs="Courier New" w:eastAsia="Courier New" w:hAnsi="Courier New"/>
                <w:sz w:val="15"/>
                <w:szCs w:val="15"/>
                <w:color w:val="auto"/>
                <w:w w:val="95"/>
              </w:rPr>
              <w:t>SUMMARY COMPENSATION TABLE</w:t>
            </w:r>
          </w:p>
        </w:tc>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3640" w:type="dxa"/>
            <w:vAlign w:val="bottom"/>
          </w:tcPr>
          <w:p>
            <w:pPr>
              <w:spacing w:after="0"/>
              <w:rPr>
                <w:sz w:val="24"/>
                <w:szCs w:val="24"/>
                <w:color w:val="auto"/>
              </w:rPr>
            </w:pPr>
          </w:p>
        </w:tc>
        <w:tc>
          <w:tcPr>
            <w:tcW w:w="332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ANNUAL COMPENSATION(1)</w:t>
            </w:r>
          </w:p>
        </w:tc>
        <w:tc>
          <w:tcPr>
            <w:tcW w:w="380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LONG TERM COMPENSATION</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06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9"/>
              </w:rPr>
              <w:t>-----------------------------------</w:t>
            </w:r>
          </w:p>
        </w:tc>
        <w:tc>
          <w:tcPr>
            <w:tcW w:w="1260" w:type="dxa"/>
            <w:vAlign w:val="bottom"/>
          </w:tcPr>
          <w:p>
            <w:pPr>
              <w:spacing w:after="0"/>
              <w:rPr>
                <w:sz w:val="14"/>
                <w:szCs w:val="14"/>
                <w:color w:val="auto"/>
              </w:rPr>
            </w:pPr>
          </w:p>
        </w:tc>
        <w:tc>
          <w:tcPr>
            <w:tcW w:w="380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640" w:type="dxa"/>
            <w:vAlign w:val="bottom"/>
            <w:vMerge w:val="restart"/>
          </w:tcPr>
          <w:p>
            <w:pPr>
              <w:ind w:left="1320"/>
              <w:spacing w:after="0"/>
              <w:rPr>
                <w:sz w:val="20"/>
                <w:szCs w:val="20"/>
                <w:color w:val="auto"/>
              </w:rPr>
            </w:pPr>
            <w:r>
              <w:rPr>
                <w:rFonts w:ascii="Courier New" w:cs="Courier New" w:eastAsia="Courier New" w:hAnsi="Courier New"/>
                <w:sz w:val="15"/>
                <w:szCs w:val="15"/>
                <w:color w:val="auto"/>
              </w:rPr>
              <w:t>NAME AND</w:t>
            </w:r>
          </w:p>
        </w:tc>
        <w:tc>
          <w:tcPr>
            <w:tcW w:w="10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FISCAL</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RESTRICTED</w:t>
            </w:r>
          </w:p>
        </w:tc>
        <w:tc>
          <w:tcPr>
            <w:tcW w:w="118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68"/>
        </w:trPr>
        <w:tc>
          <w:tcPr>
            <w:tcW w:w="36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60" w:type="dxa"/>
            <w:vAlign w:val="bottom"/>
            <w:vMerge w:val="restart"/>
          </w:tcPr>
          <w:p>
            <w:pPr>
              <w:jc w:val="center"/>
              <w:ind w:right="187"/>
              <w:spacing w:after="0"/>
              <w:rPr>
                <w:sz w:val="20"/>
                <w:szCs w:val="20"/>
                <w:color w:val="auto"/>
              </w:rPr>
            </w:pPr>
            <w:r>
              <w:rPr>
                <w:rFonts w:ascii="Courier New" w:cs="Courier New" w:eastAsia="Courier New" w:hAnsi="Courier New"/>
                <w:sz w:val="15"/>
                <w:szCs w:val="15"/>
                <w:color w:val="auto"/>
                <w:w w:val="98"/>
              </w:rPr>
              <w:t>SALARY($)</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BONUS($)(2)</w:t>
            </w:r>
          </w:p>
        </w:tc>
        <w:tc>
          <w:tcPr>
            <w:tcW w:w="13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STOCK AWARDS</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OPTIONS(4)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COMPENSATION</w:t>
            </w:r>
          </w:p>
        </w:tc>
        <w:tc>
          <w:tcPr>
            <w:tcW w:w="0" w:type="dxa"/>
            <w:vAlign w:val="bottom"/>
          </w:tcPr>
          <w:p>
            <w:pPr>
              <w:spacing w:after="0"/>
              <w:rPr>
                <w:sz w:val="1"/>
                <w:szCs w:val="1"/>
                <w:color w:val="auto"/>
              </w:rPr>
            </w:pPr>
          </w:p>
        </w:tc>
      </w:tr>
      <w:tr>
        <w:trPr>
          <w:trHeight w:val="168"/>
        </w:trPr>
        <w:tc>
          <w:tcPr>
            <w:tcW w:w="36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YEAR</w:t>
            </w:r>
          </w:p>
        </w:tc>
        <w:tc>
          <w:tcPr>
            <w:tcW w:w="10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($)(3)</w:t>
            </w:r>
          </w:p>
        </w:tc>
        <w:tc>
          <w:tcPr>
            <w:tcW w:w="1180" w:type="dxa"/>
            <w:vAlign w:val="bottom"/>
            <w:vMerge w:val="continue"/>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Bruce D. Hertzke</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286,154</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380,563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240,282</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41,250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18,000</w:t>
            </w:r>
          </w:p>
        </w:tc>
        <w:tc>
          <w:tcPr>
            <w:tcW w:w="0" w:type="dxa"/>
            <w:vAlign w:val="bottom"/>
          </w:tcPr>
          <w:p>
            <w:pPr>
              <w:spacing w:after="0"/>
              <w:rPr>
                <w:sz w:val="1"/>
                <w:szCs w:val="1"/>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Chief Executive Officer and</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230,769</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161,538</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18,000</w:t>
            </w:r>
          </w:p>
        </w:tc>
        <w:tc>
          <w:tcPr>
            <w:tcW w:w="0" w:type="dxa"/>
            <w:vAlign w:val="bottom"/>
          </w:tcPr>
          <w:p>
            <w:pPr>
              <w:spacing w:after="0"/>
              <w:rPr>
                <w:sz w:val="1"/>
                <w:szCs w:val="1"/>
                <w:color w:val="auto"/>
              </w:rPr>
            </w:pPr>
          </w:p>
        </w:tc>
      </w:tr>
      <w:tr>
        <w:trPr>
          <w:trHeight w:val="245"/>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President(6)</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210,000</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123,600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18,000</w:t>
            </w: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Edwin F. Barker</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159,801</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145,739</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72,869</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15,064</w:t>
            </w:r>
          </w:p>
        </w:tc>
        <w:tc>
          <w:tcPr>
            <w:tcW w:w="0" w:type="dxa"/>
            <w:vAlign w:val="bottom"/>
          </w:tcPr>
          <w:p>
            <w:pPr>
              <w:spacing w:after="0"/>
              <w:rPr>
                <w:sz w:val="1"/>
                <w:szCs w:val="1"/>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and Chief Financial</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142,495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99,747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15,064</w:t>
            </w:r>
          </w:p>
        </w:tc>
        <w:tc>
          <w:tcPr>
            <w:tcW w:w="0" w:type="dxa"/>
            <w:vAlign w:val="bottom"/>
          </w:tcPr>
          <w:p>
            <w:pPr>
              <w:spacing w:after="0"/>
              <w:rPr>
                <w:sz w:val="1"/>
                <w:szCs w:val="1"/>
                <w:color w:val="auto"/>
              </w:rPr>
            </w:pPr>
          </w:p>
        </w:tc>
      </w:tr>
      <w:tr>
        <w:trPr>
          <w:trHeight w:val="245"/>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140,000</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82,400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15,064</w:t>
            </w: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Raymond M. Beebe</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159,801</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145,739</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72,869</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18,830</w:t>
            </w:r>
          </w:p>
        </w:tc>
        <w:tc>
          <w:tcPr>
            <w:tcW w:w="0" w:type="dxa"/>
            <w:vAlign w:val="bottom"/>
          </w:tcPr>
          <w:p>
            <w:pPr>
              <w:spacing w:after="0"/>
              <w:rPr>
                <w:sz w:val="1"/>
                <w:szCs w:val="1"/>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General Counsel and</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142,495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99,747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18,830</w:t>
            </w:r>
          </w:p>
        </w:tc>
        <w:tc>
          <w:tcPr>
            <w:tcW w:w="0" w:type="dxa"/>
            <w:vAlign w:val="bottom"/>
          </w:tcPr>
          <w:p>
            <w:pPr>
              <w:spacing w:after="0"/>
              <w:rPr>
                <w:sz w:val="1"/>
                <w:szCs w:val="1"/>
                <w:color w:val="auto"/>
              </w:rPr>
            </w:pPr>
          </w:p>
        </w:tc>
      </w:tr>
      <w:tr>
        <w:trPr>
          <w:trHeight w:val="245"/>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Secretary</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140,000</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82,400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18,830</w:t>
            </w: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Ronald D. Buckmeier</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159,801</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145,739</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72,869</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6,019</w:t>
            </w:r>
          </w:p>
        </w:tc>
        <w:tc>
          <w:tcPr>
            <w:tcW w:w="0" w:type="dxa"/>
            <w:vAlign w:val="bottom"/>
          </w:tcPr>
          <w:p>
            <w:pPr>
              <w:spacing w:after="0"/>
              <w:rPr>
                <w:sz w:val="1"/>
                <w:szCs w:val="1"/>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Product Development(7)</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142,495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99,747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6,019</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103,678</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45,826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6,019</w:t>
            </w: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James P. Jaskoviak</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159,801</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145,739</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72,869</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12,516</w:t>
            </w:r>
          </w:p>
        </w:tc>
        <w:tc>
          <w:tcPr>
            <w:tcW w:w="0" w:type="dxa"/>
            <w:vAlign w:val="bottom"/>
          </w:tcPr>
          <w:p>
            <w:pPr>
              <w:spacing w:after="0"/>
              <w:rPr>
                <w:sz w:val="1"/>
                <w:szCs w:val="1"/>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Sales and Marketing</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142,495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99,747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12,516</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140,000</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82,400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12,516</w:t>
            </w: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Robert J. Olson</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159,801</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145,739</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72,869</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4,712</w:t>
            </w:r>
          </w:p>
        </w:tc>
        <w:tc>
          <w:tcPr>
            <w:tcW w:w="0" w:type="dxa"/>
            <w:vAlign w:val="bottom"/>
          </w:tcPr>
          <w:p>
            <w:pPr>
              <w:spacing w:after="0"/>
              <w:rPr>
                <w:sz w:val="1"/>
                <w:szCs w:val="1"/>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Manufacturing</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142,495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99,747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4,712</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120,051</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66,016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16,000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4,712</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800" w:right="3760" w:hanging="790"/>
        <w:spacing w:after="0" w:line="344"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executive officer received personal benefits in excess of the lesser of 10% of cash compensation or $50,000.</w:t>
      </w:r>
    </w:p>
    <w:p>
      <w:pPr>
        <w:spacing w:after="0" w:line="17" w:lineRule="exact"/>
        <w:rPr>
          <w:rFonts w:ascii="Courier New" w:cs="Courier New" w:eastAsia="Courier New" w:hAnsi="Courier New"/>
          <w:sz w:val="15"/>
          <w:szCs w:val="15"/>
          <w:color w:val="auto"/>
        </w:rPr>
      </w:pPr>
    </w:p>
    <w:p>
      <w:pPr>
        <w:ind w:left="800" w:right="4100" w:hanging="790"/>
        <w:spacing w:after="0" w:line="264"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bonus amounts include bonuses paid pursuant to the Company's Officers Incentive Compensation Plan as well as bonuses paid in the discretion of the Board of Directors, all as described under the caption "Report of the Human Resources Committee on Executive Compensation."</w:t>
      </w:r>
    </w:p>
    <w:p>
      <w:pPr>
        <w:spacing w:after="0" w:line="74" w:lineRule="exact"/>
        <w:rPr>
          <w:rFonts w:ascii="Courier New" w:cs="Courier New" w:eastAsia="Courier New" w:hAnsi="Courier New"/>
          <w:sz w:val="15"/>
          <w:szCs w:val="15"/>
          <w:color w:val="auto"/>
        </w:rPr>
      </w:pPr>
    </w:p>
    <w:p>
      <w:pPr>
        <w:ind w:left="800" w:right="3760" w:hanging="790"/>
        <w:spacing w:after="0" w:line="248"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in fiscal 1999 consisted of restricted Common Stock and are valued at the aggregate market value of the Common Stock as of the respective determination dates. The awards in fiscal 1999 were made pursuant to the Officers Incentive Compensation Plan. Awards in fiscal 1998 consisted of restricted Common Stock and are valued at the aggregate market value of the Common Stock as of the respective determination dates (the last business day of each calendar quarter) equal to 20% of such officer's quarterly salary during fiscal 1998. The awards in fiscal 1998 were made in the discretion of the Board of Directors in lieu of cash bonuses. All awards of the restricted Common Stock vested immediately.</w:t>
      </w:r>
    </w:p>
    <w:p>
      <w:pPr>
        <w:spacing w:after="0" w:line="86" w:lineRule="exact"/>
        <w:rPr>
          <w:rFonts w:ascii="Courier New" w:cs="Courier New" w:eastAsia="Courier New" w:hAnsi="Courier New"/>
          <w:sz w:val="15"/>
          <w:szCs w:val="15"/>
          <w:color w:val="auto"/>
        </w:rPr>
      </w:pPr>
    </w:p>
    <w:p>
      <w:pPr>
        <w:ind w:left="800" w:right="3760" w:hanging="790"/>
        <w:spacing w:after="0" w:line="250"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numbers in the table above represent options for the purchase of shares of the Company's Common Stock granted to the named persons under the Company's 1987 Nonqualified Stock Option Plan and the Company's 1997 Stock Option Plan. All of the options for each named executive officer in fiscal 1999 were granted under the Company's 1997 Stock Option Plan. Half of the options for each named executive officer in fiscal 1997 were granted under the Company's 1987 Nonqualified Stock Option Plan and the other half were granted under the Company's 1997 Stock Option Plan.</w:t>
      </w:r>
    </w:p>
    <w:p>
      <w:pPr>
        <w:spacing w:after="0" w:line="88" w:lineRule="exact"/>
        <w:rPr>
          <w:rFonts w:ascii="Courier New" w:cs="Courier New" w:eastAsia="Courier New" w:hAnsi="Courier New"/>
          <w:sz w:val="15"/>
          <w:szCs w:val="15"/>
          <w:color w:val="auto"/>
        </w:rPr>
      </w:pPr>
    </w:p>
    <w:p>
      <w:pPr>
        <w:ind w:left="800" w:right="3840" w:hanging="790"/>
        <w:spacing w:after="0" w:line="264"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of All Other Compensation are premiums paid by the Company pursuant to the Company's Executive Split-Dollar Life Insurance Plan. The Plan provides for preretirement death benefits for the named executives and certain other executive officers and annual or lump sum payment upon retirement at age 65.</w:t>
      </w:r>
    </w:p>
    <w:p>
      <w:pPr>
        <w:spacing w:after="0" w:line="74" w:lineRule="exact"/>
        <w:rPr>
          <w:rFonts w:ascii="Courier New" w:cs="Courier New" w:eastAsia="Courier New" w:hAnsi="Courier New"/>
          <w:sz w:val="15"/>
          <w:szCs w:val="15"/>
          <w:color w:val="auto"/>
        </w:rPr>
      </w:pPr>
    </w:p>
    <w:p>
      <w:pPr>
        <w:ind w:left="800" w:right="4020" w:hanging="790"/>
        <w:spacing w:after="0" w:line="344"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Elected Chairman and Chief Executive Officer effective April 1, 1998 upon Mr. Dohrmann's retirement.</w:t>
      </w:r>
    </w:p>
    <w:p>
      <w:pPr>
        <w:spacing w:after="0" w:line="1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Elected an executive officer on June 26, 1997.</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760"/>
          </w:cols>
          <w:pgMar w:left="220" w:top="766" w:right="919" w:bottom="1440" w:gutter="0" w:footer="0" w:header="0"/>
        </w:sectPr>
      </w:pPr>
    </w:p>
    <w:bookmarkStart w:id="13" w:name="page14"/>
    <w:bookmarkEnd w:id="13"/>
    <w:p>
      <w:pPr>
        <w:ind w:left="1940"/>
        <w:spacing w:after="0"/>
        <w:rPr>
          <w:sz w:val="20"/>
          <w:szCs w:val="20"/>
          <w:color w:val="auto"/>
        </w:rPr>
      </w:pPr>
      <w:r>
        <w:rPr>
          <w:rFonts w:ascii="Courier New" w:cs="Courier New" w:eastAsia="Courier New" w:hAnsi="Courier New"/>
          <w:sz w:val="15"/>
          <w:szCs w:val="15"/>
          <w:color w:val="auto"/>
        </w:rPr>
        <w:t>STOCK OPTIONS GRANTED IN FISCAL 1999</w:t>
      </w:r>
    </w:p>
    <w:p>
      <w:pPr>
        <w:spacing w:after="0" w:line="166" w:lineRule="exact"/>
        <w:rPr>
          <w:sz w:val="20"/>
          <w:szCs w:val="20"/>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The following table provides information on options to purchase shares of the Company's Common Stock granted to the executive officers named in the Summary Compensation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INDIVIDUAL GRANTS</w:t>
            </w:r>
          </w:p>
        </w:tc>
        <w:tc>
          <w:tcPr>
            <w:tcW w:w="1220" w:type="dxa"/>
            <w:vAlign w:val="bottom"/>
          </w:tcPr>
          <w:p>
            <w:pPr>
              <w:spacing w:after="0"/>
              <w:rPr>
                <w:sz w:val="14"/>
                <w:szCs w:val="14"/>
                <w:color w:val="auto"/>
              </w:rPr>
            </w:pPr>
          </w:p>
        </w:tc>
        <w:tc>
          <w:tcPr>
            <w:tcW w:w="20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POTENTIAL</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REALIZABLE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4"/>
                <w:szCs w:val="4"/>
                <w:color w:val="auto"/>
                <w:w w:val="86"/>
              </w:rPr>
              <w:t>------------------------------------------------------</w:t>
            </w:r>
          </w:p>
        </w:tc>
        <w:tc>
          <w:tcPr>
            <w:tcW w:w="14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PERCENT OF</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ASSUMED</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RATES OF STOCK</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OPTIONS</w:t>
            </w:r>
          </w:p>
        </w:tc>
        <w:tc>
          <w:tcPr>
            <w:tcW w:w="1220" w:type="dxa"/>
            <w:vAlign w:val="bottom"/>
            <w:vMerge w:val="restart"/>
          </w:tcPr>
          <w:p>
            <w:pPr>
              <w:jc w:val="center"/>
              <w:ind w:right="87"/>
              <w:spacing w:after="0"/>
              <w:rPr>
                <w:sz w:val="20"/>
                <w:szCs w:val="20"/>
                <w:color w:val="auto"/>
              </w:rPr>
            </w:pPr>
            <w:r>
              <w:rPr>
                <w:rFonts w:ascii="Courier New" w:cs="Courier New" w:eastAsia="Courier New" w:hAnsi="Courier New"/>
                <w:sz w:val="15"/>
                <w:szCs w:val="15"/>
                <w:color w:val="auto"/>
                <w:w w:val="97"/>
              </w:rPr>
              <w:t>EXERCISE</w:t>
            </w:r>
          </w:p>
        </w:tc>
        <w:tc>
          <w:tcPr>
            <w:tcW w:w="1220" w:type="dxa"/>
            <w:vAlign w:val="bottom"/>
          </w:tcPr>
          <w:p>
            <w:pPr>
              <w:spacing w:after="0"/>
              <w:rPr>
                <w:sz w:val="14"/>
                <w:szCs w:val="14"/>
                <w:color w:val="auto"/>
              </w:rPr>
            </w:pPr>
          </w:p>
        </w:tc>
        <w:tc>
          <w:tcPr>
            <w:tcW w:w="2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 APPRECIATION</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2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OPTIONS</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GRANTED TO</w:t>
            </w:r>
          </w:p>
        </w:tc>
        <w:tc>
          <w:tcPr>
            <w:tcW w:w="1220" w:type="dxa"/>
            <w:vAlign w:val="bottom"/>
            <w:vMerge w:val="continue"/>
          </w:tcPr>
          <w:p>
            <w:pPr>
              <w:spacing w:after="0"/>
              <w:rPr>
                <w:sz w:val="14"/>
                <w:szCs w:val="14"/>
                <w:color w:val="auto"/>
              </w:rPr>
            </w:pPr>
          </w:p>
        </w:tc>
        <w:tc>
          <w:tcPr>
            <w:tcW w:w="1220" w:type="dxa"/>
            <w:vAlign w:val="bottom"/>
            <w:vMerge w:val="restart"/>
          </w:tcPr>
          <w:p>
            <w:pPr>
              <w:jc w:val="center"/>
              <w:ind w:right="107"/>
              <w:spacing w:after="0"/>
              <w:rPr>
                <w:sz w:val="20"/>
                <w:szCs w:val="20"/>
                <w:color w:val="auto"/>
              </w:rPr>
            </w:pPr>
            <w:r>
              <w:rPr>
                <w:rFonts w:ascii="Courier New" w:cs="Courier New" w:eastAsia="Courier New" w:hAnsi="Courier New"/>
                <w:sz w:val="15"/>
                <w:szCs w:val="15"/>
                <w:color w:val="auto"/>
                <w:w w:val="97"/>
              </w:rPr>
              <w:t>EXPIRATION</w:t>
            </w:r>
          </w:p>
        </w:tc>
        <w:tc>
          <w:tcPr>
            <w:tcW w:w="12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 OPTION</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TERM</w:t>
            </w:r>
          </w:p>
        </w:tc>
        <w:tc>
          <w:tcPr>
            <w:tcW w:w="0" w:type="dxa"/>
            <w:vAlign w:val="bottom"/>
          </w:tcPr>
          <w:p>
            <w:pPr>
              <w:spacing w:after="0"/>
              <w:rPr>
                <w:sz w:val="1"/>
                <w:szCs w:val="1"/>
                <w:color w:val="auto"/>
              </w:rPr>
            </w:pPr>
          </w:p>
        </w:tc>
      </w:tr>
      <w:tr>
        <w:trPr>
          <w:trHeight w:val="168"/>
        </w:trPr>
        <w:tc>
          <w:tcPr>
            <w:tcW w:w="19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NAME</w:t>
            </w:r>
          </w:p>
        </w:tc>
        <w:tc>
          <w:tcPr>
            <w:tcW w:w="1220" w:type="dxa"/>
            <w:vAlign w:val="bottom"/>
            <w:vMerge w:val="continue"/>
          </w:tcPr>
          <w:p>
            <w:pPr>
              <w:spacing w:after="0"/>
              <w:rPr>
                <w:sz w:val="14"/>
                <w:szCs w:val="14"/>
                <w:color w:val="auto"/>
              </w:rPr>
            </w:pP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EMPLOYEES IN</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 PER</w:t>
            </w:r>
          </w:p>
        </w:tc>
        <w:tc>
          <w:tcPr>
            <w:tcW w:w="1220" w:type="dxa"/>
            <w:vAlign w:val="bottom"/>
            <w:vMerge w:val="continue"/>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20"/>
                <w:szCs w:val="20"/>
                <w:color w:val="auto"/>
                <w:w w:val="70"/>
                <w:vertAlign w:val="subscript"/>
              </w:rPr>
              <w:t>5%($)</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1940" w:type="dxa"/>
            <w:vAlign w:val="bottom"/>
            <w:vMerge w:val="continue"/>
          </w:tcPr>
          <w:p>
            <w:pPr>
              <w:spacing w:after="0"/>
              <w:rPr>
                <w:sz w:val="14"/>
                <w:szCs w:val="14"/>
                <w:color w:val="auto"/>
              </w:rPr>
            </w:pP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GRANTED</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FISCAL 1999</w:t>
            </w:r>
          </w:p>
        </w:tc>
        <w:tc>
          <w:tcPr>
            <w:tcW w:w="12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SHARE($)</w:t>
            </w:r>
          </w:p>
        </w:tc>
        <w:tc>
          <w:tcPr>
            <w:tcW w:w="12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DATE</w:t>
            </w:r>
          </w:p>
        </w:tc>
        <w:tc>
          <w:tcPr>
            <w:tcW w:w="1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Bruce D. Hertzke</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41,250(1)</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16.8(2)</w:t>
            </w: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10.1875(3)</w:t>
            </w: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10/15/2008</w:t>
            </w:r>
          </w:p>
        </w:tc>
        <w:tc>
          <w:tcPr>
            <w:tcW w:w="124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264,283</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669,745</w:t>
            </w:r>
          </w:p>
        </w:tc>
        <w:tc>
          <w:tcPr>
            <w:tcW w:w="0" w:type="dxa"/>
            <w:vAlign w:val="bottom"/>
          </w:tcPr>
          <w:p>
            <w:pPr>
              <w:spacing w:after="0"/>
              <w:rPr>
                <w:sz w:val="1"/>
                <w:szCs w:val="1"/>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Edwin F. Barker</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10,000(1)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4.1(2)</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10.1875(3)</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10/15/2008</w:t>
            </w:r>
          </w:p>
        </w:tc>
        <w:tc>
          <w:tcPr>
            <w:tcW w:w="1240" w:type="dxa"/>
            <w:vAlign w:val="bottom"/>
          </w:tcPr>
          <w:p>
            <w:pPr>
              <w:jc w:val="right"/>
              <w:ind w:right="468"/>
              <w:spacing w:after="0" w:line="168" w:lineRule="exact"/>
              <w:rPr>
                <w:sz w:val="20"/>
                <w:szCs w:val="20"/>
                <w:color w:val="auto"/>
              </w:rPr>
            </w:pPr>
            <w:r>
              <w:rPr>
                <w:rFonts w:ascii="Courier New" w:cs="Courier New" w:eastAsia="Courier New" w:hAnsi="Courier New"/>
                <w:sz w:val="15"/>
                <w:szCs w:val="15"/>
                <w:color w:val="auto"/>
              </w:rPr>
              <w:t>64,069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162,362</w:t>
            </w:r>
          </w:p>
        </w:tc>
        <w:tc>
          <w:tcPr>
            <w:tcW w:w="0" w:type="dxa"/>
            <w:vAlign w:val="bottom"/>
          </w:tcPr>
          <w:p>
            <w:pPr>
              <w:spacing w:after="0"/>
              <w:rPr>
                <w:sz w:val="1"/>
                <w:szCs w:val="1"/>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Raymond M. Beebe</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10,000(1)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4.1(2)</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10.1875(3)</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10/15/2008</w:t>
            </w:r>
          </w:p>
        </w:tc>
        <w:tc>
          <w:tcPr>
            <w:tcW w:w="1240" w:type="dxa"/>
            <w:vAlign w:val="bottom"/>
          </w:tcPr>
          <w:p>
            <w:pPr>
              <w:jc w:val="right"/>
              <w:ind w:right="468"/>
              <w:spacing w:after="0" w:line="168" w:lineRule="exact"/>
              <w:rPr>
                <w:sz w:val="20"/>
                <w:szCs w:val="20"/>
                <w:color w:val="auto"/>
              </w:rPr>
            </w:pPr>
            <w:r>
              <w:rPr>
                <w:rFonts w:ascii="Courier New" w:cs="Courier New" w:eastAsia="Courier New" w:hAnsi="Courier New"/>
                <w:sz w:val="15"/>
                <w:szCs w:val="15"/>
                <w:color w:val="auto"/>
              </w:rPr>
              <w:t>64,069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162,362</w:t>
            </w:r>
          </w:p>
        </w:tc>
        <w:tc>
          <w:tcPr>
            <w:tcW w:w="0" w:type="dxa"/>
            <w:vAlign w:val="bottom"/>
          </w:tcPr>
          <w:p>
            <w:pPr>
              <w:spacing w:after="0"/>
              <w:rPr>
                <w:sz w:val="1"/>
                <w:szCs w:val="1"/>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Ronald D. Buckmeier</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10,000(1)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4.1(2)</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10.1875(3)</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10/15/2008</w:t>
            </w:r>
          </w:p>
        </w:tc>
        <w:tc>
          <w:tcPr>
            <w:tcW w:w="1240" w:type="dxa"/>
            <w:vAlign w:val="bottom"/>
          </w:tcPr>
          <w:p>
            <w:pPr>
              <w:jc w:val="right"/>
              <w:ind w:right="468"/>
              <w:spacing w:after="0" w:line="168" w:lineRule="exact"/>
              <w:rPr>
                <w:sz w:val="20"/>
                <w:szCs w:val="20"/>
                <w:color w:val="auto"/>
              </w:rPr>
            </w:pPr>
            <w:r>
              <w:rPr>
                <w:rFonts w:ascii="Courier New" w:cs="Courier New" w:eastAsia="Courier New" w:hAnsi="Courier New"/>
                <w:sz w:val="15"/>
                <w:szCs w:val="15"/>
                <w:color w:val="auto"/>
              </w:rPr>
              <w:t>64,069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162,362</w:t>
            </w:r>
          </w:p>
        </w:tc>
        <w:tc>
          <w:tcPr>
            <w:tcW w:w="0" w:type="dxa"/>
            <w:vAlign w:val="bottom"/>
          </w:tcPr>
          <w:p>
            <w:pPr>
              <w:spacing w:after="0"/>
              <w:rPr>
                <w:sz w:val="1"/>
                <w:szCs w:val="1"/>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P. Jaskoviak</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10,000(1)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4.1(2)</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10.1875(3)</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10/15/2008</w:t>
            </w:r>
          </w:p>
        </w:tc>
        <w:tc>
          <w:tcPr>
            <w:tcW w:w="1240" w:type="dxa"/>
            <w:vAlign w:val="bottom"/>
          </w:tcPr>
          <w:p>
            <w:pPr>
              <w:jc w:val="right"/>
              <w:ind w:right="468"/>
              <w:spacing w:after="0" w:line="168" w:lineRule="exact"/>
              <w:rPr>
                <w:sz w:val="20"/>
                <w:szCs w:val="20"/>
                <w:color w:val="auto"/>
              </w:rPr>
            </w:pPr>
            <w:r>
              <w:rPr>
                <w:rFonts w:ascii="Courier New" w:cs="Courier New" w:eastAsia="Courier New" w:hAnsi="Courier New"/>
                <w:sz w:val="15"/>
                <w:szCs w:val="15"/>
                <w:color w:val="auto"/>
              </w:rPr>
              <w:t>64,069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162,362</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Robert J. Olson</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10,000(1)</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4.1(2)</w:t>
            </w: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10.1875(3)</w:t>
            </w: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10/15/2008</w:t>
            </w:r>
          </w:p>
        </w:tc>
        <w:tc>
          <w:tcPr>
            <w:tcW w:w="124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64,069</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162,362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800" w:right="3319" w:hanging="790"/>
        <w:spacing w:after="0" w:line="273"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on October 15, 1998, under the Company's 1997 Stock Option Plan. One-third of the options become exercisable on October 15, 1999, an additional one-third on October 15, 2000, and the final one-third on October 15, 2001.</w:t>
      </w:r>
    </w:p>
    <w:p>
      <w:pPr>
        <w:spacing w:after="0" w:line="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total grants during fiscal 1999 of 245,250 shares.</w:t>
      </w:r>
    </w:p>
    <w:p>
      <w:pPr>
        <w:spacing w:after="0" w:line="166" w:lineRule="exact"/>
        <w:rPr>
          <w:rFonts w:ascii="Courier New" w:cs="Courier New" w:eastAsia="Courier New" w:hAnsi="Courier New"/>
          <w:sz w:val="15"/>
          <w:szCs w:val="15"/>
          <w:color w:val="auto"/>
        </w:rPr>
      </w:pPr>
    </w:p>
    <w:p>
      <w:pPr>
        <w:ind w:left="800" w:right="3399" w:hanging="790"/>
        <w:spacing w:after="0" w:line="290"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represents the mean between the high and low prices for a share of the Company's Common Stock on the New York Stock Exchange on October 15, 1998.</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66" w:right="1440" w:bottom="1440" w:gutter="0" w:footer="0" w:header="0"/>
        </w:sectPr>
      </w:pPr>
    </w:p>
    <w:bookmarkStart w:id="14" w:name="page15"/>
    <w:bookmarkEnd w:id="14"/>
    <w:p>
      <w:pPr>
        <w:ind w:right="3760"/>
        <w:spacing w:after="0" w:line="344" w:lineRule="auto"/>
        <w:rPr>
          <w:sz w:val="20"/>
          <w:szCs w:val="20"/>
          <w:color w:val="auto"/>
        </w:rPr>
      </w:pPr>
      <w:r>
        <w:rPr>
          <w:rFonts w:ascii="Courier New" w:cs="Courier New" w:eastAsia="Courier New" w:hAnsi="Courier New"/>
          <w:sz w:val="15"/>
          <w:szCs w:val="15"/>
          <w:color w:val="auto"/>
        </w:rPr>
        <w:t>AGGREGATED OPTION SHARES EXERCISED IN LAST FISCAL YEAR AND FISCAL YEAR-END OPTION VALUES</w:t>
      </w:r>
    </w:p>
    <w:p>
      <w:pPr>
        <w:spacing w:after="0" w:line="17" w:lineRule="exact"/>
        <w:rPr>
          <w:sz w:val="20"/>
          <w:szCs w:val="20"/>
          <w:color w:val="auto"/>
        </w:rPr>
      </w:pPr>
    </w:p>
    <w:p>
      <w:pPr>
        <w:jc w:val="both"/>
        <w:ind w:right="3320" w:firstLine="787"/>
        <w:spacing w:after="0" w:line="290" w:lineRule="auto"/>
        <w:rPr>
          <w:sz w:val="20"/>
          <w:szCs w:val="20"/>
          <w:color w:val="auto"/>
        </w:rPr>
      </w:pPr>
      <w:r>
        <w:rPr>
          <w:rFonts w:ascii="Courier New" w:cs="Courier New" w:eastAsia="Courier New" w:hAnsi="Courier New"/>
          <w:sz w:val="15"/>
          <w:szCs w:val="15"/>
          <w:color w:val="auto"/>
        </w:rPr>
        <w:t>The following table provides information related to the stock options exercised during fiscal 1999 and the number and value of unexercised options at August 28, 1999, by the named executive officers.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30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NUMBER OF</w:t>
            </w:r>
          </w:p>
        </w:tc>
        <w:tc>
          <w:tcPr>
            <w:tcW w:w="1320" w:type="dxa"/>
            <w:vAlign w:val="bottom"/>
          </w:tcPr>
          <w:p>
            <w:pPr>
              <w:spacing w:after="0"/>
              <w:rPr>
                <w:sz w:val="14"/>
                <w:szCs w:val="14"/>
                <w:color w:val="auto"/>
              </w:rPr>
            </w:pPr>
          </w:p>
        </w:tc>
        <w:tc>
          <w:tcPr>
            <w:tcW w:w="28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NUMBER OF UNEXERCISED</w:t>
            </w:r>
          </w:p>
        </w:tc>
        <w:tc>
          <w:tcPr>
            <w:tcW w:w="28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VALUE OF UNEXERCISED,</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288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OPTIONS HELD AT</w:t>
            </w:r>
          </w:p>
        </w:tc>
        <w:tc>
          <w:tcPr>
            <w:tcW w:w="28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IN-THE-MONEY OPTIONS AT</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3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w:t>
            </w:r>
          </w:p>
        </w:tc>
        <w:tc>
          <w:tcPr>
            <w:tcW w:w="13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VALUE</w:t>
            </w:r>
          </w:p>
        </w:tc>
        <w:tc>
          <w:tcPr>
            <w:tcW w:w="288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AUGUST 28, 1999</w:t>
            </w:r>
          </w:p>
        </w:tc>
        <w:tc>
          <w:tcPr>
            <w:tcW w:w="28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AUGUST 28, 1999(2)</w:t>
            </w:r>
          </w:p>
        </w:tc>
        <w:tc>
          <w:tcPr>
            <w:tcW w:w="0" w:type="dxa"/>
            <w:vAlign w:val="bottom"/>
          </w:tcPr>
          <w:p>
            <w:pPr>
              <w:spacing w:after="0"/>
              <w:rPr>
                <w:sz w:val="1"/>
                <w:szCs w:val="1"/>
                <w:color w:val="auto"/>
              </w:rPr>
            </w:pPr>
          </w:p>
        </w:tc>
      </w:tr>
      <w:tr>
        <w:trPr>
          <w:trHeight w:val="168"/>
        </w:trPr>
        <w:tc>
          <w:tcPr>
            <w:tcW w:w="194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ACQUIRED ON</w:t>
            </w:r>
          </w:p>
        </w:tc>
        <w:tc>
          <w:tcPr>
            <w:tcW w:w="1320" w:type="dxa"/>
            <w:vAlign w:val="bottom"/>
            <w:vMerge w:val="continue"/>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7"/>
                <w:vertAlign w:val="subscript"/>
              </w:rPr>
              <w:t>EXERCISABLE</w:t>
            </w:r>
            <w:r>
              <w:rPr>
                <w:rFonts w:ascii="Courier New" w:cs="Courier New" w:eastAsia="Courier New" w:hAnsi="Courier New"/>
                <w:sz w:val="8"/>
                <w:szCs w:val="8"/>
                <w:color w:val="auto"/>
                <w:w w:val="77"/>
              </w:rPr>
              <w:t>-----------------------------</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UNEXERCISABLE</w:t>
            </w:r>
          </w:p>
        </w:tc>
        <w:tc>
          <w:tcPr>
            <w:tcW w:w="28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1940" w:type="dxa"/>
            <w:vAlign w:val="bottom"/>
            <w:vMerge w:val="continue"/>
          </w:tcPr>
          <w:p>
            <w:pPr>
              <w:spacing w:after="0"/>
              <w:rPr>
                <w:sz w:val="14"/>
                <w:szCs w:val="14"/>
                <w:color w:val="auto"/>
              </w:rPr>
            </w:pP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EXERCISE</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REALIZED(1)</w:t>
            </w:r>
          </w:p>
        </w:tc>
        <w:tc>
          <w:tcPr>
            <w:tcW w:w="14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EXERCISABLE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Bruce D. Hertzke</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$ 90,000</w:t>
            </w:r>
          </w:p>
        </w:tc>
        <w:tc>
          <w:tcPr>
            <w:tcW w:w="1480" w:type="dxa"/>
            <w:vAlign w:val="bottom"/>
          </w:tcPr>
          <w:p>
            <w:pPr>
              <w:jc w:val="right"/>
              <w:ind w:right="530"/>
              <w:spacing w:after="0"/>
              <w:rPr>
                <w:sz w:val="20"/>
                <w:szCs w:val="20"/>
                <w:color w:val="auto"/>
              </w:rPr>
            </w:pPr>
            <w:r>
              <w:rPr>
                <w:rFonts w:ascii="Courier New" w:cs="Courier New" w:eastAsia="Courier New" w:hAnsi="Courier New"/>
                <w:sz w:val="15"/>
                <w:szCs w:val="15"/>
                <w:color w:val="auto"/>
              </w:rPr>
              <w:t>64,416</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30,834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$1,087,130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$435,167</w:t>
            </w:r>
          </w:p>
        </w:tc>
        <w:tc>
          <w:tcPr>
            <w:tcW w:w="0" w:type="dxa"/>
            <w:vAlign w:val="bottom"/>
          </w:tcPr>
          <w:p>
            <w:pPr>
              <w:spacing w:after="0"/>
              <w:rPr>
                <w:sz w:val="1"/>
                <w:szCs w:val="1"/>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Edwin F. Barker</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$ 85,625</w:t>
            </w:r>
          </w:p>
        </w:tc>
        <w:tc>
          <w:tcPr>
            <w:tcW w:w="1480" w:type="dxa"/>
            <w:vAlign w:val="bottom"/>
          </w:tcPr>
          <w:p>
            <w:pPr>
              <w:jc w:val="right"/>
              <w:ind w:right="530"/>
              <w:spacing w:after="0"/>
              <w:rPr>
                <w:sz w:val="20"/>
                <w:szCs w:val="20"/>
                <w:color w:val="auto"/>
              </w:rPr>
            </w:pPr>
            <w:r>
              <w:rPr>
                <w:rFonts w:ascii="Courier New" w:cs="Courier New" w:eastAsia="Courier New" w:hAnsi="Courier New"/>
                <w:sz w:val="15"/>
                <w:szCs w:val="15"/>
                <w:color w:val="auto"/>
              </w:rPr>
              <w:t>57,666</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9,334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1,027,136</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134,427</w:t>
            </w:r>
          </w:p>
        </w:tc>
        <w:tc>
          <w:tcPr>
            <w:tcW w:w="0" w:type="dxa"/>
            <w:vAlign w:val="bottom"/>
          </w:tcPr>
          <w:p>
            <w:pPr>
              <w:spacing w:after="0"/>
              <w:rPr>
                <w:sz w:val="1"/>
                <w:szCs w:val="1"/>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Raymond M. Beebe</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$ 63,750</w:t>
            </w:r>
          </w:p>
        </w:tc>
        <w:tc>
          <w:tcPr>
            <w:tcW w:w="1480" w:type="dxa"/>
            <w:vAlign w:val="bottom"/>
          </w:tcPr>
          <w:p>
            <w:pPr>
              <w:jc w:val="right"/>
              <w:ind w:right="530"/>
              <w:spacing w:after="0"/>
              <w:rPr>
                <w:sz w:val="20"/>
                <w:szCs w:val="20"/>
                <w:color w:val="auto"/>
              </w:rPr>
            </w:pPr>
            <w:r>
              <w:rPr>
                <w:rFonts w:ascii="Courier New" w:cs="Courier New" w:eastAsia="Courier New" w:hAnsi="Courier New"/>
                <w:sz w:val="15"/>
                <w:szCs w:val="15"/>
                <w:color w:val="auto"/>
              </w:rPr>
              <w:t>57,666</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9,334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1,027,136</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134,427</w:t>
            </w:r>
          </w:p>
        </w:tc>
        <w:tc>
          <w:tcPr>
            <w:tcW w:w="0" w:type="dxa"/>
            <w:vAlign w:val="bottom"/>
          </w:tcPr>
          <w:p>
            <w:pPr>
              <w:spacing w:after="0"/>
              <w:rPr>
                <w:sz w:val="1"/>
                <w:szCs w:val="1"/>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Ronald D. Buckmeier</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7,166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$121,792</w:t>
            </w:r>
          </w:p>
        </w:tc>
        <w:tc>
          <w:tcPr>
            <w:tcW w:w="1480" w:type="dxa"/>
            <w:vAlign w:val="bottom"/>
          </w:tcPr>
          <w:p>
            <w:pPr>
              <w:jc w:val="right"/>
              <w:ind w:right="530"/>
              <w:spacing w:after="0"/>
              <w:rPr>
                <w:sz w:val="20"/>
                <w:szCs w:val="20"/>
                <w:color w:val="auto"/>
              </w:rPr>
            </w:pPr>
            <w:r>
              <w:rPr>
                <w:rFonts w:ascii="Courier New" w:cs="Courier New" w:eastAsia="Courier New" w:hAnsi="Courier New"/>
                <w:sz w:val="15"/>
                <w:szCs w:val="15"/>
                <w:color w:val="auto"/>
              </w:rPr>
              <w:t>10,999</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9,334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169,818</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134,427</w:t>
            </w:r>
          </w:p>
        </w:tc>
        <w:tc>
          <w:tcPr>
            <w:tcW w:w="0" w:type="dxa"/>
            <w:vAlign w:val="bottom"/>
          </w:tcPr>
          <w:p>
            <w:pPr>
              <w:spacing w:after="0"/>
              <w:rPr>
                <w:sz w:val="1"/>
                <w:szCs w:val="1"/>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James P. Jaskoviak</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8,998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$121,679</w:t>
            </w:r>
          </w:p>
        </w:tc>
        <w:tc>
          <w:tcPr>
            <w:tcW w:w="1480" w:type="dxa"/>
            <w:vAlign w:val="bottom"/>
          </w:tcPr>
          <w:p>
            <w:pPr>
              <w:jc w:val="right"/>
              <w:ind w:right="530"/>
              <w:spacing w:after="0"/>
              <w:rPr>
                <w:sz w:val="20"/>
                <w:szCs w:val="20"/>
                <w:color w:val="auto"/>
              </w:rPr>
            </w:pPr>
            <w:r>
              <w:rPr>
                <w:rFonts w:ascii="Courier New" w:cs="Courier New" w:eastAsia="Courier New" w:hAnsi="Courier New"/>
                <w:sz w:val="15"/>
                <w:szCs w:val="15"/>
                <w:color w:val="auto"/>
              </w:rPr>
              <w:t>8,668</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9,334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131,647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134,427</w:t>
            </w:r>
          </w:p>
        </w:tc>
        <w:tc>
          <w:tcPr>
            <w:tcW w:w="0" w:type="dxa"/>
            <w:vAlign w:val="bottom"/>
          </w:tcPr>
          <w:p>
            <w:pPr>
              <w:spacing w:after="0"/>
              <w:rPr>
                <w:sz w:val="1"/>
                <w:szCs w:val="1"/>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Robert J. Olson</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30"/>
              <w:spacing w:after="0"/>
              <w:rPr>
                <w:sz w:val="20"/>
                <w:szCs w:val="20"/>
                <w:color w:val="auto"/>
              </w:rPr>
            </w:pPr>
            <w:r>
              <w:rPr>
                <w:rFonts w:ascii="Courier New" w:cs="Courier New" w:eastAsia="Courier New" w:hAnsi="Courier New"/>
                <w:sz w:val="15"/>
                <w:szCs w:val="15"/>
                <w:color w:val="auto"/>
              </w:rPr>
              <w:t>18,166</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9,334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288,105</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134,427</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800" w:right="3400" w:hanging="790"/>
        <w:spacing w:after="0" w:line="290" w:lineRule="auto"/>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realized is the difference between the closing price of the Company's Common Stock on the respective dates such options were exercised and the exercise prices.</w:t>
      </w:r>
    </w:p>
    <w:p>
      <w:pPr>
        <w:spacing w:after="0" w:line="56" w:lineRule="exact"/>
        <w:rPr>
          <w:rFonts w:ascii="Courier New" w:cs="Courier New" w:eastAsia="Courier New" w:hAnsi="Courier New"/>
          <w:sz w:val="15"/>
          <w:szCs w:val="15"/>
          <w:color w:val="auto"/>
        </w:rPr>
      </w:pPr>
    </w:p>
    <w:p>
      <w:pPr>
        <w:ind w:left="800" w:right="3240" w:hanging="790"/>
        <w:spacing w:after="0" w:line="264" w:lineRule="auto"/>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amount by which $24.125 (the closing price of the Company's Common Stock on August 27, 1999 (August 28, 1999 being a non-business day)) exceeded the exercise prices of unexercised options. There is no guarantee that, if and when these options are exercised, they will have this value.</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166" w:lineRule="exact"/>
        <w:rPr>
          <w:sz w:val="20"/>
          <w:szCs w:val="20"/>
          <w:color w:val="auto"/>
        </w:rPr>
      </w:pPr>
    </w:p>
    <w:p>
      <w:pPr>
        <w:ind w:right="3840" w:firstLine="787"/>
        <w:spacing w:after="0" w:line="344" w:lineRule="auto"/>
        <w:rPr>
          <w:sz w:val="20"/>
          <w:szCs w:val="20"/>
          <w:color w:val="auto"/>
        </w:rPr>
      </w:pPr>
      <w:r>
        <w:rPr>
          <w:rFonts w:ascii="Courier New" w:cs="Courier New" w:eastAsia="Courier New" w:hAnsi="Courier New"/>
          <w:sz w:val="15"/>
          <w:szCs w:val="15"/>
          <w:color w:val="auto"/>
        </w:rPr>
        <w:t>The Company does not provide pension benefits for its employees, including executive officers.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HUMAN RESOURCES COMMITTEE ON EXECUTIVE COMPENSATION</w:t>
      </w:r>
    </w:p>
    <w:p>
      <w:pPr>
        <w:spacing w:after="0" w:line="166" w:lineRule="exact"/>
        <w:rPr>
          <w:sz w:val="20"/>
          <w:szCs w:val="20"/>
          <w:color w:val="auto"/>
        </w:rPr>
      </w:pPr>
    </w:p>
    <w:p>
      <w:pPr>
        <w:ind w:right="3400" w:firstLine="787"/>
        <w:spacing w:after="0" w:line="287" w:lineRule="auto"/>
        <w:rPr>
          <w:sz w:val="20"/>
          <w:szCs w:val="20"/>
          <w:color w:val="auto"/>
        </w:rPr>
      </w:pPr>
      <w:r>
        <w:rPr>
          <w:rFonts w:ascii="Courier New" w:cs="Courier New" w:eastAsia="Courier New" w:hAnsi="Courier New"/>
          <w:sz w:val="14"/>
          <w:szCs w:val="14"/>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61" w:lineRule="exact"/>
        <w:rPr>
          <w:sz w:val="20"/>
          <w:szCs w:val="20"/>
          <w:color w:val="auto"/>
        </w:rPr>
      </w:pPr>
    </w:p>
    <w:p>
      <w:pPr>
        <w:ind w:right="3240" w:firstLine="787"/>
        <w:spacing w:after="0" w:line="273" w:lineRule="auto"/>
        <w:rPr>
          <w:sz w:val="20"/>
          <w:szCs w:val="20"/>
          <w:color w:val="auto"/>
        </w:rPr>
      </w:pPr>
      <w:r>
        <w:rPr>
          <w:rFonts w:ascii="Courier New" w:cs="Courier New" w:eastAsia="Courier New" w:hAnsi="Courier New"/>
          <w:sz w:val="15"/>
          <w:szCs w:val="15"/>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40"/>
          </w:cols>
          <w:pgMar w:left="220" w:top="766" w:right="1439" w:bottom="1440" w:gutter="0" w:footer="0" w:header="0"/>
        </w:sectPr>
      </w:pPr>
    </w:p>
    <w:bookmarkStart w:id="15" w:name="page16"/>
    <w:bookmarkEnd w:id="15"/>
    <w:p>
      <w:pPr>
        <w:ind w:right="3239" w:firstLine="787"/>
        <w:spacing w:after="0" w:line="273" w:lineRule="auto"/>
        <w:rPr>
          <w:sz w:val="20"/>
          <w:szCs w:val="20"/>
          <w:color w:val="auto"/>
        </w:rPr>
      </w:pPr>
      <w:r>
        <w:rPr>
          <w:rFonts w:ascii="Courier New" w:cs="Courier New" w:eastAsia="Courier New" w:hAnsi="Courier New"/>
          <w:sz w:val="15"/>
          <w:szCs w:val="15"/>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68" w:lineRule="exact"/>
        <w:rPr>
          <w:sz w:val="20"/>
          <w:szCs w:val="20"/>
          <w:color w:val="auto"/>
        </w:rPr>
      </w:pPr>
    </w:p>
    <w:p>
      <w:pPr>
        <w:ind w:left="1580" w:hanging="783"/>
        <w:spacing w:after="0"/>
        <w:tabs>
          <w:tab w:leader="none" w:pos="15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Align the interests of management with those of shareholders;</w:t>
      </w:r>
    </w:p>
    <w:p>
      <w:pPr>
        <w:spacing w:after="0" w:line="35" w:lineRule="exact"/>
        <w:rPr>
          <w:rFonts w:ascii="Courier New" w:cs="Courier New" w:eastAsia="Courier New" w:hAnsi="Courier New"/>
          <w:sz w:val="14"/>
          <w:szCs w:val="14"/>
          <w:color w:val="auto"/>
        </w:rPr>
      </w:pPr>
    </w:p>
    <w:p>
      <w:pPr>
        <w:ind w:left="1580" w:hanging="783"/>
        <w:spacing w:after="0" w:line="237" w:lineRule="auto"/>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fair and competitive compensation;</w:t>
      </w:r>
    </w:p>
    <w:p>
      <w:pPr>
        <w:ind w:left="1580" w:hanging="783"/>
        <w:spacing w:after="0" w:line="237" w:lineRule="auto"/>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 compensation with the Company's business plans;</w:t>
      </w:r>
    </w:p>
    <w:p>
      <w:pPr>
        <w:ind w:left="1580" w:hanging="783"/>
        <w:spacing w:after="0" w:line="237" w:lineRule="auto"/>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Reward both business and individual performance; and</w:t>
      </w:r>
    </w:p>
    <w:p>
      <w:pPr>
        <w:ind w:left="1580" w:right="3399" w:hanging="783"/>
        <w:spacing w:after="0" w:line="307" w:lineRule="auto"/>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and retain key executives critical to the success of the Company.</w:t>
      </w:r>
    </w:p>
    <w:p>
      <w:pPr>
        <w:spacing w:after="0" w:line="44" w:lineRule="exact"/>
        <w:rPr>
          <w:sz w:val="20"/>
          <w:szCs w:val="20"/>
          <w:color w:val="auto"/>
        </w:rPr>
      </w:pPr>
    </w:p>
    <w:p>
      <w:pPr>
        <w:ind w:right="3399" w:firstLine="787"/>
        <w:spacing w:after="0" w:line="273" w:lineRule="auto"/>
        <w:rPr>
          <w:sz w:val="20"/>
          <w:szCs w:val="20"/>
          <w:color w:val="auto"/>
        </w:rPr>
      </w:pPr>
      <w:r>
        <w:rPr>
          <w:rFonts w:ascii="Courier New" w:cs="Courier New" w:eastAsia="Courier New" w:hAnsi="Courier New"/>
          <w:sz w:val="15"/>
          <w:szCs w:val="15"/>
          <w:color w:val="auto"/>
        </w:rPr>
        <w:t>The Company's executive compensation is primarily based on three components, each of which is intended to help achieve the overall compensation philosophy; these are base salary, quarterly incentive awards and long-term incentives.</w:t>
      </w:r>
    </w:p>
    <w:p>
      <w:pPr>
        <w:spacing w:after="0" w:line="68"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5"/>
          <w:szCs w:val="15"/>
          <w:color w:val="auto"/>
        </w:rPr>
        <w:t>Base salary levels for the Company's executive officers are set by the Committee and approved by the Board of Directors. In determining base salary levels and annual salary adjustments for executive officers, including the Chief Executive Officer (CEO), the Committee considers market compensation levels of similarly sized manufacturing companies as well as individual performance and contributions.</w:t>
      </w:r>
    </w:p>
    <w:p>
      <w:pPr>
        <w:spacing w:after="0" w:line="8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Mr. Hertzke was elected to the offices of Chairman of the Board and CEO</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April 1, 1998 upon the retirement of Mr. Dohrmann. The base salary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Hertzke as the CEO was $260,000 from April 1, 1998 to January 1, 1999 and</w:t>
      </w:r>
    </w:p>
    <w:p>
      <w:pPr>
        <w:spacing w:after="0"/>
        <w:rPr>
          <w:sz w:val="20"/>
          <w:szCs w:val="20"/>
          <w:color w:val="auto"/>
        </w:rPr>
      </w:pPr>
      <w:r>
        <w:rPr>
          <w:rFonts w:ascii="Courier New" w:cs="Courier New" w:eastAsia="Courier New" w:hAnsi="Courier New"/>
          <w:sz w:val="14"/>
          <w:szCs w:val="14"/>
          <w:color w:val="auto"/>
        </w:rPr>
        <w:t>$300,000 after January 1, 1999 and $260,000 in fiscal 1998. The CEO participates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quarterly incentive award program for officers and other key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personnel described below. The Committee has not found it practicable to, and</w:t>
      </w:r>
    </w:p>
    <w:p>
      <w:pPr>
        <w:spacing w:after="0"/>
        <w:rPr>
          <w:sz w:val="20"/>
          <w:szCs w:val="20"/>
          <w:color w:val="auto"/>
        </w:rPr>
      </w:pPr>
      <w:r>
        <w:rPr>
          <w:rFonts w:ascii="Courier New" w:cs="Courier New" w:eastAsia="Courier New" w:hAnsi="Courier New"/>
          <w:sz w:val="14"/>
          <w:szCs w:val="14"/>
          <w:color w:val="auto"/>
        </w:rPr>
        <w:t>has not attempted to, assign relative weights to the specific factors considered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determining the CEO's compensation.</w:t>
      </w:r>
    </w:p>
    <w:p>
      <w:pPr>
        <w:spacing w:after="0" w:line="140" w:lineRule="exact"/>
        <w:rPr>
          <w:sz w:val="20"/>
          <w:szCs w:val="20"/>
          <w:color w:val="auto"/>
        </w:rPr>
      </w:pPr>
    </w:p>
    <w:p>
      <w:pPr>
        <w:ind w:right="3399" w:firstLine="787"/>
        <w:spacing w:after="0" w:line="270" w:lineRule="auto"/>
        <w:rPr>
          <w:sz w:val="20"/>
          <w:szCs w:val="20"/>
          <w:color w:val="auto"/>
        </w:rPr>
      </w:pPr>
      <w:r>
        <w:rPr>
          <w:rFonts w:ascii="Courier New" w:cs="Courier New" w:eastAsia="Courier New" w:hAnsi="Courier New"/>
          <w:sz w:val="14"/>
          <w:szCs w:val="14"/>
          <w:color w:val="auto"/>
        </w:rPr>
        <w:t>The Company's officers (including the CEO) are eligible for quarterly incentive awards under the Company's Officers Incentive Compensation Plan (the "INCENTIVE COMPENSATION PLAN"). Under the Incentive Compensation Plan, the incentive awards are based upon financial performance of the Company, as established by the Board of Directors. The Compensation Plan is an annual program that provides for quarterly cumulative measurements of financial performance and an opportunity for quarterly incentive payments based on financial results measured against the management plan adopted by the Board of Directors (the "MANAGEMENT PLAN").</w:t>
      </w:r>
    </w:p>
    <w:p>
      <w:pPr>
        <w:spacing w:after="0" w:line="76"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The financial performance measurements for the Incentive Compensation Plan are earnings per share (EPS) and return on equity (ROE) of the Company. The Board of Directors believes that these financial performance measurements provide an appropriate balance between quantity and quality of earnings. Stockholders' equity at the start of the Company's fiscal year is used as the base figure for the calculation of ROE. The Committee believes that the Incentive Compensation Plan provides an excellent link between the value created for shareholders and incentives paid to participants.</w:t>
      </w:r>
    </w:p>
    <w:p>
      <w:pPr>
        <w:spacing w:after="0" w:line="86" w:lineRule="exact"/>
        <w:rPr>
          <w:sz w:val="20"/>
          <w:szCs w:val="20"/>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Under the Incentive Compensation Plan, the amount of the participants' incentive compensation for the quarter shall be in direct proportion to the Company's financial</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66" w:right="1440" w:bottom="1440" w:gutter="0" w:footer="0" w:header="0"/>
        </w:sectPr>
      </w:pPr>
    </w:p>
    <w:bookmarkStart w:id="16" w:name="page17"/>
    <w:bookmarkEnd w:id="16"/>
    <w:p>
      <w:pPr>
        <w:spacing w:after="0" w:line="46" w:lineRule="exact"/>
        <w:rPr>
          <w:sz w:val="20"/>
          <w:szCs w:val="20"/>
          <w:color w:val="auto"/>
        </w:rPr>
      </w:pPr>
    </w:p>
    <w:p>
      <w:pPr>
        <w:ind w:right="3239"/>
        <w:spacing w:after="0" w:line="320" w:lineRule="auto"/>
        <w:rPr>
          <w:sz w:val="20"/>
          <w:szCs w:val="20"/>
          <w:color w:val="auto"/>
        </w:rPr>
      </w:pPr>
      <w:r>
        <w:rPr>
          <w:rFonts w:ascii="Courier New" w:cs="Courier New" w:eastAsia="Courier New" w:hAnsi="Courier New"/>
          <w:sz w:val="14"/>
          <w:szCs w:val="14"/>
          <w:color w:val="auto"/>
        </w:rPr>
        <w:t>performance expressed as a percentage (Financial Factor) against the base salary for each participant as determined by the Board of Directors prior to the commencement of the fiscal year compensation targets for each participant.</w:t>
      </w:r>
    </w:p>
    <w:p>
      <w:pPr>
        <w:spacing w:after="0" w:line="38"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5"/>
          <w:szCs w:val="15"/>
          <w:color w:val="auto"/>
        </w:rPr>
        <w:t>The Incentive Compensation Plan provides for a bonus (Target) of 60% of base salary, comprised of (2/3) cash and (1/3) stock at 100% achievement of the financial objectives of EPS and ROE for participating officers, except the CEO. The Incentive Compensation Plan provides for a bonus (Target) of 87.5% of base salary, comprised of (2/3) cash and (1/3) stock at 100% achievement of the financial objectives of EPS and ROE for the CEO.</w:t>
      </w:r>
    </w:p>
    <w:p>
      <w:pPr>
        <w:spacing w:after="0" w:line="81" w:lineRule="exact"/>
        <w:rPr>
          <w:sz w:val="20"/>
          <w:szCs w:val="20"/>
          <w:color w:val="auto"/>
        </w:rPr>
      </w:pPr>
    </w:p>
    <w:p>
      <w:pPr>
        <w:ind w:right="3239" w:firstLine="787"/>
        <w:spacing w:after="0" w:line="264" w:lineRule="auto"/>
        <w:rPr>
          <w:sz w:val="20"/>
          <w:szCs w:val="20"/>
          <w:color w:val="auto"/>
        </w:rPr>
      </w:pPr>
      <w:r>
        <w:rPr>
          <w:rFonts w:ascii="Courier New" w:cs="Courier New" w:eastAsia="Courier New" w:hAnsi="Courier New"/>
          <w:sz w:val="15"/>
          <w:szCs w:val="15"/>
          <w:color w:val="auto"/>
        </w:rPr>
        <w:t>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w:t>
      </w:r>
    </w:p>
    <w:p>
      <w:pPr>
        <w:spacing w:after="0" w:line="73"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 Revenue Growth</w:t>
            </w:r>
          </w:p>
        </w:tc>
        <w:tc>
          <w:tcPr>
            <w:tcW w:w="27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Customer Satisfaction</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 Market Share</w:t>
            </w:r>
          </w:p>
        </w:tc>
        <w:tc>
          <w:tcPr>
            <w:tcW w:w="2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 Inventory Management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 Product Quality</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Technical Innovation</w:t>
            </w:r>
          </w:p>
        </w:tc>
      </w:tr>
      <w:tr>
        <w:trPr>
          <w:trHeight w:val="245"/>
        </w:trPr>
        <w:tc>
          <w:tcPr>
            <w:tcW w:w="2320" w:type="dxa"/>
            <w:vAlign w:val="bottom"/>
          </w:tcPr>
          <w:p>
            <w:pPr>
              <w:spacing w:after="0"/>
              <w:rPr>
                <w:sz w:val="20"/>
                <w:szCs w:val="20"/>
                <w:color w:val="auto"/>
              </w:rPr>
            </w:pPr>
            <w:r>
              <w:rPr>
                <w:rFonts w:ascii="Courier New" w:cs="Courier New" w:eastAsia="Courier New" w:hAnsi="Courier New"/>
                <w:sz w:val="15"/>
                <w:szCs w:val="15"/>
                <w:color w:val="auto"/>
              </w:rPr>
              <w:t>* Product Introductions</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5"/>
              </w:rPr>
              <w:t>Ethical Business Practices</w:t>
            </w:r>
          </w:p>
        </w:tc>
      </w:tr>
    </w:tbl>
    <w:p>
      <w:pPr>
        <w:spacing w:after="0" w:line="91"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5"/>
          <w:szCs w:val="15"/>
          <w:color w:val="auto"/>
        </w:rPr>
        <w:t>Under the Incentive Compensation Plan, 50% of the total cash incentives earned for the year are matched annually and paid in restricted stock to encourage stock ownership and promote the long-term growth and profitability of the Company.</w:t>
      </w:r>
    </w:p>
    <w:p>
      <w:pPr>
        <w:spacing w:after="0" w:line="68"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5"/>
          <w:szCs w:val="15"/>
          <w:color w:val="auto"/>
        </w:rPr>
        <w:t>In the event of a "Change in Control" (as defined in the Incentive Compensation Plan) participants are entitled to receive awards (including the annual stock match payment) within 15 days of the Effective Date (as defined in the Incentive Compensation Plan) based on the Committee's estimate of the Company's financial performance through the end of the fiscal year in which such Change in Control occurs.</w:t>
      </w:r>
    </w:p>
    <w:p>
      <w:pPr>
        <w:spacing w:after="0" w:line="81"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Financial performance of less than 80% of the Management Plan for both EPS and ROE results in no bonus and the maximum bonus will be paid at attainment of 125% of the Management Plan for both elements.</w:t>
      </w:r>
    </w:p>
    <w:p>
      <w:pPr>
        <w:spacing w:after="0" w:line="57"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The Company's officers (including the CEO) are eligible for incentive awards under the Company's Officers Long-Term Incentive Plan (the "LONG-TERM INCENTIVE PLAN"). The purpose of the Long-Term Incentive Plan is to promote the long-term growth and profitability of the Company and to attract and retain officers by providing the officers of the Company an opportunity for an incentive award consisting of stock grants made in restricted shares of the Company's Common Stock based on the achievement of long-term performance results as measured at the end of a three year fiscal period.</w:t>
      </w:r>
    </w:p>
    <w:p>
      <w:pPr>
        <w:spacing w:after="0" w:line="86" w:lineRule="exact"/>
        <w:rPr>
          <w:sz w:val="20"/>
          <w:szCs w:val="20"/>
          <w:color w:val="auto"/>
        </w:rPr>
      </w:pPr>
    </w:p>
    <w:p>
      <w:pPr>
        <w:ind w:right="3319" w:firstLine="787"/>
        <w:spacing w:after="0" w:line="280" w:lineRule="auto"/>
        <w:rPr>
          <w:sz w:val="20"/>
          <w:szCs w:val="20"/>
          <w:color w:val="auto"/>
        </w:rPr>
      </w:pPr>
      <w:r>
        <w:rPr>
          <w:rFonts w:ascii="Courier New" w:cs="Courier New" w:eastAsia="Courier New" w:hAnsi="Courier New"/>
          <w:sz w:val="14"/>
          <w:szCs w:val="14"/>
          <w:color w:val="auto"/>
        </w:rPr>
        <w:t>The awards under the Long-Term Incentive Plan are based upon the Company's financial performance as measured against the three year management plan approved by the Board of Directors. The financial performance measurements for the Long-Term Incentive Plan are EPS and ROE of the Company. Stockholders' equity at the start of the Company's first fiscal year of the applicable plan period is used as the base figure for the calculation of ROE.</w:t>
      </w:r>
    </w:p>
    <w:p>
      <w:pPr>
        <w:spacing w:after="0" w:line="67" w:lineRule="exact"/>
        <w:rPr>
          <w:sz w:val="20"/>
          <w:szCs w:val="20"/>
          <w:color w:val="auto"/>
        </w:rPr>
      </w:pPr>
    </w:p>
    <w:p>
      <w:pPr>
        <w:ind w:right="3319" w:firstLine="787"/>
        <w:spacing w:after="0" w:line="252" w:lineRule="auto"/>
        <w:rPr>
          <w:sz w:val="20"/>
          <w:szCs w:val="20"/>
          <w:color w:val="auto"/>
        </w:rPr>
      </w:pPr>
      <w:r>
        <w:rPr>
          <w:rFonts w:ascii="Courier New" w:cs="Courier New" w:eastAsia="Courier New" w:hAnsi="Courier New"/>
          <w:sz w:val="15"/>
          <w:szCs w:val="15"/>
          <w:color w:val="auto"/>
        </w:rPr>
        <w:t>Under the Long-Term Incentive Plan, the amount of the participants' long-term incentive award for the three year fiscal period is in direct proportion to the Company's financial performance expressed as a percentage (Financial Factor) against award targets for each participant determined by the Board of Directors prior to the commencement of the three fiscal year period. The Company's financial results for the three fiscal year period are used in determining the Financial Factor to be used for that plan period when calculating the participants long-term incentive awards.</w:t>
      </w:r>
    </w:p>
    <w:p>
      <w:pPr>
        <w:spacing w:after="0" w:line="86" w:lineRule="exact"/>
        <w:rPr>
          <w:sz w:val="20"/>
          <w:szCs w:val="20"/>
          <w:color w:val="auto"/>
        </w:rPr>
      </w:pPr>
    </w:p>
    <w:p>
      <w:pPr>
        <w:ind w:right="3239" w:firstLine="787"/>
        <w:spacing w:after="0" w:line="249" w:lineRule="auto"/>
        <w:rPr>
          <w:sz w:val="20"/>
          <w:szCs w:val="20"/>
          <w:color w:val="auto"/>
        </w:rPr>
      </w:pPr>
      <w:r>
        <w:rPr>
          <w:rFonts w:ascii="Courier New" w:cs="Courier New" w:eastAsia="Courier New" w:hAnsi="Courier New"/>
          <w:sz w:val="15"/>
          <w:szCs w:val="15"/>
          <w:color w:val="auto"/>
        </w:rPr>
        <w:t>The long-term incentive for the officers provides for an opportunity of 25% of the annualized base salary (Target) to be awarded in restricted stock at 100% achievement of the financial long-term objectives of EPS and ROE. The annualized base salary figure used is the salary in place for each participant as of January 2000. The stock target opportunity is established by dividing the base salary target by the mean stock price as of the first business day of the three fiscal year period. The share opportunity (at 100% of the three fiscal year management plan) will be adjusted up or down as determined by actual financial performance expressed as a percentage (Financial Factor) at the end of the three fiscal year period.</w:t>
      </w:r>
    </w:p>
    <w:p>
      <w:pPr>
        <w:spacing w:after="0" w:line="87"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5"/>
          <w:szCs w:val="15"/>
          <w:color w:val="auto"/>
        </w:rPr>
        <w:t>In the event of a "Change in Control" (as defined in the Long-Term Incentive Plan) participants are entitled to receive awards within 15 days of the Effective Date (as defined in the Long-Term Incentive Plan) based on the Committee's estimate of the Company's financial performance through the end of the Long-Term Incentive Plan three fiscal year period in which such Change in Control occurs.</w:t>
      </w:r>
    </w:p>
    <w:p>
      <w:pPr>
        <w:spacing w:after="0" w:line="81" w:lineRule="exact"/>
        <w:rPr>
          <w:sz w:val="20"/>
          <w:szCs w:val="20"/>
          <w:color w:val="auto"/>
        </w:rPr>
      </w:pPr>
    </w:p>
    <w:p>
      <w:pPr>
        <w:jc w:val="both"/>
        <w:ind w:right="3399" w:firstLine="787"/>
        <w:spacing w:after="0" w:line="290" w:lineRule="auto"/>
        <w:rPr>
          <w:sz w:val="20"/>
          <w:szCs w:val="20"/>
          <w:color w:val="auto"/>
        </w:rPr>
      </w:pPr>
      <w:r>
        <w:rPr>
          <w:rFonts w:ascii="Courier New" w:cs="Courier New" w:eastAsia="Courier New" w:hAnsi="Courier New"/>
          <w:sz w:val="15"/>
          <w:szCs w:val="15"/>
          <w:color w:val="auto"/>
        </w:rPr>
        <w:t>A participant must be employed by the Company at the end of the three fiscal year period to be eligible for any long-term incentive award except as waived by the Committee for normal retirement and disability.</w:t>
      </w:r>
    </w:p>
    <w:p>
      <w:pPr>
        <w:spacing w:after="0" w:line="57" w:lineRule="exact"/>
        <w:rPr>
          <w:sz w:val="20"/>
          <w:szCs w:val="20"/>
          <w:color w:val="auto"/>
        </w:rPr>
      </w:pPr>
    </w:p>
    <w:p>
      <w:pPr>
        <w:ind w:right="3319" w:firstLine="787"/>
        <w:spacing w:after="0" w:line="264" w:lineRule="auto"/>
        <w:rPr>
          <w:sz w:val="20"/>
          <w:szCs w:val="20"/>
          <w:color w:val="auto"/>
        </w:rPr>
      </w:pPr>
      <w:r>
        <w:rPr>
          <w:rFonts w:ascii="Courier New" w:cs="Courier New" w:eastAsia="Courier New" w:hAnsi="Courier New"/>
          <w:sz w:val="15"/>
          <w:szCs w:val="15"/>
          <w:color w:val="auto"/>
        </w:rPr>
        <w:t>Mr. Hertzke received $380,563 in fiscal 1999 and $161,538 in fiscal 1998 pursuant to the Incentive Compensation Plan. In addition, Mr. Hertzke was awarded discretionary bonuses of $50,000 in fiscal 1999 and $52,000 in fiscal 1998 in restricted Common Stock based on the Committee's positive assessment of his performance and contributions as CEO.</w:t>
      </w:r>
    </w:p>
    <w:p>
      <w:pPr>
        <w:spacing w:after="0" w:line="75" w:lineRule="exact"/>
        <w:rPr>
          <w:sz w:val="20"/>
          <w:szCs w:val="20"/>
          <w:color w:val="auto"/>
        </w:rPr>
      </w:pPr>
    </w:p>
    <w:p>
      <w:pPr>
        <w:ind w:right="3239" w:firstLine="787"/>
        <w:spacing w:after="0" w:line="287" w:lineRule="auto"/>
        <w:rPr>
          <w:sz w:val="20"/>
          <w:szCs w:val="20"/>
          <w:color w:val="auto"/>
        </w:rPr>
      </w:pPr>
      <w:r>
        <w:rPr>
          <w:rFonts w:ascii="Courier New" w:cs="Courier New" w:eastAsia="Courier New" w:hAnsi="Courier New"/>
          <w:sz w:val="14"/>
          <w:szCs w:val="14"/>
          <w:color w:val="auto"/>
        </w:rPr>
        <w:t>Other 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until six months after the date such</w:t>
      </w:r>
    </w:p>
    <w:p>
      <w:pPr>
        <w:sectPr>
          <w:pgSz w:w="11900" w:h="16884" w:orient="portrait"/>
          <w:cols w:equalWidth="0" w:num="1">
            <w:col w:w="10239"/>
          </w:cols>
          <w:pgMar w:left="220" w:top="429" w:right="1440" w:bottom="0" w:gutter="0" w:footer="0" w:header="0"/>
        </w:sectPr>
      </w:pPr>
    </w:p>
    <w:bookmarkStart w:id="17" w:name="page18"/>
    <w:bookmarkEnd w:id="17"/>
    <w:p>
      <w:pPr>
        <w:ind w:right="3239"/>
        <w:spacing w:after="0" w:line="258" w:lineRule="auto"/>
        <w:rPr>
          <w:sz w:val="20"/>
          <w:szCs w:val="20"/>
          <w:color w:val="auto"/>
        </w:rPr>
      </w:pPr>
      <w:r>
        <w:rPr>
          <w:rFonts w:ascii="Courier New" w:cs="Courier New" w:eastAsia="Courier New" w:hAnsi="Courier New"/>
          <w:sz w:val="15"/>
          <w:szCs w:val="15"/>
          <w:color w:val="auto"/>
        </w:rPr>
        <w:t>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During fiscal 1999, the Committee awarded Mr. Hertzke stock options for 41,250 shares of the</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15" w:right="1440" w:bottom="1440" w:gutter="0" w:footer="0" w:header="0"/>
        </w:sectPr>
      </w:pPr>
    </w:p>
    <w:bookmarkStart w:id="18" w:name="page19"/>
    <w:bookmarkEnd w:id="18"/>
    <w:p>
      <w:pPr>
        <w:ind w:right="3579"/>
        <w:spacing w:after="0" w:line="290" w:lineRule="auto"/>
        <w:rPr>
          <w:sz w:val="20"/>
          <w:szCs w:val="20"/>
          <w:color w:val="auto"/>
        </w:rPr>
      </w:pPr>
      <w:r>
        <w:rPr>
          <w:rFonts w:ascii="Courier New" w:cs="Courier New" w:eastAsia="Courier New" w:hAnsi="Courier New"/>
          <w:sz w:val="15"/>
          <w:szCs w:val="15"/>
          <w:color w:val="auto"/>
        </w:rPr>
        <w:t>Company's Common Stock under the 1997 Stock Option Plan. There were no stock options awarded during fiscal 1998 to Mr. Hertzke or any other executive officers.</w:t>
      </w:r>
    </w:p>
    <w:p>
      <w:pPr>
        <w:spacing w:after="0" w:line="57" w:lineRule="exact"/>
        <w:rPr>
          <w:sz w:val="20"/>
          <w:szCs w:val="20"/>
          <w:color w:val="auto"/>
        </w:rPr>
      </w:pPr>
    </w:p>
    <w:p>
      <w:pPr>
        <w:ind w:right="3319" w:firstLine="787"/>
        <w:spacing w:after="0" w:line="280" w:lineRule="auto"/>
        <w:rPr>
          <w:sz w:val="20"/>
          <w:szCs w:val="20"/>
          <w:color w:val="auto"/>
        </w:rPr>
      </w:pPr>
      <w:r>
        <w:rPr>
          <w:rFonts w:ascii="Courier New" w:cs="Courier New" w:eastAsia="Courier New" w:hAnsi="Courier New"/>
          <w:sz w:val="14"/>
          <w:szCs w:val="14"/>
          <w:color w:val="auto"/>
        </w:rPr>
        <w:t>Since all options are granted at the then-current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67" w:lineRule="exact"/>
        <w:rPr>
          <w:sz w:val="20"/>
          <w:szCs w:val="20"/>
          <w:color w:val="auto"/>
        </w:rPr>
      </w:pPr>
    </w:p>
    <w:p>
      <w:pPr>
        <w:ind w:right="3759" w:firstLine="787"/>
        <w:spacing w:after="0" w:line="344" w:lineRule="auto"/>
        <w:rPr>
          <w:sz w:val="20"/>
          <w:szCs w:val="20"/>
          <w:color w:val="auto"/>
        </w:rPr>
      </w:pPr>
      <w:r>
        <w:rPr>
          <w:rFonts w:ascii="Courier New" w:cs="Courier New" w:eastAsia="Courier New" w:hAnsi="Courier New"/>
          <w:sz w:val="15"/>
          <w:szCs w:val="15"/>
          <w:color w:val="auto"/>
        </w:rPr>
        <w:t>No member of the Human Resources Committee is a current or former officer or employee of the Company or any of its subsidiaries.</w:t>
      </w:r>
    </w:p>
    <w:p>
      <w:pPr>
        <w:spacing w:after="0" w:line="17" w:lineRule="exact"/>
        <w:rPr>
          <w:sz w:val="20"/>
          <w:szCs w:val="20"/>
          <w:color w:val="auto"/>
        </w:rPr>
      </w:pPr>
    </w:p>
    <w:p>
      <w:pPr>
        <w:spacing w:after="0"/>
        <w:tabs>
          <w:tab w:leader="none" w:pos="2780" w:val="left"/>
          <w:tab w:leader="none" w:pos="5160" w:val="left"/>
        </w:tabs>
        <w:rPr>
          <w:sz w:val="20"/>
          <w:szCs w:val="20"/>
          <w:color w:val="auto"/>
        </w:rPr>
      </w:pPr>
      <w:r>
        <w:rPr>
          <w:rFonts w:ascii="Courier New" w:cs="Courier New" w:eastAsia="Courier New" w:hAnsi="Courier New"/>
          <w:sz w:val="15"/>
          <w:szCs w:val="15"/>
          <w:color w:val="auto"/>
        </w:rPr>
        <w:t>Gerald C. Kitch</w:t>
      </w:r>
      <w:r>
        <w:rPr>
          <w:sz w:val="20"/>
          <w:szCs w:val="20"/>
          <w:color w:val="auto"/>
        </w:rPr>
        <w:tab/>
      </w:r>
      <w:r>
        <w:rPr>
          <w:rFonts w:ascii="Courier New" w:cs="Courier New" w:eastAsia="Courier New" w:hAnsi="Courier New"/>
          <w:sz w:val="15"/>
          <w:szCs w:val="15"/>
          <w:color w:val="auto"/>
        </w:rPr>
        <w:t>Richard C. Scott</w:t>
      </w:r>
      <w:r>
        <w:rPr>
          <w:sz w:val="20"/>
          <w:szCs w:val="20"/>
          <w:color w:val="auto"/>
        </w:rPr>
        <w:tab/>
      </w:r>
      <w:r>
        <w:rPr>
          <w:rFonts w:ascii="Courier New" w:cs="Courier New" w:eastAsia="Courier New" w:hAnsi="Courier New"/>
          <w:sz w:val="14"/>
          <w:szCs w:val="14"/>
          <w:color w:val="auto"/>
        </w:rPr>
        <w:t>Fredrick M. Zimmerman</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Members of the Human Resources Committee</w:t>
      </w:r>
    </w:p>
    <w:p>
      <w:pPr>
        <w:spacing w:after="0" w:line="2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of the Board of Directors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166" w:lineRule="exact"/>
        <w:rPr>
          <w:sz w:val="20"/>
          <w:szCs w:val="20"/>
          <w:color w:val="auto"/>
        </w:rPr>
      </w:pPr>
    </w:p>
    <w:p>
      <w:pPr>
        <w:ind w:right="3239" w:firstLine="787"/>
        <w:spacing w:after="0" w:line="269" w:lineRule="auto"/>
        <w:rPr>
          <w:sz w:val="20"/>
          <w:szCs w:val="20"/>
          <w:color w:val="auto"/>
        </w:rPr>
      </w:pPr>
      <w:r>
        <w:rPr>
          <w:rFonts w:ascii="Courier New" w:cs="Courier New" w:eastAsia="Courier New" w:hAnsi="Courier New"/>
          <w:sz w:val="14"/>
          <w:szCs w:val="14"/>
          <w:color w:val="auto"/>
        </w:rPr>
        <w:t>The following graph compares the five-year cumulative total shareholder return (including reinvestment of dividends) of the Company with the cumulative total return on the Standard &amp; Poor's 500 Index and a peer group1 of companies over the period indicated. It is assumed in the graph that $100 was invested in the Company's Common Stock, in the stock of the companies in the Standard &amp; Poor's 500 Index and in the stocks of the peer group companies on August 26, 1994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24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COMPARISON OF 5 YEAR CUMULATIVE TOTAL RETURN</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[PLOT POINTS CHART]</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TOTAL SHAREHOLDER RETURNS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Years Ending</w:t>
      </w:r>
    </w:p>
    <w:p>
      <w:pPr>
        <w:spacing w:after="0" w:line="166" w:lineRule="exact"/>
        <w:rPr>
          <w:sz w:val="20"/>
          <w:szCs w:val="20"/>
          <w:color w:val="auto"/>
        </w:rPr>
      </w:pPr>
    </w:p>
    <w:p>
      <w:pPr>
        <w:spacing w:after="0"/>
        <w:tabs>
          <w:tab w:leader="none" w:pos="2440" w:val="left"/>
          <w:tab w:leader="none" w:pos="3220" w:val="left"/>
          <w:tab w:leader="none" w:pos="4020" w:val="left"/>
          <w:tab w:leader="none" w:pos="4800" w:val="left"/>
          <w:tab w:leader="none" w:pos="5580" w:val="left"/>
          <w:tab w:leader="none" w:pos="6380" w:val="left"/>
        </w:tabs>
        <w:rPr>
          <w:sz w:val="20"/>
          <w:szCs w:val="20"/>
          <w:color w:val="auto"/>
        </w:rPr>
      </w:pPr>
      <w:r>
        <w:rPr>
          <w:rFonts w:ascii="Courier New" w:cs="Courier New" w:eastAsia="Courier New" w:hAnsi="Courier New"/>
          <w:sz w:val="15"/>
          <w:szCs w:val="15"/>
          <w:color w:val="auto"/>
        </w:rPr>
        <w:t>COMPANY NAME/INDEX</w:t>
      </w:r>
      <w:r>
        <w:rPr>
          <w:sz w:val="20"/>
          <w:szCs w:val="20"/>
          <w:color w:val="auto"/>
        </w:rPr>
        <w:tab/>
      </w:r>
      <w:r>
        <w:rPr>
          <w:rFonts w:ascii="Courier New" w:cs="Courier New" w:eastAsia="Courier New" w:hAnsi="Courier New"/>
          <w:sz w:val="15"/>
          <w:szCs w:val="15"/>
          <w:color w:val="auto"/>
        </w:rPr>
        <w:t>8/26/94</w:t>
        <w:tab/>
        <w:t>8/25/95</w:t>
        <w:tab/>
        <w:t>8/30/96</w:t>
        <w:tab/>
        <w:t>8/29/97</w:t>
        <w:tab/>
        <w:t>8/28/98</w:t>
      </w:r>
      <w:r>
        <w:rPr>
          <w:sz w:val="20"/>
          <w:szCs w:val="20"/>
          <w:color w:val="auto"/>
        </w:rPr>
        <w:tab/>
      </w:r>
      <w:r>
        <w:rPr>
          <w:rFonts w:ascii="Courier New" w:cs="Courier New" w:eastAsia="Courier New" w:hAnsi="Courier New"/>
          <w:sz w:val="14"/>
          <w:szCs w:val="14"/>
          <w:color w:val="auto"/>
        </w:rPr>
        <w:t>8/27/99</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52"/>
        </w:trPr>
        <w:tc>
          <w:tcPr>
            <w:tcW w:w="3120" w:type="dxa"/>
            <w:vAlign w:val="bottom"/>
            <w:gridSpan w:val="2"/>
          </w:tcPr>
          <w:p>
            <w:pPr>
              <w:spacing w:after="0" w:line="152" w:lineRule="exact"/>
              <w:rPr>
                <w:sz w:val="20"/>
                <w:szCs w:val="20"/>
                <w:color w:val="auto"/>
              </w:rPr>
            </w:pPr>
            <w:r>
              <w:rPr>
                <w:rFonts w:ascii="Courier New" w:cs="Courier New" w:eastAsia="Courier New" w:hAnsi="Courier New"/>
                <w:sz w:val="15"/>
                <w:szCs w:val="15"/>
                <w:color w:val="auto"/>
              </w:rPr>
              <w:t>Winnebago Industries, Inc. $100.00</w:t>
            </w:r>
          </w:p>
        </w:tc>
        <w:tc>
          <w:tcPr>
            <w:tcW w:w="820" w:type="dxa"/>
            <w:vAlign w:val="bottom"/>
          </w:tcPr>
          <w:p>
            <w:pPr>
              <w:jc w:val="right"/>
              <w:ind w:right="7"/>
              <w:spacing w:after="0" w:line="152" w:lineRule="exact"/>
              <w:rPr>
                <w:sz w:val="20"/>
                <w:szCs w:val="20"/>
                <w:color w:val="auto"/>
              </w:rPr>
            </w:pPr>
            <w:r>
              <w:rPr>
                <w:rFonts w:ascii="Courier New" w:cs="Courier New" w:eastAsia="Courier New" w:hAnsi="Courier New"/>
                <w:sz w:val="15"/>
                <w:szCs w:val="15"/>
                <w:color w:val="auto"/>
              </w:rPr>
              <w:t>$ 84.35</w:t>
            </w:r>
          </w:p>
        </w:tc>
        <w:tc>
          <w:tcPr>
            <w:tcW w:w="800" w:type="dxa"/>
            <w:vAlign w:val="bottom"/>
          </w:tcPr>
          <w:p>
            <w:pPr>
              <w:jc w:val="right"/>
              <w:ind w:right="27"/>
              <w:spacing w:after="0" w:line="152" w:lineRule="exact"/>
              <w:rPr>
                <w:sz w:val="20"/>
                <w:szCs w:val="20"/>
                <w:color w:val="auto"/>
              </w:rPr>
            </w:pPr>
            <w:r>
              <w:rPr>
                <w:rFonts w:ascii="Courier New" w:cs="Courier New" w:eastAsia="Courier New" w:hAnsi="Courier New"/>
                <w:sz w:val="15"/>
                <w:szCs w:val="15"/>
                <w:color w:val="auto"/>
              </w:rPr>
              <w:t>$ 84.71</w:t>
            </w:r>
          </w:p>
        </w:tc>
        <w:tc>
          <w:tcPr>
            <w:tcW w:w="780" w:type="dxa"/>
            <w:vAlign w:val="bottom"/>
          </w:tcPr>
          <w:p>
            <w:pPr>
              <w:jc w:val="right"/>
              <w:ind w:right="7"/>
              <w:spacing w:after="0" w:line="152" w:lineRule="exact"/>
              <w:rPr>
                <w:sz w:val="20"/>
                <w:szCs w:val="20"/>
                <w:color w:val="auto"/>
              </w:rPr>
            </w:pPr>
            <w:r>
              <w:rPr>
                <w:rFonts w:ascii="Courier New" w:cs="Courier New" w:eastAsia="Courier New" w:hAnsi="Courier New"/>
                <w:sz w:val="15"/>
                <w:szCs w:val="15"/>
                <w:color w:val="auto"/>
              </w:rPr>
              <w:t>$ 89.77</w:t>
            </w:r>
          </w:p>
        </w:tc>
        <w:tc>
          <w:tcPr>
            <w:tcW w:w="780" w:type="dxa"/>
            <w:vAlign w:val="bottom"/>
          </w:tcPr>
          <w:p>
            <w:pPr>
              <w:jc w:val="right"/>
              <w:ind w:right="7"/>
              <w:spacing w:after="0" w:line="152" w:lineRule="exact"/>
              <w:rPr>
                <w:sz w:val="20"/>
                <w:szCs w:val="20"/>
                <w:color w:val="auto"/>
              </w:rPr>
            </w:pPr>
            <w:r>
              <w:rPr>
                <w:rFonts w:ascii="Courier New" w:cs="Courier New" w:eastAsia="Courier New" w:hAnsi="Courier New"/>
                <w:sz w:val="15"/>
                <w:szCs w:val="15"/>
                <w:color w:val="auto"/>
              </w:rPr>
              <w:t>$121.83</w:t>
            </w:r>
          </w:p>
        </w:tc>
        <w:tc>
          <w:tcPr>
            <w:tcW w:w="70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$237.05</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 500 Index</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121.66</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145.15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204.63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237.83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290.23</w:t>
            </w:r>
          </w:p>
        </w:tc>
      </w:tr>
      <w:tr>
        <w:trPr>
          <w:trHeight w:val="245"/>
        </w:trPr>
        <w:tc>
          <w:tcPr>
            <w:tcW w:w="1800" w:type="dxa"/>
            <w:vAlign w:val="bottom"/>
          </w:tcPr>
          <w:p>
            <w:pPr>
              <w:spacing w:after="0"/>
              <w:rPr>
                <w:sz w:val="20"/>
                <w:szCs w:val="20"/>
                <w:color w:val="auto"/>
              </w:rPr>
            </w:pPr>
            <w:r>
              <w:rPr>
                <w:rFonts w:ascii="Courier New" w:cs="Courier New" w:eastAsia="Courier New" w:hAnsi="Courier New"/>
                <w:sz w:val="15"/>
                <w:szCs w:val="15"/>
                <w:color w:val="auto"/>
              </w:rPr>
              <w:t>Peer Group(1)</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83.58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121.56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135.49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151.73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89.61</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800" w:right="3239" w:hanging="790"/>
        <w:spacing w:after="0" w:line="255" w:lineRule="auto"/>
        <w:tabs>
          <w:tab w:leader="none" w:pos="8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peer group companies are Coachmen Industries, Inc., Fleetwood Enterprises, Inc., Thor Industries, Inc. and Winnebago Industries, Inc. The Company selected Coachmen Industries, Inc., Fleetwood Enterprises, Inc., and Thor Industries, Inc. on the basis of the similarity of their business to that of the Company.</w:t>
      </w: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66" w:right="1440" w:bottom="1440" w:gutter="0" w:footer="0" w:header="0"/>
        </w:sectPr>
      </w:pPr>
    </w:p>
    <w:bookmarkStart w:id="19" w:name="page20"/>
    <w:bookmarkEnd w:id="19"/>
    <w:p>
      <w:pPr>
        <w:jc w:val="center"/>
        <w:ind w:right="3239"/>
        <w:spacing w:after="0"/>
        <w:rPr>
          <w:sz w:val="20"/>
          <w:szCs w:val="20"/>
          <w:color w:val="auto"/>
        </w:rPr>
      </w:pPr>
      <w:r>
        <w:rPr>
          <w:rFonts w:ascii="Courier New" w:cs="Courier New" w:eastAsia="Courier New" w:hAnsi="Courier New"/>
          <w:sz w:val="15"/>
          <w:szCs w:val="15"/>
          <w:color w:val="auto"/>
        </w:rPr>
        <w:t>CHANGE IN CONTROL ARRANGEMENTS</w:t>
      </w:r>
    </w:p>
    <w:p>
      <w:pPr>
        <w:spacing w:after="0" w:line="166" w:lineRule="exact"/>
        <w:rPr>
          <w:sz w:val="20"/>
          <w:szCs w:val="20"/>
          <w:color w:val="auto"/>
        </w:rPr>
      </w:pPr>
    </w:p>
    <w:p>
      <w:pPr>
        <w:ind w:right="3239" w:firstLine="787"/>
        <w:spacing w:after="0" w:line="287" w:lineRule="auto"/>
        <w:rPr>
          <w:sz w:val="20"/>
          <w:szCs w:val="20"/>
          <w:color w:val="auto"/>
        </w:rPr>
      </w:pPr>
      <w:r>
        <w:rPr>
          <w:rFonts w:ascii="Courier New" w:cs="Courier New" w:eastAsia="Courier New" w:hAnsi="Courier New"/>
          <w:sz w:val="14"/>
          <w:szCs w:val="14"/>
          <w:color w:val="auto"/>
        </w:rPr>
        <w:t>In June 1997, the Board of Directors adopted a plan to provide protection to the Company's executives in the event of a change in control. If the employment of any of the named executive officers is terminated following a change in control, each of such officers will receive severance pay in an amount equal to three weeks of pay for every full year of continuous service.</w:t>
      </w:r>
    </w:p>
    <w:p>
      <w:pPr>
        <w:spacing w:after="0" w:line="229"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CERTAIN TRANSACTIONS WITH MANAGEMENT</w:t>
      </w:r>
    </w:p>
    <w:p>
      <w:pPr>
        <w:spacing w:after="0" w:line="166" w:lineRule="exact"/>
        <w:rPr>
          <w:sz w:val="20"/>
          <w:szCs w:val="20"/>
          <w:color w:val="auto"/>
        </w:rPr>
      </w:pPr>
    </w:p>
    <w:p>
      <w:pPr>
        <w:ind w:right="3319" w:firstLine="787"/>
        <w:spacing w:after="0" w:line="249" w:lineRule="auto"/>
        <w:rPr>
          <w:sz w:val="20"/>
          <w:szCs w:val="20"/>
          <w:color w:val="auto"/>
        </w:rPr>
      </w:pPr>
      <w:r>
        <w:rPr>
          <w:rFonts w:ascii="Courier New" w:cs="Courier New" w:eastAsia="Courier New" w:hAnsi="Courier New"/>
          <w:sz w:val="15"/>
          <w:szCs w:val="15"/>
          <w:color w:val="auto"/>
        </w:rPr>
        <w:t>The Company maintains normal banking relations on customary terms with Manufacturer's Bank &amp; Trust Company, Forest City and Crystal Lake, Iowa. Manufacturer's Bank &amp; Trust Company is a wholly owned subsidiary of MBT Corp. Mrs. Luise V. Hanson is a director of the Bank and MBT Corp. and owns approximately 37 percent of record and beneficially and Mr. John V. Hanson owns approximately 21 percent of record and beneficially of MBT Corp.'s outstanding stock. Mr. John V. Hanson is also a director of the Bank and MBT Corp. In addition, Mary Jo Boman, the wife of Gerald E. Boman, owns approximately 21 percent of record and beneficially of MBT Corp.'s outstanding stock and is a director of the Bank and MBT Corp.</w:t>
      </w:r>
    </w:p>
    <w:p>
      <w:pPr>
        <w:spacing w:after="0" w:line="25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ITEM 2</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AMENDMENTS TO THE COMPANY'S ARTICLES OF INCORPORATION</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RELATING TO THE BOARD OF DIRECTORS</w:t>
      </w:r>
    </w:p>
    <w:p>
      <w:pPr>
        <w:spacing w:after="0" w:line="140" w:lineRule="exact"/>
        <w:rPr>
          <w:sz w:val="20"/>
          <w:szCs w:val="20"/>
          <w:color w:val="auto"/>
        </w:rPr>
      </w:pPr>
    </w:p>
    <w:p>
      <w:pPr>
        <w:ind w:right="3239" w:firstLine="787"/>
        <w:spacing w:after="0" w:line="245" w:lineRule="auto"/>
        <w:rPr>
          <w:sz w:val="20"/>
          <w:szCs w:val="20"/>
          <w:color w:val="auto"/>
        </w:rPr>
      </w:pPr>
      <w:r>
        <w:rPr>
          <w:rFonts w:ascii="Courier New" w:cs="Courier New" w:eastAsia="Courier New" w:hAnsi="Courier New"/>
          <w:sz w:val="15"/>
          <w:szCs w:val="15"/>
          <w:color w:val="auto"/>
        </w:rPr>
        <w:t>The Board has unanimously determined that certain amendments to the Company's Amended and Restated Articles of Incorporation (the "ARTICLES OF INCORPORATION") are advisable and has voted to recommend such amendments to the Company's shareholders for approval. The proposed amendments to the Articles of Incorporation (i) classify the Board of Directors into three classes, as nearly equal in number as possible, each of which, after an interim arrangement, will serve for three years, with one class being elected each year, (ii) provide that the number of directors constituting the Board of Directors shall be not more than fifteen (15) and not less than three (3), the precise number to be determined by resolution of the Board of Directors from time to time, (iii) provide that Directors may be removed only for cause, and (iv) provide that the shareholder vote required to amend, repeal or adopt a provision inconsistent with the amendments described in (i), (ii) and (iii) above be increased from a majority of the votes cast by</w:t>
      </w:r>
    </w:p>
    <w:p>
      <w:pPr>
        <w:spacing w:after="0" w:line="26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66" w:right="1440" w:bottom="1440" w:gutter="0" w:footer="0" w:header="0"/>
        </w:sectPr>
      </w:pPr>
    </w:p>
    <w:bookmarkStart w:id="20" w:name="page21"/>
    <w:bookmarkEnd w:id="20"/>
    <w:p>
      <w:pPr>
        <w:ind w:right="3399"/>
        <w:spacing w:after="0" w:line="290" w:lineRule="auto"/>
        <w:rPr>
          <w:sz w:val="20"/>
          <w:szCs w:val="20"/>
          <w:color w:val="auto"/>
        </w:rPr>
      </w:pPr>
      <w:r>
        <w:rPr>
          <w:rFonts w:ascii="Courier New" w:cs="Courier New" w:eastAsia="Courier New" w:hAnsi="Courier New"/>
          <w:sz w:val="15"/>
          <w:szCs w:val="15"/>
          <w:color w:val="auto"/>
        </w:rPr>
        <w:t>all shareholders entitled to vote thereon to seventy-five percent (75%) of the outstanding shares of the Company entitled to vote thereon (collectively, the "DIRECTOR AMENDMENTS").</w:t>
      </w:r>
    </w:p>
    <w:p>
      <w:pPr>
        <w:spacing w:after="0" w:line="57" w:lineRule="exact"/>
        <w:rPr>
          <w:sz w:val="20"/>
          <w:szCs w:val="20"/>
          <w:color w:val="auto"/>
        </w:rPr>
      </w:pPr>
    </w:p>
    <w:p>
      <w:pPr>
        <w:ind w:right="3239" w:firstLine="787"/>
        <w:spacing w:after="0" w:line="266" w:lineRule="auto"/>
        <w:rPr>
          <w:sz w:val="20"/>
          <w:szCs w:val="20"/>
          <w:color w:val="auto"/>
        </w:rPr>
      </w:pPr>
      <w:r>
        <w:rPr>
          <w:rFonts w:ascii="Courier New" w:cs="Courier New" w:eastAsia="Courier New" w:hAnsi="Courier New"/>
          <w:sz w:val="14"/>
          <w:szCs w:val="14"/>
          <w:color w:val="auto"/>
        </w:rPr>
        <w:t>The Board believes that the Director Amendments would, if adopted, enhance the likelihood of continuity and stability in the composition of the Company's Board of Directors and in the policies formulated by the Board, and, at the same time, effectively reduce the possibility that a third party could effect a sudden or surprise change in majority control of the Company's Board of Directors without the support of the incumbent Board of Directors. However, adoption of the Director Amendments may have significant effects on the ability of shareholders of the Company to benefit from certain transactions which are opposed by the incumbent Board of Directors. Accordingly, shareholders are urged to read carefully the following section of this Proxy Statement, which describes the Director Amendments and their purpose and effect, and Appendix A hereto, which sets forth the full text of the Director Amendments.</w:t>
      </w:r>
    </w:p>
    <w:p>
      <w:pPr>
        <w:spacing w:after="0" w:line="77"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The Director Amendments are not being recommended in response to any specific effort of which the Company is aware to accumulate the Company's Common Stock or to effect control of the Company. The Director Amendments and the Preferred Stock Authorization Amendment described in Item 3 below, however, are part of a plan by the Board to adopt a series of anti-takeover amendments to the Articles of Incorporation. The Company's Articles of Incorporation and By-Laws (the "BY-LAWS") do not currently contain any specific provisions to deter non-negotiated takeovers of the Company (other than provisions in the By-Laws requiring the advance notice of nomination of candidates for election to the Board of Directors). The Board has observed the relatively common use of certain coercive takeover tactics, including the accumulation of substantial voting stock positions as a prelude to threatened takeovers or corporate restructurings, proxy fights and partial tender offers and the related use of "two-tier" pricing. The Board of Directors believes that the use of these tactics can place undue pressure on a corporation's board of directors and shareholders to act hastily and on incomplete information and, therefore, can be highly disruptive to a corporation and result in unfair differences in treatment of shareholders who act immediately in response to an announcement of takeover activity and those who choose to act later, if at all.</w:t>
      </w:r>
    </w:p>
    <w:p>
      <w:pPr>
        <w:spacing w:after="0" w:line="259" w:lineRule="exact"/>
        <w:rPr>
          <w:sz w:val="20"/>
          <w:szCs w:val="20"/>
          <w:color w:val="auto"/>
        </w:rPr>
      </w:pPr>
    </w:p>
    <w:p>
      <w:pPr>
        <w:ind w:right="3239" w:firstLine="787"/>
        <w:spacing w:after="0" w:line="246" w:lineRule="auto"/>
        <w:rPr>
          <w:sz w:val="20"/>
          <w:szCs w:val="20"/>
          <w:color w:val="auto"/>
        </w:rPr>
      </w:pPr>
      <w:r>
        <w:rPr>
          <w:rFonts w:ascii="Courier New" w:cs="Courier New" w:eastAsia="Courier New" w:hAnsi="Courier New"/>
          <w:sz w:val="15"/>
          <w:szCs w:val="15"/>
          <w:color w:val="auto"/>
        </w:rPr>
        <w:t>The Director Amendments are intended to encourage persons seeking to acquire control of the Company to initiate such an acquisition through arm's-length negotiations with the Company's management and Board of Directors. The Director Amendments, if adopted, may also have the effect of discouraging a third party from making a tender offer or otherwise attempting to obtain control of the Company, even though such an attempt might be beneficial to the Company and its shareholders. In addition, since the Director Amendments may discourage accumulations of large blocks of the Company's stock by purchasers whose objective is to have such stock repurchased by the Company at a premium, adoption of the Director Amendments could tend to reduce temporary fluctuations in the market price of the Company's stock which might be caused by such accumulations. Accordingly, shareholders could be deprived of certain opportunities to sell stock at a temporarily higher market price.</w:t>
      </w:r>
    </w:p>
    <w:p>
      <w:pPr>
        <w:spacing w:after="0" w:line="91" w:lineRule="exact"/>
        <w:rPr>
          <w:sz w:val="20"/>
          <w:szCs w:val="20"/>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Takeovers or changes in control in management of the Company which are proposed and effected without prior consultation and negotiation with the Company's management may not</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66" w:right="1440" w:bottom="1440" w:gutter="0" w:footer="0" w:header="0"/>
        </w:sectPr>
      </w:pPr>
    </w:p>
    <w:bookmarkStart w:id="21" w:name="page22"/>
    <w:bookmarkEnd w:id="21"/>
    <w:p>
      <w:pPr>
        <w:ind w:right="3239"/>
        <w:spacing w:after="0" w:line="264" w:lineRule="auto"/>
        <w:rPr>
          <w:sz w:val="20"/>
          <w:szCs w:val="20"/>
          <w:color w:val="auto"/>
        </w:rPr>
      </w:pPr>
      <w:r>
        <w:rPr>
          <w:rFonts w:ascii="Courier New" w:cs="Courier New" w:eastAsia="Courier New" w:hAnsi="Courier New"/>
          <w:sz w:val="15"/>
          <w:szCs w:val="15"/>
          <w:color w:val="auto"/>
        </w:rPr>
        <w:t>always be detrimental to the Company and its shareholders. However, the Board of Directors feels that the benefits of seeking to protect its ability to negotiate with the proponent of an unfriendly or unsolicited proposal to take over or restructure the Company outweigh the disadvantages of discouraging such proposals.</w:t>
      </w:r>
    </w:p>
    <w:p>
      <w:pPr>
        <w:spacing w:after="0" w:line="75"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4"/>
          <w:szCs w:val="14"/>
          <w:color w:val="auto"/>
        </w:rPr>
        <w:t>The adoption of the Director Amendments would make more difficult or discourage a proxy contest or the assumption of control by a holder of a substantial block of the Company's Common Stock or the removal of the incumbent Board of Directors and thus may tend to continue the Company's incumbent Board of Directors in office. At the same time, the Director Amendments would help ensure that the Board, if confronted by a surprise proposal from a third party, will have sufficient time to review the proposal and appropriate alternatives to the proposal and to seek a premium price for the shareholders.</w:t>
      </w:r>
    </w:p>
    <w:p>
      <w:pPr>
        <w:spacing w:after="0" w:line="71"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The Company's By-Laws currently provide that all directors are to be elected to the Board of Directors annually and shall hold office until the annual meeting of shareholders next following their election and until their successors have been elected and qualified. The proposed new Article VI of the Articles of Incorporation (as set forth in Appendix A) provides that the Board of Directors shall be divided into three classes of directors, each class to be as nearly equal in number as possible. As indicated elsewhere in this Proxy Statement, if Item 2 is adopted, the Company's Directors will be divided into three classes, one class to hold office initially until the annual meeting of shareholders to be held in 2001, a second class to hold office initially until the annual meeting of shareholders to be held in 2002 and a third class to hold office initially until the annual meeting of shareholders to be held in 2003 (in each case, until their respective successors are duly elected and qualified). At each annual meeting of shareholders commencing with the annual meeting to be held in 2001, the successors to the class of directors whose term then expires shall be elected to serve a three-year term (and until their respective successors are duly elected and qualified). If the Director Amendments to the Articles of Incorporation are adopted, the By-Laws will be amended to be consistent with the amendments to the Articles of Incorporation relating to the classification of the Board of Directors.</w:t>
      </w:r>
    </w:p>
    <w:p>
      <w:pPr>
        <w:spacing w:after="0" w:line="255" w:lineRule="exact"/>
        <w:rPr>
          <w:sz w:val="20"/>
          <w:szCs w:val="20"/>
          <w:color w:val="auto"/>
        </w:rPr>
      </w:pPr>
    </w:p>
    <w:p>
      <w:pPr>
        <w:ind w:right="3239" w:firstLine="787"/>
        <w:spacing w:after="0" w:line="263" w:lineRule="auto"/>
        <w:rPr>
          <w:sz w:val="20"/>
          <w:szCs w:val="20"/>
          <w:color w:val="auto"/>
        </w:rPr>
      </w:pPr>
      <w:r>
        <w:rPr>
          <w:rFonts w:ascii="Courier New" w:cs="Courier New" w:eastAsia="Courier New" w:hAnsi="Courier New"/>
          <w:sz w:val="14"/>
          <w:szCs w:val="14"/>
          <w:color w:val="auto"/>
        </w:rPr>
        <w:t>The Articles of Incorporation do not permit cumulative voting in the election of directors. Accordingly, the holders of a majority of the voting power of the outstanding shares of the Company's voting stock could now elect all of the directors being elected at any annual or special meeting of the Company's shareholders. However, the classification of the Board of Directors pursuant to the Director Amendments will apply to every election of directors, whether or not a change in control of the Company has occurred or the holders of a majority of the voting stock of the Company desire to change the Board of Directors. The classification of the Board of Directors will have the effect of making it more difficult to change the composition of the Board of Directors. At least two shareholder meetings, instead of one, will be required to effect a change in control of the Board of Directors. The Board believes that the longer time required to elect a majority of a classified Board of Directors will help to assure the continuity and stability of the Company's management and policies in the future, since a majority of the directors at any given time will have prior experience as directors of the Company.</w:t>
      </w:r>
    </w:p>
    <w:p>
      <w:pPr>
        <w:spacing w:after="0" w:line="79" w:lineRule="exact"/>
        <w:rPr>
          <w:sz w:val="20"/>
          <w:szCs w:val="20"/>
          <w:color w:val="auto"/>
        </w:rPr>
      </w:pPr>
    </w:p>
    <w:p>
      <w:pPr>
        <w:ind w:right="3399" w:firstLine="787"/>
        <w:spacing w:after="0" w:line="290" w:lineRule="auto"/>
        <w:rPr>
          <w:sz w:val="20"/>
          <w:szCs w:val="20"/>
          <w:color w:val="auto"/>
        </w:rPr>
      </w:pPr>
      <w:r>
        <w:rPr>
          <w:rFonts w:ascii="Courier New" w:cs="Courier New" w:eastAsia="Courier New" w:hAnsi="Courier New"/>
          <w:sz w:val="15"/>
          <w:szCs w:val="15"/>
          <w:color w:val="auto"/>
        </w:rPr>
        <w:t>The Articles of Incorporation currently provide that the number of directors constituting the Board of Directors of the Company shall be not more than fifteen (15) and not less than three</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66" w:right="1440" w:bottom="1440" w:gutter="0" w:footer="0" w:header="0"/>
        </w:sectPr>
      </w:pPr>
    </w:p>
    <w:bookmarkStart w:id="22" w:name="page23"/>
    <w:bookmarkEnd w:id="22"/>
    <w:p>
      <w:pPr>
        <w:ind w:right="3239"/>
        <w:spacing w:after="0" w:line="264" w:lineRule="auto"/>
        <w:rPr>
          <w:sz w:val="20"/>
          <w:szCs w:val="20"/>
          <w:color w:val="auto"/>
        </w:rPr>
      </w:pPr>
      <w:r>
        <w:rPr>
          <w:rFonts w:ascii="Courier New" w:cs="Courier New" w:eastAsia="Courier New" w:hAnsi="Courier New"/>
          <w:sz w:val="14"/>
          <w:szCs w:val="14"/>
          <w:color w:val="auto"/>
        </w:rPr>
        <w:t>(3), the precise number to be specified in the Company's By-Laws. Iowa law provides that shareholders may amend a corporation's by-laws at any time. The purpose of this change is to prevent the holder of a majority of the voting stock of the Company present at a shareholder meeting from amending the Company's By-Laws to increase the number of directors and then electing a majority of the directors. Consequently, in order to protect the Board's ability to negotiate with the proponent of an unfriendly or unsolicited proposal to take over or restructure the Company, the Articles of Incorporation should be amended to provide that the Directors shall determine the number of Directors constituting the Board of Directors by resolution and NOT pursuant to the By-Laws. If the Director Amendments to the Articles of Incorporation are approved, the By-Laws will be amended to be consistent with the amendments to the Articles of Incorporation relating to the Board of Director's determination by resolution of the number of directors constituting the Board of Directors.</w:t>
      </w:r>
    </w:p>
    <w:p>
      <w:pPr>
        <w:spacing w:after="0" w:line="81" w:lineRule="exact"/>
        <w:rPr>
          <w:sz w:val="20"/>
          <w:szCs w:val="20"/>
          <w:color w:val="auto"/>
        </w:rPr>
      </w:pPr>
    </w:p>
    <w:p>
      <w:pPr>
        <w:ind w:right="3399" w:firstLine="787"/>
        <w:spacing w:after="0" w:line="266" w:lineRule="auto"/>
        <w:rPr>
          <w:sz w:val="20"/>
          <w:szCs w:val="20"/>
          <w:color w:val="auto"/>
        </w:rPr>
      </w:pPr>
      <w:r>
        <w:rPr>
          <w:rFonts w:ascii="Courier New" w:cs="Courier New" w:eastAsia="Courier New" w:hAnsi="Courier New"/>
          <w:sz w:val="14"/>
          <w:szCs w:val="14"/>
          <w:color w:val="auto"/>
        </w:rPr>
        <w:t>Iowa law provides that shareholders may remove one or more directors with or without cause unless the articles of incorporation provide that directors may be removed only for cause. The proposed Director Amendments provide that shareholders may remove directors only for cause. The purpose of this change is to prevent a shareholder with a majority of the voting stock of the Company present at a shareholder meeting from negating the effect of a staggered board by simply voting to remove without cause previously elected directors whose terms have not yet expired. Consequently, in order for a staggered board to be effective in protecting the Board's ability to negotiate with the proponent of an unfriendly or unsolicited proposal to take over or restructure the Company, the Articles of Incorporation should be amended to provide that directors may be removed only for cause.</w:t>
      </w:r>
    </w:p>
    <w:p>
      <w:pPr>
        <w:spacing w:after="0" w:line="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The proposed requirements of a super-majority vote of the shareholders to alter, amend, repeal or adopt any provision inconsistent with the proposed Article VI of the Articles of Incorporation is also designed to prevent a shareholder with a majority of the voting stock of the Company present at a shareholder meeting from avoiding the provisions relating to the classification, number and removal of members of the Board of Directors simply by voting to repeal or amend them.</w:t>
      </w:r>
    </w:p>
    <w:p>
      <w:pPr>
        <w:spacing w:after="0" w:line="82" w:lineRule="exact"/>
        <w:rPr>
          <w:sz w:val="20"/>
          <w:szCs w:val="20"/>
          <w:color w:val="auto"/>
        </w:rPr>
      </w:pPr>
    </w:p>
    <w:p>
      <w:pPr>
        <w:ind w:right="3839" w:firstLine="787"/>
        <w:spacing w:after="0" w:line="381" w:lineRule="auto"/>
        <w:rPr>
          <w:sz w:val="20"/>
          <w:szCs w:val="20"/>
          <w:color w:val="auto"/>
        </w:rPr>
      </w:pPr>
      <w:r>
        <w:rPr>
          <w:rFonts w:ascii="Courier New" w:cs="Courier New" w:eastAsia="Courier New" w:hAnsi="Courier New"/>
          <w:sz w:val="14"/>
          <w:szCs w:val="14"/>
          <w:color w:val="auto"/>
        </w:rPr>
        <w:t>The affirmative vote of a majority of the votes cast by all shareholders entitled to vote thereon is required to approve this Item 2.</w:t>
      </w:r>
    </w:p>
    <w:p>
      <w:pPr>
        <w:spacing w:after="0" w:line="1"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5"/>
          <w:szCs w:val="15"/>
          <w:color w:val="auto"/>
        </w:rPr>
        <w:t>THE BOARD OF DIRECTORS UNANIMOUSLY RECOMMENDS A VOTE FOR THE DIRECTOR AMENDMENTS TO THE COMPANY'S ARTICLES OF INCORPORATION, ITEM 2. PROXIES SOLICITED BY THE BOARD OF DIRECTORS WILL BE SO VOTED UNLESS SHAREHOLDERS SPECIFY A DIFFERENT CHOICE.</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66" w:right="1440" w:bottom="1440" w:gutter="0" w:footer="0" w:header="0"/>
        </w:sectPr>
      </w:pPr>
    </w:p>
    <w:bookmarkStart w:id="23" w:name="page24"/>
    <w:bookmarkEnd w:id="23"/>
    <w:p>
      <w:pPr>
        <w:jc w:val="center"/>
        <w:ind w:right="3239"/>
        <w:spacing w:after="0"/>
        <w:rPr>
          <w:sz w:val="20"/>
          <w:szCs w:val="20"/>
          <w:color w:val="auto"/>
        </w:rPr>
      </w:pPr>
      <w:r>
        <w:rPr>
          <w:rFonts w:ascii="Courier New" w:cs="Courier New" w:eastAsia="Courier New" w:hAnsi="Courier New"/>
          <w:sz w:val="15"/>
          <w:szCs w:val="15"/>
          <w:color w:val="auto"/>
        </w:rPr>
        <w:t>ITEM 3</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AMENDMENTS OF THE COMPANY'S AMENDED AND</w:t>
      </w:r>
    </w:p>
    <w:p>
      <w:pPr>
        <w:spacing w:after="0" w:line="2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RESTATED ARTICLES OF INCORPORATION TO AUTHORIZE</w:t>
      </w:r>
    </w:p>
    <w:p>
      <w:pPr>
        <w:ind w:left="1840"/>
        <w:spacing w:after="0"/>
        <w:rPr>
          <w:sz w:val="20"/>
          <w:szCs w:val="20"/>
          <w:color w:val="auto"/>
        </w:rPr>
      </w:pPr>
      <w:r>
        <w:rPr>
          <w:rFonts w:ascii="Courier New" w:cs="Courier New" w:eastAsia="Courier New" w:hAnsi="Courier New"/>
          <w:sz w:val="15"/>
          <w:szCs w:val="15"/>
          <w:color w:val="auto"/>
        </w:rPr>
        <w:t>A CLASS OF BLANK CHECK PREFERRED STOCK</w:t>
      </w:r>
    </w:p>
    <w:p>
      <w:pPr>
        <w:spacing w:after="0" w:line="140"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The Board of Directors has unanimously determined that an amendment (the "PREFERRED STOCK AUTHORIZATION AMENDMENT") to the Company's Articles of Incorporation to authorize a class of preferred stock commonly known as "blank check" preferred stock (the "PREFERRED STOCK") is advisable and has voted to recommend such amendment to the Company's shareholders for approval. If the Preferred Stock Authorization Amendment is adopted, Article IV of the Company's Articles of Incorporation would be amended as provided in Appendix B hereto, which sets forth the full text of the Preferred Stock Authorization Amendment. The Board believes that the creation of the Preferred Stock is in the best interests of the Company and its shareholders and believes it is advisable to authorize such shares to have them available for, among other things, the Rights Plan described below or the related use of such shares as a means to make more difficult or discourage an attempt to obtain control of the Company by means of a merger, tender offer, proxy contest or other means as well as in connection with such activities as public or private offerings of shares for cash. However, adoption of the Preferred Stock Authorization Amendment may have significant effects on the ability of shareholders of the Company to benefit from certain transactions which are opposed by the incumbent Board of Directors. Accordingly, shareholders are urged to read carefully the following section of this Proxy Statement, which describes the Preferred Stock Authorization Amendment and its purpose and effect and Appendix B.</w:t>
      </w:r>
    </w:p>
    <w:p>
      <w:pPr>
        <w:spacing w:after="0" w:line="251"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5"/>
          <w:szCs w:val="15"/>
          <w:color w:val="auto"/>
        </w:rPr>
        <w:t>The Board of Directors further believes that the ability of the Board to issue one or more series of Preferred Stock will provide the Company with increased flexibility in structuring possible future financings, acquisitions and strategic alliances and in meeting other corporate needs. The Company does not have any present plans, commitments, agreements or understandings involving the issuance of shares of Preferred Stock, except as described below with respect to the Rights.</w:t>
      </w:r>
    </w:p>
    <w:p>
      <w:pPr>
        <w:spacing w:after="0" w:line="82" w:lineRule="exact"/>
        <w:rPr>
          <w:sz w:val="20"/>
          <w:szCs w:val="20"/>
          <w:color w:val="auto"/>
        </w:rPr>
      </w:pPr>
    </w:p>
    <w:p>
      <w:pPr>
        <w:ind w:right="3239" w:firstLine="787"/>
        <w:spacing w:after="0" w:line="267" w:lineRule="auto"/>
        <w:rPr>
          <w:sz w:val="20"/>
          <w:szCs w:val="20"/>
          <w:color w:val="auto"/>
        </w:rPr>
      </w:pPr>
      <w:r>
        <w:rPr>
          <w:rFonts w:ascii="Courier New" w:cs="Courier New" w:eastAsia="Courier New" w:hAnsi="Courier New"/>
          <w:sz w:val="14"/>
          <w:szCs w:val="14"/>
          <w:color w:val="auto"/>
        </w:rPr>
        <w:t>As amended, Article IV of the Company's Articles of Incorporation would grant to the Board of Directors the power to authorize the issuance of one or more series of Preferred Stock and to determine with respect to any series of Preferred Stock the preferences, rights and other terms of such series. Accordingly, by resolution of the Board of Directors, the Board would establish the voting powers, designations, preferences, limitations and relative rights of each series of Preferred Stock. The authorized Preferred Stock would be available for issuance without further action by the Company's shareholders, unless such action is required by applicable law or the rules of any stock exchange or automated quotation system on which any shares of Preferred Stock may be listed or traded at the time of issuance or proposed issuance.</w:t>
      </w:r>
    </w:p>
    <w:p>
      <w:pPr>
        <w:spacing w:after="0" w:line="78" w:lineRule="exact"/>
        <w:rPr>
          <w:sz w:val="20"/>
          <w:szCs w:val="20"/>
          <w:color w:val="auto"/>
        </w:rPr>
      </w:pPr>
    </w:p>
    <w:p>
      <w:pPr>
        <w:ind w:right="3319" w:firstLine="787"/>
        <w:spacing w:after="0" w:line="385" w:lineRule="auto"/>
        <w:rPr>
          <w:sz w:val="20"/>
          <w:szCs w:val="20"/>
          <w:color w:val="auto"/>
        </w:rPr>
      </w:pPr>
      <w:r>
        <w:rPr>
          <w:rFonts w:ascii="Courier New" w:cs="Courier New" w:eastAsia="Courier New" w:hAnsi="Courier New"/>
          <w:sz w:val="14"/>
          <w:szCs w:val="14"/>
          <w:color w:val="auto"/>
        </w:rPr>
        <w:t>The Company's Articles of Incorporation presently authorize 60,000,000 shares of Common Stock and no change to that number of shares is requested.</w:t>
      </w:r>
    </w:p>
    <w:p>
      <w:pPr>
        <w:spacing w:after="0" w:line="16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66" w:right="1440" w:bottom="1440" w:gutter="0" w:footer="0" w:header="0"/>
        </w:sectPr>
      </w:pPr>
    </w:p>
    <w:bookmarkStart w:id="24" w:name="page25"/>
    <w:bookmarkEnd w:id="24"/>
    <w:p>
      <w:pPr>
        <w:ind w:right="3239" w:firstLine="787"/>
        <w:spacing w:after="0" w:line="260" w:lineRule="auto"/>
        <w:rPr>
          <w:sz w:val="20"/>
          <w:szCs w:val="20"/>
          <w:color w:val="auto"/>
        </w:rPr>
      </w:pPr>
      <w:r>
        <w:rPr>
          <w:rFonts w:ascii="Courier New" w:cs="Courier New" w:eastAsia="Courier New" w:hAnsi="Courier New"/>
          <w:sz w:val="14"/>
          <w:szCs w:val="14"/>
          <w:color w:val="auto"/>
        </w:rPr>
        <w:t>In the event the Preferred Stock Authorization Amendment is approved by the Company's shareholders, the Board of Directors expects to adopt a Rights Plan (the "RIGHTS PLAN") which may involve the issuance of Preferred Stock. Shareholder approval is not required in order to adopt the Rights Plan. A Rights Plan is intended to protect the interests of shareholders in the event the Company is confronted with coercive or unfair takeover tactics, including (a) a partial or two-tiered tender offer that does not treat all shareholders equally,</w:t>
      </w:r>
    </w:p>
    <w:p>
      <w:pPr>
        <w:spacing w:after="0" w:line="1" w:lineRule="exact"/>
        <w:rPr>
          <w:sz w:val="20"/>
          <w:szCs w:val="20"/>
          <w:color w:val="auto"/>
        </w:rPr>
      </w:pPr>
    </w:p>
    <w:p>
      <w:pPr>
        <w:ind w:right="3319" w:firstLine="10"/>
        <w:spacing w:after="0" w:line="251"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in the open market or otherwise of shares constituting control without offering fair value to all shareholders or (c) other abusive takeover or disruptive tactics. Adoption of the Rights Plan may discourage or make more difficult or expensive certain mergers, tender offers or other purchases of the Company's Common Stock and might discourage potential takeover attempts.</w:t>
      </w:r>
    </w:p>
    <w:p>
      <w:pPr>
        <w:spacing w:after="0" w:line="85"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5"/>
          <w:szCs w:val="15"/>
          <w:color w:val="auto"/>
        </w:rPr>
        <w:t>If a Rights Plan is adopted, the Company will send notice of its adoption (including a description of the Rights Plan) to each shareholder as of the record date established for purposes of determining shareholders entitled to receive Rights.</w:t>
      </w:r>
    </w:p>
    <w:p>
      <w:pPr>
        <w:spacing w:after="0" w:line="68" w:lineRule="exact"/>
        <w:rPr>
          <w:sz w:val="20"/>
          <w:szCs w:val="20"/>
          <w:color w:val="auto"/>
        </w:rPr>
      </w:pPr>
    </w:p>
    <w:p>
      <w:pPr>
        <w:ind w:right="3239" w:firstLine="787"/>
        <w:spacing w:after="0" w:line="269" w:lineRule="auto"/>
        <w:rPr>
          <w:sz w:val="20"/>
          <w:szCs w:val="20"/>
          <w:color w:val="auto"/>
        </w:rPr>
      </w:pPr>
      <w:r>
        <w:rPr>
          <w:rFonts w:ascii="Courier New" w:cs="Courier New" w:eastAsia="Courier New" w:hAnsi="Courier New"/>
          <w:sz w:val="14"/>
          <w:szCs w:val="14"/>
          <w:color w:val="auto"/>
        </w:rPr>
        <w:t>As stated in the description of the Director Amendments, the Preferred Stock Authorization Amendment and the Director Amendments are not being recommended in response to any specific effort of which the Company is aware to accumulate the Company's Common Stock or to effect control of the Company. The Preferred Stock Authorization Amendment and the Director Amendments described in Item 2 above, however, are part of a plan by the Board to adopt a series of anti-takeover amendments to the Articles of Incorporation. The Board believes that the Preferred Stock Authorization Amendment is in the best interests of the Company and its shareholders for the same reasons described in Item 2 above as well as for the reasons described in this section.</w:t>
      </w:r>
    </w:p>
    <w:p>
      <w:pPr>
        <w:spacing w:after="0" w:line="73" w:lineRule="exact"/>
        <w:rPr>
          <w:sz w:val="20"/>
          <w:szCs w:val="20"/>
          <w:color w:val="auto"/>
        </w:rPr>
      </w:pPr>
    </w:p>
    <w:p>
      <w:pPr>
        <w:ind w:right="3319" w:firstLine="787"/>
        <w:spacing w:after="0" w:line="248" w:lineRule="auto"/>
        <w:rPr>
          <w:sz w:val="20"/>
          <w:szCs w:val="20"/>
          <w:color w:val="auto"/>
        </w:rPr>
      </w:pPr>
      <w:r>
        <w:rPr>
          <w:rFonts w:ascii="Courier New" w:cs="Courier New" w:eastAsia="Courier New" w:hAnsi="Courier New"/>
          <w:sz w:val="15"/>
          <w:szCs w:val="15"/>
          <w:color w:val="auto"/>
        </w:rPr>
        <w:t>It is not possible to determine the actual effect of the Preferred Stock on the rights of the holders of Common Stock until the Board of Directors determines the rights of the holders of a series of the Preferred Stock. However, such effects might include (i) restrictions on the payments of dividends to holders of the Common Stock; (ii) dilution of voting power to the extent that the holders of the Preferred Stock are given voting rights; (iii) dilution of the equity interests and voting power if the Preferred Stock is convertible into Common Stock; and (iv) restrictions upon any distribution of assets to the holders of the Common Stock upon liquidation or dissolution and until the satisfaction of any liquidation preference granted to the holders of Preferred Stock.</w:t>
      </w:r>
    </w:p>
    <w:p>
      <w:pPr>
        <w:spacing w:after="0" w:line="87" w:lineRule="exact"/>
        <w:rPr>
          <w:sz w:val="20"/>
          <w:szCs w:val="20"/>
          <w:color w:val="auto"/>
        </w:rPr>
      </w:pPr>
    </w:p>
    <w:p>
      <w:pPr>
        <w:ind w:right="3239" w:firstLine="787"/>
        <w:spacing w:after="0" w:line="246" w:lineRule="auto"/>
        <w:rPr>
          <w:sz w:val="20"/>
          <w:szCs w:val="20"/>
          <w:color w:val="auto"/>
        </w:rPr>
      </w:pPr>
      <w:r>
        <w:rPr>
          <w:rFonts w:ascii="Courier New" w:cs="Courier New" w:eastAsia="Courier New" w:hAnsi="Courier New"/>
          <w:sz w:val="15"/>
          <w:szCs w:val="15"/>
          <w:color w:val="auto"/>
        </w:rPr>
        <w:t>The Board of Directors is required by Iowa law to make any determination to issue shares of Preferred Stock based upon its judgment as advisable and in the best interests of the shareholders and the Company. Although the Board of Directors has no present intention of doing so, as noted above, it could, in the future, issue a series of Preferred Stock which, due to its terms, could impede or discourage an attempt to obtain control of the Company by means of a merger, tender offer, proxy contest or other transaction. Consequently, the Board of Directors may be able to effectively block a transaction that some or a majority of the Company's shareholders might believe to be in their best interests or in which the shareholders might receive a premium over then-prevailing market prices for the Common Stock. For example, if in the due exercise of its fiduciary obligations, the Board of Directors were to determine that a takeover</w:t>
      </w: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66" w:right="1440" w:bottom="1440" w:gutter="0" w:footer="0" w:header="0"/>
        </w:sectPr>
      </w:pPr>
    </w:p>
    <w:bookmarkStart w:id="25" w:name="page26"/>
    <w:bookmarkEnd w:id="25"/>
    <w:p>
      <w:pPr>
        <w:ind w:right="3239"/>
        <w:spacing w:after="0" w:line="280" w:lineRule="auto"/>
        <w:rPr>
          <w:sz w:val="20"/>
          <w:szCs w:val="20"/>
          <w:color w:val="auto"/>
        </w:rPr>
      </w:pPr>
      <w:r>
        <w:rPr>
          <w:rFonts w:ascii="Courier New" w:cs="Courier New" w:eastAsia="Courier New" w:hAnsi="Courier New"/>
          <w:sz w:val="14"/>
          <w:szCs w:val="14"/>
          <w:color w:val="auto"/>
        </w:rPr>
        <w:t>proposal is not in the Company's best interests, the Board of Directors could cause shares of Preferred Stock to be issued without shareholder approval in one or more private offerings or other transactions that might dilute the voting or other rights of the proposed acquirer or insurgent shareholder or shareholder group or create a substantial voting block in institutional or other hands that might undertake to support the position of the incumbent Board of Directors.</w:t>
      </w:r>
    </w:p>
    <w:p>
      <w:pPr>
        <w:spacing w:after="0" w:line="67" w:lineRule="exact"/>
        <w:rPr>
          <w:sz w:val="20"/>
          <w:szCs w:val="20"/>
          <w:color w:val="auto"/>
        </w:rPr>
      </w:pPr>
    </w:p>
    <w:p>
      <w:pPr>
        <w:ind w:right="3499" w:firstLine="787"/>
        <w:spacing w:after="0" w:line="290" w:lineRule="auto"/>
        <w:rPr>
          <w:sz w:val="20"/>
          <w:szCs w:val="20"/>
          <w:color w:val="auto"/>
        </w:rPr>
      </w:pPr>
      <w:r>
        <w:rPr>
          <w:rFonts w:ascii="Courier New" w:cs="Courier New" w:eastAsia="Courier New" w:hAnsi="Courier New"/>
          <w:sz w:val="15"/>
          <w:szCs w:val="15"/>
          <w:color w:val="auto"/>
        </w:rPr>
        <w:t>Under Iowa law, the shareholders will not have any dissenters' or appraisal rights in connection with the proposed amendment of the Articles of Incorporation.</w:t>
      </w:r>
    </w:p>
    <w:p>
      <w:pPr>
        <w:spacing w:after="0" w:line="57" w:lineRule="exact"/>
        <w:rPr>
          <w:sz w:val="20"/>
          <w:szCs w:val="20"/>
          <w:color w:val="auto"/>
        </w:rPr>
      </w:pPr>
    </w:p>
    <w:p>
      <w:pPr>
        <w:ind w:right="3839" w:firstLine="787"/>
        <w:spacing w:after="0" w:line="381" w:lineRule="auto"/>
        <w:rPr>
          <w:sz w:val="20"/>
          <w:szCs w:val="20"/>
          <w:color w:val="auto"/>
        </w:rPr>
      </w:pPr>
      <w:r>
        <w:rPr>
          <w:rFonts w:ascii="Courier New" w:cs="Courier New" w:eastAsia="Courier New" w:hAnsi="Courier New"/>
          <w:sz w:val="14"/>
          <w:szCs w:val="14"/>
          <w:color w:val="auto"/>
        </w:rPr>
        <w:t>The affirmative vote of a majority of the votes cast by all shareholders entitled to vote thereon is required to approve this Item 3.</w:t>
      </w:r>
    </w:p>
    <w:p>
      <w:pPr>
        <w:spacing w:after="0" w:line="1" w:lineRule="exact"/>
        <w:rPr>
          <w:sz w:val="20"/>
          <w:szCs w:val="20"/>
          <w:color w:val="auto"/>
        </w:rPr>
      </w:pPr>
    </w:p>
    <w:p>
      <w:pPr>
        <w:ind w:right="3319" w:firstLine="787"/>
        <w:spacing w:after="0" w:line="274" w:lineRule="auto"/>
        <w:rPr>
          <w:sz w:val="20"/>
          <w:szCs w:val="20"/>
          <w:color w:val="auto"/>
        </w:rPr>
      </w:pPr>
      <w:r>
        <w:rPr>
          <w:rFonts w:ascii="Courier New" w:cs="Courier New" w:eastAsia="Courier New" w:hAnsi="Courier New"/>
          <w:sz w:val="14"/>
          <w:szCs w:val="14"/>
          <w:color w:val="auto"/>
        </w:rPr>
        <w:t>THE BOARD OF DIRECTORS UNANIMOUSLY RECOMMENDS A VOTE FOR THE PREFERRED STOCK AUTHORIZATION AMENDMENT TO THE COMPANY'S ARTICLES OF INCORPORATION, ITEM</w:t>
      </w:r>
    </w:p>
    <w:p>
      <w:pPr>
        <w:ind w:right="4099" w:firstLine="10"/>
        <w:spacing w:after="0" w:line="307" w:lineRule="auto"/>
        <w:tabs>
          <w:tab w:leader="none" w:pos="26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PROXIES SOLICITED BY THE BOARD OF DIRECTORS WILL BE SO VOTED UNLESS SHAREHOLDERS SPECIFY A DIFFERENT CHOICE.</w:t>
      </w:r>
    </w:p>
    <w:p>
      <w:pPr>
        <w:spacing w:after="0" w:line="21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ITEM 4</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SHAREHOLDER PROPOSAL ON CUMULATIVE VOTING</w:t>
      </w:r>
    </w:p>
    <w:p>
      <w:pPr>
        <w:spacing w:after="0" w:line="166"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4"/>
          <w:szCs w:val="14"/>
          <w:color w:val="auto"/>
        </w:rPr>
        <w:t>Mr. Donald K. Hedeen, 218 Sherwood Forest, Williamsburg, Virginia 23188, who holds 251 shares of Common Stock, has informed the Company that he intends to present the following resolution at the Annual Meeting. In accordance with applicable proxy regulations, the proposed resolution and supporting statement, for which the Board of Directors and the Company accept no responsibility, are set forth below. Approval of this proposal would require the affirmative vote of a majority of the outstanding shares of Common Stock present in person or by proxy and entitled to vote at the Annual Meeting.</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RESOLUTION</w:t>
      </w:r>
    </w:p>
    <w:p>
      <w:pPr>
        <w:spacing w:after="0" w:line="166"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Resolved: That the shareholders of Winnebago Industries, Inc., assembled in annual meeting in person and by proxy, hereby request the Board of Directors to take the steps necessary to provide for cumulative voting in the annual election of Directors; this means that each such shareholder shall be entitled to as many votes as shall equal the number of shares owned multiplied by the number of Directors to be elected, and the shareholder may cast all of such votes for a single candidate, or any two or more of them as the shareholder may see fit."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PROPONENT'S SUPPORTING STATEMENT</w:t>
      </w:r>
    </w:p>
    <w:p>
      <w:pPr>
        <w:spacing w:after="0" w:line="16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"A California law provides that all State pension holdings and State college funds invested in stock shares must be voted in favor of cumulative voting proposals. This underscores the recognition of the importance of this democratic means of electing directors."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National Bank Act provides for cumulative voting."</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66" w:right="1440" w:bottom="1440" w:gutter="0" w:footer="0" w:header="0"/>
        </w:sectPr>
      </w:pPr>
    </w:p>
    <w:bookmarkStart w:id="26" w:name="page27"/>
    <w:bookmarkEnd w:id="26"/>
    <w:p>
      <w:pPr>
        <w:ind w:right="3319"/>
        <w:spacing w:after="0" w:line="273" w:lineRule="auto"/>
        <w:rPr>
          <w:sz w:val="20"/>
          <w:szCs w:val="20"/>
          <w:color w:val="auto"/>
        </w:rPr>
      </w:pPr>
      <w:r>
        <w:rPr>
          <w:rFonts w:ascii="Courier New" w:cs="Courier New" w:eastAsia="Courier New" w:hAnsi="Courier New"/>
          <w:sz w:val="15"/>
          <w:szCs w:val="15"/>
          <w:color w:val="auto"/>
        </w:rPr>
        <w:t>"Many successful corporations have cumulative voting. For example: Pennzoil, Ingersoll-Rand and American Premier have cumulative voting. Ingersoll has been cited by FORTUNE magazine and by the Wall Street Transcript as having excellent management."</w:t>
      </w:r>
    </w:p>
    <w:p>
      <w:pPr>
        <w:spacing w:after="0" w:line="68"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"Lockheed Martin and VWR Corporation now have provisions that if any entity acquires 40% of their shares, cumulative voting applies for all shareholders. As an example of shareholders' struggle to obtain independent, non-self perpetuating Boards of Directors, The Association of BellTel Retirees in 1999 proposed to Bell Atlantic that the Board of Directors take the steps necessary to provide ".........that the Board of Directors shall consist of a MAJORITY OF</w:t>
      </w:r>
    </w:p>
    <w:p>
      <w:pPr>
        <w:ind w:right="3499"/>
        <w:spacing w:after="0" w:line="307" w:lineRule="auto"/>
        <w:rPr>
          <w:sz w:val="20"/>
          <w:szCs w:val="20"/>
          <w:color w:val="auto"/>
        </w:rPr>
      </w:pPr>
      <w:r>
        <w:rPr>
          <w:rFonts w:ascii="Courier New" w:cs="Courier New" w:eastAsia="Courier New" w:hAnsi="Courier New"/>
          <w:sz w:val="15"/>
          <w:szCs w:val="15"/>
          <w:color w:val="auto"/>
        </w:rPr>
        <w:t>INDEPENDENT DIRECTORS and that no more than two directors shall be current or former senior executive officers ("insiders")."</w:t>
      </w:r>
    </w:p>
    <w:p>
      <w:pPr>
        <w:spacing w:after="0" w:line="44"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"Earlier this year, the Winnebago Board approved an amendment to the "Winnebago Industries, Inc. Executive Share Option Plan." Neither the original Plan nor the Amendment were submitted to the Shareholders for approval, which is customary with most responsible companies."</w:t>
      </w:r>
    </w:p>
    <w:p>
      <w:pPr>
        <w:spacing w:after="0" w:line="68"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"Winnebago Shareholders should well note that according to the latest data shown by Market Guide, Inc., Luise V. Hanson - widow of the founder - owns about 35% of the outstanding stock of Winnebago and insiders own 3%. Winnebago may have the Shareholder interests always in mind, but then again they may not. In passing, it should be noted that the stock price has dropped from a high of 28 3/4 to its current price of 17 3/8, as of this writing. (10-08-99)."</w:t>
      </w:r>
    </w:p>
    <w:p>
      <w:pPr>
        <w:spacing w:after="0" w:line="67" w:lineRule="exact"/>
        <w:rPr>
          <w:sz w:val="20"/>
          <w:szCs w:val="20"/>
          <w:color w:val="auto"/>
        </w:rPr>
      </w:pPr>
    </w:p>
    <w:p>
      <w:pPr>
        <w:ind w:right="4019"/>
        <w:spacing w:after="0" w:line="344" w:lineRule="auto"/>
        <w:rPr>
          <w:sz w:val="20"/>
          <w:szCs w:val="20"/>
          <w:color w:val="auto"/>
        </w:rPr>
      </w:pPr>
      <w:r>
        <w:rPr>
          <w:rFonts w:ascii="Courier New" w:cs="Courier New" w:eastAsia="Courier New" w:hAnsi="Courier New"/>
          <w:sz w:val="15"/>
          <w:szCs w:val="15"/>
          <w:color w:val="auto"/>
        </w:rPr>
        <w:t>"Cumulative Voting is a MUST to provide a vehicle for the occasion when Shareholders wish to elect a director of THEIR choice."</w:t>
      </w:r>
    </w:p>
    <w:p>
      <w:pPr>
        <w:spacing w:after="0" w:line="17" w:lineRule="exact"/>
        <w:rPr>
          <w:sz w:val="20"/>
          <w:szCs w:val="20"/>
          <w:color w:val="auto"/>
        </w:rPr>
      </w:pPr>
    </w:p>
    <w:p>
      <w:pPr>
        <w:ind w:right="3759"/>
        <w:spacing w:after="0" w:line="381" w:lineRule="auto"/>
        <w:rPr>
          <w:sz w:val="20"/>
          <w:szCs w:val="20"/>
          <w:color w:val="auto"/>
        </w:rPr>
      </w:pPr>
      <w:r>
        <w:rPr>
          <w:rFonts w:ascii="Courier New" w:cs="Courier New" w:eastAsia="Courier New" w:hAnsi="Courier New"/>
          <w:sz w:val="14"/>
          <w:szCs w:val="14"/>
          <w:color w:val="auto"/>
        </w:rPr>
        <w:t>"If you agree, please mark your proxy FOR this resolution; otherwise it is automatically cast against it, unless you have marked it to abstain."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"Thank you for your attention to this important matter."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STATEMENT IN OPPOSITION</w:t>
      </w:r>
    </w:p>
    <w:p>
      <w:pPr>
        <w:spacing w:after="0" w:line="166"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THE BOARD OF DIRECTORS UNANIMOUSLY RECOMMENDS A VOTE AGAINST THE ADOPTION OF THIS PROPOSAL FOR THE FOLLOWING REASONS:</w:t>
      </w:r>
    </w:p>
    <w:p>
      <w:pPr>
        <w:spacing w:after="0" w:line="17"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The Board of Directors believes that cumulative voting would threaten to undermine effective Board functioning in at least two important respects. First, each Board member has a duty to represent all shareholders. To do so, each Director must feel a responsibility toward all the shareholders, without any special loyalty to any one group. From this perspective, cumulative voting is undesirable since Directors so elected might be principally concerned about representing and acting in the interest of special groups of shareholders rather than in the interest of all shareholders. We do not believe that a narrow constituency of shareholders should have an advantage over the interests of the Company's shareholders as a whole. Second, cumulative voting introduces the possibility of partisanship among Board members that could impair their ability to work together, a requirement essential to the effective functioning of any board of</w:t>
      </w: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66" w:right="1440" w:bottom="1440" w:gutter="0" w:footer="0" w:header="0"/>
        </w:sectPr>
      </w:pPr>
    </w:p>
    <w:bookmarkStart w:id="27" w:name="page28"/>
    <w:bookmarkEnd w:id="27"/>
    <w:p>
      <w:pPr>
        <w:ind w:right="3839"/>
        <w:spacing w:after="0" w:line="320" w:lineRule="auto"/>
        <w:rPr>
          <w:sz w:val="20"/>
          <w:szCs w:val="20"/>
          <w:color w:val="auto"/>
        </w:rPr>
      </w:pPr>
      <w:r>
        <w:rPr>
          <w:rFonts w:ascii="Courier New" w:cs="Courier New" w:eastAsia="Courier New" w:hAnsi="Courier New"/>
          <w:sz w:val="14"/>
          <w:szCs w:val="14"/>
          <w:color w:val="auto"/>
        </w:rPr>
        <w:t>directors. It is important that the Board of Directors be comprised of a cohesive group of experienced, knowledgeable and talented individuals who clearly are working for the benefit of all of the Company's shareholders.</w:t>
      </w:r>
    </w:p>
    <w:p>
      <w:pPr>
        <w:spacing w:after="0" w:line="38" w:lineRule="exact"/>
        <w:rPr>
          <w:sz w:val="20"/>
          <w:szCs w:val="20"/>
          <w:color w:val="auto"/>
        </w:rPr>
      </w:pPr>
    </w:p>
    <w:p>
      <w:pPr>
        <w:jc w:val="both"/>
        <w:ind w:right="3399"/>
        <w:spacing w:after="0" w:line="290" w:lineRule="auto"/>
        <w:rPr>
          <w:sz w:val="20"/>
          <w:szCs w:val="20"/>
          <w:color w:val="auto"/>
        </w:rPr>
      </w:pPr>
      <w:r>
        <w:rPr>
          <w:rFonts w:ascii="Courier New" w:cs="Courier New" w:eastAsia="Courier New" w:hAnsi="Courier New"/>
          <w:sz w:val="15"/>
          <w:szCs w:val="15"/>
          <w:color w:val="auto"/>
        </w:rPr>
        <w:t>ACCORDINGLY, THE BOARD OF DIRECTORS UNANIMOUSLY RECOMMENDS A VOTE AGAINST THIS SHAREHOLDER PROPOSAL, ITEM 4. PROXIES SOLICITED BY THE BOARD OF DIRECTORS WILL BE SO VOTED UNLESS SHAREHOLDERS SPECIFY A DIFFERENT CHOICE.</w:t>
      </w:r>
    </w:p>
    <w:p>
      <w:pPr>
        <w:spacing w:after="0" w:line="22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66" w:lineRule="exact"/>
        <w:rPr>
          <w:sz w:val="20"/>
          <w:szCs w:val="20"/>
          <w:color w:val="auto"/>
        </w:rPr>
      </w:pPr>
    </w:p>
    <w:p>
      <w:pPr>
        <w:ind w:right="3239" w:firstLine="787"/>
        <w:spacing w:after="0" w:line="265" w:lineRule="auto"/>
        <w:rPr>
          <w:sz w:val="20"/>
          <w:szCs w:val="20"/>
          <w:color w:val="auto"/>
        </w:rPr>
      </w:pPr>
      <w:r>
        <w:rPr>
          <w:rFonts w:ascii="Courier New" w:cs="Courier New" w:eastAsia="Courier New" w:hAnsi="Courier New"/>
          <w:sz w:val="14"/>
          <w:szCs w:val="14"/>
          <w:color w:val="auto"/>
        </w:rPr>
        <w:t>Section 16(a) of the Securities Exchange Act of 1934, as amended (the "EXCHANGE ACT") requires the Company's officers and directors and persons who own more than ten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1999, all the Reporting Persons complied with all applicable filing requirements, except that Mr. John V. Hanson inadvertently omitted to file a Form 4 reporting the purchase by his wife of 100 shares of the Company's Common Stock.</w:t>
      </w:r>
    </w:p>
    <w:p>
      <w:pPr>
        <w:spacing w:after="0" w:line="25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2001 SHAREHOLDER PROPOSALS</w:t>
      </w:r>
    </w:p>
    <w:p>
      <w:pPr>
        <w:spacing w:after="0" w:line="166"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5"/>
          <w:szCs w:val="15"/>
          <w:color w:val="auto"/>
        </w:rPr>
        <w:t>If a shareholder intends to present a proposal at the Company's January 2001 Annual Meeting of Shareholders and desires that the proposal be included in the Company's proxy statement and form of proxy for that meeting, the proposal must be in compliance with Rule 14a-8 under the Exchange Act and received at the Company's principal executive offices no earlier than September 22, 2000 and no later than October 22, 2000.</w:t>
      </w:r>
    </w:p>
    <w:p>
      <w:pPr>
        <w:spacing w:after="0" w:line="81" w:lineRule="exact"/>
        <w:rPr>
          <w:sz w:val="20"/>
          <w:szCs w:val="20"/>
          <w:color w:val="auto"/>
        </w:rPr>
      </w:pPr>
    </w:p>
    <w:p>
      <w:pPr>
        <w:ind w:right="3239" w:firstLine="787"/>
        <w:spacing w:after="0" w:line="262" w:lineRule="auto"/>
        <w:rPr>
          <w:sz w:val="20"/>
          <w:szCs w:val="20"/>
          <w:color w:val="auto"/>
        </w:rPr>
      </w:pPr>
      <w:r>
        <w:rPr>
          <w:rFonts w:ascii="Courier New" w:cs="Courier New" w:eastAsia="Courier New" w:hAnsi="Courier New"/>
          <w:sz w:val="14"/>
          <w:szCs w:val="14"/>
          <w:color w:val="auto"/>
        </w:rPr>
        <w:t>The Company's bylaws require that in order to nominate persons to the Company's Board of Directors, a shareholder must provide advance written notice to the secretary of the Company, which notice must be delivered to or mailed and received at the Company's principal executive offices not less than 90 days nor more than 120 days before the scheduled date of the shareholder meeting at which directors are to be elected. The Company's bylaws also require that in order to present a proposal for action by shareholders at an annual meeting of shareholders, a shareholder must provide advance written notice to the secretary of the Company, which notice must contain detailed information specified in the Company's bylaws. This notice must be delivered to or mailed and received at the Company's principal executive offices not less than 90 days nor more than 120 days before the scheduled date of the annual shareholder meeting at which the proposal is to be presented. As to any proposal that a shareholder intends to present to shareholders without inclusion in the Company's proxy statement for the Company's January 2001 Annual Meeting of Shareholders, the proxies named in management's proxy for that meeting will be entitled to exercise their discretionary authority on that proposal by advising shareholders of such proposal and how they intend to exercise their discretion to</w:t>
      </w: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66" w:right="1440" w:bottom="1440" w:gutter="0" w:footer="0" w:header="0"/>
        </w:sectPr>
      </w:pPr>
    </w:p>
    <w:bookmarkStart w:id="28" w:name="page29"/>
    <w:bookmarkEnd w:id="28"/>
    <w:p>
      <w:pPr>
        <w:ind w:right="3239"/>
        <w:spacing w:after="0" w:line="290" w:lineRule="auto"/>
        <w:rPr>
          <w:sz w:val="20"/>
          <w:szCs w:val="20"/>
          <w:color w:val="auto"/>
        </w:rPr>
      </w:pPr>
      <w:r>
        <w:rPr>
          <w:rFonts w:ascii="Courier New" w:cs="Courier New" w:eastAsia="Courier New" w:hAnsi="Courier New"/>
          <w:sz w:val="15"/>
          <w:szCs w:val="15"/>
          <w:color w:val="auto"/>
        </w:rPr>
        <w:t>vote on such matter, unless the shareholder making the proposal solicits proxies with respect to the proposal to the extent required by Rule 14a-4(c)(2) under the Exchange Act.</w:t>
      </w:r>
    </w:p>
    <w:p>
      <w:pPr>
        <w:spacing w:after="0" w:line="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GENERAL</w:t>
      </w:r>
    </w:p>
    <w:p>
      <w:pPr>
        <w:spacing w:after="0" w:line="166"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5"/>
          <w:szCs w:val="15"/>
          <w:color w:val="auto"/>
        </w:rPr>
        <w:t>Deloitte &amp; Touche LLP has been selected as the Company's accountants for the current fiscal year upon the recommendation of the Audit Committee. Deloitte &amp; Touche LLP have been the Company's accountants for 14 years. Representatives of that firm are expected to be present at the Annual Meeting with the opportunity to make a statement if they desire to do so and to be available to respond to appropriate questions.</w:t>
      </w:r>
    </w:p>
    <w:p>
      <w:pPr>
        <w:spacing w:after="0" w:line="81" w:lineRule="exact"/>
        <w:rPr>
          <w:sz w:val="20"/>
          <w:szCs w:val="20"/>
          <w:color w:val="auto"/>
        </w:rPr>
      </w:pPr>
    </w:p>
    <w:p>
      <w:pPr>
        <w:ind w:right="3319" w:firstLine="787"/>
        <w:spacing w:after="0" w:line="276" w:lineRule="auto"/>
        <w:rPr>
          <w:sz w:val="20"/>
          <w:szCs w:val="20"/>
          <w:color w:val="auto"/>
        </w:rPr>
      </w:pPr>
      <w:r>
        <w:rPr>
          <w:rFonts w:ascii="Courier New" w:cs="Courier New" w:eastAsia="Courier New" w:hAnsi="Courier New"/>
          <w:sz w:val="14"/>
          <w:szCs w:val="14"/>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69"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5"/>
          <w:szCs w:val="15"/>
          <w:color w:val="auto"/>
        </w:rPr>
        <w:t>A copy of the Company's Annual Report for the fiscal year ended August 28, 1999, which includes audited financial statements, has accompanied this proxy statement.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66" w:right="1440" w:bottom="1440" w:gutter="0" w:footer="0" w:header="0"/>
        </w:sectPr>
      </w:pPr>
    </w:p>
    <w:bookmarkStart w:id="29" w:name="page30"/>
    <w:bookmarkEnd w:id="29"/>
    <w:p>
      <w:pPr>
        <w:ind w:right="3399" w:firstLine="787"/>
        <w:spacing w:after="0" w:line="264" w:lineRule="auto"/>
        <w:rPr>
          <w:sz w:val="20"/>
          <w:szCs w:val="20"/>
          <w:color w:val="auto"/>
        </w:rPr>
      </w:pPr>
      <w:r>
        <w:rPr>
          <w:rFonts w:ascii="Courier New" w:cs="Courier New" w:eastAsia="Courier New" w:hAnsi="Courier New"/>
          <w:sz w:val="15"/>
          <w:szCs w:val="15"/>
          <w:color w:val="auto"/>
        </w:rPr>
        <w:t>As of the date of this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pacing w:after="0" w:line="2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5"/>
          <w:szCs w:val="15"/>
          <w:color w:val="auto"/>
        </w:rPr>
        <w:t>RAYMOND M. BEEBE</w:t>
      </w:r>
    </w:p>
    <w:p>
      <w:pPr>
        <w:jc w:val="right"/>
        <w:ind w:right="5419"/>
        <w:spacing w:after="0"/>
        <w:rPr>
          <w:sz w:val="20"/>
          <w:szCs w:val="20"/>
          <w:color w:val="auto"/>
        </w:rPr>
      </w:pPr>
      <w:r>
        <w:rPr>
          <w:rFonts w:ascii="Courier New" w:cs="Courier New" w:eastAsia="Courier New" w:hAnsi="Courier New"/>
          <w:sz w:val="15"/>
          <w:szCs w:val="15"/>
          <w:color w:val="auto"/>
        </w:rPr>
        <w:t>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__, 1999</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66" w:right="1440" w:bottom="1440" w:gutter="0" w:footer="0" w:header="0"/>
        </w:sectPr>
      </w:pPr>
    </w:p>
    <w:bookmarkStart w:id="30" w:name="page31"/>
    <w:bookmarkEnd w:id="30"/>
    <w:p>
      <w:pPr>
        <w:ind w:left="3080"/>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AMENDMENTS TO THE</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AMENDED AND RESTATED ARTICLES OF INCORPORATION</w:t>
      </w:r>
    </w:p>
    <w:p>
      <w:pPr>
        <w:spacing w:after="0" w:line="1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5"/>
          <w:szCs w:val="15"/>
          <w:color w:val="auto"/>
        </w:rPr>
        <w:t>The number of directors constituting the Board of Directors of the Corporation shall be not more than fifteen (15) and not less than three (3), the precise number to be determined by resolution of the Board of Directors from time to time.</w:t>
      </w:r>
    </w:p>
    <w:p>
      <w:pPr>
        <w:spacing w:after="0" w:line="68" w:lineRule="exact"/>
        <w:rPr>
          <w:sz w:val="20"/>
          <w:szCs w:val="20"/>
          <w:color w:val="auto"/>
        </w:rPr>
      </w:pPr>
    </w:p>
    <w:p>
      <w:pPr>
        <w:ind w:right="3239" w:firstLine="787"/>
        <w:spacing w:after="0" w:line="262" w:lineRule="auto"/>
        <w:rPr>
          <w:sz w:val="20"/>
          <w:szCs w:val="20"/>
          <w:color w:val="auto"/>
        </w:rPr>
      </w:pPr>
      <w:r>
        <w:rPr>
          <w:rFonts w:ascii="Courier New" w:cs="Courier New" w:eastAsia="Courier New" w:hAnsi="Courier New"/>
          <w:sz w:val="14"/>
          <w:szCs w:val="14"/>
          <w:color w:val="auto"/>
        </w:rPr>
        <w:t>Effective with the election of the directors at the annual meeting of shareholders to be held in 2000, the directors shall be classified, with respect to the time for which they severally hold office, into three classes, as nearly equal in number as possible, as shall be provided in the manner specified in the By-laws; one class to hold office initially for a term expiring at the annual meeting of shareholders to be held in 2001, another class to hold office initially for a term expiring at the annual meeting of shareholders to be held in 2002, and another class to hold office initially for a term expiring at the annual meeting of shareholders to be held in 2003, with the respective members of each class to hold office until their respective successors are elected and qualified.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 of any incumbent director. Any increase or decrease in the number of directors shall be apportioned among the classes so as to make all classes as nearly equal in number as possible.</w:t>
      </w:r>
    </w:p>
    <w:p>
      <w:pPr>
        <w:spacing w:after="0" w:line="8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Shareholders may remove directors only for cause.</w:t>
      </w:r>
    </w:p>
    <w:p>
      <w:pPr>
        <w:spacing w:after="0" w:line="166"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5"/>
          <w:szCs w:val="15"/>
          <w:color w:val="auto"/>
        </w:rPr>
        <w:t>Notwithstanding anything contained herein to the contrary, the affirmative vote of the holders of seventy-five percent (75%) of all issued and outstanding shares of the Corporation entitled to vote thereon, voting together as a single class, shall be required to alter, amend or adopt any provisions inconsistent with, or repeal this Article VI or any provision hereof at any annual or special meeting of shareholders.</w:t>
      </w: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766" w:right="1440" w:bottom="1440" w:gutter="0" w:footer="0" w:header="0"/>
        </w:sectPr>
      </w:pPr>
    </w:p>
    <w:bookmarkStart w:id="31" w:name="page32"/>
    <w:bookmarkEnd w:id="31"/>
    <w:p>
      <w:pPr>
        <w:ind w:left="3080"/>
        <w:spacing w:after="0"/>
        <w:rPr>
          <w:sz w:val="20"/>
          <w:szCs w:val="20"/>
          <w:color w:val="auto"/>
        </w:rPr>
      </w:pPr>
      <w:r>
        <w:rPr>
          <w:rFonts w:ascii="Courier New" w:cs="Courier New" w:eastAsia="Courier New" w:hAnsi="Courier New"/>
          <w:sz w:val="15"/>
          <w:szCs w:val="15"/>
          <w:color w:val="auto"/>
        </w:rPr>
        <w:t>APPENDIX B</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AMENDMENTS TO THE AMENDED AND</w:t>
      </w:r>
    </w:p>
    <w:p>
      <w:pPr>
        <w:spacing w:after="0" w:line="24"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RESTATED ARTICLES OF INCORPORATION</w:t>
      </w:r>
    </w:p>
    <w:p>
      <w:pPr>
        <w:spacing w:after="0" w:line="1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right="3499" w:firstLine="787"/>
        <w:spacing w:after="0" w:line="267" w:lineRule="auto"/>
        <w:rPr>
          <w:sz w:val="20"/>
          <w:szCs w:val="20"/>
          <w:color w:val="auto"/>
        </w:rPr>
      </w:pPr>
      <w:r>
        <w:rPr>
          <w:rFonts w:ascii="Courier New" w:cs="Courier New" w:eastAsia="Courier New" w:hAnsi="Courier New"/>
          <w:sz w:val="14"/>
          <w:szCs w:val="14"/>
          <w:color w:val="auto"/>
        </w:rPr>
        <w:t>The total number of shares of stock which the Corporation shall have authority to issue is: seventy million (70,000,000), of which sixty million (60,000,000) shall be shares of Common Stock, $.50 par value, and ten million</w:t>
      </w:r>
    </w:p>
    <w:p>
      <w:pPr>
        <w:spacing w:after="0" w:line="1" w:lineRule="exact"/>
        <w:rPr>
          <w:sz w:val="20"/>
          <w:szCs w:val="20"/>
          <w:color w:val="auto"/>
        </w:rPr>
      </w:pPr>
    </w:p>
    <w:p>
      <w:pPr>
        <w:ind w:right="3939"/>
        <w:spacing w:after="0" w:line="307" w:lineRule="auto"/>
        <w:rPr>
          <w:sz w:val="20"/>
          <w:szCs w:val="20"/>
          <w:color w:val="auto"/>
        </w:rPr>
      </w:pPr>
      <w:r>
        <w:rPr>
          <w:rFonts w:ascii="Courier New" w:cs="Courier New" w:eastAsia="Courier New" w:hAnsi="Courier New"/>
          <w:sz w:val="15"/>
          <w:szCs w:val="15"/>
          <w:color w:val="auto"/>
        </w:rPr>
        <w:t>(10,000,000) shall be shares of Preferred Stock, $.01 par value ("SERIES PREFERENCE STOCK").</w:t>
      </w:r>
    </w:p>
    <w:p>
      <w:pPr>
        <w:spacing w:after="0" w:line="4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A statement of the designations and the powers, preferences and rights of such classes of stock and the qualifications, limitations or restrictions thereof, the fixing of which by the Articles of Incorporation is desired, and the authority of the Board of Directors to fix, by resolution or resolutions, the designations and the powers, preferences and rights of such classes of stock or the qualifications, limitations or restrictions thereof, which are not fixed hereby, are as follows:</w:t>
      </w:r>
    </w:p>
    <w:p>
      <w:pPr>
        <w:spacing w:after="0" w:line="8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Provisions Applicable to All Series of Series Preference Stock.</w:t>
      </w:r>
    </w:p>
    <w:p>
      <w:pPr>
        <w:spacing w:after="0" w:line="166" w:lineRule="exact"/>
        <w:rPr>
          <w:sz w:val="20"/>
          <w:szCs w:val="20"/>
          <w:color w:val="auto"/>
        </w:rPr>
      </w:pPr>
    </w:p>
    <w:p>
      <w:pPr>
        <w:ind w:left="800" w:right="3239" w:firstLine="784"/>
        <w:spacing w:after="0" w:line="267" w:lineRule="auto"/>
        <w:tabs>
          <w:tab w:leader="none" w:pos="193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Series Preference Stock may be issued from time to time in one or more series. The voting powers, designations, preferences, limitations and relative rights of each series may differ from those of any and all other series already outstanding; the terms of each series shall be as specified in the resolution or resolutions hereinafter referred to; and the Board of Directors of the Corporation is hereby expressly granted authority to fix, by resolution or resolutions adopted prior to the issuance of any shares of a particular series of Series Preference Stock, the voting powers, designations, preferences, limitations and relative rights of each series, including, but without limiting the generality of the foregoing, the following:</w:t>
      </w:r>
    </w:p>
    <w:p>
      <w:pPr>
        <w:spacing w:after="0" w:line="77" w:lineRule="exact"/>
        <w:rPr>
          <w:rFonts w:ascii="Courier New" w:cs="Courier New" w:eastAsia="Courier New" w:hAnsi="Courier New"/>
          <w:sz w:val="14"/>
          <w:szCs w:val="14"/>
          <w:color w:val="auto"/>
        </w:rPr>
      </w:pPr>
    </w:p>
    <w:p>
      <w:pPr>
        <w:ind w:left="1580" w:right="3319" w:firstLine="791"/>
        <w:spacing w:after="0" w:line="290" w:lineRule="auto"/>
        <w:tabs>
          <w:tab w:leader="none" w:pos="271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and times at which, and the terms and conditions on which, dividends on the Series Preference Stock of such series shall be paid;</w:t>
      </w:r>
    </w:p>
    <w:p>
      <w:pPr>
        <w:spacing w:after="0" w:line="56" w:lineRule="exact"/>
        <w:rPr>
          <w:rFonts w:ascii="Courier New" w:cs="Courier New" w:eastAsia="Courier New" w:hAnsi="Courier New"/>
          <w:sz w:val="15"/>
          <w:szCs w:val="15"/>
          <w:color w:val="auto"/>
        </w:rPr>
      </w:pPr>
    </w:p>
    <w:p>
      <w:pPr>
        <w:ind w:left="1580" w:right="3239" w:firstLine="791"/>
        <w:spacing w:after="0" w:line="264" w:lineRule="auto"/>
        <w:tabs>
          <w:tab w:leader="none" w:pos="271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if any, of holders of Series Preference Stock of such series to convert the same into, or exchange the same for, other classes of stock of the Corporation and the terms and conditions of such conversion or exchange;</w:t>
      </w:r>
    </w:p>
    <w:p>
      <w:pPr>
        <w:spacing w:after="0" w:line="74" w:lineRule="exact"/>
        <w:rPr>
          <w:rFonts w:ascii="Courier New" w:cs="Courier New" w:eastAsia="Courier New" w:hAnsi="Courier New"/>
          <w:sz w:val="15"/>
          <w:szCs w:val="15"/>
          <w:color w:val="auto"/>
        </w:rPr>
      </w:pPr>
    </w:p>
    <w:p>
      <w:pPr>
        <w:ind w:left="1580" w:right="3499" w:firstLine="791"/>
        <w:spacing w:after="0" w:line="290" w:lineRule="auto"/>
        <w:tabs>
          <w:tab w:leader="none" w:pos="271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 or prices and the time at which, and the terms and conditions on which, Series Preference Stock of such series may be redeemed;</w:t>
      </w:r>
    </w:p>
    <w:p>
      <w:pPr>
        <w:spacing w:after="0" w:line="56" w:lineRule="exact"/>
        <w:rPr>
          <w:rFonts w:ascii="Courier New" w:cs="Courier New" w:eastAsia="Courier New" w:hAnsi="Courier New"/>
          <w:sz w:val="15"/>
          <w:szCs w:val="15"/>
          <w:color w:val="auto"/>
        </w:rPr>
      </w:pPr>
    </w:p>
    <w:p>
      <w:pPr>
        <w:ind w:left="1580" w:right="3499" w:firstLine="791"/>
        <w:spacing w:after="0" w:line="273" w:lineRule="auto"/>
        <w:tabs>
          <w:tab w:leader="none" w:pos="271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holders of Series Preference Stock of such series upon the voluntary or involuntary liquidation, distribution or sale of assets, dissolution or winding up of the Corporation;</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766" w:right="1440" w:bottom="1440" w:gutter="0" w:footer="0" w:header="0"/>
        </w:sectPr>
      </w:pPr>
    </w:p>
    <w:bookmarkStart w:id="32" w:name="page33"/>
    <w:bookmarkEnd w:id="32"/>
    <w:p>
      <w:pPr>
        <w:ind w:left="783" w:right="4099" w:firstLine="791"/>
        <w:spacing w:after="0" w:line="344" w:lineRule="auto"/>
        <w:tabs>
          <w:tab w:leader="none" w:pos="192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power, if any, of the Series Preference Stock of such series; and</w:t>
      </w:r>
    </w:p>
    <w:p>
      <w:pPr>
        <w:spacing w:after="0" w:line="17" w:lineRule="exact"/>
        <w:rPr>
          <w:rFonts w:ascii="Courier New" w:cs="Courier New" w:eastAsia="Courier New" w:hAnsi="Courier New"/>
          <w:sz w:val="15"/>
          <w:szCs w:val="15"/>
          <w:color w:val="auto"/>
        </w:rPr>
      </w:pPr>
    </w:p>
    <w:p>
      <w:pPr>
        <w:ind w:left="783" w:right="3499" w:firstLine="791"/>
        <w:spacing w:after="0" w:line="290" w:lineRule="auto"/>
        <w:tabs>
          <w:tab w:leader="none" w:pos="192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sinking fund or redemption or purchase account, if any, to be provided for the Series Preference Stock of such series.</w:t>
      </w:r>
    </w:p>
    <w:p>
      <w:pPr>
        <w:spacing w:after="0" w:line="56" w:lineRule="exact"/>
        <w:rPr>
          <w:rFonts w:ascii="Courier New" w:cs="Courier New" w:eastAsia="Courier New" w:hAnsi="Courier New"/>
          <w:sz w:val="15"/>
          <w:szCs w:val="15"/>
          <w:color w:val="auto"/>
        </w:rPr>
      </w:pPr>
    </w:p>
    <w:p>
      <w:pPr>
        <w:ind w:left="3" w:right="3239" w:firstLine="784"/>
        <w:spacing w:after="0" w:line="258" w:lineRule="auto"/>
        <w:tabs>
          <w:tab w:leader="none" w:pos="114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each series shall be identical in all respects to the other shares of such Series. The rights of the Common Stock of the Corporation shall be subject to the preferences and relative participating, optional and other special rights of the Series Preference Stock of each series as fixed herein and from time to time by the Board of Directors as aforesaid.</w:t>
      </w:r>
    </w:p>
    <w:p>
      <w:pPr>
        <w:spacing w:after="0" w:line="81" w:lineRule="exact"/>
        <w:rPr>
          <w:rFonts w:ascii="Courier New" w:cs="Courier New" w:eastAsia="Courier New" w:hAnsi="Courier New"/>
          <w:sz w:val="15"/>
          <w:szCs w:val="15"/>
          <w:color w:val="auto"/>
        </w:rPr>
      </w:pPr>
    </w:p>
    <w:p>
      <w:pPr>
        <w:ind w:left="263" w:hanging="263"/>
        <w:spacing w:after="0"/>
        <w:tabs>
          <w:tab w:leader="none" w:pos="26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Applicable to Common Stock.</w:t>
      </w:r>
    </w:p>
    <w:p>
      <w:pPr>
        <w:spacing w:after="0" w:line="166" w:lineRule="exact"/>
        <w:rPr>
          <w:rFonts w:ascii="Courier New" w:cs="Courier New" w:eastAsia="Courier New" w:hAnsi="Courier New"/>
          <w:sz w:val="15"/>
          <w:szCs w:val="15"/>
          <w:color w:val="auto"/>
        </w:rPr>
      </w:pPr>
    </w:p>
    <w:p>
      <w:pPr>
        <w:ind w:left="3" w:right="3239" w:firstLine="784"/>
        <w:spacing w:after="0" w:line="273" w:lineRule="auto"/>
        <w:tabs>
          <w:tab w:leader="none" w:pos="114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requirements with respect to preferential dividends upon the Series Preference Stock of all classes and series thereof shall have been met and after the Corporation shall have complied with all requirements, if any, with respect to the setting aside of sums as a sinking fund or redemption or purchase account for the benefit of any class or series thereof, then, and not otherwise, the holders of Common Stock shall be entitled to receive such dividends as may be declared from time to time by the Board of Directors.</w:t>
      </w:r>
    </w:p>
    <w:p>
      <w:pPr>
        <w:spacing w:after="0" w:line="70" w:lineRule="exact"/>
        <w:rPr>
          <w:rFonts w:ascii="Courier New" w:cs="Courier New" w:eastAsia="Courier New" w:hAnsi="Courier New"/>
          <w:sz w:val="14"/>
          <w:szCs w:val="14"/>
          <w:color w:val="auto"/>
        </w:rPr>
      </w:pPr>
    </w:p>
    <w:p>
      <w:pPr>
        <w:ind w:left="3" w:right="3239" w:firstLine="784"/>
        <w:spacing w:after="0" w:line="249" w:lineRule="auto"/>
        <w:tabs>
          <w:tab w:leader="none" w:pos="11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distribution in full of the preferential amounts to be distributed to the holders of all classes and series thereof of Series Preference Stock then outstanding in the event of a voluntary or involuntary liquidation, dissolution or winding up of the Corporation and subject to any additional or special rights of the Series Preference Stock as to the remaining assets of the Corporation for distribution, the holders of the Common Stock shall be entitled to receive the remaining assets of the Corporation available for distribution to its shareholders ratably in proportion to the number of shares of Common Stock held by them respectively.</w:t>
      </w:r>
    </w:p>
    <w:p>
      <w:pPr>
        <w:spacing w:after="0" w:line="87" w:lineRule="exact"/>
        <w:rPr>
          <w:rFonts w:ascii="Courier New" w:cs="Courier New" w:eastAsia="Courier New" w:hAnsi="Courier New"/>
          <w:sz w:val="15"/>
          <w:szCs w:val="15"/>
          <w:color w:val="auto"/>
        </w:rPr>
      </w:pPr>
    </w:p>
    <w:p>
      <w:pPr>
        <w:ind w:left="3" w:right="3239" w:firstLine="784"/>
        <w:spacing w:after="0" w:line="344" w:lineRule="auto"/>
        <w:tabs>
          <w:tab w:leader="none" w:pos="11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Common Stock shall have one vote in respect of each share of such stock held by such holder.</w:t>
      </w:r>
    </w:p>
    <w:p>
      <w:pPr>
        <w:spacing w:after="0" w:line="186"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9442"/>
          </w:cols>
          <w:pgMar w:left="1017" w:top="766" w:right="1440" w:bottom="1440" w:gutter="0" w:footer="0" w:header="0"/>
        </w:sectPr>
      </w:pPr>
    </w:p>
    <w:bookmarkStart w:id="33" w:name="page34"/>
    <w:bookmarkEnd w:id="33"/>
    <w:p>
      <w:pPr>
        <w:jc w:val="center"/>
        <w:ind w:right="5579"/>
        <w:spacing w:after="0"/>
        <w:rPr>
          <w:sz w:val="20"/>
          <w:szCs w:val="20"/>
          <w:color w:val="auto"/>
        </w:rPr>
      </w:pPr>
      <w:r>
        <w:rPr>
          <w:rFonts w:ascii="Courier New" w:cs="Courier New" w:eastAsia="Courier New" w:hAnsi="Courier New"/>
          <w:sz w:val="15"/>
          <w:szCs w:val="15"/>
          <w:color w:val="auto"/>
        </w:rPr>
        <w:t>WINNEBAGO</w:t>
      </w:r>
    </w:p>
    <w:p>
      <w:pPr>
        <w:spacing w:after="0" w:line="2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[Logo] INDUSTRIES, INC.</w:t>
      </w:r>
    </w:p>
    <w:p>
      <w:pPr>
        <w:spacing w:after="0" w:line="15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5"/>
          <w:szCs w:val="15"/>
          <w:color w:val="auto"/>
        </w:rPr>
        <w:t>FOREST CITY, IOWA 50436</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NOTICE OF 2000</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ANNUAL MEETING</w:t>
      </w:r>
    </w:p>
    <w:p>
      <w:pPr>
        <w:ind w:left="1320"/>
        <w:spacing w:after="0" w:line="237" w:lineRule="auto"/>
        <w:rPr>
          <w:sz w:val="20"/>
          <w:szCs w:val="20"/>
          <w:color w:val="auto"/>
        </w:rPr>
      </w:pPr>
      <w:r>
        <w:rPr>
          <w:rFonts w:ascii="Courier New" w:cs="Courier New" w:eastAsia="Courier New" w:hAnsi="Courier New"/>
          <w:sz w:val="15"/>
          <w:szCs w:val="15"/>
          <w:color w:val="auto"/>
        </w:rPr>
        <w:t>OF SHAREHOLDERS</w:t>
      </w:r>
    </w:p>
    <w:p>
      <w:pPr>
        <w:ind w:left="1320"/>
        <w:spacing w:after="0" w:line="238" w:lineRule="auto"/>
        <w:rPr>
          <w:sz w:val="20"/>
          <w:szCs w:val="20"/>
          <w:color w:val="auto"/>
        </w:rPr>
      </w:pPr>
      <w:r>
        <w:rPr>
          <w:rFonts w:ascii="Courier New" w:cs="Courier New" w:eastAsia="Courier New" w:hAnsi="Courier New"/>
          <w:sz w:val="15"/>
          <w:szCs w:val="15"/>
          <w:color w:val="auto"/>
        </w:rPr>
        <w:t>AND</w:t>
      </w:r>
    </w:p>
    <w:p>
      <w:pPr>
        <w:ind w:left="1320"/>
        <w:spacing w:after="0"/>
        <w:rPr>
          <w:sz w:val="20"/>
          <w:szCs w:val="20"/>
          <w:color w:val="auto"/>
        </w:rPr>
      </w:pPr>
      <w:r>
        <w:rPr>
          <w:rFonts w:ascii="Courier New" w:cs="Courier New" w:eastAsia="Courier New" w:hAnsi="Courier New"/>
          <w:sz w:val="15"/>
          <w:szCs w:val="15"/>
          <w:color w:val="auto"/>
        </w:rPr>
        <w:t>PROXY STATEMENT</w:t>
      </w:r>
    </w:p>
    <w:p>
      <w:pPr>
        <w:sectPr>
          <w:pgSz w:w="11900" w:h="16838" w:orient="portrait"/>
          <w:cols w:equalWidth="0" w:num="1">
            <w:col w:w="9019"/>
          </w:cols>
          <w:pgMar w:left="1440" w:top="766" w:right="1440" w:bottom="1440" w:gutter="0" w:footer="0" w:header="0"/>
        </w:sectPr>
      </w:pPr>
    </w:p>
    <w:bookmarkStart w:id="34" w:name="page35"/>
    <w:bookmarkEnd w:id="34"/>
    <w:p>
      <w:pPr>
        <w:jc w:val="center"/>
        <w:ind w:left="240" w:right="600"/>
        <w:spacing w:after="0" w:line="290" w:lineRule="auto"/>
        <w:rPr>
          <w:sz w:val="20"/>
          <w:szCs w:val="20"/>
          <w:color w:val="auto"/>
        </w:rPr>
      </w:pPr>
      <w:r>
        <w:rPr>
          <w:rFonts w:ascii="Courier New" w:cs="Courier New" w:eastAsia="Courier New" w:hAnsi="Courier New"/>
          <w:sz w:val="15"/>
          <w:szCs w:val="15"/>
          <w:color w:val="auto"/>
        </w:rPr>
        <w:t>WINNEBAGO INDUSTRIES, INC. * FOREST CITY, IOWA PROXY SOLICITED ON BEHALF OF THE BOARD OF DIRECTORS OF THE COMPANY FOR ANNUAL MEETING ON JANUARY 11, 2000</w:t>
      </w:r>
    </w:p>
    <w:p>
      <w:pPr>
        <w:spacing w:after="0" w:line="57"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The undersigned hereby appoints Gerald E. Boman and Bruce D. Hertzke,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11th day of January, 2000, at 7:30 p.m., Central Standard Time, and at any and all adjournments thereof:</w:t>
      </w:r>
    </w:p>
    <w:p>
      <w:pPr>
        <w:spacing w:after="0" w:line="8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(continued, and to be signed and dated, on the other side)</w:t>
      </w:r>
    </w:p>
    <w:p>
      <w:pPr>
        <w:sectPr>
          <w:pgSz w:w="11900" w:h="16838" w:orient="portrait"/>
          <w:cols w:equalWidth="0" w:num="1">
            <w:col w:w="10239"/>
          </w:cols>
          <w:pgMar w:left="220" w:top="766" w:right="1440" w:bottom="1440" w:gutter="0" w:footer="0" w:header="0"/>
        </w:sectPr>
      </w:pPr>
    </w:p>
    <w:bookmarkStart w:id="35" w:name="page36"/>
    <w:bookmarkEnd w:id="35"/>
    <w:p>
      <w:pPr>
        <w:ind w:left="2280"/>
        <w:spacing w:after="0"/>
        <w:rPr>
          <w:sz w:val="20"/>
          <w:szCs w:val="20"/>
          <w:color w:val="auto"/>
        </w:rPr>
      </w:pPr>
      <w:r>
        <w:rPr>
          <w:rFonts w:ascii="Courier New" w:cs="Courier New" w:eastAsia="Courier New" w:hAnsi="Courier New"/>
          <w:sz w:val="15"/>
          <w:szCs w:val="15"/>
          <w:color w:val="auto"/>
        </w:rPr>
        <w:t>(continued from reverse side)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Items 1, 2, and 3.</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1.</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ELECTION OF</w:t>
            </w: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01 Bruce D. Hertzke</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77"/>
              </w:rPr>
              <w:t>05</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Gerald E. Boman</w:t>
            </w:r>
          </w:p>
        </w:tc>
        <w:tc>
          <w:tcPr>
            <w:tcW w:w="246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6"/>
              </w:rPr>
              <w:t>[ ] FOR all nominees</w:t>
            </w: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WITHHOLD AUTHORITY to vote for</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DIRECTORS:</w:t>
            </w:r>
          </w:p>
        </w:tc>
        <w:tc>
          <w:tcPr>
            <w:tcW w:w="2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02 Jerry N. Currie</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77"/>
              </w:rPr>
              <w:t>06</w:t>
            </w:r>
          </w:p>
        </w:tc>
        <w:tc>
          <w:tcPr>
            <w:tcW w:w="156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G. Dohrmann</w:t>
            </w:r>
          </w:p>
        </w:tc>
        <w:tc>
          <w:tcPr>
            <w:tcW w:w="1060" w:type="dxa"/>
            <w:vAlign w:val="bottom"/>
          </w:tcPr>
          <w:p>
            <w:pPr>
              <w:spacing w:after="0"/>
              <w:rPr>
                <w:sz w:val="14"/>
                <w:szCs w:val="14"/>
                <w:color w:val="auto"/>
              </w:rPr>
            </w:pP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listed at left</w:t>
            </w:r>
          </w:p>
        </w:tc>
        <w:tc>
          <w:tcPr>
            <w:tcW w:w="32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all nominees listed at left</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03 John V. Hanson</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77"/>
              </w:rPr>
              <w:t>07</w:t>
            </w:r>
          </w:p>
        </w:tc>
        <w:tc>
          <w:tcPr>
            <w:tcW w:w="156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C. Kitch</w:t>
            </w: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04 Richard C. Scott</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77"/>
              </w:rPr>
              <w:t>08</w:t>
            </w:r>
          </w:p>
        </w:tc>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Frederick M. Zimmerman</w:t>
            </w:r>
          </w:p>
        </w:tc>
        <w:tc>
          <w:tcPr>
            <w:tcW w:w="1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3"/>
            <w:vMerge w:val="restart"/>
          </w:tcPr>
          <w:p>
            <w:pPr>
              <w:ind w:left="400"/>
              <w:spacing w:after="0"/>
              <w:rPr>
                <w:sz w:val="20"/>
                <w:szCs w:val="20"/>
                <w:color w:val="auto"/>
              </w:rPr>
            </w:pPr>
            <w:r>
              <w:rPr>
                <w:rFonts w:ascii="Courier New" w:cs="Courier New" w:eastAsia="Courier New" w:hAnsi="Courier New"/>
                <w:sz w:val="15"/>
                <w:szCs w:val="15"/>
                <w:color w:val="auto"/>
              </w:rPr>
              <w:t>[ ] FOR all nominees listed above except</w:t>
            </w:r>
          </w:p>
        </w:tc>
        <w:tc>
          <w:tcPr>
            <w:tcW w:w="56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6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740" w:type="dxa"/>
            <w:vAlign w:val="bottom"/>
            <w:gridSpan w:val="7"/>
          </w:tcPr>
          <w:p>
            <w:pPr>
              <w:ind w:left="400"/>
              <w:spacing w:after="0"/>
              <w:rPr>
                <w:sz w:val="20"/>
                <w:szCs w:val="20"/>
                <w:color w:val="auto"/>
              </w:rPr>
            </w:pPr>
            <w:r>
              <w:rPr>
                <w:rFonts w:ascii="Courier New" w:cs="Courier New" w:eastAsia="Courier New" w:hAnsi="Courier New"/>
                <w:sz w:val="15"/>
                <w:szCs w:val="15"/>
                <w:color w:val="auto"/>
              </w:rPr>
              <w:t>(Instructions:  To withhold authority to vote for any individual nominee, write the name(s) in the box</w:t>
            </w: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40" w:type="dxa"/>
            <w:vAlign w:val="bottom"/>
          </w:tcPr>
          <w:p>
            <w:pPr>
              <w:ind w:left="840"/>
              <w:spacing w:after="0"/>
              <w:rPr>
                <w:sz w:val="20"/>
                <w:szCs w:val="20"/>
                <w:color w:val="auto"/>
              </w:rPr>
            </w:pPr>
            <w:r>
              <w:rPr>
                <w:rFonts w:ascii="Courier New" w:cs="Courier New" w:eastAsia="Courier New" w:hAnsi="Courier New"/>
                <w:sz w:val="15"/>
                <w:szCs w:val="15"/>
                <w:color w:val="auto"/>
                <w:w w:val="95"/>
              </w:rPr>
              <w:t>provided above.)</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2.</w:t>
            </w:r>
          </w:p>
        </w:tc>
        <w:tc>
          <w:tcPr>
            <w:tcW w:w="6520" w:type="dxa"/>
            <w:vAlign w:val="bottom"/>
            <w:gridSpan w:val="5"/>
          </w:tcPr>
          <w:p>
            <w:pPr>
              <w:ind w:left="220"/>
              <w:spacing w:after="0"/>
              <w:rPr>
                <w:sz w:val="20"/>
                <w:szCs w:val="20"/>
                <w:color w:val="auto"/>
              </w:rPr>
            </w:pPr>
            <w:r>
              <w:rPr>
                <w:rFonts w:ascii="Courier New" w:cs="Courier New" w:eastAsia="Courier New" w:hAnsi="Courier New"/>
                <w:sz w:val="15"/>
                <w:szCs w:val="15"/>
                <w:color w:val="auto"/>
                <w:w w:val="96"/>
              </w:rPr>
              <w:t>Approval of amendments to the Company's Articles of Incorporation to (a)</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 ] For</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 ] Against</w:t>
            </w:r>
          </w:p>
        </w:tc>
        <w:tc>
          <w:tcPr>
            <w:tcW w:w="204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 ] Abstain</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652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provide for the classification of the Board of Directors into three</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652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w w:val="96"/>
              </w:rPr>
              <w:t>classes, (b) provide that the number of directors constituting the Board</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652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w w:val="96"/>
              </w:rPr>
              <w:t>of Directors shall be not more than fifteen (15) and not less than three</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652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w w:val="99"/>
              </w:rPr>
              <w:t>(3), the precise number to be determined by resolution of the Board of</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652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w w:val="99"/>
              </w:rPr>
              <w:t>Directors from time to time, (c) provide that directors may be removed</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390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w w:val="99"/>
              </w:rPr>
              <w:t>only for cause, and (d) require a vote of</w:t>
            </w:r>
          </w:p>
        </w:tc>
        <w:tc>
          <w:tcPr>
            <w:tcW w:w="2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75% of the outstanding shares</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390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9"/>
              </w:rPr>
              <w:t>of the Company to amend these provisions.</w:t>
            </w:r>
          </w:p>
        </w:tc>
        <w:tc>
          <w:tcPr>
            <w:tcW w:w="1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3.</w:t>
            </w:r>
          </w:p>
        </w:tc>
        <w:tc>
          <w:tcPr>
            <w:tcW w:w="390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9"/>
              </w:rPr>
              <w:t>Approval of an amendment to the Company's</w:t>
            </w:r>
          </w:p>
        </w:tc>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Articles of Incorporation to</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 ] For</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 ] Against</w:t>
            </w:r>
          </w:p>
        </w:tc>
        <w:tc>
          <w:tcPr>
            <w:tcW w:w="20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 ] Abstain</w:t>
            </w: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390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authorize the issuance of Preferred Stock.</w:t>
            </w:r>
          </w:p>
        </w:tc>
        <w:tc>
          <w:tcPr>
            <w:tcW w:w="1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"Against" Item 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w w:val="99"/>
              </w:rPr>
              <w:t>Approval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480" w:type="dxa"/>
            <w:vAlign w:val="bottom"/>
          </w:tcPr>
          <w:p>
            <w:pPr>
              <w:ind w:left="60"/>
              <w:spacing w:after="0"/>
              <w:rPr>
                <w:sz w:val="20"/>
                <w:szCs w:val="20"/>
                <w:color w:val="auto"/>
              </w:rPr>
            </w:pPr>
            <w:r>
              <w:rPr>
                <w:rFonts w:ascii="Courier New" w:cs="Courier New" w:eastAsia="Courier New" w:hAnsi="Courier New"/>
                <w:sz w:val="15"/>
                <w:szCs w:val="15"/>
                <w:color w:val="auto"/>
              </w:rPr>
              <w:t>a shareholder proposal concerning cumulative voting, if the</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 ] For</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 ] Against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 ] Abstain</w:t>
            </w:r>
          </w:p>
        </w:tc>
      </w:tr>
      <w:tr>
        <w:trPr>
          <w:trHeight w:val="245"/>
        </w:trPr>
        <w:tc>
          <w:tcPr>
            <w:tcW w:w="400" w:type="dxa"/>
            <w:vAlign w:val="bottom"/>
          </w:tcPr>
          <w:p>
            <w:pPr>
              <w:spacing w:after="0"/>
              <w:rPr>
                <w:sz w:val="21"/>
                <w:szCs w:val="21"/>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w w:val="99"/>
              </w:rPr>
              <w:t>proposal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5480" w:type="dxa"/>
            <w:vAlign w:val="bottom"/>
          </w:tcPr>
          <w:p>
            <w:pPr>
              <w:ind w:left="60"/>
              <w:spacing w:after="0"/>
              <w:rPr>
                <w:sz w:val="20"/>
                <w:szCs w:val="20"/>
                <w:color w:val="auto"/>
              </w:rPr>
            </w:pPr>
            <w:r>
              <w:rPr>
                <w:rFonts w:ascii="Courier New" w:cs="Courier New" w:eastAsia="Courier New" w:hAnsi="Courier New"/>
                <w:sz w:val="15"/>
                <w:szCs w:val="15"/>
                <w:color w:val="auto"/>
              </w:rPr>
              <w:t>presented at the meeting.</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91" w:lineRule="exact"/>
        <w:rPr>
          <w:sz w:val="20"/>
          <w:szCs w:val="20"/>
          <w:color w:val="auto"/>
        </w:rPr>
      </w:pPr>
    </w:p>
    <w:p>
      <w:pPr>
        <w:ind w:right="1040"/>
        <w:spacing w:after="0" w:line="255"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GIVEN, THIS PROXY WILL BE VOTED (i) FOR THE ELECTION OF THE NOMINEES LISTED IN ITEM 1; (ii) FOR THE PROPOSAL TO APPROVE AMENDMENTS TO THE COMPANY'S ARTICLES OF INCORPORATION DESCRIBED ABOVE (ITEM 2); (iii) FOR THE PROPOSAL TO APPROVE AN AMENDMENT TO THE COMPANY'S ARTICLES OF INCORPORATION TO AUTHORIZE THE ISSUANCE OF PREFERRED STOCK (ITEM 3); (iv) AGAINST A SHAREHOLDER PROPOSAL CONCERNING CUMULATIVE VOTING, IF THE PROPOSAL IS PRESENTED AT THE MEETING (ITEM 4); AND (v) IN THE DISCRETION OF THE NAMED PROXIES UPON SUCH OTHER MATTERS AS MAY PROPERLY COME BEFORE THE MEETING.</w:t>
      </w:r>
    </w:p>
    <w:p>
      <w:pPr>
        <w:spacing w:after="0" w:line="82" w:lineRule="exact"/>
        <w:rPr>
          <w:sz w:val="20"/>
          <w:szCs w:val="20"/>
          <w:color w:val="auto"/>
        </w:rPr>
      </w:pPr>
    </w:p>
    <w:p>
      <w:pPr>
        <w:spacing w:after="0"/>
        <w:tabs>
          <w:tab w:leader="none" w:pos="1660" w:val="left"/>
          <w:tab w:leader="none" w:pos="2520" w:val="left"/>
          <w:tab w:leader="none" w:pos="3400" w:val="left"/>
          <w:tab w:leader="none" w:pos="6020" w:val="left"/>
          <w:tab w:leader="none" w:pos="6540" w:val="left"/>
        </w:tabs>
        <w:rPr>
          <w:sz w:val="20"/>
          <w:szCs w:val="20"/>
          <w:color w:val="auto"/>
        </w:rPr>
      </w:pPr>
      <w:r>
        <w:rPr>
          <w:rFonts w:ascii="Courier New" w:cs="Courier New" w:eastAsia="Courier New" w:hAnsi="Courier New"/>
          <w:sz w:val="15"/>
          <w:szCs w:val="15"/>
          <w:color w:val="auto"/>
        </w:rPr>
        <w:t>Address Change?</w:t>
      </w:r>
      <w:r>
        <w:rPr>
          <w:sz w:val="20"/>
          <w:szCs w:val="20"/>
          <w:color w:val="auto"/>
        </w:rPr>
        <w:tab/>
      </w:r>
      <w:r>
        <w:rPr>
          <w:rFonts w:ascii="Courier New" w:cs="Courier New" w:eastAsia="Courier New" w:hAnsi="Courier New"/>
          <w:sz w:val="15"/>
          <w:szCs w:val="15"/>
          <w:color w:val="auto"/>
        </w:rPr>
        <w:t>Mark Box</w:t>
        <w:tab/>
        <w:t>[ ]</w:t>
      </w:r>
      <w:r>
        <w:rPr>
          <w:sz w:val="20"/>
          <w:szCs w:val="20"/>
          <w:color w:val="auto"/>
        </w:rPr>
        <w:tab/>
      </w:r>
      <w:r>
        <w:rPr>
          <w:rFonts w:ascii="Courier New" w:cs="Courier New" w:eastAsia="Courier New" w:hAnsi="Courier New"/>
          <w:sz w:val="15"/>
          <w:szCs w:val="15"/>
          <w:color w:val="auto"/>
        </w:rPr>
        <w:t>I Plan to Attend the Meeting</w:t>
        <w:tab/>
        <w:t>[ ]</w:t>
      </w:r>
      <w:r>
        <w:rPr>
          <w:sz w:val="20"/>
          <w:szCs w:val="20"/>
          <w:color w:val="auto"/>
        </w:rPr>
        <w:tab/>
      </w:r>
      <w:r>
        <w:rPr>
          <w:rFonts w:ascii="Courier New" w:cs="Courier New" w:eastAsia="Courier New" w:hAnsi="Courier New"/>
          <w:sz w:val="14"/>
          <w:szCs w:val="14"/>
          <w:color w:val="auto"/>
        </w:rPr>
        <w:t>Dated</w:t>
      </w:r>
    </w:p>
    <w:p>
      <w:pPr>
        <w:spacing w:after="0" w:line="24" w:lineRule="exact"/>
        <w:rPr>
          <w:sz w:val="20"/>
          <w:szCs w:val="20"/>
          <w:color w:val="auto"/>
        </w:rPr>
      </w:pPr>
    </w:p>
    <w:p>
      <w:pPr>
        <w:ind w:left="700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 Changes Below:</w:t>
      </w:r>
    </w:p>
    <w:p>
      <w:pPr>
        <w:spacing w:after="0" w:line="309"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w:t>
      </w:r>
    </w:p>
    <w:p>
      <w:pPr>
        <w:spacing w:after="0" w:line="36"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Signature(s) of Shareholder(s) in Box</w:t>
      </w:r>
    </w:p>
    <w:p>
      <w:pPr>
        <w:spacing w:after="0" w:line="140"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Please sign exactly as name appears hereon. When shares</w:t>
      </w:r>
    </w:p>
    <w:p>
      <w:pPr>
        <w:spacing w:after="0" w:line="24"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are held by joint tenants, both should sign. When signing</w:t>
      </w:r>
    </w:p>
    <w:p>
      <w:pPr>
        <w:spacing w:after="0" w:line="8"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as administrator, attorney, executor, guardian or</w:t>
      </w:r>
    </w:p>
    <w:p>
      <w:pPr>
        <w:ind w:left="6560"/>
        <w:spacing w:after="0" w:line="237" w:lineRule="auto"/>
        <w:rPr>
          <w:sz w:val="20"/>
          <w:szCs w:val="20"/>
          <w:color w:val="auto"/>
        </w:rPr>
      </w:pPr>
      <w:r>
        <w:rPr>
          <w:rFonts w:ascii="Courier New" w:cs="Courier New" w:eastAsia="Courier New" w:hAnsi="Courier New"/>
          <w:sz w:val="15"/>
          <w:szCs w:val="15"/>
          <w:color w:val="auto"/>
        </w:rPr>
        <w:t>trustee, please give full title as such. If a</w:t>
      </w:r>
    </w:p>
    <w:p>
      <w:pPr>
        <w:ind w:left="6560"/>
        <w:spacing w:after="0" w:line="238" w:lineRule="auto"/>
        <w:rPr>
          <w:sz w:val="20"/>
          <w:szCs w:val="20"/>
          <w:color w:val="auto"/>
        </w:rPr>
      </w:pPr>
      <w:r>
        <w:rPr>
          <w:rFonts w:ascii="Courier New" w:cs="Courier New" w:eastAsia="Courier New" w:hAnsi="Courier New"/>
          <w:sz w:val="15"/>
          <w:szCs w:val="15"/>
          <w:color w:val="auto"/>
        </w:rPr>
        <w:t>corporation, authorized officer please sign full</w:t>
      </w:r>
    </w:p>
    <w:p>
      <w:pPr>
        <w:ind w:left="6560"/>
        <w:spacing w:after="0"/>
        <w:rPr>
          <w:sz w:val="20"/>
          <w:szCs w:val="20"/>
          <w:color w:val="auto"/>
        </w:rPr>
      </w:pPr>
      <w:r>
        <w:rPr>
          <w:rFonts w:ascii="Courier New" w:cs="Courier New" w:eastAsia="Courier New" w:hAnsi="Courier New"/>
          <w:sz w:val="15"/>
          <w:szCs w:val="15"/>
          <w:color w:val="auto"/>
        </w:rPr>
        <w:t>corporate name and indicate office held.</w:t>
      </w:r>
    </w:p>
    <w:sectPr>
      <w:pgSz w:w="11900" w:h="16838" w:orient="portrait"/>
      <w:cols w:equalWidth="0" w:num="1">
        <w:col w:w="11540"/>
      </w:cols>
      <w:pgMar w:left="220" w:top="59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upperLetter"/>
      <w:start w:val="24"/>
    </w:lvl>
  </w:abstractNum>
  <w:abstractNum w:abstractNumId="3">
    <w:nsid w:val="3352255A"/>
    <w:multiLevelType w:val="hybridMultilevel"/>
    <w:lvl w:ilvl="0">
      <w:lvlJc w:val="left"/>
      <w:lvlText w:val="["/>
      <w:numFmt w:val="bullet"/>
      <w:start w:val="1"/>
    </w:lvl>
    <w:lvl w:ilvl="1">
      <w:lvlJc w:val="left"/>
      <w:lvlText w:val="(%2)"/>
      <w:numFmt w:val="decimal"/>
      <w:start w:val="1"/>
    </w:lvl>
  </w:abstractNum>
  <w:abstractNum w:abstractNumId="4">
    <w:nsid w:val="109CF92E"/>
    <w:multiLevelType w:val="hybridMultilevel"/>
    <w:lvl w:ilvl="0">
      <w:lvlJc w:val="left"/>
      <w:lvlText w:val="["/>
      <w:numFmt w:val="bullet"/>
      <w:start w:val="1"/>
    </w:lvl>
    <w:lvl w:ilvl="1">
      <w:lvlJc w:val="left"/>
      <w:lvlText w:val="(%2)"/>
      <w:numFmt w:val="decimal"/>
      <w:start w:val="1"/>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lowerLetter"/>
      <w:start w:val="4"/>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lowerRoman"/>
      <w:start w:val="2"/>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decimal"/>
      <w:start w:val="3"/>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20">
    <w:nsid w:val="333AB105"/>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21">
    <w:nsid w:val="721DA317"/>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2020-02-22T15:35:35Z</dcterms:created>
  <dcterms:modified xsi:type="dcterms:W3CDTF">2020-02-22T15:35:35Z</dcterms:modified>
</cp:coreProperties>
</file>