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7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November 26, 2022</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62230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6420" w:type="dxa"/>
            <w:vAlign w:val="bottom"/>
            <w:gridSpan w:val="6"/>
          </w:tcPr>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tc>
        <w:tc>
          <w:tcPr>
            <w:tcW w:w="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3"/>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6"/>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3"/>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93"/>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gridSpan w:val="7"/>
          </w:tcPr>
          <w:p>
            <w:pPr>
              <w:jc w:val="center"/>
              <w:ind w:right="1960"/>
              <w:spacing w:after="0"/>
              <w:rPr>
                <w:sz w:val="20"/>
                <w:szCs w:val="20"/>
                <w:color w:val="auto"/>
              </w:rPr>
            </w:pPr>
            <w:r>
              <w:rPr>
                <w:rFonts w:ascii="Arial" w:cs="Arial" w:eastAsia="Arial" w:hAnsi="Arial"/>
                <w:sz w:val="16"/>
                <w:szCs w:val="16"/>
                <w:color w:val="auto"/>
              </w:rPr>
              <w:t>(Registrant's telephone number, including area code)</w:t>
            </w:r>
          </w:p>
        </w:tc>
      </w:tr>
      <w:tr>
        <w:trPr>
          <w:trHeight w:val="527"/>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7"/>
        </w:trPr>
        <w:tc>
          <w:tcPr>
            <w:tcW w:w="1720" w:type="dxa"/>
            <w:vAlign w:val="bottom"/>
            <w:tcBorders>
              <w:left w:val="single" w:sz="8" w:color="auto"/>
              <w:bottom w:val="single" w:sz="8" w:color="auto"/>
            </w:tcBorders>
          </w:tcPr>
          <w:p>
            <w:pPr>
              <w:spacing w:after="0"/>
              <w:rPr>
                <w:sz w:val="17"/>
                <w:szCs w:val="17"/>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7"/>
                <w:szCs w:val="17"/>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26" w:lineRule="exact"/>
        <w:rPr>
          <w:sz w:val="24"/>
          <w:szCs w:val="24"/>
          <w:color w:val="auto"/>
        </w:rPr>
      </w:pPr>
    </w:p>
    <w:p>
      <w:pPr>
        <w:jc w:val="both"/>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ind w:right="4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5"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13, 2022, there were 30,542,044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November 26, 2022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400" w:type="dxa"/>
            <w:vAlign w:val="bottom"/>
            <w:gridSpan w:val="17"/>
          </w:tcPr>
          <w:p>
            <w:pPr>
              <w:spacing w:after="0"/>
              <w:rPr>
                <w:sz w:val="20"/>
                <w:szCs w:val="20"/>
                <w:color w:val="auto"/>
              </w:rPr>
            </w:pPr>
            <w:r>
              <w:rPr>
                <w:rFonts w:ascii="Arial" w:cs="Arial" w:eastAsia="Arial" w:hAnsi="Arial"/>
                <w:sz w:val="16"/>
                <w:szCs w:val="16"/>
                <w:b w:val="1"/>
                <w:bCs w:val="1"/>
                <w:color w:val="0000FF"/>
              </w:rPr>
              <w:t>FINANCIAL INFORMATION</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460" w:type="dxa"/>
            <w:vAlign w:val="bottom"/>
            <w:gridSpan w:val="3"/>
          </w:tcPr>
          <w:p>
            <w:pPr>
              <w:spacing w:after="0"/>
              <w:rPr>
                <w:sz w:val="17"/>
                <w:szCs w:val="17"/>
                <w:color w:val="auto"/>
              </w:rPr>
            </w:pPr>
          </w:p>
        </w:tc>
        <w:tc>
          <w:tcPr>
            <w:tcW w:w="6400" w:type="dxa"/>
            <w:vAlign w:val="bottom"/>
            <w:gridSpan w:val="17"/>
          </w:tcPr>
          <w:p>
            <w:pPr>
              <w:spacing w:after="0"/>
              <w:rPr>
                <w:sz w:val="20"/>
                <w:szCs w:val="20"/>
                <w:color w:val="auto"/>
              </w:rPr>
            </w:pPr>
            <w:r>
              <w:rPr>
                <w:rFonts w:ascii="Arial" w:cs="Arial" w:eastAsia="Arial" w:hAnsi="Arial"/>
                <w:sz w:val="16"/>
                <w:szCs w:val="16"/>
                <w:color w:val="0000FF"/>
              </w:rPr>
              <w:t>Consolidated Financial Statements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9"/>
          </w:tcPr>
          <w:p>
            <w:pPr>
              <w:spacing w:after="0"/>
              <w:rPr>
                <w:sz w:val="20"/>
                <w:szCs w:val="20"/>
                <w:color w:val="auto"/>
              </w:rPr>
            </w:pPr>
            <w:r>
              <w:rPr>
                <w:rFonts w:ascii="Arial" w:cs="Arial" w:eastAsia="Arial" w:hAnsi="Arial"/>
                <w:sz w:val="16"/>
                <w:szCs w:val="16"/>
                <w:color w:val="0000FF"/>
              </w:rPr>
              <w:t>Consolidated Statements of Income</w:t>
            </w:r>
          </w:p>
        </w:tc>
        <w:tc>
          <w:tcPr>
            <w:tcW w:w="3640" w:type="dxa"/>
            <w:vAlign w:val="bottom"/>
            <w:gridSpan w:val="6"/>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gridSpan w:val="2"/>
          </w:tcPr>
          <w:p>
            <w:pPr>
              <w:spacing w:after="0"/>
              <w:rPr>
                <w:sz w:val="17"/>
                <w:szCs w:val="17"/>
                <w:color w:val="auto"/>
              </w:rPr>
            </w:pPr>
          </w:p>
        </w:tc>
        <w:tc>
          <w:tcPr>
            <w:tcW w:w="3640" w:type="dxa"/>
            <w:vAlign w:val="bottom"/>
            <w:gridSpan w:val="6"/>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0"/>
          </w:tcPr>
          <w:p>
            <w:pPr>
              <w:spacing w:after="0"/>
              <w:rPr>
                <w:sz w:val="20"/>
                <w:szCs w:val="20"/>
                <w:color w:val="auto"/>
              </w:rPr>
            </w:pPr>
            <w:r>
              <w:rPr>
                <w:rFonts w:ascii="Arial" w:cs="Arial" w:eastAsia="Arial" w:hAnsi="Arial"/>
                <w:sz w:val="16"/>
                <w:szCs w:val="16"/>
                <w:color w:val="0000FF"/>
              </w:rPr>
              <w:t>Consolidated Statements of Cash Flows</w:t>
            </w:r>
          </w:p>
        </w:tc>
        <w:tc>
          <w:tcPr>
            <w:tcW w:w="3320" w:type="dxa"/>
            <w:vAlign w:val="bottom"/>
            <w:gridSpan w:val="5"/>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820" w:type="dxa"/>
            <w:vAlign w:val="bottom"/>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8</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40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21</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3.</w:t>
            </w:r>
          </w:p>
        </w:tc>
        <w:tc>
          <w:tcPr>
            <w:tcW w:w="360" w:type="dxa"/>
            <w:vAlign w:val="bottom"/>
            <w:gridSpan w:val="2"/>
          </w:tcPr>
          <w:p>
            <w:pPr>
              <w:spacing w:after="0"/>
              <w:rPr>
                <w:sz w:val="17"/>
                <w:szCs w:val="17"/>
                <w:color w:val="auto"/>
              </w:rPr>
            </w:pPr>
          </w:p>
        </w:tc>
        <w:tc>
          <w:tcPr>
            <w:tcW w:w="42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60" w:type="dxa"/>
            <w:vAlign w:val="bottom"/>
            <w:gridSpan w:val="3"/>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40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9"/>
              </w:rPr>
              <w:t>OTHER INFORMATION</w:t>
            </w:r>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29</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360" w:type="dxa"/>
            <w:vAlign w:val="bottom"/>
            <w:gridSpan w:val="2"/>
          </w:tcPr>
          <w:p>
            <w:pPr>
              <w:spacing w:after="0"/>
              <w:rPr>
                <w:sz w:val="17"/>
                <w:szCs w:val="17"/>
                <w:color w:val="auto"/>
              </w:rPr>
            </w:pPr>
          </w:p>
        </w:tc>
        <w:tc>
          <w:tcPr>
            <w:tcW w:w="13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Legal Proceedings.</w:t>
            </w:r>
          </w:p>
        </w:tc>
        <w:tc>
          <w:tcPr>
            <w:tcW w:w="5020" w:type="dxa"/>
            <w:vAlign w:val="bottom"/>
            <w:gridSpan w:val="12"/>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29</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400" w:type="dxa"/>
            <w:vAlign w:val="bottom"/>
            <w:gridSpan w:val="17"/>
          </w:tcPr>
          <w:p>
            <w:pPr>
              <w:spacing w:after="0"/>
              <w:rPr>
                <w:sz w:val="20"/>
                <w:szCs w:val="20"/>
                <w:color w:val="auto"/>
              </w:rPr>
            </w:pPr>
            <w:r>
              <w:rPr>
                <w:rFonts w:ascii="Arial" w:cs="Arial" w:eastAsia="Arial" w:hAnsi="Arial"/>
                <w:sz w:val="16"/>
                <w:szCs w:val="16"/>
                <w:color w:val="0000FF"/>
              </w:rPr>
              <w:t>Risk Factors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29</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60" w:type="dxa"/>
            <w:vAlign w:val="bottom"/>
            <w:gridSpan w:val="2"/>
          </w:tcPr>
          <w:p>
            <w:pPr>
              <w:spacing w:after="0"/>
              <w:rPr>
                <w:sz w:val="17"/>
                <w:szCs w:val="17"/>
                <w:color w:val="auto"/>
              </w:rPr>
            </w:pPr>
          </w:p>
        </w:tc>
        <w:tc>
          <w:tcPr>
            <w:tcW w:w="640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29</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40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30</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99"/>
              </w:rPr>
              <w:t>SIGNATURES</w:t>
            </w:r>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0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906"/>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0"/>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5"/>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180" w:type="dxa"/>
            <w:vAlign w:val="bottom"/>
            <w:tcBorders>
              <w:bottom w:val="single" w:sz="8" w:color="auto"/>
            </w:tcBorders>
            <w:gridSpan w:val="5"/>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12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ind w:right="399"/>
              <w:spacing w:after="0" w:line="158" w:lineRule="exact"/>
              <w:rPr>
                <w:sz w:val="20"/>
                <w:szCs w:val="20"/>
                <w:color w:val="auto"/>
              </w:rPr>
            </w:pPr>
            <w:r>
              <w:rPr>
                <w:rFonts w:ascii="Arial" w:cs="Arial" w:eastAsia="Arial" w:hAnsi="Arial"/>
                <w:sz w:val="16"/>
                <w:szCs w:val="16"/>
                <w:b w:val="1"/>
                <w:bCs w:val="1"/>
                <w:color w:val="auto"/>
              </w:rPr>
              <w:t>November 27,</w:t>
            </w:r>
          </w:p>
        </w:tc>
      </w:tr>
      <w:tr>
        <w:trPr>
          <w:trHeight w:val="215"/>
        </w:trPr>
        <w:tc>
          <w:tcPr>
            <w:tcW w:w="7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1,155.7</w:t>
            </w:r>
          </w:p>
        </w:tc>
      </w:tr>
      <w:tr>
        <w:trPr>
          <w:trHeight w:val="213"/>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791.8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w:t>
            </w:r>
          </w:p>
        </w:tc>
      </w:tr>
      <w:tr>
        <w:trPr>
          <w:trHeight w:val="20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r>
      <w:tr>
        <w:trPr>
          <w:trHeight w:val="209"/>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r>
      <w:tr>
        <w:trPr>
          <w:trHeight w:val="21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3"/>
        </w:trPr>
        <w:tc>
          <w:tcPr>
            <w:tcW w:w="70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560" w:type="dxa"/>
            <w:vAlign w:val="bottom"/>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60"/>
        </w:trPr>
        <w:tc>
          <w:tcPr>
            <w:tcW w:w="7060" w:type="dxa"/>
            <w:vAlign w:val="bottom"/>
            <w:gridSpan w:val="2"/>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0"/>
        </w:trPr>
        <w:tc>
          <w:tcPr>
            <w:tcW w:w="70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34.4</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5"/>
        </w:trPr>
        <w:tc>
          <w:tcPr>
            <w:tcW w:w="12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November 26,</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12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282.2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($0.4 and $0.6, respectively)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525.8</w:t>
            </w: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1,093.8</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484.2</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Deferred income tax assets,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2,416.7</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217.5</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 and dividends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522.1</w:t>
            </w:r>
          </w:p>
        </w:tc>
      </w:tr>
      <w:tr>
        <w:trPr>
          <w:trHeight w:val="21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545.9</w:t>
            </w:r>
          </w:p>
        </w:tc>
      </w:tr>
      <w:tr>
        <w:trPr>
          <w:trHeight w:val="219"/>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1,153.7</w:t>
            </w:r>
          </w:p>
        </w:tc>
      </w:tr>
      <w:tr>
        <w:trPr>
          <w:trHeight w:val="19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10.0 shares authorized; Zero shares issued and outstanding</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Common stock, par value $0.50: 120.0 shares authorized; 51.8 shares issued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1,537.5</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Treasury stock, at cost: 21.3 and 21.5 shares, respectively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(556.2)</w:t>
            </w:r>
          </w:p>
        </w:tc>
      </w:tr>
      <w:tr>
        <w:trPr>
          <w:trHeight w:val="21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1,263.0</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2,416.7</w:t>
            </w:r>
          </w:p>
        </w:tc>
      </w:tr>
      <w:tr>
        <w:trPr>
          <w:trHeight w:val="20"/>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26,</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27,</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 in, first-out expense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(932.6)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w:t>
            </w:r>
          </w:p>
        </w:tc>
      </w:tr>
      <w:tr>
        <w:trPr>
          <w:trHeight w:val="237"/>
        </w:trPr>
        <w:tc>
          <w:tcPr>
            <w:tcW w:w="12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center"/>
              <w:ind w:left="399"/>
              <w:spacing w:after="0"/>
              <w:rPr>
                <w:sz w:val="20"/>
                <w:szCs w:val="20"/>
                <w:color w:val="auto"/>
              </w:rPr>
            </w:pPr>
            <w:r>
              <w:rPr>
                <w:rFonts w:ascii="Arial" w:cs="Arial" w:eastAsia="Arial" w:hAnsi="Arial"/>
                <w:sz w:val="16"/>
                <w:szCs w:val="16"/>
                <w:color w:val="auto"/>
              </w:rPr>
              <w:t>(223.2)</w:t>
            </w:r>
          </w:p>
        </w:tc>
      </w:tr>
      <w:tr>
        <w:trPr>
          <w:trHeight w:val="219"/>
        </w:trPr>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9"/>
              </w:rPr>
              <w:t>434.6</w:t>
            </w:r>
          </w:p>
        </w:tc>
      </w:tr>
      <w:tr>
        <w:trPr>
          <w:trHeight w:val="210"/>
        </w:trPr>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9"/>
              </w:rPr>
              <w:t>211.4</w:t>
            </w:r>
          </w:p>
        </w:tc>
      </w:tr>
      <w:tr>
        <w:trPr>
          <w:trHeight w:val="23"/>
        </w:trPr>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0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4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Income taxes (received) paid, net</w:t>
            </w:r>
          </w:p>
        </w:tc>
        <w:tc>
          <w:tcPr>
            <w:tcW w:w="2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6"/>
        </w:trPr>
        <w:tc>
          <w:tcPr>
            <w:tcW w:w="6020" w:type="dxa"/>
            <w:vAlign w:val="bottom"/>
            <w:gridSpan w:val="2"/>
          </w:tcPr>
          <w:p>
            <w:pPr>
              <w:spacing w:after="0"/>
              <w:rPr>
                <w:sz w:val="22"/>
                <w:szCs w:val="22"/>
                <w:color w:val="auto"/>
              </w:rPr>
            </w:pPr>
          </w:p>
        </w:tc>
        <w:tc>
          <w:tcPr>
            <w:tcW w:w="2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602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25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26, 2022</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20" w:type="dxa"/>
            <w:vAlign w:val="bottom"/>
            <w:vMerge w:val="restart"/>
          </w:tcPr>
          <w:p>
            <w:pPr>
              <w:jc w:val="right"/>
              <w:ind w:right="88"/>
              <w:spacing w:after="0" w:line="122"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4"/>
                <w:szCs w:val="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4"/>
                <w:szCs w:val="4"/>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27,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Adoption of Accounting Standards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60" w:type="dxa"/>
            <w:vAlign w:val="bottom"/>
          </w:tcPr>
          <w:p>
            <w:pPr>
              <w:spacing w:after="0"/>
              <w:rPr>
                <w:sz w:val="14"/>
                <w:szCs w:val="14"/>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Update (ASU) 2020-06</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6.0</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November 26,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gridSpan w:val="5"/>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27, 2021</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w:t>
            </w: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color w:val="auto"/>
              </w:rPr>
              <w:t>Balances at November 27,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(372.6)</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3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23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4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27, 2022 filed with the SEC. Interim results of operations are not necessarily indicative of the results to be expected for the full fiscal year ending August 26, 2023.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Comprehensive income refers to the change in stockholders’ equity from transactions and other events and circumstances from non-owner sources. As of November 26, 2022 and November 27, 2021, the difference between comprehensive income and net income was not material.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took advantage of the employer payroll tax deferral offered by the CARES Act, which allowed us to defer the payment of employer payroll taxes for the period from March 27, 2020 to December 31, 2020. The deferred employer payroll tax liability was $8.1 million as of November 26, 2022. We are required to remit this remaining deferred tax balance on or before December 31, 2022. We also took advantage of a tax credit granted to companies under the CARES Act who continued to pay their employees when operations were fully or partially suspended. As of November 26, 2022, $0.8 million remains outstanding within other current assets on the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("FASB") issued ASU 2020-06, Debt - Debt with Conversion and Other Options (Subtopic 470-</w:t>
      </w:r>
    </w:p>
    <w:p>
      <w:pPr>
        <w:spacing w:after="0" w:line="5" w:lineRule="exact"/>
        <w:rPr>
          <w:sz w:val="20"/>
          <w:szCs w:val="20"/>
          <w:color w:val="auto"/>
        </w:rPr>
      </w:pPr>
    </w:p>
    <w:p>
      <w:pPr>
        <w:ind w:right="20" w:firstLine="8"/>
        <w:spacing w:after="0" w:line="254" w:lineRule="auto"/>
        <w:tabs>
          <w:tab w:leader="none" w:pos="279"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Derivatives and Hedging - Contracts in Entity's Own Equity (Subtopic 815-40) which reduces the number of 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must be used for including convertible instruments in diluted EPS as opposed to the treasury stock method. We adopted the new guidance in the first quarter of Fiscal 2023 using the modified retrospective approach, resulting in a decrease to additional paid-in capital of $62.0 million, an increase to long-term debt of $43.8 million, a decrease in the deferred income tax liability of $10.8 million, and an increase to beginning retained earnings of $29.0 million. In addition, the adoption of the amended guidance reduced our non-cash interest expense in the first quarter of Fiscal 2023 by $3.6 million (pre-tax). We will prospectively utilize the if-converted method to calculate the impact of our convertible instruments on diluted EPS. Under the if-converted method, the 4.7 million shares underlying our convertible instruments are assumed to have been outstanding at the beginning of the reporting period, and any interest expense related to these instruments is excluded from the calculation of diluted EPS. Refer to Note 15 in the Notes to Consolidated Financial Statements included in Item 1 of Part I of this Quarterly Report on Form 10-Q for more information on the change from the treasury stock method to the if-converted method.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68" w:lineRule="exact"/>
        <w:rPr>
          <w:sz w:val="20"/>
          <w:szCs w:val="20"/>
          <w:color w:val="auto"/>
        </w:rPr>
      </w:pPr>
    </w:p>
    <w:p>
      <w:pPr>
        <w:ind w:right="860"/>
        <w:spacing w:after="0" w:line="278"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As of November 26, 2022 and August 27, 2022, the fair value of the earnout was $40.2 million and $39.8 million, respectively. The portion of the earnout liability that will be settled within a year is included in other current liabilities on the Consolidated Balance Sheets, and the remaining earnout liability is included in other long-term liabilities on the Consolidated Balance Sheets. As of November 26, 2022 and August 27, 2022, $21.7 million and $21.3 million was included in other current liabilities, respectively, and $18.5 million and $18.5 million was included in other long-term liabilities on the Consolidated Balance Sheets, respectively.</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This resulted in the recognition of goodwill of $136.1 million and other intangible assets of $111.4 million. Goodwill from the Barletta acquisition is recognized in our Marine segment. The other intangible assets acquired include a trade name, dealer network, and backlog. The trade name has an indefinite life, while the dealer network is being amortized on a straight line basis over 12 years. The backlog, which was being amortized over 10 months, was fully amortized as of August 27, 2022. We finalized the allocation of the purchase price in the third quarter of fiscal 2022.</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were included in selling, general and administrative expenses in the accompanying Consolidated Statements of Income.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38" w:lineRule="exact"/>
        <w:rPr>
          <w:sz w:val="20"/>
          <w:szCs w:val="20"/>
          <w:color w:val="auto"/>
        </w:rPr>
      </w:pPr>
    </w:p>
    <w:p>
      <w:pPr>
        <w:jc w:val="both"/>
        <w:ind w:right="80"/>
        <w:spacing w:after="0" w:line="254"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other related manufactured products and services.</w:t>
      </w:r>
    </w:p>
    <w:p>
      <w:pPr>
        <w:spacing w:after="0" w:line="241"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Winnebago specialty vehicles operating segment as well as certain corporate administration expenses related to the oversight of the enterprise, such as corporate leadership and administration costs.</w:t>
      </w:r>
    </w:p>
    <w:p>
      <w:pPr>
        <w:spacing w:after="0" w:line="23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and contingent consideration fair value adjustment.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6"/>
        </w:trPr>
        <w:tc>
          <w:tcPr>
            <w:tcW w:w="7060" w:type="dxa"/>
            <w:vAlign w:val="bottom"/>
          </w:tcPr>
          <w:p>
            <w:pPr>
              <w:spacing w:after="0"/>
              <w:rPr>
                <w:sz w:val="21"/>
                <w:szCs w:val="21"/>
                <w:color w:val="auto"/>
              </w:rPr>
            </w:pPr>
          </w:p>
        </w:tc>
        <w:tc>
          <w:tcPr>
            <w:tcW w:w="4180" w:type="dxa"/>
            <w:vAlign w:val="bottom"/>
            <w:tcBorders>
              <w:bottom w:val="single" w:sz="8" w:color="auto"/>
            </w:tcBorders>
            <w:gridSpan w:val="5"/>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060" w:type="dxa"/>
            <w:vAlign w:val="bottom"/>
          </w:tcPr>
          <w:p>
            <w:pPr>
              <w:spacing w:after="0"/>
              <w:rPr>
                <w:sz w:val="13"/>
                <w:szCs w:val="13"/>
                <w:color w:val="auto"/>
              </w:rPr>
            </w:pPr>
          </w:p>
        </w:tc>
        <w:tc>
          <w:tcPr>
            <w:tcW w:w="1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ind w:right="399"/>
              <w:spacing w:after="0" w:line="158" w:lineRule="exact"/>
              <w:rPr>
                <w:sz w:val="20"/>
                <w:szCs w:val="20"/>
                <w:color w:val="auto"/>
              </w:rPr>
            </w:pPr>
            <w:r>
              <w:rPr>
                <w:rFonts w:ascii="Arial" w:cs="Arial" w:eastAsia="Arial" w:hAnsi="Arial"/>
                <w:sz w:val="16"/>
                <w:szCs w:val="16"/>
                <w:b w:val="1"/>
                <w:bCs w:val="1"/>
                <w:color w:val="auto"/>
              </w:rPr>
              <w:t>November 27,</w:t>
            </w:r>
          </w:p>
        </w:tc>
      </w:tr>
      <w:tr>
        <w:trPr>
          <w:trHeight w:val="21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Towable</w:t>
            </w:r>
          </w:p>
        </w:tc>
        <w:tc>
          <w:tcPr>
            <w:tcW w:w="1560" w:type="dxa"/>
            <w:vAlign w:val="bottom"/>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347.3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651.0</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Marine</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70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952.2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75"/>
        </w:trPr>
        <w:tc>
          <w:tcPr>
            <w:tcW w:w="70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Motorhome</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Towable</w:t>
            </w:r>
          </w:p>
        </w:tc>
        <w:tc>
          <w:tcPr>
            <w:tcW w:w="1560" w:type="dxa"/>
            <w:vAlign w:val="bottom"/>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Marine</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15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70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1"/>
        </w:trPr>
        <w:tc>
          <w:tcPr>
            <w:tcW w:w="7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26,</w:t>
            </w:r>
          </w:p>
        </w:tc>
        <w:tc>
          <w:tcPr>
            <w:tcW w:w="360" w:type="dxa"/>
            <w:vAlign w:val="bottom"/>
          </w:tcPr>
          <w:p>
            <w:pPr>
              <w:spacing w:after="0"/>
              <w:rPr>
                <w:sz w:val="16"/>
                <w:szCs w:val="16"/>
                <w:color w:val="auto"/>
              </w:rPr>
            </w:pPr>
          </w:p>
        </w:tc>
        <w:tc>
          <w:tcPr>
            <w:tcW w:w="17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874.9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823.4</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416.1</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0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906"/>
        </w:trPr>
        <w:tc>
          <w:tcPr>
            <w:tcW w:w="7060" w:type="dxa"/>
            <w:vAlign w:val="bottom"/>
            <w:gridSpan w:val="2"/>
          </w:tcPr>
          <w:p>
            <w:pPr>
              <w:spacing w:after="0"/>
              <w:rPr>
                <w:sz w:val="20"/>
                <w:szCs w:val="20"/>
                <w:color w:val="auto"/>
              </w:rPr>
            </w:pPr>
            <w:r>
              <w:rPr>
                <w:rFonts w:ascii="Arial" w:cs="Arial" w:eastAsia="Arial" w:hAnsi="Arial"/>
                <w:sz w:val="16"/>
                <w:szCs w:val="16"/>
                <w:color w:val="auto"/>
              </w:rPr>
              <w:t>Reconciliation of net income to consolidated Adjusted EBITDA is as follows: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26, 2022</w:t>
            </w:r>
          </w:p>
        </w:tc>
        <w:tc>
          <w:tcPr>
            <w:tcW w:w="200" w:type="dxa"/>
            <w:vAlign w:val="bottom"/>
          </w:tcPr>
          <w:p>
            <w:pPr>
              <w:spacing w:after="0"/>
              <w:rPr>
                <w:sz w:val="18"/>
                <w:szCs w:val="18"/>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27, 2021</w:t>
            </w:r>
          </w:p>
        </w:tc>
      </w:tr>
      <w:tr>
        <w:trPr>
          <w:trHeight w:val="210"/>
        </w:trPr>
        <w:tc>
          <w:tcPr>
            <w:tcW w:w="7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060" w:type="dxa"/>
            <w:vAlign w:val="bottom"/>
            <w:gridSpan w:val="2"/>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21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Litigation reserves</w:t>
            </w:r>
          </w:p>
        </w:tc>
        <w:tc>
          <w:tcPr>
            <w:tcW w:w="2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060" w:type="dxa"/>
            <w:vAlign w:val="bottom"/>
            <w:gridSpan w:val="2"/>
          </w:tcPr>
          <w:p>
            <w:pPr>
              <w:ind w:left="1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r>
      <w:tr>
        <w:trPr>
          <w:trHeight w:val="20"/>
        </w:trPr>
        <w:tc>
          <w:tcPr>
            <w:tcW w:w="12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98"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78" w:lineRule="exact"/>
        <w:rPr>
          <w:sz w:val="20"/>
          <w:szCs w:val="20"/>
          <w:color w:val="auto"/>
        </w:rPr>
      </w:pPr>
    </w:p>
    <w:p>
      <w:pPr>
        <w:ind w:left="660" w:right="300"/>
        <w:spacing w:after="0" w:line="298"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4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6160" w:type="dxa"/>
            <w:vAlign w:val="bottom"/>
            <w:gridSpan w:val="6"/>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gridSpan w:val="7"/>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8" w:lineRule="exact"/>
              <w:rPr>
                <w:sz w:val="20"/>
                <w:szCs w:val="20"/>
                <w:color w:val="auto"/>
              </w:rPr>
            </w:pPr>
            <w:r>
              <w:rPr>
                <w:rFonts w:ascii="Arial" w:cs="Arial" w:eastAsia="Arial" w:hAnsi="Arial"/>
                <w:sz w:val="16"/>
                <w:szCs w:val="16"/>
                <w:b w:val="1"/>
                <w:bCs w:val="1"/>
                <w:color w:val="auto"/>
              </w:rPr>
              <w:t>November 26,</w:t>
            </w:r>
          </w:p>
        </w:tc>
        <w:tc>
          <w:tcPr>
            <w:tcW w:w="360" w:type="dxa"/>
            <w:vAlign w:val="bottom"/>
          </w:tcPr>
          <w:p>
            <w:pPr>
              <w:spacing w:after="0"/>
              <w:rPr>
                <w:sz w:val="12"/>
                <w:szCs w:val="12"/>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shd w:val="clear" w:color="auto" w:fill="CCEEFF"/>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Earnout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8" w:lineRule="exact"/>
              <w:rPr>
                <w:sz w:val="20"/>
                <w:szCs w:val="20"/>
                <w:color w:val="auto"/>
              </w:rPr>
            </w:pPr>
            <w:r>
              <w:rPr>
                <w:rFonts w:ascii="Arial" w:cs="Arial" w:eastAsia="Arial" w:hAnsi="Arial"/>
                <w:sz w:val="16"/>
                <w:szCs w:val="16"/>
                <w:b w:val="1"/>
                <w:bCs w:val="1"/>
                <w:color w:val="auto"/>
              </w:rPr>
              <w:t>August 27,</w:t>
            </w:r>
          </w:p>
        </w:tc>
        <w:tc>
          <w:tcPr>
            <w:tcW w:w="360" w:type="dxa"/>
            <w:vAlign w:val="bottom"/>
          </w:tcPr>
          <w:p>
            <w:pPr>
              <w:spacing w:after="0"/>
              <w:rPr>
                <w:sz w:val="12"/>
                <w:szCs w:val="12"/>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Earnout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27, 2022 for additional information regarding these plans.</w:t>
      </w:r>
    </w:p>
    <w:p>
      <w:pPr>
        <w:spacing w:after="0" w:line="22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assets on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3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of the contingent consideration: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37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r>
      <w:tr>
        <w:trPr>
          <w:trHeight w:val="158"/>
        </w:trPr>
        <w:tc>
          <w:tcPr>
            <w:tcW w:w="7060" w:type="dxa"/>
            <w:vAlign w:val="bottom"/>
          </w:tcPr>
          <w:p>
            <w:pPr>
              <w:spacing w:after="0"/>
              <w:rPr>
                <w:sz w:val="13"/>
                <w:szCs w:val="13"/>
                <w:color w:val="auto"/>
              </w:rPr>
            </w:pPr>
          </w:p>
        </w:tc>
        <w:tc>
          <w:tcPr>
            <w:tcW w:w="16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27,</w:t>
            </w:r>
          </w:p>
        </w:tc>
        <w:tc>
          <w:tcPr>
            <w:tcW w:w="440" w:type="dxa"/>
            <w:vAlign w:val="bottom"/>
          </w:tcPr>
          <w:p>
            <w:pPr>
              <w:spacing w:after="0"/>
              <w:rPr>
                <w:sz w:val="13"/>
                <w:szCs w:val="13"/>
                <w:color w:val="auto"/>
              </w:rPr>
            </w:pPr>
          </w:p>
        </w:tc>
      </w:tr>
      <w:tr>
        <w:trPr>
          <w:trHeight w:val="21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fair value - contingent consideration</w:t>
            </w: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Additions</w:t>
            </w:r>
          </w:p>
        </w:tc>
        <w:tc>
          <w:tcPr>
            <w:tcW w:w="16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adjustments</w:t>
            </w: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Ending fair value - contingent consideration</w:t>
            </w: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0"/>
        </w:trPr>
        <w:tc>
          <w:tcPr>
            <w:tcW w:w="7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months ended November 26, 2022 or November 27,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4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in the Notes to Consolidated Financial Statements included in Item 1 of Part I of this quarterly report on Form 10-Q for the fair value of our long-term debt.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580" w:type="dxa"/>
            <w:vAlign w:val="bottom"/>
          </w:tcPr>
          <w:p>
            <w:pPr>
              <w:jc w:val="center"/>
              <w:ind w:left="399"/>
              <w:spacing w:after="0"/>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317.0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601.5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553.0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7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580" w:type="dxa"/>
            <w:vAlign w:val="bottom"/>
          </w:tcPr>
          <w:p>
            <w:pPr>
              <w:jc w:val="center"/>
              <w:ind w:left="399"/>
              <w:spacing w:after="0"/>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247.1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1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354.4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601.5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51"/>
        </w:trPr>
        <w:tc>
          <w:tcPr>
            <w:tcW w:w="8920" w:type="dxa"/>
            <w:vAlign w:val="bottom"/>
            <w:gridSpan w:val="4"/>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5"/>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26,</w:t>
            </w:r>
          </w:p>
        </w:tc>
        <w:tc>
          <w:tcPr>
            <w:tcW w:w="34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r>
      <w:tr>
        <w:trPr>
          <w:trHeight w:val="21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w:t>
            </w:r>
          </w:p>
        </w:tc>
      </w:tr>
      <w:tr>
        <w:trPr>
          <w:trHeight w:val="21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r>
      <w:tr>
        <w:trPr>
          <w:trHeight w:val="238"/>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$6.6 million and $5.3 million for the three months ended November 26, 2022 and November 27, 2021, respectively.</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6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changes in the carrying amount of goodwill by reportable segment, with no accumulated impairment losses, for the three months ended November 26, 2022 and November 27, 2021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Motorhome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Marine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November 27, 2021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39"/>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48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Balances at August 27, 2022 and November 26, 2022</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560" w:hanging="252"/>
        <w:spacing w:after="0" w:line="205" w:lineRule="auto"/>
        <w:tabs>
          <w:tab w:leader="none" w:pos="175"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The change in marine activity is related to the acquisition of Barletta that occurred on August 31, 2021. See Note 2 in the Notes to Consolidated Financial Statements included in Item 1 of Part I of this quarterly report on Form 10-Q.</w:t>
      </w:r>
    </w:p>
    <w:p>
      <w:pPr>
        <w:spacing w:after="0" w:line="57" w:lineRule="exact"/>
        <w:rPr>
          <w:rFonts w:ascii="Arial" w:cs="Arial" w:eastAsia="Arial" w:hAnsi="Arial"/>
          <w:sz w:val="20"/>
          <w:szCs w:val="20"/>
          <w:color w:val="auto"/>
          <w:vertAlign w:val="superscript"/>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There was no activity in the three months ended November 26, 2022.</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November 26, 2022</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00" w:type="dxa"/>
            <w:vAlign w:val="bottom"/>
          </w:tcPr>
          <w:p>
            <w:pPr>
              <w:spacing w:after="0"/>
              <w:rPr>
                <w:sz w:val="13"/>
                <w:szCs w:val="13"/>
                <w:color w:val="auto"/>
              </w:rPr>
            </w:pPr>
          </w:p>
        </w:tc>
        <w:tc>
          <w:tcPr>
            <w:tcW w:w="19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27, 2022</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intangible assets as of November 26, 2022 was approximately eight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2"/>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6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3"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2"/>
        </w:trPr>
        <w:tc>
          <w:tcPr>
            <w:tcW w:w="706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20"/>
                <w:szCs w:val="20"/>
                <w:color w:val="auto"/>
              </w:rPr>
            </w:pPr>
          </w:p>
        </w:tc>
      </w:tr>
      <w:tr>
        <w:trPr>
          <w:trHeight w:val="158"/>
        </w:trPr>
        <w:tc>
          <w:tcPr>
            <w:tcW w:w="7060" w:type="dxa"/>
            <w:vAlign w:val="bottom"/>
          </w:tcPr>
          <w:p>
            <w:pPr>
              <w:spacing w:after="0"/>
              <w:rPr>
                <w:sz w:val="13"/>
                <w:szCs w:val="13"/>
                <w:color w:val="auto"/>
              </w:rPr>
            </w:pPr>
          </w:p>
        </w:tc>
        <w:tc>
          <w:tcPr>
            <w:tcW w:w="1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27,</w:t>
            </w:r>
          </w:p>
        </w:tc>
        <w:tc>
          <w:tcPr>
            <w:tcW w:w="480" w:type="dxa"/>
            <w:vAlign w:val="bottom"/>
          </w:tcPr>
          <w:p>
            <w:pPr>
              <w:spacing w:after="0"/>
              <w:rPr>
                <w:sz w:val="13"/>
                <w:szCs w:val="13"/>
                <w:color w:val="auto"/>
              </w:rPr>
            </w:pPr>
          </w:p>
        </w:tc>
      </w:tr>
      <w:tr>
        <w:trPr>
          <w:trHeight w:val="21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127.9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15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122.2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80" w:hanging="252"/>
        <w:spacing w:after="0" w:line="199" w:lineRule="auto"/>
        <w:tabs>
          <w:tab w:leader="none" w:pos="305"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Barletta on August 31, 2021. See Note 2 in the Notes to Consolidated Financial Statements included in Item 1 of Part I of this quarterly report on Form 10-Q.</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5"/>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7000" w:type="dxa"/>
            <w:vAlign w:val="bottom"/>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right"/>
              <w:ind w:right="539"/>
              <w:spacing w:after="0" w:line="181" w:lineRule="exact"/>
              <w:rPr>
                <w:sz w:val="20"/>
                <w:szCs w:val="20"/>
                <w:color w:val="auto"/>
              </w:rPr>
            </w:pPr>
            <w:r>
              <w:rPr>
                <w:rFonts w:ascii="Arial" w:cs="Arial" w:eastAsia="Arial" w:hAnsi="Arial"/>
                <w:sz w:val="16"/>
                <w:szCs w:val="16"/>
                <w:b w:val="1"/>
                <w:bCs w:val="1"/>
                <w:color w:val="auto"/>
              </w:rPr>
              <w:t>August 27,</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Convertible Notes unamortized interest discount</w:t>
            </w:r>
            <w:r>
              <w:rPr>
                <w:rFonts w:ascii="Arial" w:cs="Arial" w:eastAsia="Arial" w:hAnsi="Arial"/>
                <w:sz w:val="21"/>
                <w:szCs w:val="21"/>
                <w:color w:val="auto"/>
                <w:vertAlign w:val="superscript"/>
              </w:rPr>
              <w:t>(1)</w:t>
            </w:r>
          </w:p>
        </w:tc>
        <w:tc>
          <w:tcPr>
            <w:tcW w:w="15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1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590.4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380" w:hanging="252"/>
        <w:spacing w:after="0" w:line="199" w:lineRule="auto"/>
        <w:tabs>
          <w:tab w:leader="none" w:pos="305"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In connection with the adoption of ASU 2020-06, the unamortized interest discount was derecognized in the first quarter of Fiscal 2023. Refer to Note 1 in the Notes to Consolidated Financial Statements in Item 1 of Part I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July 15, 2022, we amended and restated our existing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borrowings is at a floating rate based upon our election, either term SOFR or REVSOFR30 (as defined in the credit agreement), plus, in each case, a credit spread adjustment of</w:t>
      </w:r>
    </w:p>
    <w:p>
      <w:pPr>
        <w:jc w:val="both"/>
        <w:ind w:right="80"/>
        <w:spacing w:after="0" w:line="262" w:lineRule="auto"/>
        <w:rPr>
          <w:sz w:val="20"/>
          <w:szCs w:val="20"/>
          <w:color w:val="auto"/>
        </w:rPr>
      </w:pPr>
      <w:r>
        <w:rPr>
          <w:rFonts w:ascii="Arial" w:cs="Arial" w:eastAsia="Arial" w:hAnsi="Arial"/>
          <w:sz w:val="16"/>
          <w:szCs w:val="16"/>
          <w:color w:val="auto"/>
        </w:rPr>
        <w:t>0.10%, as well as an applicable spread between 1.25% and 1.75%, depending on the usage of the facility during the most recent quarter. Based on current usage, we would pay an applicable spread of 1.25%. In connection with the amendment, we capitalized $1.2 million of issuance costs that will be amortized over the five-year term of the agreement.</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27, 2022 for additional information regarding these credit agreements.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316" w:lineRule="exact"/>
        <w:rPr>
          <w:sz w:val="20"/>
          <w:szCs w:val="20"/>
          <w:color w:val="auto"/>
        </w:rPr>
      </w:pPr>
    </w:p>
    <w:p>
      <w:pPr>
        <w:ind w:left="660" w:right="700" w:hanging="328"/>
        <w:spacing w:after="0" w:line="26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85"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8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for the Convertible Notes.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48"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in cash. Our ability to cash settle may be limited depending on the stock price at the time of conversion.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21"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27, 2022 for additional information regarding the Convertible Notes and the Call Spread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jc w:val="both"/>
        <w:ind w:right="420"/>
        <w:spacing w:after="0" w:line="262" w:lineRule="auto"/>
        <w:rPr>
          <w:sz w:val="20"/>
          <w:szCs w:val="20"/>
          <w:color w:val="auto"/>
        </w:rPr>
      </w:pPr>
      <w:r>
        <w:rPr>
          <w:rFonts w:ascii="Arial" w:cs="Arial" w:eastAsia="Arial" w:hAnsi="Arial"/>
          <w:sz w:val="16"/>
          <w:szCs w:val="16"/>
          <w:color w:val="auto"/>
        </w:rPr>
        <w:t>In the first quarter of Fiscal 2023, we adopted ASU 2020-06 using the modified retrospective approach. The new guidance simplifies the accounting for convertible instruments by removing certain separation models. As a result, more convertible debt instruments will be accounted for as a single liability measured at amortized cost.</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Prior to our adoption of ASU 2020-06,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represented the difference between the fair value of the initial $215.0 million in debt and the $300.0 million of gross proceeds. The initial debt discount of $85.0 million was being amortized over the life of the Convertible Notes as non-cash interest expense using the effective interest method. We recognized $3.6 million of non-cash interest expense during the three months ended November 27, 2021. In addition, offering-related costs of $9.8 million were allocated to the liability and equity components in proportion to the allocation of proceeds.</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connection with our adoption of ASU 2020-06, we derecognized the remaining unamortized interest discount on the Convertible Notes and therefore recorded no non-cash interest expense related to the amortization of the debt discount during the three months ended November 26, 2022. As a result, the Convertible Notes are now accounted for as a single liability measured at amortized cost. Interest expense, representing the amortization of the debt issuance costs as well as the contractual interest expense is amortized using an effective interest rate of 2.1% over the term of the Convertible Notes. We recorded $1.6 million of interest expense during the three months ended November 26, 2022.</w:t>
      </w:r>
    </w:p>
    <w:p>
      <w:pPr>
        <w:spacing w:after="0" w:line="22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Refer to Note 15 in the Notes to Consolidated Financial Statements included in Item 1 of Part I of this Quarterly Report on Form 10-Q for more information related to the earnings per share impact associated with the Convertible Notes and our adoption of ASU-2020-06.</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net cost incurred in connection with the Call Spread Transactions was $11.2 million. These transactions are classified as equity and are not remeasured each reporting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As of November 26, 2022 and August 27, 2022, the fair value of long-term debt, gross, was $615.5 million and $634.2 million, respectively. The fair value of the Convertible Notes was $334.7 million as of November 26,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2023</w:t>
            </w: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2028</w:t>
            </w:r>
          </w:p>
        </w:tc>
        <w:tc>
          <w:tcPr>
            <w:tcW w:w="16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1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1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1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6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November 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640" w:type="dxa"/>
            <w:vAlign w:val="bottom"/>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6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6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40" w:type="dxa"/>
            <w:vAlign w:val="bottom"/>
          </w:tcPr>
          <w:p>
            <w:pPr>
              <w:jc w:val="right"/>
              <w:ind w:right="14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$1,902.0 million and $1,783.7 million at November 26, 2022 and August 27, 2022, respectively.</w:t>
      </w: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$1.4 million at November 26, 2022 and August 27, 2022,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months ended November 26, 2022 and November 27,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motorhome units and marine units to our independent dealer network (our customers). The following table disaggregates revenue by reportable segment and product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4180" w:type="dxa"/>
            <w:vAlign w:val="bottom"/>
            <w:tcBorders>
              <w:bottom w:val="single" w:sz="8" w:color="auto"/>
            </w:tcBorders>
            <w:gridSpan w:val="5"/>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060" w:type="dxa"/>
            <w:vAlign w:val="bottom"/>
          </w:tcPr>
          <w:p>
            <w:pPr>
              <w:spacing w:after="0"/>
              <w:rPr>
                <w:sz w:val="13"/>
                <w:szCs w:val="13"/>
                <w:color w:val="auto"/>
              </w:rPr>
            </w:pPr>
          </w:p>
        </w:tc>
        <w:tc>
          <w:tcPr>
            <w:tcW w:w="1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ind w:right="399"/>
              <w:spacing w:after="0" w:line="158" w:lineRule="exact"/>
              <w:rPr>
                <w:sz w:val="20"/>
                <w:szCs w:val="20"/>
                <w:color w:val="auto"/>
              </w:rPr>
            </w:pPr>
            <w:r>
              <w:rPr>
                <w:rFonts w:ascii="Arial" w:cs="Arial" w:eastAsia="Arial" w:hAnsi="Arial"/>
                <w:sz w:val="16"/>
                <w:szCs w:val="16"/>
                <w:b w:val="1"/>
                <w:bCs w:val="1"/>
                <w:color w:val="auto"/>
              </w:rPr>
              <w:t>November 27,</w:t>
            </w:r>
          </w:p>
        </w:tc>
      </w:tr>
      <w:tr>
        <w:trPr>
          <w:trHeight w:val="21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Towable</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w:t>
            </w: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315.4</w:t>
            </w:r>
          </w:p>
        </w:tc>
      </w:tr>
      <w:tr>
        <w:trPr>
          <w:trHeight w:val="219"/>
        </w:trPr>
        <w:tc>
          <w:tcPr>
            <w:tcW w:w="70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7"/>
        </w:trPr>
        <w:tc>
          <w:tcPr>
            <w:tcW w:w="706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15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347.3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651.0</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Class A</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231.1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r>
      <w:tr>
        <w:trPr>
          <w:trHeight w:val="216"/>
        </w:trPr>
        <w:tc>
          <w:tcPr>
            <w:tcW w:w="70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Class C and Other </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r>
      <w:tr>
        <w:trPr>
          <w:trHeight w:val="210"/>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Marine</w:t>
            </w:r>
          </w:p>
        </w:tc>
        <w:tc>
          <w:tcPr>
            <w:tcW w:w="1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19"/>
        </w:trPr>
        <w:tc>
          <w:tcPr>
            <w:tcW w:w="70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70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952.2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1,155.7</w:t>
            </w:r>
          </w:p>
        </w:tc>
      </w:tr>
      <w:tr>
        <w:trPr>
          <w:trHeight w:val="20"/>
        </w:trPr>
        <w:tc>
          <w:tcPr>
            <w:tcW w:w="7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spacing w:after="0" w:line="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Relates to specialty vehicle units, parts, accessories, and services.</w:t>
      </w:r>
    </w:p>
    <w:p>
      <w:pPr>
        <w:spacing w:after="0" w:line="24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three months ended November 26, 2022 or November 27,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Stock-based compensation expense was $3.0 million and $2.7 million for the three months ended November 26, 2022 and November 27, 2021, respectively. Compensation expense is recognized over the requisite service or performance period of the award, unless accelerated by certain retirement eligibility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8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effective tax rate was 24.5% and 23.2% for the three months ended November 26, 2022 and November 27, 2021, respectively. The increase in tax rate for the three months ended November 26, 2022 compared to the three months ended November 27, 2021 was driven primarily by the impact of a net favorable impact related to stock compensation in the prior year.</w:t>
      </w:r>
    </w:p>
    <w:p>
      <w:pPr>
        <w:spacing w:after="0" w:line="24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November 26, 2022, our Federal returns from Fiscal 2019 to present are subject to review by the Internal Revenue Service. With limited exceptions, state returns from Fiscal 2018 to present continue to be subject to review by state taxing jurisdictions. We are currently under review by certain U.S. state tax authorities for Fiscal 2019 and Fiscal 2020. We believe we have adequately reserved for our exposure to potential additional payments for uncertain tax positions in our liability for unrecognized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8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the first quarter of Fiscal 2023, we adopted ASU 2020-06 using the modified retrospective approach. Prior to adoption, we utilized the treasury stock method for calculating the dilutive impact of our Convertible Notes. Upon adoption, we prospectively utilized the if-converted method to calculate the dilutive impact of our Convertible Notes. Under the if-converted method, the Convertible Notes are assumed to be converted into common stock at the beginning of the reporting period, and interest charges are added back to the numerator as the principal amount of the Convertible Notes is not required to be paid in cash.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3"/>
        </w:trPr>
        <w:tc>
          <w:tcPr>
            <w:tcW w:w="706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20"/>
                <w:szCs w:val="20"/>
                <w:color w:val="auto"/>
              </w:rPr>
            </w:pPr>
          </w:p>
        </w:tc>
      </w:tr>
      <w:tr>
        <w:trPr>
          <w:trHeight w:val="158"/>
        </w:trPr>
        <w:tc>
          <w:tcPr>
            <w:tcW w:w="7060" w:type="dxa"/>
            <w:vAlign w:val="bottom"/>
          </w:tcPr>
          <w:p>
            <w:pPr>
              <w:spacing w:after="0"/>
              <w:rPr>
                <w:sz w:val="13"/>
                <w:szCs w:val="13"/>
                <w:color w:val="auto"/>
              </w:rPr>
            </w:pPr>
          </w:p>
        </w:tc>
        <w:tc>
          <w:tcPr>
            <w:tcW w:w="16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November 27,</w:t>
            </w:r>
          </w:p>
        </w:tc>
        <w:tc>
          <w:tcPr>
            <w:tcW w:w="440" w:type="dxa"/>
            <w:vAlign w:val="bottom"/>
          </w:tcPr>
          <w:p>
            <w:pPr>
              <w:spacing w:after="0"/>
              <w:rPr>
                <w:sz w:val="13"/>
                <w:szCs w:val="13"/>
                <w:color w:val="auto"/>
              </w:rPr>
            </w:pPr>
          </w:p>
        </w:tc>
      </w:tr>
      <w:tr>
        <w:trPr>
          <w:trHeight w:val="21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600" w:type="dxa"/>
            <w:vAlign w:val="bottom"/>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7060" w:type="dxa"/>
            <w:vAlign w:val="bottom"/>
          </w:tcPr>
          <w:p>
            <w:pPr>
              <w:ind w:left="240"/>
              <w:spacing w:after="0"/>
              <w:rPr>
                <w:sz w:val="20"/>
                <w:szCs w:val="20"/>
                <w:color w:val="auto"/>
              </w:rPr>
            </w:pPr>
            <w:r>
              <w:rPr>
                <w:rFonts w:ascii="Arial" w:cs="Arial" w:eastAsia="Arial" w:hAnsi="Arial"/>
                <w:sz w:val="16"/>
                <w:szCs w:val="16"/>
                <w:color w:val="auto"/>
              </w:rPr>
              <w:t>Basic earnings per common share</w:t>
            </w: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3"/>
        </w:trPr>
        <w:tc>
          <w:tcPr>
            <w:tcW w:w="70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 on convertible notes, net of tax</w:t>
            </w:r>
          </w:p>
        </w:tc>
        <w:tc>
          <w:tcPr>
            <w:tcW w:w="1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net income</w:t>
            </w: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40"/>
        </w:trPr>
        <w:tc>
          <w:tcPr>
            <w:tcW w:w="7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impact of convertible notes</w:t>
            </w: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Weighted average common shares outstanding, assuming dilution</w:t>
            </w: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59"/>
        </w:trPr>
        <w:tc>
          <w:tcPr>
            <w:tcW w:w="70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177"/>
        </w:trPr>
        <w:tc>
          <w:tcPr>
            <w:tcW w:w="7060" w:type="dxa"/>
            <w:vAlign w:val="bottom"/>
          </w:tcPr>
          <w:p>
            <w:pPr>
              <w:ind w:left="140"/>
              <w:spacing w:after="0" w:line="178" w:lineRule="exact"/>
              <w:rPr>
                <w:sz w:val="20"/>
                <w:szCs w:val="20"/>
                <w:color w:val="auto"/>
              </w:rPr>
            </w:pPr>
            <w:r>
              <w:rPr>
                <w:rFonts w:ascii="Arial" w:cs="Arial" w:eastAsia="Arial" w:hAnsi="Arial"/>
                <w:sz w:val="16"/>
                <w:szCs w:val="16"/>
                <w:color w:val="auto"/>
              </w:rPr>
              <w:t>Anti-dilutive securities excluded from weighted average common shares outstanding, assuming</w:t>
            </w:r>
          </w:p>
        </w:tc>
        <w:tc>
          <w:tcPr>
            <w:tcW w:w="1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8"/>
        </w:trPr>
        <w:tc>
          <w:tcPr>
            <w:tcW w:w="7060" w:type="dxa"/>
            <w:vAlign w:val="bottom"/>
          </w:tcPr>
          <w:p>
            <w:pPr>
              <w:ind w:left="140"/>
              <w:spacing w:after="0"/>
              <w:rPr>
                <w:sz w:val="20"/>
                <w:szCs w:val="20"/>
                <w:color w:val="auto"/>
              </w:rPr>
            </w:pPr>
            <w:r>
              <w:rPr>
                <w:rFonts w:ascii="Arial" w:cs="Arial" w:eastAsia="Arial" w:hAnsi="Arial"/>
                <w:sz w:val="16"/>
                <w:szCs w:val="16"/>
                <w:color w:val="auto"/>
              </w:rPr>
              <w:t>dilution</w:t>
            </w:r>
          </w:p>
        </w:tc>
        <w:tc>
          <w:tcPr>
            <w:tcW w:w="16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60"/>
        </w:trPr>
        <w:tc>
          <w:tcPr>
            <w:tcW w:w="70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r>
      <w:tr>
        <w:trPr>
          <w:trHeight w:val="210"/>
        </w:trPr>
        <w:tc>
          <w:tcPr>
            <w:tcW w:w="7060" w:type="dxa"/>
            <w:vAlign w:val="bottom"/>
          </w:tcPr>
          <w:p>
            <w:pPr>
              <w:ind w:left="240"/>
              <w:spacing w:after="0"/>
              <w:rPr>
                <w:sz w:val="20"/>
                <w:szCs w:val="20"/>
                <w:color w:val="auto"/>
              </w:rPr>
            </w:pPr>
            <w:r>
              <w:rPr>
                <w:rFonts w:ascii="Arial" w:cs="Arial" w:eastAsia="Arial" w:hAnsi="Arial"/>
                <w:sz w:val="16"/>
                <w:szCs w:val="16"/>
                <w:color w:val="auto"/>
              </w:rPr>
              <w:t>Diluted earnings per common share</w:t>
            </w: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0"/>
        </w:trPr>
        <w:tc>
          <w:tcPr>
            <w:tcW w:w="7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For both periods presented, the dilutive effect of stock compensation awards was determined using the treasury stock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27, 2022 (including the information presented therein under Risk Factors), as well as our reports on Forms 10-Q and 8-K and other publicly available information. All amounts herein are unaudited. All amounts in tables are in millions, except share and per share data,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Events</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February 2022, the United States announced targeted economic sanctions on Russia in response to the military conflict in Ukraine. As described in Part I, Item 1A — Risk Factors, in the Annual Report on Form 10-K for the fiscal year ended August 27, 2022, our business may be sensitive to economic conditions such as the adverse impact of global tensions, which could impact input costs, consumer spending, and fuel prices. As our operations are primarily in North America, we have no direct exposure to Russia and Ukraine. However, we are actively monitoring the broader economic impact of the crisis, especially the potential impact of rising commodity and fuel prices, and the potential decreased demand for our products.</w:t>
      </w: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Supply chain disruptions continue to impact the global economy, resulting in increased volatility and inflationary cost pressures. For example, our production has experienced certain supply shortages, particularly within our Motorhome and Marine segments, as well as material and component cost inflation. If these disruptions continue, or if there are additional disruptions in our supply chain, it could materially or adversely impact our operating results and financial condition. Despite certain supply shortages and inflationary cost input pressures, we continue to operate and adapt to these temporary supply chain disruptions.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Included in "Results of Operations" below for the three months ended November 26, 2022 compared to the comparable prior year period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and contingent consideration fair value adjustment.</w:t>
      </w:r>
    </w:p>
    <w:p>
      <w:pPr>
        <w:spacing w:after="0" w:line="226"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 and Uncertainties</w:t>
      </w:r>
    </w:p>
    <w:p>
      <w:pPr>
        <w:spacing w:after="0" w:line="120"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RV and marine industries continue to experience shipping delays associated with a constrained supply chain. While we continue to operate and adapt to these supply chain disruptions, they impacted our ability to meet existing demand in the first quarter of Fiscal 2023.</w:t>
      </w:r>
    </w:p>
    <w:p>
      <w:pPr>
        <w:spacing w:after="0" w:line="223" w:lineRule="exact"/>
        <w:rPr>
          <w:sz w:val="20"/>
          <w:szCs w:val="20"/>
          <w:color w:val="auto"/>
        </w:rPr>
      </w:pPr>
    </w:p>
    <w:p>
      <w:pPr>
        <w:ind w:right="440"/>
        <w:spacing w:after="0" w:line="220" w:lineRule="auto"/>
        <w:rPr>
          <w:sz w:val="20"/>
          <w:szCs w:val="20"/>
          <w:color w:val="auto"/>
        </w:rPr>
      </w:pPr>
      <w:r>
        <w:rPr>
          <w:rFonts w:ascii="Arial" w:cs="Arial" w:eastAsia="Arial" w:hAnsi="Arial"/>
          <w:sz w:val="16"/>
          <w:szCs w:val="16"/>
          <w:color w:val="auto"/>
        </w:rPr>
        <w:t>In the first quarter of Fiscal 2023, Mercedes-Benz AG issued a global recall related to an electronic parking brake defect affecting 2019 through 2022 Sprinter chassis. As a result, retail sales and wholesale shipments of our products built on this chassis are suspended until a remedy is implemented in</w:t>
      </w:r>
    </w:p>
    <w:p>
      <w:pPr>
        <w:ind w:right="280"/>
        <w:spacing w:after="0" w:line="242" w:lineRule="auto"/>
        <w:rPr>
          <w:sz w:val="20"/>
          <w:szCs w:val="20"/>
          <w:color w:val="auto"/>
        </w:rPr>
      </w:pPr>
      <w:r>
        <w:rPr>
          <w:rFonts w:ascii="Arial" w:cs="Arial" w:eastAsia="Arial" w:hAnsi="Arial"/>
          <w:sz w:val="16"/>
          <w:szCs w:val="16"/>
          <w:color w:val="auto"/>
        </w:rPr>
        <w:t>cooperation with Mercedes-Benz AG. This recall impacted our Motorhome segment net sales, profitability, and working capital in the first quarter of Fiscal 2023.</w:t>
      </w:r>
    </w:p>
    <w:p>
      <w:pPr>
        <w:spacing w:after="0" w:line="223"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We believe field inventory for our Towable segment has normalized to adequately serve end consumer demand, while field inventory for our Motorhome segment is returning to normalized levels. Field inventory for our Marine segment continues to remain lower than desired by our dealer network, but is beginning to show signs of normalizing. We continue to produce and ship in accordance with dealer demand as evidenced and requested by dealer orders.</w:t>
      </w:r>
    </w:p>
    <w:p>
      <w:pPr>
        <w:spacing w:after="0" w:line="22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RV industry retail sales have been softening compared to record high prior year levels; however, we still believe in the long-term health of consumer demand for RV and marine products. More people are pursuing outdoor activities, household penetration of RVs is increasing, and campers are more diverse than ever. According to statistics published by Kampgrounds of America, Inc., over 14 million households camped for the first time in 2020 and 2021, and combined with record levels of first-time buyers of RVs over the past two years, we believe a positive outlook exists for new product and upgrade-related sales. Despite these developments, current macroeconomic trends such as inflation, rising interest rates and low consumer sentiment, as well as global political tensions, contribute to reduced short-term consumer demand for large discretionary products such as RVs and Marine products, which could in turn impact our future revenue and profits.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November 26, 2022 Compared to the Three Months Ended November 27,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November 26, 2022 compared to the three months ended November 27,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November 26,</w:t>
            </w: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November 27,</w:t>
            </w: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2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80.2 %</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57"/>
        </w:trPr>
        <w:tc>
          <w:tcPr>
            <w:tcW w:w="288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Net revenues decreased primarily due to lower unit sales particularly in the Towables segment, compared to record high year-ago levels, partially offset by Marine segment unit growth and price increases in all segments related to higher material and component costs.</w:t>
      </w:r>
    </w:p>
    <w:p>
      <w:pPr>
        <w:spacing w:after="0" w:line="23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Gross profit as a percentage of revenue decreased compared to record high year-ago levels, primarily due to timing of inflationary pressures relative to pricing, deleverage, and productivity loss from supply disruptions including the chassis recall by Mercedes-Benz AG as described above in this Item 2 under "Industry Trends and Uncertainties."</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Operating expenses decreased primarily due to lower amortization related to Barletta intangible assets, and legal settlement and transaction costs incurred in the prior year, partially offset by strategic investments.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Non-operating loss decreased due to a lower contingent consideration fair value adjustment related to the earnout from the acquisition of Barletta.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increased primarily due to a net favorable impact related to stock compensation in the prior year.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November 26, 2022 and November 27,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 2022</w:t>
            </w:r>
          </w:p>
        </w:tc>
        <w:tc>
          <w:tcPr>
            <w:tcW w:w="160" w:type="dxa"/>
            <w:vAlign w:val="bottom"/>
          </w:tcPr>
          <w:p>
            <w:pPr>
              <w:spacing w:after="0"/>
              <w:rPr>
                <w:sz w:val="18"/>
                <w:szCs w:val="18"/>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27, 2021</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4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November 26, 2022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27,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73"/>
        </w:trPr>
        <w:tc>
          <w:tcPr>
            <w:tcW w:w="3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4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48,173</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39,237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8,936</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323"/>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vMerge w:val="restart"/>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32"/>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(9,240)</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10,441</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48,759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(38,318)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spacing w:after="0" w:line="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3" w:lineRule="exact"/>
        <w:rPr>
          <w:rFonts w:ascii="Arial" w:cs="Arial" w:eastAsia="Arial" w:hAnsi="Arial"/>
          <w:sz w:val="19"/>
          <w:szCs w:val="19"/>
          <w:color w:val="auto"/>
          <w:vertAlign w:val="superscript"/>
        </w:rPr>
      </w:pPr>
    </w:p>
    <w:p>
      <w:pPr>
        <w:ind w:left="260" w:right="180" w:hanging="252"/>
        <w:spacing w:after="0" w:line="207" w:lineRule="auto"/>
        <w:tabs>
          <w:tab w:leader="none" w:pos="305"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a decline in unit volume.</w:t>
      </w:r>
    </w:p>
    <w:p>
      <w:pPr>
        <w:spacing w:after="0" w:line="26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Adjusted EBITDA decreased primarily due to lower revenues associated with volume declines compared to record high year-ago levels and the timing of price increases compared to inflation.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following is an analysis of key changes in our Motorhome segment for the three months ended November 26, 2022 compared to the three months ended November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73"/>
        </w:trPr>
        <w:tc>
          <w:tcPr>
            <w:tcW w:w="3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2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182,386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152,550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29,836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vMerge w:val="restart"/>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18,826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(8,737)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71.6 %</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spacing w:after="0" w:line="3" w:lineRule="exact"/>
        <w:rPr>
          <w:rFonts w:ascii="Arial" w:cs="Arial" w:eastAsia="Arial" w:hAnsi="Arial"/>
          <w:sz w:val="21"/>
          <w:szCs w:val="21"/>
          <w:color w:val="auto"/>
          <w:vertAlign w:val="superscript"/>
        </w:rPr>
      </w:pPr>
    </w:p>
    <w:p>
      <w:pPr>
        <w:ind w:left="300" w:hanging="292"/>
        <w:spacing w:after="0" w:line="187" w:lineRule="auto"/>
        <w:tabs>
          <w:tab w:leader="none" w:pos="30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300" w:hanging="292"/>
        <w:spacing w:after="0" w:line="189" w:lineRule="auto"/>
        <w:tabs>
          <w:tab w:leader="none" w:pos="300"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Our backlog includes all accepted orders from dealers which generally have been requested to be shipped within the next six months. Orders in backlog generally can be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cancelled or postponed at the option of the dealer at any time without penalty; therefore, backlog may not necessarily be an accurate measure of future sales.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price increases related to higher material and component costs, partially offset by unit volume decline.</w:t>
      </w:r>
    </w:p>
    <w:p>
      <w:pPr>
        <w:spacing w:after="0" w:line="23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Adjusted EBITDA was essentially flat primarily due to higher revenues, offset by productivity and supply chain challenges, including the chassis recall by Mercedes-Benz AG as described above in this Item 2 under "Industry Trends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November 26, 2022 compared to the three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November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 of Revenues</w:t>
            </w:r>
          </w:p>
        </w:tc>
        <w:tc>
          <w:tcPr>
            <w:tcW w:w="2100" w:type="dxa"/>
            <w:vAlign w:val="bottom"/>
            <w:gridSpan w:val="4"/>
          </w:tcPr>
          <w:p>
            <w:pPr>
              <w:jc w:val="center"/>
              <w:ind w:right="559"/>
              <w:spacing w:after="0" w:line="158" w:lineRule="exact"/>
              <w:rPr>
                <w:sz w:val="20"/>
                <w:szCs w:val="20"/>
                <w:color w:val="auto"/>
              </w:rPr>
            </w:pPr>
            <w:r>
              <w:rPr>
                <w:rFonts w:ascii="Arial" w:cs="Arial" w:eastAsia="Arial" w:hAnsi="Arial"/>
                <w:sz w:val="16"/>
                <w:szCs w:val="16"/>
                <w:b w:val="1"/>
                <w:bCs w:val="1"/>
                <w:color w:val="auto"/>
              </w:rPr>
              <w:t>November 27,</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960" w:type="dxa"/>
            <w:vAlign w:val="bottom"/>
          </w:tcPr>
          <w:p>
            <w:pPr>
              <w:jc w:val="center"/>
              <w:ind w:left="43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940" w:type="dxa"/>
            <w:vAlign w:val="bottom"/>
          </w:tcPr>
          <w:p>
            <w:pPr>
              <w:jc w:val="center"/>
              <w:ind w:left="459"/>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74.5 %</w:t>
            </w:r>
          </w:p>
        </w:tc>
        <w:tc>
          <w:tcPr>
            <w:tcW w:w="0" w:type="dxa"/>
            <w:vAlign w:val="bottom"/>
          </w:tcPr>
          <w:p>
            <w:pPr>
              <w:spacing w:after="0"/>
              <w:rPr>
                <w:sz w:val="1"/>
                <w:szCs w:val="1"/>
                <w:color w:val="auto"/>
              </w:rPr>
            </w:pPr>
          </w:p>
        </w:tc>
      </w:tr>
      <w:tr>
        <w:trPr>
          <w:trHeight w:val="273"/>
        </w:trPr>
        <w:tc>
          <w:tcPr>
            <w:tcW w:w="32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2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78,957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69,935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9,022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310"/>
        </w:trPr>
        <w:tc>
          <w:tcPr>
            <w:tcW w:w="3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jc w:val="center"/>
              <w:ind w:right="559"/>
              <w:spacing w:after="0" w:line="158" w:lineRule="exact"/>
              <w:rPr>
                <w:sz w:val="20"/>
                <w:szCs w:val="20"/>
                <w:color w:val="auto"/>
              </w:rPr>
            </w:pPr>
            <w:r>
              <w:rPr>
                <w:rFonts w:ascii="Arial" w:cs="Arial" w:eastAsia="Arial" w:hAnsi="Arial"/>
                <w:sz w:val="16"/>
                <w:szCs w:val="16"/>
                <w:b w:val="1"/>
                <w:bCs w:val="1"/>
                <w:color w:val="auto"/>
              </w:rPr>
              <w:t>November 27,</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40" w:type="dxa"/>
            <w:vAlign w:val="bottom"/>
            <w:vMerge w:val="continue"/>
          </w:tcPr>
          <w:p>
            <w:pPr>
              <w:spacing w:after="0"/>
              <w:rPr>
                <w:sz w:val="18"/>
                <w:szCs w:val="18"/>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459"/>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40" w:type="dxa"/>
            <w:vAlign w:val="bottom"/>
          </w:tcPr>
          <w:p>
            <w:pPr>
              <w:spacing w:after="0"/>
              <w:rPr>
                <w:sz w:val="23"/>
                <w:szCs w:val="23"/>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gridSpan w:val="4"/>
          </w:tcPr>
          <w:p>
            <w:pPr>
              <w:jc w:val="center"/>
              <w:ind w:right="559"/>
              <w:spacing w:after="0"/>
              <w:rPr>
                <w:sz w:val="20"/>
                <w:szCs w:val="20"/>
                <w:color w:val="auto"/>
              </w:rPr>
            </w:pPr>
            <w:r>
              <w:rPr>
                <w:rFonts w:ascii="Arial" w:cs="Arial" w:eastAsia="Arial" w:hAnsi="Arial"/>
                <w:sz w:val="16"/>
                <w:szCs w:val="16"/>
                <w:b w:val="1"/>
                <w:bCs w:val="1"/>
                <w:color w:val="auto"/>
              </w:rPr>
              <w:t>November 27,</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459"/>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120.1 %</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60" w:right="180" w:hanging="252"/>
        <w:spacing w:after="0" w:line="199" w:lineRule="auto"/>
        <w:tabs>
          <w:tab w:leader="none" w:pos="305"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price increases related to higher material and component costs.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20"/>
                <w:szCs w:val="20"/>
                <w:color w:val="auto"/>
              </w:rPr>
            </w:pPr>
            <w:r>
              <w:rPr>
                <w:rFonts w:ascii="Arial" w:cs="Arial" w:eastAsia="Arial" w:hAnsi="Arial"/>
                <w:sz w:val="16"/>
                <w:szCs w:val="16"/>
                <w:color w:val="auto"/>
              </w:rPr>
              <w:t>Adjusted EBITDA increased primarily due to increased revenue and operational improvements.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Resources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0"/>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November 26,</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27,</w:t>
            </w:r>
          </w:p>
        </w:tc>
      </w:tr>
      <w:tr>
        <w:trPr>
          <w:trHeight w:val="21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center"/>
              <w:ind w:left="899"/>
              <w:spacing w:after="0"/>
              <w:rPr>
                <w:sz w:val="20"/>
                <w:szCs w:val="20"/>
                <w:color w:val="auto"/>
              </w:rPr>
            </w:pPr>
            <w:r>
              <w:rPr>
                <w:rFonts w:ascii="Arial" w:cs="Arial" w:eastAsia="Arial" w:hAnsi="Arial"/>
                <w:sz w:val="16"/>
                <w:szCs w:val="16"/>
                <w:color w:val="auto"/>
                <w:w w:val="96"/>
              </w:rPr>
              <w:t>29.9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37"/>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During the three months ended November 26, 2022, cash provided by operating activities was $29.9 million compared to $56.5 million in the same period last year. The decrease is primarily driven by lower profitability, partially offset by favorable changes in operating assets and liabilities. The favorable impact of operating assets and liabilities is primarily due to changes in accounts receivable due to lower revenues and timing of invoicing/collections, and changes in inventory due to elevated purchases in Fiscal 2022 to support customer demand, partially offset by a decrease in accounts payable due to timing of payments and supply chain production slowdowns. Working capital and cash provided by operating activities were negatively impacted by the Mercedes-Benz AG chassis recall in the first quarter of Fiscal 2023.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decreased primarily due to our acquisition of Barletta during the first quarter of Fiscal 2022.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Cash used in financing activities decreased primarily due to $4.5 million of stock repurchases in the first quarter of Fiscal 2023 compared to $23.7 million in the first quarter of Fiscal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November 26, 2022, we had no borrowings against the ABL Credit Facility.</w:t>
      </w:r>
    </w:p>
    <w:p>
      <w:pPr>
        <w:spacing w:after="0" w:line="208"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color w:val="auto"/>
        </w:rPr>
        <w:t>As of November 26, 2022, we had $271.7 million in cash and cash equivalents and $350.0 million in unused ABL Credit Facility. Our cash and cash equivalent balances consist of high quality, short-term money market instruments.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4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Working capital at November 26, 2022 and August 27, 2022 was $617.7 million and $571.7 million, respectively. We currently expect cash on hand, funds generated from operations, and the borrowing available under our ABL Credit Facility to be sufficient to cover both short-term and long-term operating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3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three months ended November 26, 2022, we repurchased 79,387 shares at a cost of $4.5 million to satisfy tax obligations on employee equity awards vested. We continually evaluate if share repurchases reflect a prudent use of our capital and, subject to compliance with our ABL Credit Facility and Senior Secured Notes, we may purchase shares in the future. As of November 26, 2022, we have $350.0 million remaining on our Board approved repurchase authorization.</w:t>
      </w:r>
    </w:p>
    <w:p>
      <w:pPr>
        <w:spacing w:after="0" w:line="241"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On December 14, 2022, our Board of Directors approved a quarterly cash dividend of $0.27 per share payable on January 25, 2023, to common stockholders of record at the close of business on January 11, 2023.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has been no material change in our contractual obligations since the end of Fiscal 2022. See our Annual Report on Form 10-K for the fiscal year ended August 27, 2022 for additional information regarding our contractual obligations and commercial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33"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27, 2022. We discuss our critical accounting estimates in Item 7 of Part II of our Annual Report on Form 10-K for the fiscal year ended August 27, 2022. There have been no material changes to our critical accounting policies or critical accounting estimates since the end of Fiscal 2022.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47"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There have been no new accounting pronouncements issued but not yet adopted or effective that we believe will have a significant impact on our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27, 2022,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ind w:left="660" w:right="280" w:hanging="328"/>
        <w:spacing w:after="0" w:line="242"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 including the nature and timing of the remedy for the recall of Mercedes-Benz Sprinter chassis.</w:t>
      </w:r>
    </w:p>
    <w:p>
      <w:pPr>
        <w:spacing w:after="0" w:line="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80" w:hanging="328"/>
        <w:spacing w:after="0" w:line="25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19"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November 26, 2022.</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There were no changes in our internal control over financial reporting that occurred during the first quarter of Fiscal 2023 that have materially affected, or are reasonably likely to materially affect, our internal control over financial reporting.</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a description of our legal proceedings, see Note 11 in the Notes to Consolidated Financial Statements included in Item 1 of Part I of this Quarterly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7"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27, 2022, except for the risk factor updated below:</w:t>
      </w:r>
    </w:p>
    <w:p>
      <w:pPr>
        <w:spacing w:after="0" w:line="186"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190"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w:t>
      </w:r>
    </w:p>
    <w:p>
      <w:pPr>
        <w:spacing w:after="0" w:line="4" w:lineRule="exact"/>
        <w:rPr>
          <w:sz w:val="20"/>
          <w:szCs w:val="20"/>
          <w:color w:val="auto"/>
        </w:rPr>
      </w:pPr>
    </w:p>
    <w:p>
      <w:pPr>
        <w:jc w:val="both"/>
        <w:ind w:right="120"/>
        <w:spacing w:after="0" w:line="220" w:lineRule="auto"/>
        <w:rPr>
          <w:sz w:val="20"/>
          <w:szCs w:val="20"/>
          <w:color w:val="auto"/>
        </w:rPr>
      </w:pPr>
      <w:r>
        <w:rPr>
          <w:rFonts w:ascii="Arial" w:cs="Arial" w:eastAsia="Arial" w:hAnsi="Arial"/>
          <w:sz w:val="16"/>
          <w:szCs w:val="16"/>
          <w:color w:val="auto"/>
        </w:rPr>
        <w:t>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or instability</w:t>
      </w:r>
    </w:p>
    <w:p>
      <w:pPr>
        <w:jc w:val="both"/>
        <w:ind w:right="140"/>
        <w:spacing w:after="0" w:line="228" w:lineRule="auto"/>
        <w:rPr>
          <w:sz w:val="20"/>
          <w:szCs w:val="20"/>
          <w:color w:val="auto"/>
        </w:rPr>
      </w:pPr>
      <w:r>
        <w:rPr>
          <w:rFonts w:ascii="Arial" w:cs="Arial" w:eastAsia="Arial" w:hAnsi="Arial"/>
          <w:sz w:val="16"/>
          <w:szCs w:val="16"/>
          <w:color w:val="auto"/>
        </w:rPr>
        <w:t>from time to time. For example, in the first quarter of Fiscal 2023, the Mercedes-Benz Sprinter chassis became subject to a recall notice, which suspended all retail sales and wholesale shipments of our products built on this chassis, which we believe materially adversely affected our net revenues and earnings for the quarter ended November 26, 2022. The exact nature of the remedy and timing for executing the remedy remain uncertain and will further impact our results for the quarter ending February 25, 2023 and potentially beyond. Furthermore, decisions by our suppliers to decrease production, production delays</w:t>
      </w:r>
    </w:p>
    <w:p>
      <w:pPr>
        <w:spacing w:after="0" w:line="3"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or work stoppages by the employees of such suppliers, or price increases could have a material adverse effect on our ability to produce motorhomes and ultimately, on our results of operations, financial condition, and cash flows. In Fiscal 2022, one of our suppliers individually accounted for approximately 11%</w:t>
      </w:r>
    </w:p>
    <w:p>
      <w:pPr>
        <w:spacing w:after="0"/>
        <w:rPr>
          <w:sz w:val="20"/>
          <w:szCs w:val="20"/>
          <w:color w:val="auto"/>
        </w:rPr>
      </w:pPr>
      <w:r>
        <w:rPr>
          <w:rFonts w:ascii="Arial" w:cs="Arial" w:eastAsia="Arial" w:hAnsi="Arial"/>
          <w:sz w:val="16"/>
          <w:szCs w:val="16"/>
          <w:color w:val="auto"/>
        </w:rPr>
        <w:t>of our consolidated raw material purchases.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2023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5"/>
              </w:rPr>
              <w:t>or Programs</w:t>
            </w:r>
            <w:r>
              <w:rPr>
                <w:rFonts w:ascii="Arial" w:cs="Arial" w:eastAsia="Arial" w:hAnsi="Arial"/>
                <w:sz w:val="21"/>
                <w:szCs w:val="21"/>
                <w:b w:val="1"/>
                <w:bCs w:val="1"/>
                <w:color w:val="auto"/>
                <w:w w:val="95"/>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8/28/22 - 10/1/22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10/2/22 - 10/29/22</w:t>
            </w:r>
          </w:p>
        </w:tc>
        <w:tc>
          <w:tcPr>
            <w:tcW w:w="1560" w:type="dxa"/>
            <w:vAlign w:val="bottom"/>
          </w:tcPr>
          <w:p>
            <w:pPr>
              <w:jc w:val="right"/>
              <w:spacing w:after="0"/>
              <w:rPr>
                <w:sz w:val="20"/>
                <w:szCs w:val="20"/>
                <w:color w:val="auto"/>
              </w:rPr>
            </w:pPr>
            <w:r>
              <w:rPr>
                <w:rFonts w:ascii="Arial" w:cs="Arial" w:eastAsia="Arial" w:hAnsi="Arial"/>
                <w:sz w:val="16"/>
                <w:szCs w:val="16"/>
                <w:color w:val="auto"/>
              </w:rPr>
              <w:t>79,025</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56.47</w:t>
            </w:r>
          </w:p>
        </w:tc>
        <w:tc>
          <w:tcPr>
            <w:tcW w:w="2760" w:type="dxa"/>
            <w:vAlign w:val="bottom"/>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10/30/22 - 11/26/22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57.86</w:t>
            </w:r>
          </w:p>
        </w:tc>
        <w:tc>
          <w:tcPr>
            <w:tcW w:w="276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2"/>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79,387</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56.47</w:t>
            </w:r>
          </w:p>
        </w:tc>
        <w:tc>
          <w:tcPr>
            <w:tcW w:w="2760" w:type="dxa"/>
            <w:vAlign w:val="bottom"/>
            <w:tcBorders>
              <w:bottom w:val="single" w:sz="8" w:color="auto"/>
            </w:tcBorders>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spacing w:after="0" w:line="3" w:lineRule="exact"/>
        <w:rPr>
          <w:rFonts w:ascii="Arial" w:cs="Arial" w:eastAsia="Arial" w:hAnsi="Arial"/>
          <w:sz w:val="21"/>
          <w:szCs w:val="21"/>
          <w:color w:val="auto"/>
          <w:vertAlign w:val="superscript"/>
        </w:rPr>
      </w:pPr>
    </w:p>
    <w:p>
      <w:pPr>
        <w:ind w:left="260" w:right="220" w:hanging="252"/>
        <w:spacing w:after="0" w:line="199" w:lineRule="auto"/>
        <w:tabs>
          <w:tab w:leader="none" w:pos="263"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Senior Secured Notes, as defined in Note 9 in the Notes to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9680" w:type="dxa"/>
            <w:vAlign w:val="bottom"/>
            <w:gridSpan w:val="16"/>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182"/>
        </w:trPr>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39">
              <w:r>
                <w:rPr>
                  <w:rFonts w:ascii="Arial" w:cs="Arial" w:eastAsia="Arial" w:hAnsi="Arial"/>
                  <w:sz w:val="13"/>
                  <w:szCs w:val="13"/>
                  <w:color w:val="0000FF"/>
                  <w:w w:val="73"/>
                </w:rPr>
                <w:t>3.</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39">
              <w:r>
                <w:rPr>
                  <w:rFonts w:ascii="Arial" w:cs="Arial" w:eastAsia="Arial" w:hAnsi="Arial"/>
                  <w:sz w:val="10"/>
                  <w:szCs w:val="10"/>
                  <w:u w:val="single" w:color="auto"/>
                  <w:color w:val="0000FF"/>
                  <w:w w:val="70"/>
                </w:rPr>
                <w:t>1</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39">
              <w:r>
                <w:rPr>
                  <w:rFonts w:ascii="Arial" w:cs="Arial" w:eastAsia="Arial" w:hAnsi="Arial"/>
                  <w:sz w:val="16"/>
                  <w:szCs w:val="16"/>
                  <w:color w:val="0000FF"/>
                </w:rPr>
                <w:t>Articles of Incorporation of Winnebago Industries, Inc., effective January 1, 2022 (incorporated by reference from Exhibit 3.1 to the</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CCEEFF"/>
              <w:left w:val="single" w:sz="8" w:color="CCEEFF"/>
            </w:tcBorders>
            <w:shd w:val="clear" w:color="auto" w:fill="CCEEFF"/>
          </w:tcPr>
          <w:p>
            <w:pPr>
              <w:spacing w:after="0"/>
              <w:rPr>
                <w:sz w:val="12"/>
                <w:szCs w:val="12"/>
                <w:color w:val="auto"/>
              </w:rPr>
            </w:pP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928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39">
              <w:r>
                <w:rPr>
                  <w:rFonts w:ascii="Arial" w:cs="Arial" w:eastAsia="Arial" w:hAnsi="Arial"/>
                  <w:sz w:val="16"/>
                  <w:szCs w:val="16"/>
                  <w:color w:val="0000FF"/>
                </w:rPr>
                <w:t>Registrant’s Current Report on Form 8-K dated January 1, 2022).</w:t>
              </w:r>
            </w:hyperlink>
          </w:p>
        </w:tc>
        <w:tc>
          <w:tcPr>
            <w:tcW w:w="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7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gridSpan w:val="2"/>
          </w:tcPr>
          <w:p>
            <w:pPr>
              <w:spacing w:after="0"/>
              <w:rPr>
                <w:rFonts w:ascii="Arial" w:cs="Arial" w:eastAsia="Arial" w:hAnsi="Arial"/>
                <w:sz w:val="14"/>
                <w:szCs w:val="14"/>
                <w:color w:val="0000FF"/>
                <w:w w:val="71"/>
              </w:rPr>
            </w:pPr>
            <w:hyperlink r:id="rId40">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0">
              <w:r>
                <w:rPr>
                  <w:rFonts w:ascii="Arial" w:cs="Arial" w:eastAsia="Arial" w:hAnsi="Arial"/>
                  <w:sz w:val="16"/>
                  <w:szCs w:val="16"/>
                  <w:color w:val="0000FF"/>
                </w:rPr>
                <w:t>By-Laws of the Registrant effective January 1, 2022 (incorporated by reference from Exhibit 3.2 to the Registrant’s Current Report</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on Form 8-K dated January 1, 2022).</w:t>
              </w:r>
            </w:hyperlink>
          </w:p>
        </w:tc>
        <w:tc>
          <w:tcPr>
            <w:tcW w:w="80" w:type="dxa"/>
            <w:vAlign w:val="bottom"/>
            <w:gridSpan w:val="2"/>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41">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41">
              <w:r>
                <w:rPr>
                  <w:rFonts w:ascii="Arial" w:cs="Arial" w:eastAsia="Arial" w:hAnsi="Arial"/>
                  <w:sz w:val="10"/>
                  <w:szCs w:val="10"/>
                  <w:u w:val="single" w:color="auto"/>
                  <w:color w:val="0000FF"/>
                  <w:w w:val="70"/>
                </w:rPr>
                <w:t>1</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41">
              <w:r>
                <w:rPr>
                  <w:rFonts w:ascii="Arial" w:cs="Arial" w:eastAsia="Arial" w:hAnsi="Arial"/>
                  <w:sz w:val="16"/>
                  <w:szCs w:val="16"/>
                  <w:color w:val="0000FF"/>
                </w:rPr>
                <w:t>Indenture, dated November 1, 2019, by and between Winnebago Industries, Inc. and U.S. Bank National Association</w:t>
              </w:r>
            </w:hyperlink>
          </w:p>
        </w:tc>
      </w:tr>
      <w:tr>
        <w:trPr>
          <w:trHeight w:val="163"/>
        </w:trPr>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30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(incorporated by reference from Exhibit 4.1 to the Registrant’s Current Report on Form 8-K dated October 29, 2019).</w:t>
              </w:r>
            </w:hyperlink>
          </w:p>
        </w:tc>
        <w:tc>
          <w:tcPr>
            <w:tcW w:w="8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41">
              <w:r>
                <w:rPr>
                  <w:rFonts w:ascii="Arial" w:cs="Arial" w:eastAsia="Arial" w:hAnsi="Arial"/>
                  <w:sz w:val="14"/>
                  <w:szCs w:val="14"/>
                  <w:color w:val="0000FF"/>
                  <w:w w:val="71"/>
                </w:rPr>
                <w:t>4.</w:t>
              </w:r>
              <w:r>
                <w:rPr>
                  <w:rFonts w:ascii="Arial" w:cs="Arial" w:eastAsia="Arial" w:hAnsi="Arial"/>
                  <w:sz w:val="14"/>
                  <w:szCs w:val="14"/>
                  <w:u w:val="single" w:color="auto"/>
                  <w:color w:val="0000FF"/>
                  <w:w w:val="71"/>
                </w:rPr>
                <w:t>2</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1">
              <w:r>
                <w:rPr>
                  <w:rFonts w:ascii="Arial" w:cs="Arial" w:eastAsia="Arial" w:hAnsi="Arial"/>
                  <w:sz w:val="16"/>
                  <w:szCs w:val="16"/>
                  <w:color w:val="0000FF"/>
                </w:rPr>
                <w:t>Form of 1.50% Convertible Senior Note due 2025 (included in Exhibit 4.1).</w:t>
              </w:r>
            </w:hyperlink>
          </w:p>
        </w:tc>
      </w:tr>
      <w:tr>
        <w:trPr>
          <w:trHeight w:val="183"/>
        </w:trPr>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42">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42">
              <w:r>
                <w:rPr>
                  <w:rFonts w:ascii="Arial" w:cs="Arial" w:eastAsia="Arial" w:hAnsi="Arial"/>
                  <w:sz w:val="10"/>
                  <w:szCs w:val="10"/>
                  <w:u w:val="single" w:color="auto"/>
                  <w:color w:val="0000FF"/>
                  <w:w w:val="70"/>
                </w:rPr>
                <w:t>3</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42">
              <w:r>
                <w:rPr>
                  <w:rFonts w:ascii="Arial" w:cs="Arial" w:eastAsia="Arial" w:hAnsi="Arial"/>
                  <w:sz w:val="16"/>
                  <w:szCs w:val="16"/>
                  <w:color w:val="0000FF"/>
                </w:rPr>
                <w:t>Indenture, dated as of July 8, 2020, by and among Winnebago Industries, Inc., the guarantors named therein and U.S. Bank</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9220" w:type="dxa"/>
            <w:vAlign w:val="bottom"/>
            <w:tcBorders>
              <w:bottom w:val="single" w:sz="8" w:color="0000FF"/>
            </w:tcBorders>
            <w:gridSpan w:val="12"/>
            <w:shd w:val="clear" w:color="auto" w:fill="CCEEFF"/>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National Association, as trustee (incorporated by reference from Exhibit 4.1 to the Registrant’s Current Report on Form 8-K dated</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r>
      <w:tr>
        <w:trPr>
          <w:trHeight w:val="155"/>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9340" w:type="dxa"/>
            <w:vAlign w:val="bottom"/>
            <w:gridSpan w:val="15"/>
            <w:shd w:val="clear" w:color="auto" w:fill="CCEEFF"/>
          </w:tcPr>
          <w:p>
            <w:pPr>
              <w:spacing w:after="0" w:line="155" w:lineRule="exact"/>
              <w:rPr>
                <w:rFonts w:ascii="Arial" w:cs="Arial" w:eastAsia="Arial" w:hAnsi="Arial"/>
                <w:sz w:val="16"/>
                <w:szCs w:val="16"/>
                <w:color w:val="0000FF"/>
              </w:rPr>
            </w:pPr>
            <w:hyperlink r:id="rId42">
              <w:r>
                <w:rPr>
                  <w:rFonts w:ascii="Arial" w:cs="Arial" w:eastAsia="Arial" w:hAnsi="Arial"/>
                  <w:sz w:val="16"/>
                  <w:szCs w:val="16"/>
                  <w:color w:val="0000FF"/>
                </w:rPr>
                <w:t>July 8, 2020)</w:t>
              </w:r>
            </w:hyperlink>
          </w:p>
        </w:tc>
      </w:tr>
      <w:tr>
        <w:trPr>
          <w:trHeight w:val="34"/>
        </w:trPr>
        <w:tc>
          <w:tcPr>
            <w:tcW w:w="10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left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43">
              <w:r>
                <w:rPr>
                  <w:rFonts w:ascii="Arial" w:cs="Arial" w:eastAsia="Arial" w:hAnsi="Arial"/>
                  <w:sz w:val="14"/>
                  <w:szCs w:val="14"/>
                  <w:color w:val="0000FF"/>
                  <w:w w:val="71"/>
                </w:rPr>
                <w:t>4.</w:t>
              </w:r>
              <w:r>
                <w:rPr>
                  <w:rFonts w:ascii="Arial" w:cs="Arial" w:eastAsia="Arial" w:hAnsi="Arial"/>
                  <w:sz w:val="14"/>
                  <w:szCs w:val="14"/>
                  <w:u w:val="single" w:color="auto"/>
                  <w:color w:val="0000FF"/>
                  <w:w w:val="71"/>
                </w:rPr>
                <w:t>4</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3">
              <w:r>
                <w:rPr>
                  <w:rFonts w:ascii="Arial" w:cs="Arial" w:eastAsia="Arial" w:hAnsi="Arial"/>
                  <w:sz w:val="16"/>
                  <w:szCs w:val="16"/>
                  <w:color w:val="0000FF"/>
                </w:rPr>
                <w:t>Form of 6.250% Senior Secured Note due 2028 (included in Exhibit 4.3)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1.</w:t>
            </w:r>
            <w:r>
              <w:rPr>
                <w:rFonts w:ascii="Arial" w:cs="Arial" w:eastAsia="Arial" w:hAnsi="Arial"/>
                <w:sz w:val="14"/>
                <w:szCs w:val="14"/>
                <w:u w:val="single" w:color="auto"/>
                <w:color w:val="0000FF"/>
                <w:w w:val="71"/>
              </w:rPr>
              <w:t>1</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Executive Officer pursuant to Section 302 of the Sarbanes-Oxley Act of 2002 (filed herewith)</w:t>
            </w:r>
            <w:r>
              <w:rPr>
                <w:rFonts w:ascii="Arial" w:cs="Arial" w:eastAsia="Arial" w:hAnsi="Arial"/>
                <w:sz w:val="16"/>
                <w:szCs w:val="16"/>
                <w:color w:val="000000"/>
              </w:rPr>
              <w:t>.</w:t>
            </w: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1.</w:t>
            </w:r>
            <w:r>
              <w:rPr>
                <w:rFonts w:ascii="Arial" w:cs="Arial" w:eastAsia="Arial" w:hAnsi="Arial"/>
                <w:sz w:val="14"/>
                <w:szCs w:val="14"/>
                <w:u w:val="single" w:color="auto"/>
                <w:color w:val="0000FF"/>
                <w:w w:val="71"/>
              </w:rPr>
              <w:t>2</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Financial Officer pursuant to Section 302 of the Sarbanes-Oxley Act of 2002 (filed herewith).</w:t>
            </w: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2.</w:t>
            </w:r>
            <w:r>
              <w:rPr>
                <w:rFonts w:ascii="Arial" w:cs="Arial" w:eastAsia="Arial" w:hAnsi="Arial"/>
                <w:sz w:val="14"/>
                <w:szCs w:val="14"/>
                <w:u w:val="single" w:color="auto"/>
                <w:color w:val="0000FF"/>
                <w:w w:val="71"/>
              </w:rPr>
              <w:t>1</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Executive Officer pursuant to 18 U.S.C. Section 1350, as adopted pursuant to Section 906 of the</w:t>
            </w: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Sarbanes-Oxley Act of 2002 (furnished herewith).</w:t>
            </w:r>
          </w:p>
        </w:tc>
        <w:tc>
          <w:tcPr>
            <w:tcW w:w="5180" w:type="dxa"/>
            <w:vAlign w:val="bottom"/>
            <w:tcBorders>
              <w:top w:val="single" w:sz="8" w:color="0000FF"/>
            </w:tcBorders>
            <w:gridSpan w:val="7"/>
          </w:tcPr>
          <w:p>
            <w:pPr>
              <w:spacing w:after="0"/>
              <w:rPr>
                <w:sz w:val="12"/>
                <w:szCs w:val="12"/>
                <w:color w:val="auto"/>
              </w:rPr>
            </w:pPr>
          </w:p>
        </w:tc>
        <w:tc>
          <w:tcPr>
            <w:tcW w:w="640" w:type="dxa"/>
            <w:vAlign w:val="bottom"/>
            <w:gridSpan w:val="5"/>
          </w:tcPr>
          <w:p>
            <w:pPr>
              <w:spacing w:after="0"/>
              <w:rPr>
                <w:sz w:val="12"/>
                <w:szCs w:val="12"/>
                <w:color w:val="auto"/>
              </w:rPr>
            </w:pPr>
          </w:p>
        </w:tc>
      </w:tr>
      <w:tr>
        <w:trPr>
          <w:trHeight w:val="196"/>
        </w:trPr>
        <w:tc>
          <w:tcPr>
            <w:tcW w:w="720" w:type="dxa"/>
            <w:vAlign w:val="bottom"/>
            <w:gridSpan w:val="3"/>
          </w:tcPr>
          <w:p>
            <w:pPr>
              <w:spacing w:after="0"/>
              <w:rPr>
                <w:sz w:val="20"/>
                <w:szCs w:val="20"/>
                <w:color w:val="auto"/>
              </w:rPr>
            </w:pPr>
            <w:r>
              <w:rPr>
                <w:rFonts w:ascii="Arial" w:cs="Arial" w:eastAsia="Arial" w:hAnsi="Arial"/>
                <w:sz w:val="16"/>
                <w:szCs w:val="16"/>
                <w:color w:val="0000FF"/>
              </w:rPr>
              <w:t>2.</w:t>
            </w:r>
            <w:r>
              <w:rPr>
                <w:rFonts w:ascii="Arial" w:cs="Arial" w:eastAsia="Arial" w:hAnsi="Arial"/>
                <w:sz w:val="16"/>
                <w:szCs w:val="16"/>
                <w:u w:val="single" w:color="auto"/>
                <w:color w:val="0000FF"/>
              </w:rPr>
              <w:t>2</w:t>
            </w:r>
          </w:p>
        </w:tc>
        <w:tc>
          <w:tcPr>
            <w:tcW w:w="340" w:type="dxa"/>
            <w:vAlign w:val="bottom"/>
          </w:tcPr>
          <w:p>
            <w:pPr>
              <w:spacing w:after="0"/>
              <w:rPr>
                <w:sz w:val="17"/>
                <w:szCs w:val="17"/>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Financial Officer pursuant to 18 U.S.C. Section 1350, as adopted pursuant to Section 906 of the</w:t>
            </w: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Sarbanes-Oxley Act of 2002 (furnished herewith).</w:t>
            </w:r>
          </w:p>
        </w:tc>
        <w:tc>
          <w:tcPr>
            <w:tcW w:w="700" w:type="dxa"/>
            <w:vAlign w:val="bottom"/>
            <w:gridSpan w:val="6"/>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3"/>
                <w:szCs w:val="13"/>
                <w:color w:val="auto"/>
                <w:w w:val="73"/>
              </w:rPr>
              <w:t>1.</w:t>
            </w:r>
          </w:p>
        </w:tc>
        <w:tc>
          <w:tcPr>
            <w:tcW w:w="6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w:t>
            </w:r>
          </w:p>
        </w:tc>
      </w:tr>
      <w:tr>
        <w:trPr>
          <w:trHeight w:val="201"/>
        </w:trPr>
        <w:tc>
          <w:tcPr>
            <w:tcW w:w="1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embedded within the Inline XBRL document (furnished herewith).</w:t>
            </w:r>
          </w:p>
        </w:tc>
      </w:tr>
      <w:tr>
        <w:trPr>
          <w:trHeight w:val="213"/>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.SCH</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 (furnished herewith).</w:t>
            </w:r>
          </w:p>
        </w:tc>
      </w:tr>
      <w:tr>
        <w:trPr>
          <w:trHeight w:val="219"/>
        </w:trPr>
        <w:tc>
          <w:tcPr>
            <w:tcW w:w="100" w:type="dxa"/>
            <w:vAlign w:val="bottom"/>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w:t>
            </w:r>
          </w:p>
        </w:tc>
        <w:tc>
          <w:tcPr>
            <w:tcW w:w="340" w:type="dxa"/>
            <w:vAlign w:val="bottom"/>
            <w:tcBorders>
              <w:right w:val="single" w:sz="8" w:color="CCEEFF"/>
            </w:tcBorders>
            <w:shd w:val="clear" w:color="auto" w:fill="CCEEFF"/>
          </w:tcPr>
          <w:p>
            <w:pPr>
              <w:spacing w:after="0"/>
              <w:rPr>
                <w:sz w:val="19"/>
                <w:szCs w:val="19"/>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Calculation Linkbase Document (furnished herewith).</w:t>
            </w:r>
          </w:p>
        </w:tc>
      </w:tr>
      <w:tr>
        <w:trPr>
          <w:trHeight w:val="213"/>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.DEF</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tc>
      </w:tr>
      <w:tr>
        <w:trPr>
          <w:trHeight w:val="219"/>
        </w:trPr>
        <w:tc>
          <w:tcPr>
            <w:tcW w:w="100" w:type="dxa"/>
            <w:vAlign w:val="bottom"/>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.LAB</w:t>
            </w:r>
          </w:p>
        </w:tc>
        <w:tc>
          <w:tcPr>
            <w:tcW w:w="340" w:type="dxa"/>
            <w:vAlign w:val="bottom"/>
            <w:tcBorders>
              <w:right w:val="single" w:sz="8" w:color="CCEEFF"/>
            </w:tcBorders>
            <w:shd w:val="clear" w:color="auto" w:fill="CCEEFF"/>
          </w:tcPr>
          <w:p>
            <w:pPr>
              <w:spacing w:after="0"/>
              <w:rPr>
                <w:sz w:val="19"/>
                <w:szCs w:val="19"/>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Label Linkbase Document (furnished herewith).</w:t>
            </w:r>
          </w:p>
        </w:tc>
      </w:tr>
      <w:tr>
        <w:trPr>
          <w:trHeight w:val="210"/>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.PRE</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Presentation Linkbase Document (furnished herewith).</w:t>
            </w:r>
          </w:p>
        </w:tc>
      </w:tr>
      <w:tr>
        <w:trPr>
          <w:trHeight w:val="216"/>
        </w:trPr>
        <w:tc>
          <w:tcPr>
            <w:tcW w:w="180" w:type="dxa"/>
            <w:vAlign w:val="bottom"/>
            <w:gridSpan w:val="2"/>
          </w:tcPr>
          <w:p>
            <w:pPr>
              <w:ind w:left="20"/>
              <w:spacing w:after="0"/>
              <w:rPr>
                <w:sz w:val="20"/>
                <w:szCs w:val="20"/>
                <w:color w:val="auto"/>
              </w:rPr>
            </w:pPr>
            <w:r>
              <w:rPr>
                <w:rFonts w:ascii="Arial" w:cs="Arial" w:eastAsia="Arial" w:hAnsi="Arial"/>
                <w:sz w:val="15"/>
                <w:szCs w:val="15"/>
                <w:color w:val="auto"/>
                <w:w w:val="71"/>
              </w:rPr>
              <w:t>04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-2018665</wp:posOffset>
            </wp:positionV>
            <wp:extent cx="653224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-1538605</wp:posOffset>
            </wp:positionV>
            <wp:extent cx="653224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-132715</wp:posOffset>
            </wp:positionV>
            <wp:extent cx="653224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220" w:top="141" w:right="127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16, 2022</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1"/>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84"/>
        </w:trPr>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16, 2022</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7"/>
        </w:trPr>
        <w:tc>
          <w:tcPr>
            <w:tcW w:w="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40"/>
          </w:cols>
          <w:pgMar w:left="320" w:top="141" w:right="6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1"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6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6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6"/>
          <w:szCs w:val="16"/>
          <w:color w:val="auto"/>
        </w:rPr>
      </w:pPr>
    </w:p>
    <w:p>
      <w:pPr>
        <w:ind w:left="660" w:right="300" w:hanging="328"/>
        <w:spacing w:after="0" w:line="26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5"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78"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16,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1"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1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6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6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6"/>
          <w:szCs w:val="16"/>
          <w:color w:val="auto"/>
        </w:rPr>
      </w:pPr>
    </w:p>
    <w:p>
      <w:pPr>
        <w:ind w:left="660" w:right="300" w:hanging="328"/>
        <w:spacing w:after="0" w:line="26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5"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78"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December 16,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62" w:lineRule="exact"/>
        <w:rPr>
          <w:sz w:val="20"/>
          <w:szCs w:val="20"/>
          <w:color w:val="auto"/>
        </w:rPr>
      </w:pPr>
    </w:p>
    <w:p>
      <w:pPr>
        <w:ind w:left="660" w:right="70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26,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16,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62" w:lineRule="exact"/>
        <w:rPr>
          <w:sz w:val="20"/>
          <w:szCs w:val="20"/>
          <w:color w:val="auto"/>
        </w:rPr>
      </w:pPr>
    </w:p>
    <w:p>
      <w:pPr>
        <w:ind w:left="660" w:right="70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26,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16,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20"/>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39" Type="http://schemas.openxmlformats.org/officeDocument/2006/relationships/hyperlink" Target="https://www.sec.gov/Archives/edgar/data/107687/000010768722000004/wgo-mnarticlesreincorporat.htm" TargetMode="External"/><Relationship Id="rId40" Type="http://schemas.openxmlformats.org/officeDocument/2006/relationships/hyperlink" Target="https://www.sec.gov/Archives/edgar/data/107687/000010768722000004/wgo-mnbylawsreincorporatio.htm" TargetMode="External"/><Relationship Id="rId41" Type="http://schemas.openxmlformats.org/officeDocument/2006/relationships/hyperlink" Target="http://www.sec.gov/Archives/edgar/data/107687/000110465919059604/a19-21005_2ex4d1.htm" TargetMode="External"/><Relationship Id="rId42" Type="http://schemas.openxmlformats.org/officeDocument/2006/relationships/hyperlink" Target="https://www.sec.gov/Archives/edgar/data/0000107687/000110465920082433/tm2024371d1_ex4-1.htm" TargetMode="External"/><Relationship Id="rId43"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2022-12-16T15:13:53Z</dcterms:created>
  <dcterms:modified xsi:type="dcterms:W3CDTF">2022-12-16T15:13:53Z</dcterms:modified>
</cp:coreProperties>
</file>