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18"/>
          <w:szCs w:val="18"/>
          <w:color w:val="auto"/>
        </w:rPr>
        <w:t>Exchange Act of 1934 (Amendment No.</w:t>
        <w:tab/>
        <w:t>)</w:t>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22"/>
          <w:szCs w:val="22"/>
          <w:color w:val="auto"/>
        </w:rPr>
        <w:t>x</w:t>
      </w:r>
    </w:p>
    <w:p>
      <w:pPr>
        <w:spacing w:after="0" w:line="152" w:lineRule="exact"/>
        <w:rPr>
          <w:sz w:val="24"/>
          <w:szCs w:val="24"/>
          <w:color w:val="auto"/>
        </w:rPr>
      </w:pPr>
    </w:p>
    <w:p>
      <w:pPr>
        <w:spacing w:after="0"/>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21"/>
          <w:szCs w:val="21"/>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152" w:lineRule="exact"/>
        <w:rPr>
          <w:rFonts w:ascii="Arial" w:cs="Arial" w:eastAsia="Arial" w:hAnsi="Arial"/>
          <w:sz w:val="22"/>
          <w:szCs w:val="22"/>
          <w:color w:val="auto"/>
        </w:rPr>
      </w:pPr>
    </w:p>
    <w:p>
      <w:pPr>
        <w:ind w:left="460" w:hanging="452"/>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spacing w:after="0" w:line="15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Proxy Statement</w:t>
      </w:r>
    </w:p>
    <w:p>
      <w:pPr>
        <w:spacing w:after="0" w:line="152" w:lineRule="exact"/>
        <w:rPr>
          <w:sz w:val="24"/>
          <w:szCs w:val="24"/>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Additional Materials</w:t>
      </w:r>
    </w:p>
    <w:p>
      <w:pPr>
        <w:spacing w:after="0" w:line="152" w:lineRule="exact"/>
        <w:rPr>
          <w:rFonts w:ascii="Arial" w:cs="Arial" w:eastAsia="Arial" w:hAnsi="Arial"/>
          <w:sz w:val="22"/>
          <w:szCs w:val="22"/>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 240.14a-12</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99695</wp:posOffset>
            </wp:positionV>
            <wp:extent cx="3061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1" w:lineRule="exact"/>
        <w:rPr>
          <w:sz w:val="24"/>
          <w:szCs w:val="24"/>
          <w:color w:val="auto"/>
        </w:rPr>
      </w:pPr>
    </w:p>
    <w:p>
      <w:pPr>
        <w:ind w:left="460" w:hanging="452"/>
        <w:spacing w:after="0"/>
        <w:tabs>
          <w:tab w:leader="none" w:pos="46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52" w:lineRule="exact"/>
        <w:rPr>
          <w:sz w:val="24"/>
          <w:szCs w:val="24"/>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14a-6(i)(1) and 0-11.</w:t>
      </w:r>
    </w:p>
    <w:p>
      <w:pPr>
        <w:spacing w:after="0" w:line="182" w:lineRule="exact"/>
        <w:rPr>
          <w:rFonts w:ascii="Arial" w:cs="Arial" w:eastAsia="Arial" w:hAnsi="Arial"/>
          <w:sz w:val="22"/>
          <w:szCs w:val="22"/>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182" w:lineRule="exact"/>
        <w:rPr>
          <w:rFonts w:ascii="Arial" w:cs="Arial" w:eastAsia="Arial" w:hAnsi="Arial"/>
          <w:sz w:val="22"/>
          <w:szCs w:val="22"/>
          <w:color w:val="auto"/>
        </w:rPr>
      </w:pPr>
    </w:p>
    <w:p>
      <w:pPr>
        <w:ind w:left="460" w:right="600" w:hanging="452"/>
        <w:spacing w:after="0" w:line="241" w:lineRule="auto"/>
        <w:tabs>
          <w:tab w:leader="none" w:pos="460" w:val="left"/>
        </w:tabs>
        <w:numPr>
          <w:ilvl w:val="0"/>
          <w:numId w:val="5"/>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rFonts w:ascii="Arial" w:cs="Arial" w:eastAsia="Arial" w:hAnsi="Arial"/>
          <w:sz w:val="21"/>
          <w:szCs w:val="21"/>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791210</wp:posOffset>
            </wp:positionV>
            <wp:extent cx="2400935"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7503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ind w:left="4500"/>
        <w:spacing w:after="0"/>
        <w:rPr>
          <w:sz w:val="20"/>
          <w:szCs w:val="20"/>
          <w:color w:val="auto"/>
        </w:rPr>
      </w:pPr>
      <w:r>
        <w:rPr>
          <w:rFonts w:ascii="Arial" w:cs="Arial" w:eastAsia="Arial" w:hAnsi="Arial"/>
          <w:sz w:val="22"/>
          <w:szCs w:val="22"/>
          <w:b w:val="1"/>
          <w:bCs w:val="1"/>
          <w:color w:val="auto"/>
        </w:rPr>
        <w:t>Notice of Annual Meeting</w:t>
      </w:r>
    </w:p>
    <w:p>
      <w:pPr>
        <w:spacing w:after="0" w:line="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of Shareholders</w:t>
      </w:r>
    </w:p>
    <w:p>
      <w:pPr>
        <w:ind w:left="4500"/>
        <w:spacing w:after="0"/>
        <w:rPr>
          <w:sz w:val="20"/>
          <w:szCs w:val="20"/>
          <w:color w:val="auto"/>
        </w:rPr>
      </w:pPr>
      <w:r>
        <w:rPr>
          <w:rFonts w:ascii="Arial" w:cs="Arial" w:eastAsia="Arial" w:hAnsi="Arial"/>
          <w:sz w:val="22"/>
          <w:szCs w:val="22"/>
          <w:b w:val="1"/>
          <w:bCs w:val="1"/>
          <w:color w:val="auto"/>
        </w:rPr>
        <w:t>to be held January 9,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January 9, 2007, at 4:00 p.m., Central Standard Time,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South Office Complex Theater, 605 West Crystal Lake Road, Forest City, Iowa, for the following purposes:</w:t>
      </w:r>
    </w:p>
    <w:p>
      <w:pPr>
        <w:spacing w:after="0" w:line="238" w:lineRule="exact"/>
        <w:rPr>
          <w:sz w:val="20"/>
          <w:szCs w:val="20"/>
          <w:color w:val="auto"/>
        </w:rPr>
      </w:pPr>
    </w:p>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 directors to hold office for three-year terms;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39"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October 31, 2006, as the record date for the determination of shareholders entitled to notice of and to vote at this meeting and at any and all adjournments thereof.</w:t>
      </w:r>
    </w:p>
    <w:p>
      <w:pPr>
        <w:spacing w:after="0" w:line="1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135255</wp:posOffset>
            </wp:positionV>
            <wp:extent cx="1543685"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jc w:val="center"/>
        <w:ind w:left="542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2006</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60" w:firstLine="360"/>
        <w:spacing w:after="0" w:line="266" w:lineRule="auto"/>
        <w:rPr>
          <w:sz w:val="20"/>
          <w:szCs w:val="20"/>
          <w:color w:val="auto"/>
        </w:rPr>
      </w:pPr>
      <w:r>
        <w:rPr>
          <w:rFonts w:ascii="Arial" w:cs="Arial" w:eastAsia="Arial" w:hAnsi="Arial"/>
          <w:sz w:val="18"/>
          <w:szCs w:val="18"/>
          <w:b w:val="1"/>
          <w:bCs w:val="1"/>
          <w:color w:val="auto"/>
        </w:rPr>
        <w:t>Whether or not you expect to attend the meeting in person, please date, sign and return the proxy card in the enclosed envelope to appoint your proxy to vote your shares at the Annual Meeting, or you may do so electronically via the Internet or telephone.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773430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172720</wp:posOffset>
            </wp:positionV>
            <wp:extent cx="147066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8890</wp:posOffset>
            </wp:positionV>
            <wp:extent cx="147066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1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Winnebago Industries, Inc., an Iowa corporation (the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 P.O. Box 152, Forest City, Iowa 50436, of proxies to be used at the Annual Meeting of Shareholders of the Company to be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South Office Complex Theater, 605 West Crystal Lake Road, Forest City, Iowa on January 9, 2007, at 4:00 p.m., Central Standard Time, and at any and all adjournments thereof (the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or the </w:t>
      </w:r>
      <w:r>
        <w:rPr>
          <w:rFonts w:ascii="Arial" w:cs="Arial" w:eastAsia="Arial" w:hAnsi="Arial"/>
          <w:sz w:val="18"/>
          <w:szCs w:val="18"/>
          <w:i w:val="1"/>
          <w:iCs w:val="1"/>
          <w:color w:val="auto"/>
        </w:rPr>
        <w:t>“Meeting”</w:t>
      </w:r>
      <w:r>
        <w:rPr>
          <w:rFonts w:ascii="Arial" w:cs="Arial" w:eastAsia="Arial" w:hAnsi="Arial"/>
          <w:sz w:val="18"/>
          <w:szCs w:val="18"/>
          <w:color w:val="auto"/>
        </w:rPr>
        <w:t>). This Proxy Statement was first mailed to shareholders on or about November 10, 2006.</w:t>
      </w:r>
    </w:p>
    <w:p>
      <w:pPr>
        <w:spacing w:after="0" w:line="148"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Only holders of Common Stock of record at the close of business on October 31, 2006 will be entitled to vote at the Annual Meeting. At such date, the Company had outstanding 31,364,089 shares of Common Stock, par value $.50 per share (</w:t>
      </w:r>
      <w:r>
        <w:rPr>
          <w:rFonts w:ascii="Arial" w:cs="Arial" w:eastAsia="Arial" w:hAnsi="Arial"/>
          <w:sz w:val="18"/>
          <w:szCs w:val="18"/>
          <w:i w:val="1"/>
          <w:iCs w:val="1"/>
          <w:color w:val="auto"/>
        </w:rPr>
        <w:t>“Common Stock”</w:t>
      </w:r>
      <w:r>
        <w:rPr>
          <w:rFonts w:ascii="Arial" w:cs="Arial" w:eastAsia="Arial" w:hAnsi="Arial"/>
          <w:sz w:val="18"/>
          <w:szCs w:val="18"/>
          <w:color w:val="auto"/>
        </w:rPr>
        <w:t>).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146"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14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If you hold shares in your own name, by submitting a proxy you may either vote for or withhold authority to vote for each nominee for the Board of Directors. If you withhold authority to vote with respect to any nominee, your shares will still be counted for purposes of establishing a quorum but will have no effect on the election of that nominee. If you sign and submit your proxy card without voting instructions, your shares will be voted for each director nominee.</w:t>
      </w:r>
    </w:p>
    <w:p>
      <w:pPr>
        <w:spacing w:after="0" w:line="14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If you hold shares through a broker, follow the voting instructions provided by your broker. If you want to vote in person, a legal proxy must be obtained from your broker and brought to the Meeting. If you do not submit voting instructions to your broker, generally your broker is permitted to vote your shares in the election of directors in its discretion.</w:t>
      </w:r>
    </w:p>
    <w:p>
      <w:pPr>
        <w:spacing w:after="0" w:line="14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Directors must be elected by a plurality of the votes cast at the Meeting. This means that the two nominees receiving the greatest number of votes will be elected as directors. Votes withheld from any nominee have no legal effect on the election of directors due to the fact that such elections are by a plurality of the votes cast.</w:t>
      </w:r>
    </w:p>
    <w:p>
      <w:pPr>
        <w:spacing w:after="0" w:line="15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Company is not now aware of any matters to be presented at the Annual Meeting other than the election of the two nominees described in this Proxy Statement.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ectPr>
          <w:pgSz w:w="11900" w:h="16838" w:orient="portrait"/>
          <w:cols w:equalWidth="0" w:num="1">
            <w:col w:w="11420"/>
          </w:cols>
          <w:pgMar w:left="240" w:top="111" w:right="239" w:bottom="0" w:gutter="0" w:footer="0" w:header="0"/>
        </w:sectPr>
      </w:pPr>
    </w:p>
    <w:bookmarkStart w:id="2" w:name="page3"/>
    <w:bookmarkEnd w:id="2"/>
    <w:p>
      <w:pPr>
        <w:ind w:right="300" w:firstLine="360"/>
        <w:spacing w:after="0" w:line="264" w:lineRule="auto"/>
        <w:rPr>
          <w:sz w:val="20"/>
          <w:szCs w:val="20"/>
          <w:color w:val="auto"/>
        </w:rPr>
      </w:pPr>
      <w:r>
        <w:rPr>
          <w:rFonts w:ascii="Arial" w:cs="Arial" w:eastAsia="Arial" w:hAnsi="Arial"/>
          <w:sz w:val="18"/>
          <w:szCs w:val="18"/>
          <w:color w:val="auto"/>
        </w:rPr>
        <w:t>A form of proxy is enclosed for use at the Annual Meeting. Before the Meeting, you can appoint a proxy to vote your shares of Common Stock (i) by completing and signing the enclosed proxy card and mailing it in time to be received before the Annual Meeting, (ii) by using the Internet (http://www.eproxy.com/wgo/) or (iii) by calling the toll-free telephone number (1-800-560-1965).</w:t>
      </w:r>
    </w:p>
    <w:p>
      <w:pPr>
        <w:spacing w:after="0" w:line="14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electronic proxy appointment procedures are designed to confirm your identity and to allow you to give your proxy your voting instructions. If you wish to vote by the Internet or telephone, please follow the enclosed instructions.</w:t>
      </w:r>
    </w:p>
    <w:p>
      <w:pPr>
        <w:spacing w:after="0" w:line="143"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If the enclosed proxy card is executed and returned, it may nevertheless be revoked at any time insofar as it has not been exercised. A person may revoke a proxy electronically by entering a new vote via the Internet or by telephone or the enclosed proxy may be revoked by (i) giving written notice to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Secretary of the Company (the </w:t>
      </w:r>
      <w:r>
        <w:rPr>
          <w:rFonts w:ascii="Arial" w:cs="Arial" w:eastAsia="Arial" w:hAnsi="Arial"/>
          <w:sz w:val="17"/>
          <w:szCs w:val="17"/>
          <w:i w:val="1"/>
          <w:iCs w:val="1"/>
          <w:color w:val="auto"/>
        </w:rPr>
        <w:t>“Secretary”</w:t>
      </w:r>
      <w:r>
        <w:rPr>
          <w:rFonts w:ascii="Arial" w:cs="Arial" w:eastAsia="Arial" w:hAnsi="Arial"/>
          <w:sz w:val="17"/>
          <w:szCs w:val="17"/>
          <w:color w:val="auto"/>
        </w:rPr>
        <w:t>), (ii) subsequently granting a later-dated proxy or (iii) attending the Meeting and voting in person. You may also be represented by another person at the Meeting by executing a proper proxy designating that person. Unless revoked, the shares represented by validly executed proxies will be voted at the Meeting in accordance with the instructions indicated thereon. To revoke a proxy by telephone or the Internet, you must do so by 12:00 p.m. Central Standard Time on January 8, 2007 (following the directions on the enclosed instructions). Attendance at the Annual Meeting will not cause your previously granted proxy to be revoked unless you specifically so request.</w:t>
      </w:r>
    </w:p>
    <w:p>
      <w:pPr>
        <w:spacing w:after="0" w:line="128" w:lineRule="exact"/>
        <w:rPr>
          <w:sz w:val="20"/>
          <w:szCs w:val="20"/>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If no instructions are indicated on a proxy that is signed and mailed to the Company, it will be voted: (i) for the election of the two nominees for director named below (Item 1) and (ii) in the discretion of the named proxies upon such other matters as may properly come before the Meeting.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VOTING SECURITIES AND PRINCIPAL HOLDERS THEREOF</w:t>
      </w:r>
    </w:p>
    <w:p>
      <w:pPr>
        <w:spacing w:after="0" w:line="21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2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Shares of</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2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Common Stock Owned</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4"/>
        </w:trPr>
        <w:tc>
          <w:tcPr>
            <w:tcW w:w="7600" w:type="dxa"/>
            <w:vAlign w:val="bottom"/>
            <w:gridSpan w:val="3"/>
            <w:vMerge w:val="continue"/>
          </w:tcPr>
          <w:p>
            <w:pPr>
              <w:spacing w:after="0"/>
              <w:rPr>
                <w:sz w:val="12"/>
                <w:szCs w:val="12"/>
                <w:color w:val="auto"/>
              </w:rPr>
            </w:pPr>
          </w:p>
        </w:tc>
        <w:tc>
          <w:tcPr>
            <w:tcW w:w="2240" w:type="dxa"/>
            <w:vAlign w:val="bottom"/>
            <w:gridSpan w:val="2"/>
          </w:tcPr>
          <w:p>
            <w:pPr>
              <w:jc w:val="center"/>
              <w:ind w:right="840"/>
              <w:spacing w:after="0" w:line="145" w:lineRule="exact"/>
              <w:rPr>
                <w:sz w:val="20"/>
                <w:szCs w:val="20"/>
                <w:color w:val="auto"/>
              </w:rPr>
            </w:pPr>
            <w:r>
              <w:rPr>
                <w:rFonts w:ascii="Arial" w:cs="Arial" w:eastAsia="Arial" w:hAnsi="Arial"/>
                <w:sz w:val="14"/>
                <w:szCs w:val="14"/>
                <w:b w:val="1"/>
                <w:bCs w:val="1"/>
                <w:color w:val="auto"/>
                <w:w w:val="93"/>
              </w:rPr>
              <w:t>Beneficially at</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22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October 31, 2006</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 Stock (%)</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Royce &amp; Associates, LLC</w:t>
            </w:r>
          </w:p>
        </w:tc>
        <w:tc>
          <w:tcPr>
            <w:tcW w:w="142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14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1414 Avenue of the Americas</w:t>
            </w:r>
          </w:p>
        </w:tc>
        <w:tc>
          <w:tcPr>
            <w:tcW w:w="14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New York, New York 10019</w:t>
            </w:r>
          </w:p>
        </w:tc>
        <w:tc>
          <w:tcPr>
            <w:tcW w:w="2240" w:type="dxa"/>
            <w:vAlign w:val="bottom"/>
            <w:gridSpan w:val="2"/>
            <w:shd w:val="clear" w:color="auto" w:fill="D6F3E8"/>
          </w:tcPr>
          <w:p>
            <w:pPr>
              <w:jc w:val="right"/>
              <w:ind w:right="640"/>
              <w:spacing w:after="0"/>
              <w:rPr>
                <w:sz w:val="20"/>
                <w:szCs w:val="20"/>
                <w:color w:val="auto"/>
              </w:rPr>
            </w:pPr>
            <w:r>
              <w:rPr>
                <w:rFonts w:ascii="Arial" w:cs="Arial" w:eastAsia="Arial" w:hAnsi="Arial"/>
                <w:sz w:val="18"/>
                <w:szCs w:val="18"/>
                <w:color w:val="auto"/>
              </w:rPr>
              <w:t>4,437,080</w:t>
            </w:r>
            <w:r>
              <w:rPr>
                <w:rFonts w:ascii="Arial" w:cs="Arial" w:eastAsia="Arial" w:hAnsi="Arial"/>
                <w:sz w:val="15"/>
                <w:szCs w:val="15"/>
                <w:color w:val="auto"/>
              </w:rPr>
              <w:t>(2)</w:t>
            </w:r>
          </w:p>
        </w:tc>
        <w:tc>
          <w:tcPr>
            <w:tcW w:w="1480" w:type="dxa"/>
            <w:vAlign w:val="bottom"/>
            <w:shd w:val="clear" w:color="auto" w:fill="D6F3E8"/>
          </w:tcPr>
          <w:p>
            <w:pPr>
              <w:jc w:val="right"/>
              <w:ind w:right="454"/>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tcPr>
          <w:p>
            <w:pPr>
              <w:spacing w:after="0" w:line="201" w:lineRule="exact"/>
              <w:rPr>
                <w:sz w:val="20"/>
                <w:szCs w:val="20"/>
                <w:color w:val="auto"/>
              </w:rPr>
            </w:pPr>
            <w:r>
              <w:rPr>
                <w:rFonts w:ascii="Arial" w:cs="Arial" w:eastAsia="Arial" w:hAnsi="Arial"/>
                <w:sz w:val="18"/>
                <w:szCs w:val="18"/>
                <w:color w:val="auto"/>
              </w:rPr>
              <w:t>EARNEST Partners, LLC</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75 Fourteenth Street, Suite 2300</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Atlanta, Georgia 30309</w:t>
            </w:r>
          </w:p>
        </w:tc>
        <w:tc>
          <w:tcPr>
            <w:tcW w:w="2240" w:type="dxa"/>
            <w:vAlign w:val="bottom"/>
            <w:gridSpan w:val="2"/>
          </w:tcPr>
          <w:p>
            <w:pPr>
              <w:jc w:val="right"/>
              <w:ind w:right="640"/>
              <w:spacing w:after="0"/>
              <w:rPr>
                <w:sz w:val="20"/>
                <w:szCs w:val="20"/>
                <w:color w:val="auto"/>
              </w:rPr>
            </w:pPr>
            <w:r>
              <w:rPr>
                <w:rFonts w:ascii="Arial" w:cs="Arial" w:eastAsia="Arial" w:hAnsi="Arial"/>
                <w:sz w:val="18"/>
                <w:szCs w:val="18"/>
                <w:color w:val="auto"/>
              </w:rPr>
              <w:t>3,839,529</w:t>
            </w:r>
            <w:r>
              <w:rPr>
                <w:rFonts w:ascii="Arial" w:cs="Arial" w:eastAsia="Arial" w:hAnsi="Arial"/>
                <w:sz w:val="15"/>
                <w:szCs w:val="15"/>
                <w:color w:val="auto"/>
              </w:rPr>
              <w:t>(3)</w:t>
            </w:r>
          </w:p>
        </w:tc>
        <w:tc>
          <w:tcPr>
            <w:tcW w:w="1480" w:type="dxa"/>
            <w:vAlign w:val="bottom"/>
          </w:tcPr>
          <w:p>
            <w:pPr>
              <w:jc w:val="right"/>
              <w:ind w:right="45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FMR Corp.</w:t>
            </w:r>
          </w:p>
        </w:tc>
        <w:tc>
          <w:tcPr>
            <w:tcW w:w="142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14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82 Devonshire Street</w:t>
            </w:r>
          </w:p>
        </w:tc>
        <w:tc>
          <w:tcPr>
            <w:tcW w:w="14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Boston, Massachusetts 02109</w:t>
            </w:r>
          </w:p>
        </w:tc>
        <w:tc>
          <w:tcPr>
            <w:tcW w:w="2240" w:type="dxa"/>
            <w:vAlign w:val="bottom"/>
            <w:gridSpan w:val="2"/>
            <w:shd w:val="clear" w:color="auto" w:fill="D6F3E8"/>
          </w:tcPr>
          <w:p>
            <w:pPr>
              <w:jc w:val="right"/>
              <w:ind w:right="640"/>
              <w:spacing w:after="0"/>
              <w:rPr>
                <w:sz w:val="20"/>
                <w:szCs w:val="20"/>
                <w:color w:val="auto"/>
              </w:rPr>
            </w:pPr>
            <w:r>
              <w:rPr>
                <w:rFonts w:ascii="Arial" w:cs="Arial" w:eastAsia="Arial" w:hAnsi="Arial"/>
                <w:sz w:val="18"/>
                <w:szCs w:val="18"/>
                <w:color w:val="auto"/>
              </w:rPr>
              <w:t>3,556,100</w:t>
            </w:r>
            <w:r>
              <w:rPr>
                <w:rFonts w:ascii="Arial" w:cs="Arial" w:eastAsia="Arial" w:hAnsi="Arial"/>
                <w:sz w:val="15"/>
                <w:szCs w:val="15"/>
                <w:color w:val="auto"/>
              </w:rPr>
              <w:t>(4)</w:t>
            </w:r>
          </w:p>
        </w:tc>
        <w:tc>
          <w:tcPr>
            <w:tcW w:w="1480" w:type="dxa"/>
            <w:vAlign w:val="bottom"/>
            <w:shd w:val="clear" w:color="auto" w:fill="D6F3E8"/>
          </w:tcPr>
          <w:p>
            <w:pPr>
              <w:jc w:val="right"/>
              <w:ind w:right="45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tcPr>
          <w:p>
            <w:pPr>
              <w:spacing w:after="0" w:line="201" w:lineRule="exact"/>
              <w:rPr>
                <w:sz w:val="20"/>
                <w:szCs w:val="20"/>
                <w:color w:val="auto"/>
              </w:rPr>
            </w:pPr>
            <w:r>
              <w:rPr>
                <w:rFonts w:ascii="Arial" w:cs="Arial" w:eastAsia="Arial" w:hAnsi="Arial"/>
                <w:sz w:val="18"/>
                <w:szCs w:val="18"/>
                <w:color w:val="auto"/>
              </w:rPr>
              <w:t>Barrow, Hanley, Mewhinney &amp; Strauss, Inc.</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2200 Ross Avenue, 31st Floor</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Dallas, Texas 75201</w:t>
            </w:r>
          </w:p>
        </w:tc>
        <w:tc>
          <w:tcPr>
            <w:tcW w:w="2240" w:type="dxa"/>
            <w:vAlign w:val="bottom"/>
            <w:gridSpan w:val="2"/>
          </w:tcPr>
          <w:p>
            <w:pPr>
              <w:jc w:val="right"/>
              <w:ind w:right="640"/>
              <w:spacing w:after="0"/>
              <w:rPr>
                <w:sz w:val="20"/>
                <w:szCs w:val="20"/>
                <w:color w:val="auto"/>
              </w:rPr>
            </w:pPr>
            <w:r>
              <w:rPr>
                <w:rFonts w:ascii="Arial" w:cs="Arial" w:eastAsia="Arial" w:hAnsi="Arial"/>
                <w:sz w:val="18"/>
                <w:szCs w:val="18"/>
                <w:color w:val="auto"/>
              </w:rPr>
              <w:t>2,571,060</w:t>
            </w:r>
            <w:r>
              <w:rPr>
                <w:rFonts w:ascii="Arial" w:cs="Arial" w:eastAsia="Arial" w:hAnsi="Arial"/>
                <w:sz w:val="15"/>
                <w:szCs w:val="15"/>
                <w:color w:val="auto"/>
              </w:rPr>
              <w:t>(5)</w:t>
            </w:r>
          </w:p>
        </w:tc>
        <w:tc>
          <w:tcPr>
            <w:tcW w:w="1480" w:type="dxa"/>
            <w:vAlign w:val="bottom"/>
          </w:tcPr>
          <w:p>
            <w:pPr>
              <w:jc w:val="right"/>
              <w:ind w:right="45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Vanguard Whitehall Funds – Vanguard</w:t>
            </w:r>
          </w:p>
        </w:tc>
        <w:tc>
          <w:tcPr>
            <w:tcW w:w="142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14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Selected Value Fund</w:t>
            </w:r>
          </w:p>
        </w:tc>
        <w:tc>
          <w:tcPr>
            <w:tcW w:w="14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100 Vanguard Boulevard</w:t>
            </w:r>
          </w:p>
        </w:tc>
        <w:tc>
          <w:tcPr>
            <w:tcW w:w="14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Malvern, Pennsylvania 19355</w:t>
            </w:r>
          </w:p>
        </w:tc>
        <w:tc>
          <w:tcPr>
            <w:tcW w:w="2240" w:type="dxa"/>
            <w:vAlign w:val="bottom"/>
            <w:gridSpan w:val="2"/>
            <w:shd w:val="clear" w:color="auto" w:fill="D6F3E8"/>
          </w:tcPr>
          <w:p>
            <w:pPr>
              <w:jc w:val="right"/>
              <w:ind w:right="640"/>
              <w:spacing w:after="0"/>
              <w:rPr>
                <w:sz w:val="20"/>
                <w:szCs w:val="20"/>
                <w:color w:val="auto"/>
              </w:rPr>
            </w:pPr>
            <w:r>
              <w:rPr>
                <w:rFonts w:ascii="Arial" w:cs="Arial" w:eastAsia="Arial" w:hAnsi="Arial"/>
                <w:sz w:val="18"/>
                <w:szCs w:val="18"/>
                <w:color w:val="auto"/>
              </w:rPr>
              <w:t>2,205,700</w:t>
            </w:r>
            <w:r>
              <w:rPr>
                <w:rFonts w:ascii="Arial" w:cs="Arial" w:eastAsia="Arial" w:hAnsi="Arial"/>
                <w:sz w:val="15"/>
                <w:szCs w:val="15"/>
                <w:color w:val="auto"/>
              </w:rPr>
              <w:t>(6)</w:t>
            </w:r>
          </w:p>
        </w:tc>
        <w:tc>
          <w:tcPr>
            <w:tcW w:w="1480" w:type="dxa"/>
            <w:vAlign w:val="bottom"/>
            <w:shd w:val="clear" w:color="auto" w:fill="D6F3E8"/>
          </w:tcPr>
          <w:p>
            <w:pPr>
              <w:jc w:val="right"/>
              <w:ind w:right="45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tcPr>
          <w:p>
            <w:pPr>
              <w:spacing w:after="0" w:line="201" w:lineRule="exact"/>
              <w:rPr>
                <w:sz w:val="20"/>
                <w:szCs w:val="20"/>
                <w:color w:val="auto"/>
              </w:rPr>
            </w:pPr>
            <w:r>
              <w:rPr>
                <w:rFonts w:ascii="Arial" w:cs="Arial" w:eastAsia="Arial" w:hAnsi="Arial"/>
                <w:sz w:val="18"/>
                <w:szCs w:val="18"/>
                <w:color w:val="auto"/>
              </w:rPr>
              <w:t>Hanson Capital Partners, L.L.C.</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c/o Mr. John V. Hanson</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7019 SE Harbor Circle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ind w:left="80"/>
              <w:spacing w:after="0"/>
              <w:rPr>
                <w:sz w:val="20"/>
                <w:szCs w:val="20"/>
                <w:color w:val="auto"/>
              </w:rPr>
            </w:pPr>
            <w:r>
              <w:rPr>
                <w:rFonts w:ascii="Arial" w:cs="Arial" w:eastAsia="Arial" w:hAnsi="Arial"/>
                <w:sz w:val="18"/>
                <w:szCs w:val="18"/>
                <w:color w:val="auto"/>
              </w:rPr>
              <w:t>Stuart, Florida 34996</w:t>
            </w:r>
          </w:p>
        </w:tc>
        <w:tc>
          <w:tcPr>
            <w:tcW w:w="2240" w:type="dxa"/>
            <w:vAlign w:val="bottom"/>
            <w:gridSpan w:val="2"/>
          </w:tcPr>
          <w:p>
            <w:pPr>
              <w:jc w:val="right"/>
              <w:ind w:right="640"/>
              <w:spacing w:after="0"/>
              <w:rPr>
                <w:sz w:val="20"/>
                <w:szCs w:val="20"/>
                <w:color w:val="auto"/>
              </w:rPr>
            </w:pPr>
            <w:r>
              <w:rPr>
                <w:rFonts w:ascii="Arial" w:cs="Arial" w:eastAsia="Arial" w:hAnsi="Arial"/>
                <w:sz w:val="18"/>
                <w:szCs w:val="18"/>
                <w:color w:val="auto"/>
              </w:rPr>
              <w:t>2,003,012</w:t>
            </w:r>
            <w:r>
              <w:rPr>
                <w:rFonts w:ascii="Arial" w:cs="Arial" w:eastAsia="Arial" w:hAnsi="Arial"/>
                <w:sz w:val="15"/>
                <w:szCs w:val="15"/>
                <w:color w:val="auto"/>
              </w:rPr>
              <w:t>(7)</w:t>
            </w:r>
          </w:p>
        </w:tc>
        <w:tc>
          <w:tcPr>
            <w:tcW w:w="1480" w:type="dxa"/>
            <w:vAlign w:val="bottom"/>
          </w:tcPr>
          <w:p>
            <w:pPr>
              <w:jc w:val="right"/>
              <w:ind w:right="45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Delaware Management Holdings</w:t>
            </w:r>
          </w:p>
        </w:tc>
        <w:tc>
          <w:tcPr>
            <w:tcW w:w="1420" w:type="dxa"/>
            <w:vAlign w:val="bottom"/>
            <w:shd w:val="clear" w:color="auto" w:fill="D6F3E8"/>
          </w:tcPr>
          <w:p>
            <w:pPr>
              <w:spacing w:after="0"/>
              <w:rPr>
                <w:sz w:val="17"/>
                <w:szCs w:val="17"/>
                <w:color w:val="auto"/>
              </w:rPr>
            </w:pPr>
          </w:p>
        </w:tc>
        <w:tc>
          <w:tcPr>
            <w:tcW w:w="820" w:type="dxa"/>
            <w:vAlign w:val="bottom"/>
            <w:shd w:val="clear" w:color="auto" w:fill="D6F3E8"/>
          </w:tcPr>
          <w:p>
            <w:pPr>
              <w:spacing w:after="0"/>
              <w:rPr>
                <w:sz w:val="17"/>
                <w:szCs w:val="17"/>
                <w:color w:val="auto"/>
              </w:rPr>
            </w:pPr>
          </w:p>
        </w:tc>
        <w:tc>
          <w:tcPr>
            <w:tcW w:w="148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2005 Market Street</w:t>
            </w:r>
          </w:p>
        </w:tc>
        <w:tc>
          <w:tcPr>
            <w:tcW w:w="14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Philadelphia, Pennsylvania 19103</w:t>
            </w:r>
          </w:p>
        </w:tc>
        <w:tc>
          <w:tcPr>
            <w:tcW w:w="2240" w:type="dxa"/>
            <w:vAlign w:val="bottom"/>
            <w:gridSpan w:val="2"/>
            <w:shd w:val="clear" w:color="auto" w:fill="D6F3E8"/>
          </w:tcPr>
          <w:p>
            <w:pPr>
              <w:jc w:val="right"/>
              <w:ind w:right="640"/>
              <w:spacing w:after="0"/>
              <w:rPr>
                <w:sz w:val="20"/>
                <w:szCs w:val="20"/>
                <w:color w:val="auto"/>
              </w:rPr>
            </w:pPr>
            <w:r>
              <w:rPr>
                <w:rFonts w:ascii="Arial" w:cs="Arial" w:eastAsia="Arial" w:hAnsi="Arial"/>
                <w:sz w:val="18"/>
                <w:szCs w:val="18"/>
                <w:color w:val="auto"/>
              </w:rPr>
              <w:t>1,776,047</w:t>
            </w:r>
            <w:r>
              <w:rPr>
                <w:rFonts w:ascii="Arial" w:cs="Arial" w:eastAsia="Arial" w:hAnsi="Arial"/>
                <w:sz w:val="15"/>
                <w:szCs w:val="15"/>
                <w:color w:val="auto"/>
              </w:rPr>
              <w:t>(8)</w:t>
            </w:r>
          </w:p>
        </w:tc>
        <w:tc>
          <w:tcPr>
            <w:tcW w:w="1480" w:type="dxa"/>
            <w:vAlign w:val="bottom"/>
            <w:shd w:val="clear" w:color="auto" w:fill="D6F3E8"/>
          </w:tcPr>
          <w:p>
            <w:pPr>
              <w:jc w:val="right"/>
              <w:ind w:right="45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78"/>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31,364,089 outstanding shares of Common Stock on October 31, 2006.</w:t>
      </w:r>
    </w:p>
    <w:p>
      <w:pPr>
        <w:spacing w:after="0" w:line="117" w:lineRule="exact"/>
        <w:rPr>
          <w:rFonts w:ascii="Arial" w:cs="Arial" w:eastAsia="Arial" w:hAnsi="Arial"/>
          <w:sz w:val="18"/>
          <w:szCs w:val="18"/>
          <w:color w:val="auto"/>
        </w:rPr>
      </w:pPr>
    </w:p>
    <w:p>
      <w:pPr>
        <w:ind w:left="540" w:right="140" w:hanging="478"/>
        <w:spacing w:after="0" w:line="30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owned as of December 31, 2005 according to Amendment No. 3 to Schedule 13G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 on February 1, 2006. Royce &amp; Associates, LLC, an investment adviser, is the beneficial owner of all 4,437,080 shares of Common Stock and has sole voting power and sole dispositive power with respect to all shares. The information contained in this footnote is derived from information contained in the Amendment No. 3 to Schedule 13G filed by Royce &amp; Associates, LLC with the SEC referred to herein.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100" w:hanging="478"/>
        <w:spacing w:after="0" w:line="31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owned as of December 31, 2005 according to Amendment No. 2 to Schedule 13G filed with the SEC on February 8, 2006. EARNEST Partners, LLC, an investment adviser, is the beneficial owner of all 3,839,529 shares of Common Stock and has sole voting power, shared voting power and sole dispositive power with respect to 1,169,556 shares, 1,133,573 shares and 3,839,529 shares, respectively. The information</w:t>
      </w:r>
    </w:p>
    <w:p>
      <w:pPr>
        <w:sectPr>
          <w:pgSz w:w="11900" w:h="16838" w:orient="portrait"/>
          <w:cols w:equalWidth="0" w:num="1">
            <w:col w:w="11420"/>
          </w:cols>
          <w:pgMar w:left="240" w:top="125" w:right="239" w:bottom="0" w:gutter="0" w:footer="0" w:header="0"/>
        </w:sectPr>
      </w:pPr>
    </w:p>
    <w:bookmarkStart w:id="3" w:name="page4"/>
    <w:bookmarkEnd w:id="3"/>
    <w:p>
      <w:pPr>
        <w:ind w:left="540" w:right="300"/>
        <w:spacing w:after="0" w:line="277" w:lineRule="auto"/>
        <w:rPr>
          <w:sz w:val="20"/>
          <w:szCs w:val="20"/>
          <w:color w:val="auto"/>
        </w:rPr>
      </w:pPr>
      <w:r>
        <w:rPr>
          <w:rFonts w:ascii="Arial" w:cs="Arial" w:eastAsia="Arial" w:hAnsi="Arial"/>
          <w:sz w:val="18"/>
          <w:szCs w:val="18"/>
          <w:color w:val="auto"/>
        </w:rPr>
        <w:t>contained in this footnote is derived from information contained in the Amendment No. 2 to Schedule 13G filed by EARNEST Partners, LLC with the SEC referred to herein.</w:t>
      </w:r>
    </w:p>
    <w:p>
      <w:pPr>
        <w:spacing w:after="0" w:line="62" w:lineRule="exact"/>
        <w:rPr>
          <w:sz w:val="20"/>
          <w:szCs w:val="20"/>
          <w:color w:val="auto"/>
        </w:rPr>
      </w:pPr>
    </w:p>
    <w:p>
      <w:pPr>
        <w:ind w:left="540" w:right="60" w:hanging="478"/>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owned as of July 31, 2006 according to the Schedule 13G filed with the SEC on August 10, 2006. Edward C. Johnson III serves as Chairman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78"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Of these 3,556,100 shares of Common Stock:</w:t>
      </w:r>
    </w:p>
    <w:p>
      <w:pPr>
        <w:spacing w:after="0" w:line="117" w:lineRule="exact"/>
        <w:rPr>
          <w:rFonts w:ascii="Arial" w:cs="Arial" w:eastAsia="Arial" w:hAnsi="Arial"/>
          <w:sz w:val="18"/>
          <w:szCs w:val="18"/>
          <w:color w:val="auto"/>
        </w:rPr>
      </w:pPr>
    </w:p>
    <w:p>
      <w:pPr>
        <w:ind w:left="800" w:right="200" w:hanging="252"/>
        <w:spacing w:after="0" w:line="26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3,496,000 are beneficially owned by Fidelity Management &amp; Research Company, an investment adviser and a wholly-owned subsidiary of FMR Corp. Mr. Johnson and FMR Corp., through its control of Fidelity Management &amp; Research Company, each has sole dispositive power with respect to these shares.</w:t>
      </w:r>
    </w:p>
    <w:p>
      <w:pPr>
        <w:spacing w:after="0" w:line="73" w:lineRule="exact"/>
        <w:rPr>
          <w:rFonts w:ascii="Arial" w:cs="Arial" w:eastAsia="Arial" w:hAnsi="Arial"/>
          <w:sz w:val="18"/>
          <w:szCs w:val="18"/>
          <w:color w:val="auto"/>
        </w:rPr>
      </w:pPr>
    </w:p>
    <w:p>
      <w:pPr>
        <w:jc w:val="both"/>
        <w:ind w:left="800" w:right="300" w:hanging="252"/>
        <w:spacing w:after="0" w:line="264"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60,100 are beneficially owned by Fidelity Management Trust Company, a bank and a wholly-owned subsidiary of FMR Corp. Mr. Johnson and FMR Corp., through its control of Fidelity Management Trust Company, each has sole voting power and sole dispositive power with respect to these shares.</w:t>
      </w:r>
    </w:p>
    <w:p>
      <w:pPr>
        <w:spacing w:after="0" w:line="73"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The information contained in this footnote is derived from information contained in the Schedule 13G filed by FMR Corp. with the SEC referred to herein.</w:t>
      </w:r>
    </w:p>
    <w:p>
      <w:pPr>
        <w:spacing w:after="0" w:line="62" w:lineRule="exact"/>
        <w:rPr>
          <w:sz w:val="20"/>
          <w:szCs w:val="20"/>
          <w:color w:val="auto"/>
        </w:rPr>
      </w:pPr>
    </w:p>
    <w:p>
      <w:pPr>
        <w:ind w:left="540" w:right="140" w:hanging="478"/>
        <w:spacing w:after="0" w:line="25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owned as of December 31, 2005 according to the Schedule 13G filed with the SEC on February 7, 2006. Barrow, Hanley, Mewhinney &amp; Strauss, Inc., an investment adviser, is the beneficial owner of all 2,571,060 shares of Common Stock and has sole voting power, shared voting power and sole dispositive power with respect to 312,860 shares, 2,258,200 shares and 2,571,060 shares, respectively. The information contained in this footnote is derived from information contained in the Schedule 13G filed by Barrow, Hanley, Mewhinney &amp; Strauss, Inc. with the SEC referred to herein.</w:t>
      </w:r>
    </w:p>
    <w:p>
      <w:pPr>
        <w:spacing w:after="0" w:line="80" w:lineRule="exact"/>
        <w:rPr>
          <w:rFonts w:ascii="Arial" w:cs="Arial" w:eastAsia="Arial" w:hAnsi="Arial"/>
          <w:sz w:val="18"/>
          <w:szCs w:val="18"/>
          <w:color w:val="auto"/>
        </w:rPr>
      </w:pPr>
    </w:p>
    <w:p>
      <w:pPr>
        <w:ind w:left="540" w:right="140" w:hanging="478"/>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owned as of December 31, 2005 according to the Schedule 13G filed with the SEC on February 13, 2006. Vanguard Whitehall Funds–Vanguard Selected Value Fund is the beneficial owner of all 2,205,700 shares of Common Stock and has sole voting power with respect to all shares. The information contained in this footnote is derived from information contained in the Schedule 13G filed by Vanguard Whitehall Funds– Vanguard Selected Value Fund with the SEC referred to herein.</w:t>
      </w:r>
    </w:p>
    <w:p>
      <w:pPr>
        <w:spacing w:after="0" w:line="78" w:lineRule="exact"/>
        <w:rPr>
          <w:rFonts w:ascii="Arial" w:cs="Arial" w:eastAsia="Arial" w:hAnsi="Arial"/>
          <w:sz w:val="18"/>
          <w:szCs w:val="18"/>
          <w:color w:val="auto"/>
        </w:rPr>
      </w:pPr>
    </w:p>
    <w:p>
      <w:pPr>
        <w:ind w:left="540" w:right="60" w:hanging="478"/>
        <w:spacing w:after="0" w:line="285"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owned according to Amendment No. 51 to Schedule 13D filed with the SEC on November 9, 2004. 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xml:space="preserve"> ), which has a 34.8% membership interest in HCP, and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xml:space="preserve"> ), which has a 64.6% membership interest in HCP. Additionally, John V. Hanson, Mary Joan Boman (the sister of John V. Hanson) and Paul D. Hanson (the brother of John V. Hanson) each have, in their individual capacity, a .2% membership interest in HCP.</w:t>
      </w:r>
    </w:p>
    <w:p>
      <w:pPr>
        <w:spacing w:after="0" w:line="2" w:lineRule="exact"/>
        <w:rPr>
          <w:rFonts w:ascii="Arial" w:cs="Arial" w:eastAsia="Arial" w:hAnsi="Arial"/>
          <w:sz w:val="16"/>
          <w:szCs w:val="16"/>
          <w:color w:val="auto"/>
        </w:rPr>
      </w:pPr>
    </w:p>
    <w:p>
      <w:pPr>
        <w:ind w:left="540" w:right="8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John V. Hanson (a director of the Company), Mary Joan Boman and Paul D. Hanson (each an </w:t>
      </w:r>
      <w:r>
        <w:rPr>
          <w:rFonts w:ascii="Arial" w:cs="Arial" w:eastAsia="Arial" w:hAnsi="Arial"/>
          <w:sz w:val="18"/>
          <w:szCs w:val="18"/>
          <w:i w:val="1"/>
          <w:iCs w:val="1"/>
          <w:color w:val="auto"/>
        </w:rPr>
        <w:t>“Individual Trustee”</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“Individual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Trustees” </w:t>
      </w:r>
      <w:r>
        <w:rPr>
          <w:rFonts w:ascii="Arial" w:cs="Arial" w:eastAsia="Arial" w:hAnsi="Arial"/>
          <w:sz w:val="18"/>
          <w:szCs w:val="18"/>
          <w:color w:val="auto"/>
        </w:rPr>
        <w:t>) and Bessemer Trust Company, N.A. (the</w:t>
      </w:r>
      <w:r>
        <w:rPr>
          <w:rFonts w:ascii="Arial" w:cs="Arial" w:eastAsia="Arial" w:hAnsi="Arial"/>
          <w:sz w:val="18"/>
          <w:szCs w:val="18"/>
          <w:i w:val="1"/>
          <w:iCs w:val="1"/>
          <w:color w:val="auto"/>
        </w:rPr>
        <w:t xml:space="preserve"> “Corporate Trustee” </w:t>
      </w:r>
      <w:r>
        <w:rPr>
          <w:rFonts w:ascii="Arial" w:cs="Arial" w:eastAsia="Arial" w:hAnsi="Arial"/>
          <w:sz w:val="18"/>
          <w:szCs w:val="18"/>
          <w:color w:val="auto"/>
        </w:rPr>
        <w:t>) act as co-trustees under the QTIP Trust and the Revocable Trust. By</w:t>
      </w:r>
      <w:r>
        <w:rPr>
          <w:rFonts w:ascii="Arial" w:cs="Arial" w:eastAsia="Arial" w:hAnsi="Arial"/>
          <w:sz w:val="18"/>
          <w:szCs w:val="18"/>
          <w:i w:val="1"/>
          <w:iCs w:val="1"/>
          <w:color w:val="auto"/>
        </w:rPr>
        <w:t xml:space="preserve"> </w:t>
      </w:r>
      <w:r>
        <w:rPr>
          <w:rFonts w:ascii="Arial" w:cs="Arial" w:eastAsia="Arial" w:hAnsi="Arial"/>
          <w:sz w:val="18"/>
          <w:szCs w:val="18"/>
          <w:color w:val="auto"/>
        </w:rPr>
        <w:t>virtue of the Revocable Trust’s 64.6% membership interest in HCP, a majority of the Individual Trustees together with the Corporate Trustee have sole voting power with respect to the 2,003,012 shares of Common Stock of which HCP is the beneficial owner. A majority of the Individual Trustees together with the Corporate Trustee have sole dispositive power with respect to the 2,003,012 shares of Common Stock of which HCP is the beneficial owner, except that disposition of all or substantially all of those shares requires the unanimous approval of all members of HCP. The information contained in this footnote is derived from information contained in the Amendment No. 51 to Schedule 13D filed by HCP with the SEC referred to herein.</w:t>
      </w:r>
    </w:p>
    <w:p>
      <w:pPr>
        <w:spacing w:after="0" w:line="83" w:lineRule="exact"/>
        <w:rPr>
          <w:rFonts w:ascii="Arial" w:cs="Arial" w:eastAsia="Arial" w:hAnsi="Arial"/>
          <w:sz w:val="16"/>
          <w:szCs w:val="16"/>
          <w:color w:val="auto"/>
        </w:rPr>
      </w:pPr>
    </w:p>
    <w:p>
      <w:pPr>
        <w:ind w:left="540" w:right="200" w:hanging="478"/>
        <w:spacing w:after="0" w:line="25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owned as of December 31, 2005 according to the Schedule 13G filed with the SEC on February 9, 2006. Delaware Management Holdings, a parent holding company or control person, is the beneficial owner of all 1,776,047 shares of Common Stock and has sole voting power, shared voting power and sole dispositive power with respect to 1,766,558 shares, 336 shares and 1,776,047 shares, respectively. The information contained in this footnote is derived from information contained in the Schedule 13G filed by Delaware Management Holdings with the SEC referred to herein.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Common Stock by (i) each director, (ii) each nominee for election as a director, (iii) each executive officer listed in the Summary Compensation Table and (iv) the group named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540" w:type="dxa"/>
            <w:vAlign w:val="bottom"/>
          </w:tcPr>
          <w:p>
            <w:pPr>
              <w:jc w:val="center"/>
              <w:ind w:left="2908"/>
              <w:spacing w:after="0"/>
              <w:rPr>
                <w:sz w:val="20"/>
                <w:szCs w:val="20"/>
                <w:color w:val="auto"/>
              </w:rPr>
            </w:pPr>
            <w:r>
              <w:rPr>
                <w:rFonts w:ascii="Arial" w:cs="Arial" w:eastAsia="Arial" w:hAnsi="Arial"/>
                <w:sz w:val="14"/>
                <w:szCs w:val="14"/>
                <w:b w:val="1"/>
                <w:bCs w:val="1"/>
                <w:color w:val="auto"/>
                <w:w w:val="91"/>
              </w:rPr>
              <w:t>Shares of Common Stock</w:t>
            </w:r>
          </w:p>
        </w:tc>
        <w:tc>
          <w:tcPr>
            <w:tcW w:w="188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5540" w:type="dxa"/>
            <w:vAlign w:val="bottom"/>
          </w:tcPr>
          <w:p>
            <w:pPr>
              <w:jc w:val="center"/>
              <w:ind w:left="2908"/>
              <w:spacing w:after="0" w:line="159" w:lineRule="exact"/>
              <w:rPr>
                <w:sz w:val="20"/>
                <w:szCs w:val="20"/>
                <w:color w:val="auto"/>
              </w:rPr>
            </w:pPr>
            <w:r>
              <w:rPr>
                <w:rFonts w:ascii="Arial" w:cs="Arial" w:eastAsia="Arial" w:hAnsi="Arial"/>
                <w:sz w:val="14"/>
                <w:szCs w:val="14"/>
                <w:b w:val="1"/>
                <w:bCs w:val="1"/>
                <w:color w:val="auto"/>
                <w:w w:val="93"/>
              </w:rPr>
              <w:t>Owned Beneficially at</w:t>
            </w: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38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540" w:type="dxa"/>
            <w:vAlign w:val="bottom"/>
          </w:tcPr>
          <w:p>
            <w:pPr>
              <w:jc w:val="center"/>
              <w:ind w:left="2888"/>
              <w:spacing w:after="0"/>
              <w:rPr>
                <w:sz w:val="20"/>
                <w:szCs w:val="20"/>
                <w:color w:val="auto"/>
              </w:rPr>
            </w:pPr>
            <w:r>
              <w:rPr>
                <w:rFonts w:ascii="Arial" w:cs="Arial" w:eastAsia="Arial" w:hAnsi="Arial"/>
                <w:sz w:val="14"/>
                <w:szCs w:val="14"/>
                <w:b w:val="1"/>
                <w:bCs w:val="1"/>
                <w:color w:val="auto"/>
                <w:w w:val="90"/>
              </w:rPr>
              <w:t>October 31, 2006</w:t>
            </w:r>
            <w:r>
              <w:rPr>
                <w:rFonts w:ascii="Arial" w:cs="Arial" w:eastAsia="Arial" w:hAnsi="Arial"/>
                <w:sz w:val="23"/>
                <w:szCs w:val="23"/>
                <w:b w:val="1"/>
                <w:bCs w:val="1"/>
                <w:color w:val="auto"/>
                <w:w w:val="90"/>
                <w:vertAlign w:val="superscript"/>
              </w:rPr>
              <w:t>(1)</w:t>
            </w:r>
          </w:p>
        </w:tc>
        <w:tc>
          <w:tcPr>
            <w:tcW w:w="1880" w:type="dxa"/>
            <w:vAlign w:val="bottom"/>
          </w:tcPr>
          <w:p>
            <w:pPr>
              <w:jc w:val="center"/>
              <w:ind w:left="448"/>
              <w:spacing w:after="0"/>
              <w:rPr>
                <w:sz w:val="20"/>
                <w:szCs w:val="20"/>
                <w:color w:val="auto"/>
              </w:rPr>
            </w:pPr>
            <w:r>
              <w:rPr>
                <w:rFonts w:ascii="Arial" w:cs="Arial" w:eastAsia="Arial" w:hAnsi="Arial"/>
                <w:sz w:val="14"/>
                <w:szCs w:val="14"/>
                <w:b w:val="1"/>
                <w:bCs w:val="1"/>
                <w:color w:val="auto"/>
                <w:w w:val="92"/>
              </w:rPr>
              <w:t>Common Stock (%)</w:t>
            </w:r>
            <w:r>
              <w:rPr>
                <w:rFonts w:ascii="Arial" w:cs="Arial" w:eastAsia="Arial" w:hAnsi="Arial"/>
                <w:sz w:val="23"/>
                <w:szCs w:val="23"/>
                <w:b w:val="1"/>
                <w:bCs w:val="1"/>
                <w:color w:val="auto"/>
                <w:w w:val="92"/>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66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-3810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5260" w:type="dxa"/>
            <w:vAlign w:val="bottom"/>
            <w:shd w:val="clear" w:color="auto" w:fill="D6F3E8"/>
          </w:tcPr>
          <w:p>
            <w:pPr>
              <w:spacing w:after="0" w:line="129" w:lineRule="exact"/>
              <w:rPr>
                <w:sz w:val="20"/>
                <w:szCs w:val="20"/>
                <w:color w:val="auto"/>
              </w:rPr>
            </w:pPr>
            <w:r>
              <w:rPr>
                <w:rFonts w:ascii="Arial" w:cs="Arial" w:eastAsia="Arial" w:hAnsi="Arial"/>
                <w:sz w:val="14"/>
                <w:szCs w:val="14"/>
                <w:color w:val="auto"/>
              </w:rPr>
              <w:t>Irvin E. Aal</w:t>
            </w:r>
          </w:p>
        </w:tc>
        <w:tc>
          <w:tcPr>
            <w:tcW w:w="4600" w:type="dxa"/>
            <w:vAlign w:val="bottom"/>
            <w:shd w:val="clear" w:color="auto" w:fill="D6F3E8"/>
          </w:tcPr>
          <w:p>
            <w:pPr>
              <w:jc w:val="right"/>
              <w:ind w:right="951"/>
              <w:spacing w:after="0" w:line="129" w:lineRule="exact"/>
              <w:rPr>
                <w:sz w:val="20"/>
                <w:szCs w:val="20"/>
                <w:color w:val="auto"/>
              </w:rPr>
            </w:pPr>
            <w:r>
              <w:rPr>
                <w:rFonts w:ascii="Arial" w:cs="Arial" w:eastAsia="Arial" w:hAnsi="Arial"/>
                <w:sz w:val="14"/>
                <w:szCs w:val="14"/>
                <w:color w:val="auto"/>
              </w:rPr>
              <w:t>27,542</w:t>
            </w:r>
          </w:p>
        </w:tc>
        <w:tc>
          <w:tcPr>
            <w:tcW w:w="1560" w:type="dxa"/>
            <w:vAlign w:val="bottom"/>
            <w:shd w:val="clear" w:color="auto" w:fill="D6F3E8"/>
          </w:tcPr>
          <w:p>
            <w:pPr>
              <w:jc w:val="center"/>
              <w:spacing w:after="0" w:line="129" w:lineRule="exact"/>
              <w:rPr>
                <w:sz w:val="20"/>
                <w:szCs w:val="20"/>
                <w:color w:val="auto"/>
              </w:rPr>
            </w:pPr>
            <w:r>
              <w:rPr>
                <w:rFonts w:ascii="Arial" w:cs="Arial" w:eastAsia="Arial" w:hAnsi="Arial"/>
                <w:sz w:val="14"/>
                <w:szCs w:val="14"/>
                <w:color w:val="auto"/>
              </w:rPr>
              <w:t>(5)</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(3)(4)</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Edwin F. Barker</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126,901</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w:t>
            </w:r>
          </w:p>
        </w:tc>
        <w:tc>
          <w:tcPr>
            <w:tcW w:w="1560" w:type="dxa"/>
            <w:vAlign w:val="bottom"/>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Raymond M. Beebe</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35,599</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Jerry N. Currie</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31,000</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w:t>
            </w:r>
          </w:p>
        </w:tc>
        <w:tc>
          <w:tcPr>
            <w:tcW w:w="1560" w:type="dxa"/>
            <w:vAlign w:val="bottom"/>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Joseph W. England</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46,534</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(3)(4)</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Lawrence A. Erickson</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12,510</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(3)(4)</w:t>
            </w:r>
          </w:p>
        </w:tc>
        <w:tc>
          <w:tcPr>
            <w:tcW w:w="1560" w:type="dxa"/>
            <w:vAlign w:val="bottom"/>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John V. Hanson</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48,260</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(3)(6)</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John E. Herlitz</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12,510</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(3)(4)</w:t>
            </w:r>
          </w:p>
        </w:tc>
        <w:tc>
          <w:tcPr>
            <w:tcW w:w="1560" w:type="dxa"/>
            <w:vAlign w:val="bottom"/>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Bruce D. Hertzke</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376,959</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1.2</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Gerald C. Kitch</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60,736</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(3)(4)</w:t>
            </w:r>
          </w:p>
        </w:tc>
        <w:tc>
          <w:tcPr>
            <w:tcW w:w="1560" w:type="dxa"/>
            <w:vAlign w:val="bottom"/>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William J. O’Leary</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38,999</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shd w:val="clear" w:color="auto" w:fill="D6F3E8"/>
          </w:tcPr>
          <w:p>
            <w:pPr>
              <w:spacing w:after="0"/>
              <w:rPr>
                <w:sz w:val="16"/>
                <w:szCs w:val="16"/>
                <w:color w:val="auto"/>
              </w:rPr>
            </w:pPr>
          </w:p>
        </w:tc>
        <w:tc>
          <w:tcPr>
            <w:tcW w:w="4600" w:type="dxa"/>
            <w:vAlign w:val="bottom"/>
            <w:shd w:val="clear" w:color="auto" w:fill="D6F3E8"/>
          </w:tcPr>
          <w:p>
            <w:pPr>
              <w:ind w:left="3600"/>
              <w:spacing w:after="0"/>
              <w:rPr>
                <w:sz w:val="20"/>
                <w:szCs w:val="20"/>
                <w:color w:val="auto"/>
              </w:rPr>
            </w:pPr>
            <w:r>
              <w:rPr>
                <w:rFonts w:ascii="Arial" w:cs="Arial" w:eastAsia="Arial" w:hAnsi="Arial"/>
                <w:sz w:val="15"/>
                <w:szCs w:val="15"/>
                <w:color w:val="auto"/>
              </w:rPr>
              <w:t>(3)</w:t>
            </w:r>
          </w:p>
        </w:tc>
        <w:tc>
          <w:tcPr>
            <w:tcW w:w="1560" w:type="dxa"/>
            <w:vAlign w:val="bottom"/>
            <w:shd w:val="clear" w:color="auto" w:fill="D6F3E8"/>
          </w:tcPr>
          <w:p>
            <w:pPr>
              <w:spacing w:after="0"/>
              <w:rPr>
                <w:sz w:val="16"/>
                <w:szCs w:val="16"/>
                <w:color w:val="auto"/>
              </w:rPr>
            </w:pPr>
          </w:p>
        </w:tc>
      </w:tr>
      <w:tr>
        <w:trPr>
          <w:trHeight w:val="26"/>
        </w:trPr>
        <w:tc>
          <w:tcPr>
            <w:tcW w:w="52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Robert J. Olson</w:t>
            </w:r>
          </w:p>
        </w:tc>
        <w:tc>
          <w:tcPr>
            <w:tcW w:w="4600" w:type="dxa"/>
            <w:vAlign w:val="bottom"/>
            <w:shd w:val="clear" w:color="auto" w:fill="D6F3E8"/>
          </w:tcPr>
          <w:p>
            <w:pPr>
              <w:jc w:val="right"/>
              <w:ind w:right="951"/>
              <w:spacing w:after="0" w:line="27" w:lineRule="exact"/>
              <w:rPr>
                <w:sz w:val="20"/>
                <w:szCs w:val="20"/>
                <w:color w:val="auto"/>
              </w:rPr>
            </w:pPr>
            <w:r>
              <w:rPr>
                <w:rFonts w:ascii="Arial" w:cs="Arial" w:eastAsia="Arial" w:hAnsi="Arial"/>
                <w:sz w:val="3"/>
                <w:szCs w:val="3"/>
                <w:color w:val="auto"/>
              </w:rPr>
              <w:t>52,249</w:t>
            </w:r>
          </w:p>
        </w:tc>
        <w:tc>
          <w:tcPr>
            <w:tcW w:w="1560" w:type="dxa"/>
            <w:vAlign w:val="bottom"/>
            <w:shd w:val="clear" w:color="auto" w:fill="D6F3E8"/>
          </w:tcPr>
          <w:p>
            <w:pPr>
              <w:jc w:val="center"/>
              <w:spacing w:after="0" w:line="27" w:lineRule="exact"/>
              <w:rPr>
                <w:sz w:val="20"/>
                <w:szCs w:val="20"/>
                <w:color w:val="auto"/>
              </w:rPr>
            </w:pPr>
            <w:r>
              <w:rPr>
                <w:rFonts w:ascii="Arial" w:cs="Arial" w:eastAsia="Arial" w:hAnsi="Arial"/>
                <w:sz w:val="3"/>
                <w:szCs w:val="3"/>
                <w:color w:val="auto"/>
              </w:rPr>
              <w:t>(5)</w:t>
            </w:r>
          </w:p>
        </w:tc>
      </w:tr>
      <w:tr>
        <w:trPr>
          <w:trHeight w:val="190"/>
        </w:trPr>
        <w:tc>
          <w:tcPr>
            <w:tcW w:w="5260" w:type="dxa"/>
            <w:vAlign w:val="bottom"/>
          </w:tcPr>
          <w:p>
            <w:pPr>
              <w:spacing w:after="0"/>
              <w:rPr>
                <w:sz w:val="16"/>
                <w:szCs w:val="16"/>
                <w:color w:val="auto"/>
              </w:rPr>
            </w:pPr>
          </w:p>
        </w:tc>
        <w:tc>
          <w:tcPr>
            <w:tcW w:w="4600" w:type="dxa"/>
            <w:vAlign w:val="bottom"/>
          </w:tcPr>
          <w:p>
            <w:pPr>
              <w:ind w:left="3600"/>
              <w:spacing w:after="0"/>
              <w:rPr>
                <w:sz w:val="20"/>
                <w:szCs w:val="20"/>
                <w:color w:val="auto"/>
              </w:rPr>
            </w:pPr>
            <w:r>
              <w:rPr>
                <w:rFonts w:ascii="Arial" w:cs="Arial" w:eastAsia="Arial" w:hAnsi="Arial"/>
                <w:sz w:val="15"/>
                <w:szCs w:val="15"/>
                <w:color w:val="auto"/>
              </w:rPr>
              <w:t>(3)</w:t>
            </w:r>
          </w:p>
        </w:tc>
        <w:tc>
          <w:tcPr>
            <w:tcW w:w="1560" w:type="dxa"/>
            <w:vAlign w:val="bottom"/>
          </w:tcPr>
          <w:p>
            <w:pPr>
              <w:spacing w:after="0"/>
              <w:rPr>
                <w:sz w:val="16"/>
                <w:szCs w:val="16"/>
                <w:color w:val="auto"/>
              </w:rPr>
            </w:pPr>
          </w:p>
        </w:tc>
      </w:tr>
      <w:tr>
        <w:trPr>
          <w:trHeight w:val="213"/>
        </w:trPr>
        <w:tc>
          <w:tcPr>
            <w:tcW w:w="5260" w:type="dxa"/>
            <w:vAlign w:val="bottom"/>
            <w:shd w:val="clear" w:color="auto" w:fill="D6F3E8"/>
          </w:tcPr>
          <w:p>
            <w:pPr>
              <w:spacing w:after="0"/>
              <w:rPr>
                <w:sz w:val="20"/>
                <w:szCs w:val="20"/>
                <w:color w:val="auto"/>
              </w:rPr>
            </w:pPr>
            <w:r>
              <w:rPr>
                <w:rFonts w:ascii="Arial" w:cs="Arial" w:eastAsia="Arial" w:hAnsi="Arial"/>
                <w:sz w:val="18"/>
                <w:szCs w:val="18"/>
                <w:color w:val="auto"/>
              </w:rPr>
              <w:t>Directors and officers as a group</w:t>
            </w:r>
          </w:p>
        </w:tc>
        <w:tc>
          <w:tcPr>
            <w:tcW w:w="4600" w:type="dxa"/>
            <w:vAlign w:val="bottom"/>
            <w:shd w:val="clear" w:color="auto" w:fill="D6F3E8"/>
          </w:tcPr>
          <w:p>
            <w:pPr>
              <w:spacing w:after="0"/>
              <w:rPr>
                <w:sz w:val="18"/>
                <w:szCs w:val="18"/>
                <w:color w:val="auto"/>
              </w:rPr>
            </w:pPr>
          </w:p>
        </w:tc>
        <w:tc>
          <w:tcPr>
            <w:tcW w:w="1560" w:type="dxa"/>
            <w:vAlign w:val="bottom"/>
            <w:shd w:val="clear" w:color="auto" w:fill="D6F3E8"/>
          </w:tcPr>
          <w:p>
            <w:pPr>
              <w:spacing w:after="0"/>
              <w:rPr>
                <w:sz w:val="18"/>
                <w:szCs w:val="18"/>
                <w:color w:val="auto"/>
              </w:rPr>
            </w:pPr>
          </w:p>
        </w:tc>
      </w:tr>
      <w:tr>
        <w:trPr>
          <w:trHeight w:val="230"/>
        </w:trPr>
        <w:tc>
          <w:tcPr>
            <w:tcW w:w="5260" w:type="dxa"/>
            <w:vAlign w:val="bottom"/>
            <w:shd w:val="clear" w:color="auto" w:fill="D6F3E8"/>
          </w:tcPr>
          <w:p>
            <w:pPr>
              <w:ind w:left="100"/>
              <w:spacing w:after="0"/>
              <w:rPr>
                <w:sz w:val="20"/>
                <w:szCs w:val="20"/>
                <w:color w:val="auto"/>
              </w:rPr>
            </w:pPr>
            <w:r>
              <w:rPr>
                <w:rFonts w:ascii="Arial" w:cs="Arial" w:eastAsia="Arial" w:hAnsi="Arial"/>
                <w:sz w:val="18"/>
                <w:szCs w:val="18"/>
                <w:color w:val="auto"/>
              </w:rPr>
              <w:t>(18 persons)</w:t>
            </w:r>
          </w:p>
        </w:tc>
        <w:tc>
          <w:tcPr>
            <w:tcW w:w="4600" w:type="dxa"/>
            <w:vAlign w:val="bottom"/>
            <w:shd w:val="clear" w:color="auto" w:fill="D6F3E8"/>
          </w:tcPr>
          <w:p>
            <w:pPr>
              <w:jc w:val="right"/>
              <w:ind w:right="591"/>
              <w:spacing w:after="0"/>
              <w:rPr>
                <w:sz w:val="20"/>
                <w:szCs w:val="20"/>
                <w:color w:val="auto"/>
              </w:rPr>
            </w:pPr>
            <w:r>
              <w:rPr>
                <w:rFonts w:ascii="Arial" w:cs="Arial" w:eastAsia="Arial" w:hAnsi="Arial"/>
                <w:sz w:val="18"/>
                <w:szCs w:val="18"/>
                <w:color w:val="auto"/>
              </w:rPr>
              <w:t>1,007,446</w:t>
            </w:r>
            <w:r>
              <w:rPr>
                <w:rFonts w:ascii="Arial" w:cs="Arial" w:eastAsia="Arial" w:hAnsi="Arial"/>
                <w:sz w:val="15"/>
                <w:szCs w:val="15"/>
                <w:color w:val="auto"/>
              </w:rPr>
              <w:t>(3)(4)</w:t>
            </w:r>
          </w:p>
        </w:tc>
        <w:tc>
          <w:tcPr>
            <w:tcW w:w="15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125" w:right="239" w:bottom="36" w:gutter="0" w:footer="0" w:header="0"/>
        </w:sectPr>
      </w:pPr>
    </w:p>
    <w:bookmarkStart w:id="4" w:name="page5"/>
    <w:bookmarkEnd w:id="4"/>
    <w:p>
      <w:pPr>
        <w:spacing w:after="0" w:line="9"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ind w:left="540" w:right="320" w:hanging="478"/>
        <w:spacing w:after="0" w:line="28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31,364,089 outstanding shares of Common Stock on October 31, 2006, together with shares representing the 42,832 Winnebago Stock Units held by directors under the Company’s Directors’ Deferred Compensation Plan as of October 31, 2006 and 773,132 shares that directors and officers as a group have the right to acquire within 60 days of October 31, 2006 through the exercise of stock options.</w:t>
      </w:r>
    </w:p>
    <w:p>
      <w:pPr>
        <w:spacing w:after="0" w:line="57" w:lineRule="exact"/>
        <w:rPr>
          <w:rFonts w:ascii="Arial" w:cs="Arial" w:eastAsia="Arial" w:hAnsi="Arial"/>
          <w:sz w:val="17"/>
          <w:szCs w:val="17"/>
          <w:color w:val="auto"/>
        </w:rPr>
      </w:pPr>
    </w:p>
    <w:p>
      <w:pPr>
        <w:ind w:left="540" w:right="300" w:hanging="478"/>
        <w:spacing w:after="0" w:line="26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24,000, 82,193, 27,499, 28,000, 36,000, 10,000, 48,000, 10,000, 315,417, 28,000, 27,499, 36,245 and 773,132 shares, which Messrs. Aal, Barker, Beebe, Currie, England, Erickson, Hanson, Herlitz, Hertzke, Kitch, O’Leary, Olson and the directors and officers as a group, respectively, have the right to acquire within 60 days of October 31, 2006 through the exercise of stock options.</w:t>
      </w:r>
    </w:p>
    <w:p>
      <w:pPr>
        <w:spacing w:after="0" w:line="73" w:lineRule="exact"/>
        <w:rPr>
          <w:rFonts w:ascii="Arial" w:cs="Arial" w:eastAsia="Arial" w:hAnsi="Arial"/>
          <w:sz w:val="18"/>
          <w:szCs w:val="18"/>
          <w:color w:val="auto"/>
        </w:rPr>
      </w:pPr>
    </w:p>
    <w:p>
      <w:pPr>
        <w:ind w:left="540" w:right="60" w:hanging="478"/>
        <w:spacing w:after="0" w:line="25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3,542, 10,534, 2,510, 2,510 and 23,736 Winnebago Stock Units, held by Messrs. Aal, England, Erickson, Herlitz and Kitch, respectively, under the Company’s Directors’ Deferred Compensation Plan as of October 31, 2006. Pursuant to an election made by the reporting person on December 6, 2005, the Winnebago Stock Units are accrued under the Company’s Deferred Compensation Plan and are to be settled 100% in Common Stock upon the earliest of the following events: reporting person’s termination of service as a director, death or disability or a “change in the effective control of the Company” as defined in said Plan.</w:t>
      </w:r>
    </w:p>
    <w:p>
      <w:pPr>
        <w:spacing w:after="0" w:line="80" w:lineRule="exact"/>
        <w:rPr>
          <w:rFonts w:ascii="Arial" w:cs="Arial" w:eastAsia="Arial" w:hAnsi="Arial"/>
          <w:sz w:val="18"/>
          <w:szCs w:val="18"/>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(7) to the preceding table.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21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the term of office of the Class I directors will expire, and two persons will be elected to serve in that class until the Company’s fiscal year 2009 Annual Meeting or until their respective successors are elected. The terms of office of the Class II and Class III directors will expire at the Company’s fiscal year 2007 and 2008 Annual Meetings, respectively.</w:t>
      </w:r>
    </w:p>
    <w:p>
      <w:pPr>
        <w:spacing w:after="0" w:line="12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either of said nominees who, for any reason currently unknown, cannot be a candidate for election. </w:t>
      </w:r>
      <w:r>
        <w:rPr>
          <w:rFonts w:ascii="Arial" w:cs="Arial" w:eastAsia="Arial" w:hAnsi="Arial"/>
          <w:sz w:val="18"/>
          <w:szCs w:val="18"/>
          <w:b w:val="1"/>
          <w:bCs w:val="1"/>
          <w:color w:val="auto"/>
        </w:rPr>
        <w:t>The shares represented by the enclosed proxy will be voted for the election as directors of the nominees for Class I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named below if no direction is made otherwise. Both nominees are currently directors of the Company and were elected by the shareholders at the Company’s 2004 Annual Meeting.</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520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Principal Occupation and Other</w:t>
            </w:r>
          </w:p>
        </w:tc>
        <w:tc>
          <w:tcPr>
            <w:tcW w:w="264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287"/>
        </w:trPr>
        <w:tc>
          <w:tcPr>
            <w:tcW w:w="2580" w:type="dxa"/>
            <w:vAlign w:val="bottom"/>
            <w:vMerge w:val="continue"/>
          </w:tcPr>
          <w:p>
            <w:pPr>
              <w:spacing w:after="0"/>
              <w:rPr>
                <w:sz w:val="24"/>
                <w:szCs w:val="24"/>
                <w:color w:val="auto"/>
              </w:rPr>
            </w:pPr>
          </w:p>
        </w:tc>
        <w:tc>
          <w:tcPr>
            <w:tcW w:w="52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Directorships Held</w:t>
            </w:r>
          </w:p>
        </w:tc>
        <w:tc>
          <w:tcPr>
            <w:tcW w:w="2640" w:type="dxa"/>
            <w:vAlign w:val="bottom"/>
          </w:tcPr>
          <w:p>
            <w:pPr>
              <w:jc w:val="center"/>
              <w:ind w:left="1428"/>
              <w:spacing w:after="0"/>
              <w:rPr>
                <w:sz w:val="20"/>
                <w:szCs w:val="20"/>
                <w:color w:val="auto"/>
              </w:rPr>
            </w:pPr>
            <w:r>
              <w:rPr>
                <w:rFonts w:ascii="Arial" w:cs="Arial" w:eastAsia="Arial" w:hAnsi="Arial"/>
                <w:sz w:val="14"/>
                <w:szCs w:val="14"/>
                <w:b w:val="1"/>
                <w:bCs w:val="1"/>
                <w:color w:val="auto"/>
                <w:w w:val="92"/>
              </w:rPr>
              <w:t>Became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6817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47" w:orient="portrait"/>
          <w:cols w:equalWidth="0" w:num="1">
            <w:col w:w="11420"/>
          </w:cols>
          <w:pgMar w:left="240" w:top="179" w:right="239" w:bottom="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 Nominees for Directors to be Elected to Serve Until the Fiscal Year 2009 Annual Meeting</w:t>
      </w:r>
    </w:p>
    <w:p>
      <w:pPr>
        <w:spacing w:after="0" w:line="2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Irvin E. Aal (67)</w:t>
      </w:r>
      <w:r>
        <w:rPr>
          <w:sz w:val="20"/>
          <w:szCs w:val="20"/>
          <w:color w:val="auto"/>
        </w:rPr>
        <w:tab/>
      </w:r>
      <w:r>
        <w:rPr>
          <w:rFonts w:ascii="Arial" w:cs="Arial" w:eastAsia="Arial" w:hAnsi="Arial"/>
          <w:sz w:val="16"/>
          <w:szCs w:val="16"/>
          <w:color w:val="auto"/>
        </w:rPr>
        <w:t>Retired; former General Manager of Case Tyler Business Unit of CNH Global and</w:t>
      </w:r>
    </w:p>
    <w:p>
      <w:pPr>
        <w:spacing w:after="0" w:line="9" w:lineRule="exact"/>
        <w:rPr>
          <w:sz w:val="20"/>
          <w:szCs w:val="20"/>
          <w:color w:val="auto"/>
        </w:rPr>
      </w:pPr>
    </w:p>
    <w:p>
      <w:pPr>
        <w:ind w:left="2740" w:right="660"/>
        <w:spacing w:after="0" w:line="277" w:lineRule="auto"/>
        <w:rPr>
          <w:sz w:val="20"/>
          <w:szCs w:val="20"/>
          <w:color w:val="auto"/>
        </w:rPr>
      </w:pPr>
      <w:r>
        <w:rPr>
          <w:rFonts w:ascii="Arial" w:cs="Arial" w:eastAsia="Arial" w:hAnsi="Arial"/>
          <w:sz w:val="17"/>
          <w:szCs w:val="17"/>
          <w:color w:val="auto"/>
        </w:rPr>
        <w:t>predecessor corporation, manufacturer of banded application business equipment; previously President and Chief Executive Officer of Tyler Industries, privately owned specialized agricultural equipment manufacturing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-429260</wp:posOffset>
            </wp:positionV>
            <wp:extent cx="617220" cy="943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Joseph W. England (66)</w:t>
      </w:r>
      <w:r>
        <w:rPr>
          <w:sz w:val="20"/>
          <w:szCs w:val="20"/>
          <w:color w:val="auto"/>
        </w:rPr>
        <w:tab/>
      </w:r>
      <w:r>
        <w:rPr>
          <w:rFonts w:ascii="Arial" w:cs="Arial" w:eastAsia="Arial" w:hAnsi="Arial"/>
          <w:sz w:val="16"/>
          <w:szCs w:val="16"/>
          <w:color w:val="auto"/>
        </w:rPr>
        <w:t>Retired; former Senior Vice President — Accounting — Control of Deere &amp; Company (a</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mobile power equipment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617220" cy="943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ind w:left="2740"/>
        <w:spacing w:after="0"/>
        <w:rPr>
          <w:sz w:val="20"/>
          <w:szCs w:val="20"/>
          <w:color w:val="auto"/>
        </w:rPr>
      </w:pPr>
      <w:r>
        <w:rPr>
          <w:rFonts w:ascii="Arial" w:cs="Arial" w:eastAsia="Arial" w:hAnsi="Arial"/>
          <w:sz w:val="18"/>
          <w:szCs w:val="18"/>
          <w:color w:val="auto"/>
        </w:rPr>
        <w:t>Mr. England is a director of First Midwest Bancorp,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 Directors Whose Terms Expire at the Fiscal Year 2007 Annual Meeting</w:t>
      </w:r>
    </w:p>
    <w:p>
      <w:pPr>
        <w:spacing w:after="0" w:line="27" w:lineRule="exact"/>
        <w:rPr>
          <w:sz w:val="20"/>
          <w:szCs w:val="20"/>
          <w:color w:val="auto"/>
        </w:rPr>
      </w:pPr>
    </w:p>
    <w:p>
      <w:pPr>
        <w:ind w:left="2740" w:right="740" w:hanging="2727"/>
        <w:spacing w:after="0" w:line="255" w:lineRule="auto"/>
        <w:tabs>
          <w:tab w:leader="none" w:pos="2720" w:val="left"/>
        </w:tabs>
        <w:rPr>
          <w:sz w:val="20"/>
          <w:szCs w:val="20"/>
          <w:color w:val="auto"/>
        </w:rPr>
      </w:pPr>
      <w:r>
        <w:rPr>
          <w:rFonts w:ascii="Arial" w:cs="Arial" w:eastAsia="Arial" w:hAnsi="Arial"/>
          <w:sz w:val="18"/>
          <w:szCs w:val="18"/>
          <w:color w:val="auto"/>
        </w:rPr>
        <w:t>Jerry N. Currie (61)</w:t>
      </w:r>
      <w:r>
        <w:rPr>
          <w:sz w:val="20"/>
          <w:szCs w:val="20"/>
          <w:color w:val="auto"/>
        </w:rPr>
        <w:tab/>
      </w:r>
      <w:r>
        <w:rPr>
          <w:rFonts w:ascii="Arial" w:cs="Arial" w:eastAsia="Arial" w:hAnsi="Arial"/>
          <w:sz w:val="18"/>
          <w:szCs w:val="18"/>
          <w:color w:val="auto"/>
        </w:rPr>
        <w:t>President &amp; Chief Executive Officer of both Curries Company, manufacturer of steel doors and frames for nonresidential construction, and Graham Manufacturing, manufacturer of wood doors for nonresidential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-281305</wp:posOffset>
            </wp:positionV>
            <wp:extent cx="617220"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2004</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2001</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667" w:lineRule="exact"/>
        <w:rPr>
          <w:sz w:val="20"/>
          <w:szCs w:val="20"/>
          <w:color w:val="auto"/>
        </w:rPr>
      </w:pPr>
    </w:p>
    <w:p>
      <w:pPr>
        <w:sectPr>
          <w:pgSz w:w="11900" w:h="16847" w:orient="portrait"/>
          <w:cols w:equalWidth="0" w:num="2">
            <w:col w:w="9580" w:space="720"/>
            <w:col w:w="1120"/>
          </w:cols>
          <w:pgMar w:left="240" w:top="17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520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Principal Occupation and Other</w:t>
            </w:r>
          </w:p>
        </w:tc>
        <w:tc>
          <w:tcPr>
            <w:tcW w:w="264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287"/>
        </w:trPr>
        <w:tc>
          <w:tcPr>
            <w:tcW w:w="2580" w:type="dxa"/>
            <w:vAlign w:val="bottom"/>
            <w:vMerge w:val="continue"/>
          </w:tcPr>
          <w:p>
            <w:pPr>
              <w:spacing w:after="0"/>
              <w:rPr>
                <w:sz w:val="24"/>
                <w:szCs w:val="24"/>
                <w:color w:val="auto"/>
              </w:rPr>
            </w:pPr>
          </w:p>
        </w:tc>
        <w:tc>
          <w:tcPr>
            <w:tcW w:w="520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Directorships Held</w:t>
            </w:r>
          </w:p>
        </w:tc>
        <w:tc>
          <w:tcPr>
            <w:tcW w:w="2640" w:type="dxa"/>
            <w:vAlign w:val="bottom"/>
          </w:tcPr>
          <w:p>
            <w:pPr>
              <w:jc w:val="center"/>
              <w:ind w:left="1428"/>
              <w:spacing w:after="0"/>
              <w:rPr>
                <w:sz w:val="20"/>
                <w:szCs w:val="20"/>
                <w:color w:val="auto"/>
              </w:rPr>
            </w:pPr>
            <w:r>
              <w:rPr>
                <w:rFonts w:ascii="Arial" w:cs="Arial" w:eastAsia="Arial" w:hAnsi="Arial"/>
                <w:sz w:val="14"/>
                <w:szCs w:val="14"/>
                <w:b w:val="1"/>
                <w:bCs w:val="1"/>
                <w:color w:val="auto"/>
                <w:w w:val="92"/>
              </w:rPr>
              <w:t>Became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-3810</wp:posOffset>
            </wp:positionV>
            <wp:extent cx="6817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47" w:orient="portrait"/>
          <w:cols w:equalWidth="0" w:num="1">
            <w:col w:w="11420"/>
          </w:cols>
          <w:pgMar w:left="240" w:top="179" w:right="239" w:bottom="0" w:gutter="0" w:footer="0" w:header="0"/>
          <w:type w:val="continuous"/>
        </w:sectPr>
      </w:pPr>
    </w:p>
    <w:p>
      <w:pPr>
        <w:spacing w:after="0" w:line="100" w:lineRule="exact"/>
        <w:rPr>
          <w:sz w:val="20"/>
          <w:szCs w:val="20"/>
          <w:color w:val="auto"/>
        </w:rPr>
      </w:pPr>
    </w:p>
    <w:p>
      <w:pPr>
        <w:spacing w:after="0"/>
        <w:tabs>
          <w:tab w:leader="none" w:pos="2720" w:val="left"/>
          <w:tab w:leader="none" w:pos="10280" w:val="left"/>
        </w:tabs>
        <w:rPr>
          <w:sz w:val="20"/>
          <w:szCs w:val="20"/>
          <w:color w:val="auto"/>
        </w:rPr>
      </w:pPr>
      <w:r>
        <w:rPr>
          <w:rFonts w:ascii="Arial" w:cs="Arial" w:eastAsia="Arial" w:hAnsi="Arial"/>
          <w:sz w:val="18"/>
          <w:szCs w:val="18"/>
          <w:color w:val="auto"/>
        </w:rPr>
        <w:t>Lawrence A. Erickson (57)</w:t>
      </w:r>
      <w:r>
        <w:rPr>
          <w:sz w:val="20"/>
          <w:szCs w:val="20"/>
          <w:color w:val="auto"/>
        </w:rPr>
        <w:tab/>
      </w:r>
      <w:r>
        <w:rPr>
          <w:rFonts w:ascii="Arial" w:cs="Arial" w:eastAsia="Arial" w:hAnsi="Arial"/>
          <w:sz w:val="18"/>
          <w:szCs w:val="18"/>
          <w:color w:val="auto"/>
        </w:rPr>
        <w:t>Retired; former Senior Vice President &amp; Chief Financial Officer of Rockwell Collins, Inc.,</w:t>
      </w:r>
      <w:r>
        <w:rPr>
          <w:sz w:val="20"/>
          <w:szCs w:val="20"/>
          <w:color w:val="auto"/>
        </w:rPr>
        <w:tab/>
      </w:r>
      <w:r>
        <w:rPr>
          <w:rFonts w:ascii="Arial" w:cs="Arial" w:eastAsia="Arial" w:hAnsi="Arial"/>
          <w:sz w:val="16"/>
          <w:szCs w:val="16"/>
          <w:color w:val="auto"/>
        </w:rPr>
        <w:t>2005</w:t>
      </w:r>
    </w:p>
    <w:p>
      <w:pPr>
        <w:sectPr>
          <w:pgSz w:w="11900" w:h="16847" w:orient="portrait"/>
          <w:cols w:equalWidth="0" w:num="1">
            <w:col w:w="11420"/>
          </w:cols>
          <w:pgMar w:left="240" w:top="179" w:right="239" w:bottom="0" w:gutter="0" w:footer="0" w:header="0"/>
          <w:type w:val="continuous"/>
        </w:sectPr>
      </w:pPr>
    </w:p>
    <w:bookmarkStart w:id="5" w:name="page6"/>
    <w:bookmarkEnd w:id="5"/>
    <w:p>
      <w:pPr>
        <w:ind w:left="2740" w:right="2180"/>
        <w:spacing w:after="0" w:line="277" w:lineRule="auto"/>
        <w:rPr>
          <w:sz w:val="20"/>
          <w:szCs w:val="20"/>
          <w:color w:val="auto"/>
        </w:rPr>
      </w:pPr>
      <w:r>
        <w:rPr>
          <w:rFonts w:ascii="Arial" w:cs="Arial" w:eastAsia="Arial" w:hAnsi="Arial"/>
          <w:sz w:val="18"/>
          <w:szCs w:val="18"/>
          <w:color w:val="auto"/>
        </w:rPr>
        <w:t>provider of communication and aviation electronic solutions for commercial and military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-293370</wp:posOffset>
            </wp:positionV>
            <wp:extent cx="617220" cy="943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John E. Herlitz (63)</w:t>
            </w:r>
          </w:p>
        </w:tc>
        <w:tc>
          <w:tcPr>
            <w:tcW w:w="7460" w:type="dxa"/>
            <w:vAlign w:val="bottom"/>
          </w:tcPr>
          <w:p>
            <w:pPr>
              <w:ind w:left="660"/>
              <w:spacing w:after="0"/>
              <w:rPr>
                <w:sz w:val="20"/>
                <w:szCs w:val="20"/>
                <w:color w:val="auto"/>
              </w:rPr>
            </w:pPr>
            <w:r>
              <w:rPr>
                <w:rFonts w:ascii="Arial" w:cs="Arial" w:eastAsia="Arial" w:hAnsi="Arial"/>
                <w:sz w:val="18"/>
                <w:szCs w:val="18"/>
                <w:color w:val="auto"/>
              </w:rPr>
              <w:t>Retired; former Senior Vice President - Design of DaimlerChrysler AG, automobile</w:t>
            </w:r>
          </w:p>
        </w:tc>
        <w:tc>
          <w:tcPr>
            <w:tcW w:w="112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30"/>
        </w:trPr>
        <w:tc>
          <w:tcPr>
            <w:tcW w:w="2080" w:type="dxa"/>
            <w:vAlign w:val="bottom"/>
          </w:tcPr>
          <w:p>
            <w:pPr>
              <w:spacing w:after="0"/>
              <w:rPr>
                <w:sz w:val="20"/>
                <w:szCs w:val="20"/>
                <w:color w:val="auto"/>
              </w:rPr>
            </w:pPr>
          </w:p>
        </w:tc>
        <w:tc>
          <w:tcPr>
            <w:tcW w:w="7460" w:type="dxa"/>
            <w:vAlign w:val="bottom"/>
          </w:tcPr>
          <w:p>
            <w:pPr>
              <w:ind w:left="660"/>
              <w:spacing w:after="0"/>
              <w:rPr>
                <w:sz w:val="20"/>
                <w:szCs w:val="20"/>
                <w:color w:val="auto"/>
              </w:rPr>
            </w:pPr>
            <w:r>
              <w:rPr>
                <w:rFonts w:ascii="Arial" w:cs="Arial" w:eastAsia="Arial" w:hAnsi="Arial"/>
                <w:sz w:val="18"/>
                <w:szCs w:val="18"/>
                <w:color w:val="auto"/>
              </w:rPr>
              <w:t>manufacturer</w:t>
            </w: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-136525</wp:posOffset>
            </wp:positionV>
            <wp:extent cx="617220" cy="943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ectPr>
          <w:pgSz w:w="11900" w:h="16838" w:orient="portrait"/>
          <w:cols w:equalWidth="0" w:num="1">
            <w:col w:w="11340"/>
          </w:cols>
          <w:pgMar w:left="240" w:top="12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 Directors Whose Terms Expire at the Fiscal Year 2008 Annual Meeting</w:t>
      </w:r>
    </w:p>
    <w:p>
      <w:pPr>
        <w:spacing w:after="0" w:line="27"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John V. Hanson (64)</w:t>
      </w:r>
      <w:r>
        <w:rPr>
          <w:sz w:val="20"/>
          <w:szCs w:val="20"/>
          <w:color w:val="auto"/>
        </w:rPr>
        <w:tab/>
      </w:r>
      <w:r>
        <w:rPr>
          <w:rFonts w:ascii="Arial" w:cs="Arial" w:eastAsia="Arial" w:hAnsi="Arial"/>
          <w:sz w:val="16"/>
          <w:szCs w:val="16"/>
          <w:color w:val="auto"/>
        </w:rPr>
        <w:t>Retired; former Deputy Chairman of the Board of Directors of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wp:posOffset>
            </wp:positionV>
            <wp:extent cx="617220" cy="943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Bruce D. Hertzke (55)</w:t>
      </w:r>
      <w:r>
        <w:rPr>
          <w:sz w:val="20"/>
          <w:szCs w:val="20"/>
          <w:color w:val="auto"/>
        </w:rPr>
        <w:tab/>
      </w:r>
      <w:r>
        <w:rPr>
          <w:rFonts w:ascii="Arial" w:cs="Arial" w:eastAsia="Arial" w:hAnsi="Arial"/>
          <w:sz w:val="16"/>
          <w:szCs w:val="16"/>
          <w:color w:val="auto"/>
        </w:rPr>
        <w:t>Chairman of the Board and Chief Executive Officer, Winnebago Industries, Inc.</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Mr. Hertzke is a director of Gehl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617220" cy="943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1996</w:t>
      </w:r>
      <w:r>
        <w:rPr>
          <w:rFonts w:ascii="Arial" w:cs="Arial" w:eastAsia="Arial" w:hAnsi="Arial"/>
          <w:sz w:val="24"/>
          <w:szCs w:val="24"/>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1997</w:t>
      </w:r>
    </w:p>
    <w:p>
      <w:pPr>
        <w:spacing w:after="0" w:line="430" w:lineRule="exact"/>
        <w:rPr>
          <w:sz w:val="20"/>
          <w:szCs w:val="20"/>
          <w:color w:val="auto"/>
        </w:rPr>
      </w:pPr>
    </w:p>
    <w:p>
      <w:pPr>
        <w:sectPr>
          <w:pgSz w:w="11900" w:h="16838" w:orient="portrait"/>
          <w:cols w:equalWidth="0" w:num="2">
            <w:col w:w="9580" w:space="720"/>
            <w:col w:w="1040"/>
          </w:cols>
          <w:pgMar w:left="240" w:top="125"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Gerald C. Kitch (68)</w:t>
            </w:r>
          </w:p>
        </w:tc>
        <w:tc>
          <w:tcPr>
            <w:tcW w:w="7600" w:type="dxa"/>
            <w:vAlign w:val="bottom"/>
          </w:tcPr>
          <w:p>
            <w:pPr>
              <w:ind w:left="620"/>
              <w:spacing w:after="0"/>
              <w:rPr>
                <w:sz w:val="20"/>
                <w:szCs w:val="20"/>
                <w:color w:val="auto"/>
              </w:rPr>
            </w:pPr>
            <w:r>
              <w:rPr>
                <w:rFonts w:ascii="Arial" w:cs="Arial" w:eastAsia="Arial" w:hAnsi="Arial"/>
                <w:sz w:val="18"/>
                <w:szCs w:val="18"/>
                <w:color w:val="auto"/>
                <w:w w:val="99"/>
              </w:rPr>
              <w:t>Retired; former Executive Vice President, Pentair, Inc., diversified manufacturer of tools,</w:t>
            </w:r>
          </w:p>
        </w:tc>
        <w:tc>
          <w:tcPr>
            <w:tcW w:w="9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2120" w:type="dxa"/>
            <w:vAlign w:val="bottom"/>
          </w:tcPr>
          <w:p>
            <w:pPr>
              <w:spacing w:after="0"/>
              <w:rPr>
                <w:sz w:val="20"/>
                <w:szCs w:val="20"/>
                <w:color w:val="auto"/>
              </w:rPr>
            </w:pPr>
          </w:p>
        </w:tc>
        <w:tc>
          <w:tcPr>
            <w:tcW w:w="7600" w:type="dxa"/>
            <w:vAlign w:val="bottom"/>
          </w:tcPr>
          <w:p>
            <w:pPr>
              <w:ind w:left="620"/>
              <w:spacing w:after="0"/>
              <w:rPr>
                <w:sz w:val="20"/>
                <w:szCs w:val="20"/>
                <w:color w:val="auto"/>
              </w:rPr>
            </w:pPr>
            <w:r>
              <w:rPr>
                <w:rFonts w:ascii="Arial" w:cs="Arial" w:eastAsia="Arial" w:hAnsi="Arial"/>
                <w:sz w:val="18"/>
                <w:szCs w:val="18"/>
                <w:color w:val="auto"/>
              </w:rPr>
              <w:t>equipment and ammunition</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1029335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-136525</wp:posOffset>
            </wp:positionV>
            <wp:extent cx="617220" cy="943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Reference is made to “Voting Securities and Principal Holders Thereof” herein.</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recommended, and the Board approved, the nomination of such person.</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BOARD OF DIRECTORS, COMMITTEES OF THE BOARD AND CORPORATE GOVERNANCE</w:t>
      </w:r>
    </w:p>
    <w:p>
      <w:pPr>
        <w:spacing w:after="0" w:line="219" w:lineRule="exact"/>
        <w:rPr>
          <w:sz w:val="20"/>
          <w:szCs w:val="20"/>
          <w:color w:val="auto"/>
        </w:rPr>
      </w:pPr>
    </w:p>
    <w:p>
      <w:pPr>
        <w:ind w:right="820" w:firstLine="360"/>
        <w:spacing w:after="0" w:line="31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website at http://www.winnebagoind.com/company/investor/governance.php. The principal responsibilities of each of these committees are described below.</w:t>
      </w:r>
    </w:p>
    <w:p>
      <w:pPr>
        <w:spacing w:after="0" w:line="10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current members of the Audit Committee are Messrs. England, Aal and Currie, all of whom are independent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established by the SEC and the listing standards of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xml:space="preserve"> ). Based on the attributes, education and experience requirements set forth in Section 407 of the Sarbanes-Oxley Act of 2002 and associated regulations, the Board of Directors has determined that Joseph W. England qualifies as an “Audit Committee Financial Expert.” Each year, the committee appoints independent public accountants to examine the books of the Company. It reviews with representatives of the independent public accountants the auditing arrangements and scope of the independent public accountants’ examination of the books, results of those audits, any non-audit services, their fees for all such services and any problems identified by and recommendations of the independent public accountants regarding internal controls. The Audit Committee is also prepared to meet privately at any time at the request of the independent public accountants or members of management to review any special situation arising on any of the above subjects. The Audit Committee also performs the duties set forth in its written charter which was amended as of June 21, 2006 by the Board of Directors, a copy of which is attached hereto as Appendix A. The Audit Committee regularly reviews its written charter and recommends to the Board changes to the charter. Reference is also made to the</w:t>
      </w:r>
    </w:p>
    <w:p>
      <w:pPr>
        <w:sectPr>
          <w:pgSz w:w="11900" w:h="16838" w:orient="portrait"/>
          <w:cols w:equalWidth="0" w:num="1">
            <w:col w:w="11340"/>
          </w:cols>
          <w:pgMar w:left="240" w:top="125" w:right="319" w:bottom="0" w:gutter="0" w:footer="0" w:header="0"/>
          <w:type w:val="continuous"/>
        </w:sectPr>
      </w:pPr>
    </w:p>
    <w:bookmarkStart w:id="6" w:name="page7"/>
    <w:bookmarkEnd w:id="6"/>
    <w:p>
      <w:pPr>
        <w:ind w:right="860"/>
        <w:spacing w:after="0" w:line="277" w:lineRule="auto"/>
        <w:rPr>
          <w:sz w:val="20"/>
          <w:szCs w:val="20"/>
          <w:color w:val="auto"/>
        </w:rPr>
      </w:pPr>
      <w:r>
        <w:rPr>
          <w:rFonts w:ascii="Arial" w:cs="Arial" w:eastAsia="Arial" w:hAnsi="Arial"/>
          <w:sz w:val="18"/>
          <w:szCs w:val="18"/>
          <w:color w:val="auto"/>
        </w:rPr>
        <w:t>“Report of the Audit Committee” herein. In fiscal 2006, as required by its charter, the Audit Committee conducted an annual self-evaluation of its performance. The committee met eight times in fiscal 2006.</w:t>
      </w:r>
    </w:p>
    <w:p>
      <w:pPr>
        <w:spacing w:after="0" w:line="126" w:lineRule="exact"/>
        <w:rPr>
          <w:sz w:val="20"/>
          <w:szCs w:val="20"/>
          <w:color w:val="auto"/>
        </w:rPr>
      </w:pPr>
    </w:p>
    <w:p>
      <w:pPr>
        <w:ind w:right="100" w:firstLine="360"/>
        <w:spacing w:after="0" w:line="256" w:lineRule="auto"/>
        <w:rPr>
          <w:sz w:val="20"/>
          <w:szCs w:val="20"/>
          <w:color w:val="auto"/>
        </w:rPr>
      </w:pPr>
      <w:r>
        <w:rPr>
          <w:rFonts w:ascii="Arial" w:cs="Arial" w:eastAsia="Arial" w:hAnsi="Arial"/>
          <w:sz w:val="18"/>
          <w:szCs w:val="18"/>
          <w:b w:val="1"/>
          <w:bCs w:val="1"/>
          <w:color w:val="auto"/>
        </w:rPr>
        <w:t xml:space="preserve">Human Resources Committee. </w:t>
      </w:r>
      <w:r>
        <w:rPr>
          <w:rFonts w:ascii="Arial" w:cs="Arial" w:eastAsia="Arial" w:hAnsi="Arial"/>
          <w:sz w:val="18"/>
          <w:szCs w:val="18"/>
          <w:color w:val="auto"/>
        </w:rPr>
        <w:t>The current members of the Human Resources Committee are Messrs. Kitch, Aal and Currie, all of whom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within the meaning of the NYSE listing requirements and the Company’s Policy Regarding Nominations of Directors. This committee makes recommendations to the Board of Directors as to the salary of the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xml:space="preserve"> ) and sets the salaries and bonus payments, if any, of all other employee-directors and elected officers. It also has responsibility for administration of the Company’s Incentive Compensation Plan and certain other employee incentive plans. In fiscal 2006, as required by its charter, the Human Resources Committee conducted an annual self-evaluation of its performance. The committee met four times in fiscal 2006.</w:t>
      </w:r>
    </w:p>
    <w:p>
      <w:pPr>
        <w:spacing w:after="0" w:line="161"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b w:val="1"/>
          <w:bCs w:val="1"/>
          <w:color w:val="auto"/>
        </w:rPr>
        <w:t xml:space="preserve">Nominating and Governance Committee. </w:t>
      </w:r>
      <w:r>
        <w:rPr>
          <w:rFonts w:ascii="Arial" w:cs="Arial" w:eastAsia="Arial" w:hAnsi="Arial"/>
          <w:sz w:val="17"/>
          <w:szCs w:val="17"/>
          <w:color w:val="auto"/>
        </w:rPr>
        <w:t>The current members of the Nominating and Governance Committee are Messrs. Currie, England and</w:t>
      </w:r>
      <w:r>
        <w:rPr>
          <w:rFonts w:ascii="Arial" w:cs="Arial" w:eastAsia="Arial" w:hAnsi="Arial"/>
          <w:sz w:val="17"/>
          <w:szCs w:val="17"/>
          <w:b w:val="1"/>
          <w:bCs w:val="1"/>
          <w:color w:val="auto"/>
        </w:rPr>
        <w:t xml:space="preserve"> </w:t>
      </w:r>
      <w:r>
        <w:rPr>
          <w:rFonts w:ascii="Arial" w:cs="Arial" w:eastAsia="Arial" w:hAnsi="Arial"/>
          <w:sz w:val="17"/>
          <w:szCs w:val="17"/>
          <w:color w:val="auto"/>
        </w:rPr>
        <w:t>Kitch, all of whom are independent directors within the meaning of NYSE listing requirements and the Company’s Policy Regarding Nominations of Directors.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the Company’s Policy Regarding Nominations of Directors as discussed below. See also “Fiscal Year 2007 Shareholder Proposals” for a summary of the procedures that shareholders must follow. In fiscal 2006, as required by its charter, the Nominating and Governance Committee conducted an annual self-evaluation of its performance. The committee met once in fiscal 2006.</w:t>
      </w:r>
    </w:p>
    <w:p>
      <w:pPr>
        <w:spacing w:after="0" w:line="136"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The Board of Directors of the Company held eight meetings during fiscal 2006. Actions taken by any committee of the Board are reported to the Board of Directors, usually at its next meeting. During fiscal 2006, all of the directors attended more than 75 percent of the aggregate of Board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meetings and meetings of committees of the Board on which they served. The Corporate Governance Policy of the Company, discussed below, encourages, but does not require, Board members to attend the Annual Meeting. At the last annual meeting, all of the then-incumbent directors and director nominees were in attendance. Additionally, in fiscal 2006, in accordance with the Company’s Corporate Governance Policy described below, the Board of Directors conducted an annual self-evaluation to determine whether it and its committees are functioning effectively. The Nominating and Governance Committee received comments from all directors and reported to the Board with an assessment of the Board’s performance.</w:t>
      </w:r>
    </w:p>
    <w:p>
      <w:pPr>
        <w:spacing w:after="0" w:line="14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Executive Sessions of Non-employee Directors — </w:t>
      </w:r>
      <w:r>
        <w:rPr>
          <w:rFonts w:ascii="Arial" w:cs="Arial" w:eastAsia="Arial" w:hAnsi="Arial"/>
          <w:sz w:val="18"/>
          <w:szCs w:val="18"/>
          <w:color w:val="auto"/>
        </w:rPr>
        <w:t>The directors who are not employees of the Company or a subsidiary (the</w:t>
      </w:r>
      <w:r>
        <w:rPr>
          <w:rFonts w:ascii="Arial" w:cs="Arial" w:eastAsia="Arial" w:hAnsi="Arial"/>
          <w:sz w:val="18"/>
          <w:szCs w:val="18"/>
          <w:i w:val="1"/>
          <w:iCs w:val="1"/>
          <w:color w:val="auto"/>
        </w:rPr>
        <w:t xml:space="preserve"> “Non-employee Directors”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meet privately in executive sessions to consider such matters as they deem appropriate, without management being present, as a routinely scheduled agenda item for every Board meeting. An executive session including only independent directors, as defined by the NYSE listing standards, is held at least once a year. During fiscal 2006, except for Mr. Erickson, all other Non-employee Directors were independent. Director Gerald C. Kitch was chosen as Lead Director to preside at such executive sessions.</w:t>
      </w:r>
    </w:p>
    <w:p>
      <w:pPr>
        <w:spacing w:after="0" w:line="148"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Board has adopted and annually reviews the Corporate Governance Policy which incorporates the corporate governance principles by which the Company operates. A copy of the Company’s Corporate Governance Policy is available on the Company’s website at http://www.winnebagoind.com/company/investor/governance.php.</w:t>
      </w:r>
    </w:p>
    <w:p>
      <w:pPr>
        <w:spacing w:after="0" w:line="137" w:lineRule="exact"/>
        <w:rPr>
          <w:sz w:val="20"/>
          <w:szCs w:val="20"/>
          <w:color w:val="auto"/>
        </w:rPr>
      </w:pPr>
    </w:p>
    <w:p>
      <w:pPr>
        <w:ind w:right="20" w:firstLine="360"/>
        <w:spacing w:after="0" w:line="292" w:lineRule="auto"/>
        <w:rPr>
          <w:sz w:val="20"/>
          <w:szCs w:val="20"/>
          <w:color w:val="auto"/>
        </w:rPr>
      </w:pPr>
      <w:r>
        <w:rPr>
          <w:rFonts w:ascii="Arial" w:cs="Arial" w:eastAsia="Arial" w:hAnsi="Arial"/>
          <w:sz w:val="16"/>
          <w:szCs w:val="16"/>
          <w:b w:val="1"/>
          <w:bCs w:val="1"/>
          <w:color w:val="auto"/>
        </w:rPr>
        <w:t xml:space="preserve">Policy Regarding Nominations of Directors. </w:t>
      </w:r>
      <w:r>
        <w:rPr>
          <w:rFonts w:ascii="Arial" w:cs="Arial" w:eastAsia="Arial" w:hAnsi="Arial"/>
          <w:sz w:val="16"/>
          <w:szCs w:val="16"/>
          <w:color w:val="auto"/>
        </w:rPr>
        <w:t>The Nominating and Governance Committee will consider director nominations from shareholders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Policy Regarding Nominations of Directors, a copy of which is attached hereto as Appendix B. Briefly, the Nominating and Governance Committee will consider as a candidate any director of the Company who has indicated to the Nominating and Governance Committee that he or she is willing to stand for re-election, and who has not reached the age of 70 years prior to the date of re-election to the Board, as well as any other person who is recommended by any shareholder of the Company who provides the required information and certifications within the specified time requirements, as set forth in Section 1 of the Policy Regarding Nominations of Directors. The Nominating and Governance Committee may also undertake its own search process for candidates and may retain the services of professional search firms or other third parties to assist in identifying and evaluating potential nominees.</w:t>
      </w:r>
    </w:p>
    <w:p>
      <w:pPr>
        <w:spacing w:after="0" w:line="139"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38" w:lineRule="exact"/>
        <w:rPr>
          <w:sz w:val="20"/>
          <w:szCs w:val="20"/>
          <w:color w:val="auto"/>
        </w:rPr>
      </w:pPr>
    </w:p>
    <w:p>
      <w:pPr>
        <w:ind w:right="1040" w:firstLine="360"/>
        <w:spacing w:after="0" w:line="277"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pacing w:after="0" w:line="184" w:lineRule="exact"/>
        <w:rPr>
          <w:sz w:val="20"/>
          <w:szCs w:val="20"/>
          <w:color w:val="auto"/>
        </w:rPr>
      </w:pPr>
    </w:p>
    <w:p>
      <w:pPr>
        <w:ind w:left="580" w:hanging="26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sufficient time to effectively carry out their duties; their service on other boards of public companies should be limited to a reasonable number;</w:t>
      </w:r>
    </w:p>
    <w:p>
      <w:pPr>
        <w:sectPr>
          <w:pgSz w:w="11900" w:h="16838" w:orient="portrait"/>
          <w:cols w:equalWidth="0" w:num="1">
            <w:col w:w="11380"/>
          </w:cols>
          <w:pgMar w:left="240" w:top="125" w:right="279" w:bottom="3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25" w:right="279" w:bottom="314" w:gutter="0" w:footer="0" w:header="0"/>
          <w:type w:val="continuous"/>
        </w:sectPr>
      </w:pPr>
    </w:p>
    <w:bookmarkStart w:id="7" w:name="page8"/>
    <w:bookmarkEnd w:id="7"/>
    <w:p>
      <w:pPr>
        <w:ind w:left="580" w:right="60" w:hanging="261"/>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580" w:right="700" w:hanging="261"/>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“—Corporate Governance – Director Independence” below.</w:t>
      </w:r>
    </w:p>
    <w:p>
      <w:pPr>
        <w:spacing w:after="0" w:line="200" w:lineRule="exact"/>
        <w:rPr>
          <w:sz w:val="20"/>
          <w:szCs w:val="20"/>
          <w:color w:val="auto"/>
        </w:rPr>
      </w:pPr>
    </w:p>
    <w:p>
      <w:pPr>
        <w:spacing w:after="0" w:line="227"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The Nominating and Governance Committee continues to evaluate the Company’s and the Board’s governance practices at least annually. 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12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i w:val="1"/>
          <w:iCs w:val="1"/>
          <w:color w:val="auto"/>
        </w:rPr>
        <w:t>Corporate Governance Policies and Codes of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 The Board of Directors has adopted a Corporate Governance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 Policy Regarding Nominations of Directors, a Shareholder and Other Interested Party Communications Policy and written charters for its Audit Committee, Human Resources Committee and Nominating and Governance Committee.</w:t>
      </w:r>
    </w:p>
    <w:p>
      <w:pPr>
        <w:spacing w:after="0" w:line="14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Board of Directors also has adopted the Company’s Code of Ethics applicable to all of the Company’s directors, officers and employees and the Code of Ethics for CEO and Senior Financial Officers. These policies, charters, codes and other items relating to the governance of the Company are available on the Company’s website at http://www.winnebagoind.com/company/investor/governance.php. These documents are also available in print free of charge to any shareholder who requests them in writing from: Winnebago Industries, Inc., Attn: Vice President-General Counsel and Secretary, 605 West Crystal Lake Road, Forest City, Iowa 50436. Information contained on the Company’s website is not incorporated into this Proxy Statement or other securities filings.</w:t>
      </w:r>
    </w:p>
    <w:p>
      <w:pPr>
        <w:spacing w:after="0" w:line="153"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Under the Company’s Corporate Governance Policy and NYSE rules, the Board must have a majority of directors who meet</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for independence under the Company’s Policy Regarding Nominations of Directors and applicable NYSE rules, respectively. The Board must determine, based on all of the relevant facts and circumstances, whether each director satisfies the criteria for independence. The Board of Directors has determined, after careful review and upon consideration of the following, that Mr. Aal (nominee for election as a Class I director), Mr. England (nominee for election as a Class I director), Mr. Currie (Class II director), Mr. Hanson (Class III director), Mr. Herlitz (Class II director) and Mr. Kitch (Class III director), are independent as defined by the relevant provisions of applicable law, the NYSE listing standards and the Company’s Policy Regarding Nominations of Directors and that each independent director has no material relationship with the Company, determined in accordance with the standards disclosed below.</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239" w:lineRule="exact"/>
        <w:rPr>
          <w:sz w:val="20"/>
          <w:szCs w:val="20"/>
          <w:color w:val="auto"/>
        </w:rPr>
      </w:pPr>
    </w:p>
    <w:p>
      <w:pPr>
        <w:ind w:left="580" w:right="80" w:hanging="261"/>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580" w:hanging="261"/>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580" w:right="100" w:hanging="261"/>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580" w:right="120" w:hanging="261"/>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580" w:right="300" w:hanging="261"/>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is not and no member of his or her immediate family is a current partner of a firm that is the Company’s internal or external auditor; (ii) is not a current employee of the Company’s internal or external auditor; (iii) does not have an immediate family member who is a current employee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right="280"/>
        <w:spacing w:after="0" w:line="264" w:lineRule="auto"/>
        <w:rPr>
          <w:sz w:val="20"/>
          <w:szCs w:val="20"/>
          <w:color w:val="auto"/>
        </w:rPr>
      </w:pPr>
      <w:r>
        <w:rPr>
          <w:rFonts w:ascii="Arial" w:cs="Arial" w:eastAsia="Arial" w:hAnsi="Arial"/>
          <w:sz w:val="18"/>
          <w:szCs w:val="18"/>
          <w:color w:val="auto"/>
        </w:rPr>
        <w:t>of the Company’s internal or external auditor and who participates in that firm’s audit, assurance or tax compliance (but not tax planning) practice; and (iv) within the last three years was not and no member of his or her immediate family was (and no longer is), a partner or employee of the Company’s internal or external auditor and personally worked on the Company’s audit within that time;</w:t>
      </w:r>
    </w:p>
    <w:p>
      <w:pPr>
        <w:spacing w:after="0" w:line="46" w:lineRule="exact"/>
        <w:rPr>
          <w:sz w:val="20"/>
          <w:szCs w:val="20"/>
          <w:color w:val="auto"/>
        </w:rPr>
      </w:pPr>
    </w:p>
    <w:p>
      <w:pPr>
        <w:jc w:val="both"/>
        <w:ind w:left="580" w:right="240" w:hanging="261"/>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46" w:lineRule="exact"/>
        <w:rPr>
          <w:rFonts w:ascii="Arial" w:cs="Arial" w:eastAsia="Arial" w:hAnsi="Arial"/>
          <w:sz w:val="18"/>
          <w:szCs w:val="18"/>
          <w:color w:val="auto"/>
        </w:rPr>
      </w:pPr>
    </w:p>
    <w:p>
      <w:pPr>
        <w:ind w:left="580" w:right="400" w:hanging="261"/>
        <w:spacing w:after="0" w:line="286"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30" w:lineRule="exact"/>
        <w:rPr>
          <w:rFonts w:ascii="Arial" w:cs="Arial" w:eastAsia="Arial" w:hAnsi="Arial"/>
          <w:sz w:val="17"/>
          <w:szCs w:val="17"/>
          <w:color w:val="auto"/>
        </w:rPr>
      </w:pPr>
    </w:p>
    <w:p>
      <w:pPr>
        <w:ind w:left="580" w:hanging="261"/>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90" w:lineRule="exact"/>
        <w:rPr>
          <w:rFonts w:ascii="Arial" w:cs="Arial" w:eastAsia="Arial" w:hAnsi="Arial"/>
          <w:sz w:val="18"/>
          <w:szCs w:val="18"/>
          <w:color w:val="auto"/>
        </w:rPr>
      </w:pPr>
    </w:p>
    <w:p>
      <w:pPr>
        <w:ind w:left="580" w:right="280" w:hanging="261"/>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percent of such charitable organization’s total annual receipts.</w:t>
      </w: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policy may be modified temporarily if, due to unforeseen circumstances, strict adherence would be detrimental to the Board’s performance.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pacing w:after="0" w:line="252" w:lineRule="exact"/>
        <w:rPr>
          <w:sz w:val="20"/>
          <w:szCs w:val="20"/>
          <w:color w:val="auto"/>
        </w:rPr>
      </w:pPr>
    </w:p>
    <w:p>
      <w:pPr>
        <w:ind w:left="580" w:right="380" w:hanging="261"/>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pacing w:after="0" w:line="46" w:lineRule="exact"/>
        <w:rPr>
          <w:rFonts w:ascii="Arial" w:cs="Arial" w:eastAsia="Arial" w:hAnsi="Arial"/>
          <w:sz w:val="18"/>
          <w:szCs w:val="18"/>
          <w:color w:val="auto"/>
        </w:rPr>
      </w:pPr>
    </w:p>
    <w:p>
      <w:pPr>
        <w:ind w:left="580" w:hanging="261"/>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percent of the Company’s consolidated gross revenues.</w:t>
      </w:r>
    </w:p>
    <w:p>
      <w:pPr>
        <w:sectPr>
          <w:pgSz w:w="11900" w:h="16838" w:orient="portrait"/>
          <w:cols w:equalWidth="0" w:num="1">
            <w:col w:w="11420"/>
          </w:cols>
          <w:pgMar w:left="240" w:top="125" w:right="239" w:bottom="5" w:gutter="0" w:footer="0" w:header="0"/>
        </w:sectPr>
      </w:pPr>
    </w:p>
    <w:bookmarkStart w:id="8" w:name="page9"/>
    <w:bookmarkEnd w:id="8"/>
    <w:p>
      <w:pPr>
        <w:ind w:right="40" w:firstLine="3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46"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Mr. Erickson is not considered independent under the NYSE listing standards and the Company’s Policy Regarding Nominations of Directors solely because his son, Thad Erickson, is employed by the Company’s independent accountants as an audit manager. Thad Erickson has not personally worked on any audits of the Company or any other work involving the Company. Mr. Hertzke is not considered independent because of his employment as Chairman and Chief Executive Officer of the Company.</w:t>
      </w:r>
    </w:p>
    <w:p>
      <w:pPr>
        <w:spacing w:after="0" w:line="160"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i w:val="1"/>
          <w:iCs w:val="1"/>
          <w:color w:val="auto"/>
        </w:rPr>
        <w:t xml:space="preserve">Shareholder and Other Interested Party Communications with Directors — </w:t>
      </w:r>
      <w:r>
        <w:rPr>
          <w:rFonts w:ascii="Arial" w:cs="Arial" w:eastAsia="Arial" w:hAnsi="Arial"/>
          <w:sz w:val="18"/>
          <w:szCs w:val="18"/>
          <w:color w:val="auto"/>
        </w:rPr>
        <w:t>The Nominating and Governance Committee has adopted a policy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and other interested parties to send communications to the Board. Shareholders and other interested parties who desire to communicate with the Company’s directors or a particular director may write to: Winnebago Industries, Inc., Attn: Vice President-General Counsel and Secretary, 605 West Crystal Lake Road, Forest City, Iowa 50436; or send an e-mail to: rbeebe@winnebagoind.com. All communications must be accompanied by the following information (i) if the person submitting the communication is a shareholder, a statement of the number of shares of the Company’s Common Stock that the person holds; (ii) if the person submitting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communication is not a shareholder and is submitting the communication to the non-management directors as an interested party, the nature of the person’s interest in the Company; (iii) any special interest, meaning an interest not in the capacity of a shareholder of the Company,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133" w:lineRule="exact"/>
        <w:rPr>
          <w:sz w:val="20"/>
          <w:szCs w:val="20"/>
          <w:color w:val="auto"/>
        </w:rPr>
      </w:pPr>
    </w:p>
    <w:p>
      <w:pPr>
        <w:ind w:right="80" w:firstLine="360"/>
        <w:spacing w:after="0" w:line="258" w:lineRule="auto"/>
        <w:rPr>
          <w:sz w:val="20"/>
          <w:szCs w:val="20"/>
          <w:color w:val="auto"/>
        </w:rPr>
      </w:pPr>
      <w:r>
        <w:rPr>
          <w:rFonts w:ascii="Arial" w:cs="Arial" w:eastAsia="Arial" w:hAnsi="Arial"/>
          <w:sz w:val="18"/>
          <w:szCs w:val="18"/>
          <w:b w:val="1"/>
          <w:bCs w:val="1"/>
          <w:color w:val="auto"/>
        </w:rPr>
        <w:t xml:space="preserve">Director Compensation. </w:t>
      </w:r>
      <w:r>
        <w:rPr>
          <w:rFonts w:ascii="Arial" w:cs="Arial" w:eastAsia="Arial" w:hAnsi="Arial"/>
          <w:sz w:val="18"/>
          <w:szCs w:val="18"/>
          <w:color w:val="auto"/>
        </w:rPr>
        <w:t>Employee directors receive no additional compensation for serving on the Board or its Committees. In fiscal 2006, Non-employee Directors received an annual retainer of $25,000 (paid in monthly installments), a $1,000 per day attendance fee for Board and Committee meetings, and a $500 fee for participation in Board meetings held telephonically. Additionally, the Audit Committee Chairman received an annual retainer of $5,000 (paid in monthly installments) and the Chairmen of other Board Committees received an annual retainer of $4,000 (paid in monthly installments). Each Non-employee Director received an annual stock option grant of 4,000 shares.</w:t>
      </w:r>
    </w:p>
    <w:p>
      <w:pPr>
        <w:spacing w:after="0" w:line="16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Effective April 1, 1997, the Board of Directors adopted the Winnebago Industries, Inc. Directors’ Deferred Compensation Plan (as amended, the </w:t>
      </w:r>
      <w:r>
        <w:rPr>
          <w:rFonts w:ascii="Arial" w:cs="Arial" w:eastAsia="Arial" w:hAnsi="Arial"/>
          <w:sz w:val="16"/>
          <w:szCs w:val="16"/>
          <w:i w:val="1"/>
          <w:iCs w:val="1"/>
          <w:color w:val="auto"/>
        </w:rPr>
        <w:t xml:space="preserve">“Directors’ Deferred Compensation Plan” </w:t>
      </w:r>
      <w:r>
        <w:rPr>
          <w:rFonts w:ascii="Arial" w:cs="Arial" w:eastAsia="Arial" w:hAnsi="Arial"/>
          <w:sz w:val="16"/>
          <w:szCs w:val="16"/>
          <w:color w:val="auto"/>
        </w:rPr>
        <w:t>). The purpose of the Directors’ Deferred Compensation Plan is to enable Non-employee Directors (the</w:t>
      </w:r>
      <w:r>
        <w:rPr>
          <w:rFonts w:ascii="Arial" w:cs="Arial" w:eastAsia="Arial" w:hAnsi="Arial"/>
          <w:sz w:val="16"/>
          <w:szCs w:val="16"/>
          <w:i w:val="1"/>
          <w:iCs w:val="1"/>
          <w:color w:val="auto"/>
        </w:rPr>
        <w:t xml:space="preserve"> “Participants” </w:t>
      </w:r>
      <w:r>
        <w:rPr>
          <w:rFonts w:ascii="Arial" w:cs="Arial" w:eastAsia="Arial" w:hAnsi="Arial"/>
          <w:sz w:val="16"/>
          <w:szCs w:val="16"/>
          <w:color w:val="auto"/>
        </w:rPr>
        <w:t>) to receive their fees and retainers as members of the Board of Directors and Committees of the Board (the</w:t>
      </w:r>
      <w:r>
        <w:rPr>
          <w:rFonts w:ascii="Arial" w:cs="Arial" w:eastAsia="Arial" w:hAnsi="Arial"/>
          <w:sz w:val="16"/>
          <w:szCs w:val="16"/>
          <w:i w:val="1"/>
          <w:iCs w:val="1"/>
          <w:color w:val="auto"/>
        </w:rPr>
        <w:t xml:space="preserve"> “Deferred Compensation” </w:t>
      </w:r>
      <w:r>
        <w:rPr>
          <w:rFonts w:ascii="Arial" w:cs="Arial" w:eastAsia="Arial" w:hAnsi="Arial"/>
          <w:sz w:val="16"/>
          <w:szCs w:val="16"/>
          <w:color w:val="auto"/>
        </w:rPr>
        <w:t>) in a</w:t>
      </w:r>
      <w:r>
        <w:rPr>
          <w:rFonts w:ascii="Arial" w:cs="Arial" w:eastAsia="Arial" w:hAnsi="Arial"/>
          <w:sz w:val="16"/>
          <w:szCs w:val="16"/>
          <w:i w:val="1"/>
          <w:iCs w:val="1"/>
          <w:color w:val="auto"/>
        </w:rPr>
        <w:t xml:space="preserve"> </w:t>
      </w:r>
      <w:r>
        <w:rPr>
          <w:rFonts w:ascii="Arial" w:cs="Arial" w:eastAsia="Arial" w:hAnsi="Arial"/>
          <w:sz w:val="16"/>
          <w:szCs w:val="16"/>
          <w:color w:val="auto"/>
        </w:rPr>
        <w:t>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and like all Common Stock, generally, will accrue dividends paid by the Company.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in the form of Winnebago Common Stock from the Company equal to 25 percent of the Deferred Compensation so invested.</w:t>
      </w:r>
    </w:p>
    <w:p>
      <w:pPr>
        <w:spacing w:after="0" w:line="13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The matching contribution to a Participant’s Winnebago Stock Unit account will vest on a graduated basis at the rate of 33-1/3 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 fully vested and nonforfeitable.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w:t>
      </w:r>
    </w:p>
    <w:p>
      <w:pPr>
        <w:spacing w:after="0" w:line="13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13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a Participant will receive a lump 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ectPr>
          <w:pgSz w:w="11900" w:h="16838" w:orient="portrait"/>
          <w:cols w:equalWidth="0" w:num="1">
            <w:col w:w="11400"/>
          </w:cols>
          <w:pgMar w:left="240" w:top="125" w:right="259" w:bottom="0" w:gutter="0" w:footer="0" w:header="0"/>
        </w:sectPr>
      </w:pPr>
    </w:p>
    <w:bookmarkStart w:id="9" w:name="page10"/>
    <w:bookmarkEnd w:id="9"/>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185" w:lineRule="exact"/>
        <w:rPr>
          <w:sz w:val="20"/>
          <w:szCs w:val="20"/>
          <w:color w:val="auto"/>
        </w:rPr>
      </w:pPr>
    </w:p>
    <w:p>
      <w:pPr>
        <w:ind w:right="100" w:firstLine="360"/>
        <w:spacing w:after="0" w:line="287" w:lineRule="auto"/>
        <w:rPr>
          <w:sz w:val="20"/>
          <w:szCs w:val="20"/>
          <w:color w:val="auto"/>
        </w:rPr>
      </w:pPr>
      <w:r>
        <w:rPr>
          <w:rFonts w:ascii="Arial" w:cs="Arial" w:eastAsia="Arial" w:hAnsi="Arial"/>
          <w:sz w:val="16"/>
          <w:szCs w:val="16"/>
          <w:color w:val="auto"/>
        </w:rPr>
        <w:t xml:space="preserve">The Winnebago Industries, Inc. 2004 Incentive Compensation Plan, as amended (the </w:t>
      </w:r>
      <w:r>
        <w:rPr>
          <w:rFonts w:ascii="Arial" w:cs="Arial" w:eastAsia="Arial" w:hAnsi="Arial"/>
          <w:sz w:val="16"/>
          <w:szCs w:val="16"/>
          <w:i w:val="1"/>
          <w:iCs w:val="1"/>
          <w:color w:val="auto"/>
        </w:rPr>
        <w:t>“Incentive Compensation Plan”</w:t>
      </w:r>
      <w:r>
        <w:rPr>
          <w:rFonts w:ascii="Arial" w:cs="Arial" w:eastAsia="Arial" w:hAnsi="Arial"/>
          <w:sz w:val="16"/>
          <w:szCs w:val="16"/>
          <w:color w:val="auto"/>
        </w:rPr>
        <w:t xml:space="preserve"> ) provides that Non-employee Directors may receive “Stock Awards,” “Performance Awards” or “Non-qualified Stock Options” each as defined under the Incentive Compensation Plan (collectively, </w:t>
      </w:r>
      <w:r>
        <w:rPr>
          <w:rFonts w:ascii="Arial" w:cs="Arial" w:eastAsia="Arial" w:hAnsi="Arial"/>
          <w:sz w:val="16"/>
          <w:szCs w:val="16"/>
          <w:i w:val="1"/>
          <w:iCs w:val="1"/>
          <w:color w:val="auto"/>
        </w:rPr>
        <w:t>“Director Awards”</w:t>
      </w:r>
      <w:r>
        <w:rPr>
          <w:rFonts w:ascii="Arial" w:cs="Arial" w:eastAsia="Arial" w:hAnsi="Arial"/>
          <w:sz w:val="16"/>
          <w:szCs w:val="16"/>
          <w:color w:val="auto"/>
        </w:rPr>
        <w:t xml:space="preserve"> )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the Incentive Compensation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total compensation paid to each Non-employee Director during fiscal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Fees Paid</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Fees Paid</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 Deferred</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6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 Cash</w:t>
            </w: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Stock Units</w:t>
            </w: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84"/>
        </w:trPr>
        <w:tc>
          <w:tcPr>
            <w:tcW w:w="4480" w:type="dxa"/>
            <w:vAlign w:val="bottom"/>
            <w:gridSpan w:val="2"/>
            <w:vMerge w:val="continue"/>
          </w:tcPr>
          <w:p>
            <w:pPr>
              <w:spacing w:after="0"/>
              <w:rPr>
                <w:sz w:val="24"/>
                <w:szCs w:val="24"/>
                <w:color w:val="auto"/>
              </w:rPr>
            </w:pPr>
          </w:p>
        </w:tc>
        <w:tc>
          <w:tcPr>
            <w:tcW w:w="138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320" w:type="dxa"/>
            <w:vAlign w:val="bottom"/>
          </w:tcPr>
          <w:p>
            <w:pPr>
              <w:spacing w:after="0"/>
              <w:rPr>
                <w:sz w:val="24"/>
                <w:szCs w:val="24"/>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D6F3E8"/>
          </w:tcPr>
          <w:p>
            <w:pPr>
              <w:spacing w:after="0"/>
              <w:rPr>
                <w:sz w:val="20"/>
                <w:szCs w:val="20"/>
                <w:color w:val="auto"/>
              </w:rPr>
            </w:pPr>
            <w:r>
              <w:rPr>
                <w:rFonts w:ascii="Arial" w:cs="Arial" w:eastAsia="Arial" w:hAnsi="Arial"/>
                <w:sz w:val="18"/>
                <w:szCs w:val="18"/>
                <w:color w:val="auto"/>
              </w:rPr>
              <w:t>Irvin E. Aal</w:t>
            </w:r>
          </w:p>
        </w:tc>
        <w:tc>
          <w:tcPr>
            <w:tcW w:w="17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50,979</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5,406</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56,385</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Jerry N. Currie</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41,667</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41,667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D6F3E8"/>
          </w:tcPr>
          <w:p>
            <w:pPr>
              <w:spacing w:after="0"/>
              <w:rPr>
                <w:sz w:val="20"/>
                <w:szCs w:val="20"/>
                <w:color w:val="auto"/>
              </w:rPr>
            </w:pPr>
            <w:r>
              <w:rPr>
                <w:rFonts w:ascii="Arial" w:cs="Arial" w:eastAsia="Arial" w:hAnsi="Arial"/>
                <w:sz w:val="18"/>
                <w:szCs w:val="18"/>
                <w:color w:val="auto"/>
              </w:rPr>
              <w:t>Joseph W. England</w:t>
            </w:r>
          </w:p>
        </w:tc>
        <w:tc>
          <w:tcPr>
            <w:tcW w:w="17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51,583</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51,583</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Lawrence A. Erickson</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42,938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1,088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44,026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D6F3E8"/>
          </w:tcPr>
          <w:p>
            <w:pPr>
              <w:spacing w:after="0"/>
              <w:rPr>
                <w:sz w:val="20"/>
                <w:szCs w:val="20"/>
                <w:color w:val="auto"/>
              </w:rPr>
            </w:pPr>
            <w:r>
              <w:rPr>
                <w:rFonts w:ascii="Arial" w:cs="Arial" w:eastAsia="Arial" w:hAnsi="Arial"/>
                <w:sz w:val="18"/>
                <w:szCs w:val="18"/>
                <w:color w:val="auto"/>
              </w:rPr>
              <w:t>John V. Hanson</w:t>
            </w:r>
          </w:p>
        </w:tc>
        <w:tc>
          <w:tcPr>
            <w:tcW w:w="17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39,667</w:t>
            </w:r>
          </w:p>
        </w:tc>
        <w:tc>
          <w:tcPr>
            <w:tcW w:w="14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39,667</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John E. Herlitz</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42,938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42,938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D6F3E8"/>
          </w:tcPr>
          <w:p>
            <w:pPr>
              <w:spacing w:after="0"/>
              <w:rPr>
                <w:sz w:val="20"/>
                <w:szCs w:val="20"/>
                <w:color w:val="auto"/>
              </w:rPr>
            </w:pPr>
            <w:r>
              <w:rPr>
                <w:rFonts w:ascii="Arial" w:cs="Arial" w:eastAsia="Arial" w:hAnsi="Arial"/>
                <w:sz w:val="18"/>
                <w:szCs w:val="18"/>
                <w:color w:val="auto"/>
              </w:rPr>
              <w:t>Gerald C. Kitch</w:t>
            </w:r>
          </w:p>
        </w:tc>
        <w:tc>
          <w:tcPr>
            <w:tcW w:w="17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49,104</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942</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50,046</w:t>
            </w: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160" w:hanging="478"/>
        <w:spacing w:after="0" w:line="25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part of the cash retainer and fees that is deferred in Winnebago Stock Units at the election of the director and are accrued under the Company’s Deferred Compensation Plan. This figure also includes a matching contribution from the Company equal to 25% of the deferred compensation so invested. The Stock Units are to be settled 100% in Common Stock upon the earliest of the following events: director’s termination of service, death or disability or a “change in the effective control of the Company” as defined in said Plan. Also, see discussion under “—Director Compensation” above.</w:t>
      </w:r>
    </w:p>
    <w:p>
      <w:pPr>
        <w:spacing w:after="0" w:line="80" w:lineRule="exact"/>
        <w:rPr>
          <w:rFonts w:ascii="Arial" w:cs="Arial" w:eastAsia="Arial" w:hAnsi="Arial"/>
          <w:sz w:val="18"/>
          <w:szCs w:val="18"/>
          <w:color w:val="auto"/>
        </w:rPr>
      </w:pPr>
    </w:p>
    <w:p>
      <w:pPr>
        <w:ind w:left="540" w:right="340" w:hanging="478"/>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Company’s cost for personal usage of the Company’s motor homes in the case of Messrs. Aal and Erickson and travel expenses for Mr. Kitch’s wife to attend the Company’s Dealer Days event.</w:t>
      </w:r>
    </w:p>
    <w:p>
      <w:pPr>
        <w:spacing w:after="0" w:line="62" w:lineRule="exact"/>
        <w:rPr>
          <w:rFonts w:ascii="Arial" w:cs="Arial" w:eastAsia="Arial" w:hAnsi="Arial"/>
          <w:sz w:val="18"/>
          <w:szCs w:val="18"/>
          <w:color w:val="auto"/>
        </w:rPr>
      </w:pPr>
    </w:p>
    <w:p>
      <w:pPr>
        <w:ind w:left="540" w:right="360" w:hanging="478"/>
        <w:spacing w:after="0" w:line="308"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the annual stock option grant of 4,000 shares of Common Stock, at an option price of $33.63 per share, granted on January 11, 2006 to each Non-employee Director under the Incentive Compensation Plan. All options become exercisable on or after January 11, 2007.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1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26, 2006 and (ii) each of the four other most highly compensated executive officers of the Company serving at August 26, 2006.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COMPENSATION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Annual Compensation</w:t>
            </w:r>
            <w:r>
              <w:rPr>
                <w:rFonts w:ascii="Arial" w:cs="Arial" w:eastAsia="Arial" w:hAnsi="Arial"/>
                <w:sz w:val="23"/>
                <w:szCs w:val="23"/>
                <w:b w:val="1"/>
                <w:bCs w:val="1"/>
                <w:color w:val="auto"/>
                <w:w w:val="92"/>
                <w:vertAlign w:val="superscript"/>
              </w:rPr>
              <w:t>(1)</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Long Term Compensation</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Awards</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Payouts</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 and</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Fiscal</w:t>
            </w:r>
          </w:p>
        </w:tc>
        <w:tc>
          <w:tcPr>
            <w:tcW w:w="300" w:type="dxa"/>
            <w:vAlign w:val="bottom"/>
          </w:tcPr>
          <w:p>
            <w:pPr>
              <w:spacing w:after="0"/>
              <w:rPr>
                <w:sz w:val="16"/>
                <w:szCs w:val="16"/>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3"/>
                <w:szCs w:val="23"/>
                <w:b w:val="1"/>
                <w:bCs w:val="1"/>
                <w:color w:val="auto"/>
                <w:vertAlign w:val="superscript"/>
              </w:rPr>
              <w:t>(2)</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LTIP</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84"/>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Granted</w:t>
            </w:r>
            <w:r>
              <w:rPr>
                <w:rFonts w:ascii="Arial" w:cs="Arial" w:eastAsia="Arial" w:hAnsi="Arial"/>
                <w:sz w:val="23"/>
                <w:szCs w:val="23"/>
                <w:b w:val="1"/>
                <w:bCs w:val="1"/>
                <w:color w:val="auto"/>
                <w:w w:val="87"/>
                <w:vertAlign w:val="superscript"/>
              </w:rPr>
              <w:t>(3)(4)</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Payouts ($)</w:t>
            </w:r>
            <w:r>
              <w:rPr>
                <w:rFonts w:ascii="Arial" w:cs="Arial" w:eastAsia="Arial" w:hAnsi="Arial"/>
                <w:sz w:val="23"/>
                <w:szCs w:val="23"/>
                <w:b w:val="1"/>
                <w:bCs w:val="1"/>
                <w:color w:val="auto"/>
                <w:w w:val="86"/>
                <w:vertAlign w:val="superscript"/>
              </w:rPr>
              <w:t>(5)</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2006</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516,257</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58,377</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50,000</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167,825</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Chairman and Chief</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497,583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440,646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70,000</w:t>
            </w:r>
          </w:p>
        </w:tc>
        <w:tc>
          <w:tcPr>
            <w:tcW w:w="1020" w:type="dxa"/>
            <w:vAlign w:val="bottom"/>
          </w:tcPr>
          <w:p>
            <w:pPr>
              <w:jc w:val="right"/>
              <w:spacing w:after="0"/>
              <w:rPr>
                <w:sz w:val="20"/>
                <w:szCs w:val="20"/>
                <w:color w:val="auto"/>
              </w:rPr>
            </w:pPr>
            <w:r>
              <w:rPr>
                <w:rFonts w:ascii="Arial" w:cs="Arial" w:eastAsia="Arial" w:hAnsi="Arial"/>
                <w:sz w:val="18"/>
                <w:szCs w:val="18"/>
                <w:color w:val="auto"/>
              </w:rPr>
              <w:t>199,674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Executive Officer</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2004</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481,072</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1,197,401</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60,000</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368,630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358,885</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31,465</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89,126</w:t>
            </w:r>
          </w:p>
        </w:tc>
        <w:tc>
          <w:tcPr>
            <w:tcW w:w="1020" w:type="dxa"/>
            <w:vAlign w:val="bottom"/>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President</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2005</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289,670</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156,070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45,000</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106,040</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9,632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255,480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372,971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30,000</w:t>
            </w:r>
          </w:p>
        </w:tc>
        <w:tc>
          <w:tcPr>
            <w:tcW w:w="1020" w:type="dxa"/>
            <w:vAlign w:val="bottom"/>
          </w:tcPr>
          <w:p>
            <w:pPr>
              <w:jc w:val="right"/>
              <w:spacing w:after="0"/>
              <w:rPr>
                <w:sz w:val="20"/>
                <w:szCs w:val="20"/>
                <w:color w:val="auto"/>
              </w:rPr>
            </w:pPr>
            <w:r>
              <w:rPr>
                <w:rFonts w:ascii="Arial" w:cs="Arial" w:eastAsia="Arial" w:hAnsi="Arial"/>
                <w:sz w:val="18"/>
                <w:szCs w:val="18"/>
                <w:color w:val="auto"/>
              </w:rPr>
              <w:t>173,473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2006</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249,810</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15,942</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78,557</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Senior Vice President,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232,911</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117,832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93,464</w:t>
            </w:r>
          </w:p>
        </w:tc>
        <w:tc>
          <w:tcPr>
            <w:tcW w:w="1020" w:type="dxa"/>
            <w:vAlign w:val="bottom"/>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Operations</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2004</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225,183</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320,175</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15,000</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173,473</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240,157</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30,150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78,557</w:t>
            </w:r>
          </w:p>
        </w:tc>
        <w:tc>
          <w:tcPr>
            <w:tcW w:w="102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Vice President, General</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2005</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232,911</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132,463</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93,464</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7,523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Counsel and Secretary</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2004</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225,183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334,293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020" w:type="dxa"/>
            <w:vAlign w:val="bottom"/>
          </w:tcPr>
          <w:p>
            <w:pPr>
              <w:jc w:val="right"/>
              <w:spacing w:after="0"/>
              <w:rPr>
                <w:sz w:val="20"/>
                <w:szCs w:val="20"/>
                <w:color w:val="auto"/>
              </w:rPr>
            </w:pPr>
            <w:r>
              <w:rPr>
                <w:rFonts w:ascii="Arial" w:cs="Arial" w:eastAsia="Arial" w:hAnsi="Arial"/>
                <w:sz w:val="18"/>
                <w:szCs w:val="18"/>
                <w:color w:val="auto"/>
              </w:rPr>
              <w:t>173,473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2006</w:t>
            </w:r>
          </w:p>
        </w:tc>
        <w:tc>
          <w:tcPr>
            <w:tcW w:w="164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228,251</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15,545</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73,140</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1640" w:type="dxa"/>
            <w:vAlign w:val="bottom"/>
            <w:gridSpan w:val="3"/>
          </w:tcPr>
          <w:p>
            <w:pPr>
              <w:jc w:val="right"/>
              <w:ind w:right="340"/>
              <w:spacing w:after="0"/>
              <w:rPr>
                <w:sz w:val="20"/>
                <w:szCs w:val="20"/>
                <w:color w:val="auto"/>
              </w:rPr>
            </w:pPr>
            <w:r>
              <w:rPr>
                <w:rFonts w:ascii="Arial" w:cs="Arial" w:eastAsia="Arial" w:hAnsi="Arial"/>
                <w:sz w:val="18"/>
                <w:szCs w:val="18"/>
                <w:color w:val="auto"/>
              </w:rPr>
              <w:t>218,931</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111,608</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84,968</w:t>
            </w:r>
          </w:p>
        </w:tc>
        <w:tc>
          <w:tcPr>
            <w:tcW w:w="102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40" w:type="dxa"/>
            <w:vAlign w:val="bottom"/>
            <w:shd w:val="clear" w:color="auto" w:fill="D6F3E8"/>
          </w:tcPr>
          <w:p>
            <w:pPr>
              <w:spacing w:after="0"/>
              <w:rPr>
                <w:sz w:val="8"/>
                <w:szCs w:val="8"/>
                <w:color w:val="auto"/>
              </w:rPr>
            </w:pPr>
          </w:p>
        </w:tc>
        <w:tc>
          <w:tcPr>
            <w:tcW w:w="2140" w:type="dxa"/>
            <w:vAlign w:val="bottom"/>
            <w:shd w:val="clear" w:color="auto" w:fill="D6F3E8"/>
          </w:tcPr>
          <w:p>
            <w:pPr>
              <w:spacing w:after="0"/>
              <w:rPr>
                <w:sz w:val="8"/>
                <w:szCs w:val="8"/>
                <w:color w:val="auto"/>
              </w:rPr>
            </w:pPr>
          </w:p>
        </w:tc>
        <w:tc>
          <w:tcPr>
            <w:tcW w:w="1020" w:type="dxa"/>
            <w:vAlign w:val="bottom"/>
            <w:shd w:val="clear" w:color="auto" w:fill="D6F3E8"/>
          </w:tcPr>
          <w:p>
            <w:pPr>
              <w:spacing w:after="0"/>
              <w:rPr>
                <w:sz w:val="8"/>
                <w:szCs w:val="8"/>
                <w:color w:val="auto"/>
              </w:rPr>
            </w:pPr>
          </w:p>
        </w:tc>
        <w:tc>
          <w:tcPr>
            <w:tcW w:w="20" w:type="dxa"/>
            <w:vAlign w:val="bottom"/>
            <w:shd w:val="clear" w:color="auto" w:fill="D6F3E8"/>
          </w:tcPr>
          <w:p>
            <w:pPr>
              <w:spacing w:after="0"/>
              <w:rPr>
                <w:sz w:val="8"/>
                <w:szCs w:val="8"/>
                <w:color w:val="auto"/>
              </w:rPr>
            </w:pPr>
          </w:p>
        </w:tc>
        <w:tc>
          <w:tcPr>
            <w:tcW w:w="300" w:type="dxa"/>
            <w:vAlign w:val="bottom"/>
            <w:shd w:val="clear" w:color="auto" w:fill="D6F3E8"/>
          </w:tcPr>
          <w:p>
            <w:pPr>
              <w:spacing w:after="0"/>
              <w:rPr>
                <w:sz w:val="8"/>
                <w:szCs w:val="8"/>
                <w:color w:val="auto"/>
              </w:rPr>
            </w:pPr>
          </w:p>
        </w:tc>
        <w:tc>
          <w:tcPr>
            <w:tcW w:w="1000" w:type="dxa"/>
            <w:vAlign w:val="bottom"/>
            <w:shd w:val="clear" w:color="auto" w:fill="D6F3E8"/>
          </w:tcPr>
          <w:p>
            <w:pPr>
              <w:spacing w:after="0"/>
              <w:rPr>
                <w:sz w:val="8"/>
                <w:szCs w:val="8"/>
                <w:color w:val="auto"/>
              </w:rPr>
            </w:pPr>
          </w:p>
        </w:tc>
        <w:tc>
          <w:tcPr>
            <w:tcW w:w="340" w:type="dxa"/>
            <w:vAlign w:val="bottom"/>
            <w:shd w:val="clear" w:color="auto" w:fill="D6F3E8"/>
          </w:tcPr>
          <w:p>
            <w:pPr>
              <w:spacing w:after="0"/>
              <w:rPr>
                <w:sz w:val="8"/>
                <w:szCs w:val="8"/>
                <w:color w:val="auto"/>
              </w:rPr>
            </w:pPr>
          </w:p>
        </w:tc>
        <w:tc>
          <w:tcPr>
            <w:tcW w:w="1000" w:type="dxa"/>
            <w:vAlign w:val="bottom"/>
            <w:shd w:val="clear" w:color="auto" w:fill="D6F3E8"/>
          </w:tcPr>
          <w:p>
            <w:pPr>
              <w:spacing w:after="0"/>
              <w:rPr>
                <w:sz w:val="8"/>
                <w:szCs w:val="8"/>
                <w:color w:val="auto"/>
              </w:rPr>
            </w:pPr>
          </w:p>
        </w:tc>
        <w:tc>
          <w:tcPr>
            <w:tcW w:w="320" w:type="dxa"/>
            <w:vAlign w:val="bottom"/>
            <w:shd w:val="clear" w:color="auto" w:fill="D6F3E8"/>
          </w:tcPr>
          <w:p>
            <w:pPr>
              <w:spacing w:after="0"/>
              <w:rPr>
                <w:sz w:val="8"/>
                <w:szCs w:val="8"/>
                <w:color w:val="auto"/>
              </w:rPr>
            </w:pPr>
          </w:p>
        </w:tc>
        <w:tc>
          <w:tcPr>
            <w:tcW w:w="1020" w:type="dxa"/>
            <w:vAlign w:val="bottom"/>
            <w:shd w:val="clear" w:color="auto" w:fill="D6F3E8"/>
          </w:tcPr>
          <w:p>
            <w:pPr>
              <w:spacing w:after="0"/>
              <w:rPr>
                <w:sz w:val="8"/>
                <w:szCs w:val="8"/>
                <w:color w:val="auto"/>
              </w:rPr>
            </w:pPr>
          </w:p>
        </w:tc>
        <w:tc>
          <w:tcPr>
            <w:tcW w:w="320" w:type="dxa"/>
            <w:vAlign w:val="bottom"/>
            <w:shd w:val="clear" w:color="auto" w:fill="D6F3E8"/>
          </w:tcPr>
          <w:p>
            <w:pPr>
              <w:spacing w:after="0"/>
              <w:rPr>
                <w:sz w:val="8"/>
                <w:szCs w:val="8"/>
                <w:color w:val="auto"/>
              </w:rPr>
            </w:pPr>
          </w:p>
        </w:tc>
        <w:tc>
          <w:tcPr>
            <w:tcW w:w="1020" w:type="dxa"/>
            <w:vAlign w:val="bottom"/>
            <w:shd w:val="clear" w:color="auto" w:fill="D6F3E8"/>
          </w:tcPr>
          <w:p>
            <w:pPr>
              <w:spacing w:after="0"/>
              <w:rPr>
                <w:sz w:val="8"/>
                <w:szCs w:val="8"/>
                <w:color w:val="auto"/>
              </w:rPr>
            </w:pPr>
          </w:p>
        </w:tc>
        <w:tc>
          <w:tcPr>
            <w:tcW w:w="320" w:type="dxa"/>
            <w:vAlign w:val="bottom"/>
            <w:shd w:val="clear" w:color="auto" w:fill="D6F3E8"/>
          </w:tcPr>
          <w:p>
            <w:pPr>
              <w:spacing w:after="0"/>
              <w:rPr>
                <w:sz w:val="8"/>
                <w:szCs w:val="8"/>
                <w:color w:val="auto"/>
              </w:rPr>
            </w:pPr>
          </w:p>
        </w:tc>
        <w:tc>
          <w:tcPr>
            <w:tcW w:w="1020" w:type="dxa"/>
            <w:vAlign w:val="bottom"/>
            <w:shd w:val="clear" w:color="auto" w:fill="D6F3E8"/>
          </w:tcPr>
          <w:p>
            <w:pPr>
              <w:spacing w:after="0"/>
              <w:rPr>
                <w:sz w:val="8"/>
                <w:szCs w:val="8"/>
                <w:color w:val="auto"/>
              </w:rPr>
            </w:pPr>
          </w:p>
        </w:tc>
        <w:tc>
          <w:tcPr>
            <w:tcW w:w="100" w:type="dxa"/>
            <w:vAlign w:val="bottom"/>
            <w:shd w:val="clear" w:color="auto" w:fill="D6F3E8"/>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Product Development</w:t>
            </w:r>
          </w:p>
        </w:tc>
        <w:tc>
          <w:tcPr>
            <w:tcW w:w="1880" w:type="dxa"/>
            <w:vAlign w:val="bottom"/>
            <w:shd w:val="clear" w:color="auto" w:fill="D6F3E8"/>
          </w:tcPr>
          <w:p>
            <w:pPr>
              <w:jc w:val="right"/>
              <w:ind w:right="270"/>
              <w:spacing w:after="0"/>
              <w:rPr>
                <w:sz w:val="20"/>
                <w:szCs w:val="20"/>
                <w:color w:val="auto"/>
              </w:rPr>
            </w:pPr>
            <w:r>
              <w:rPr>
                <w:rFonts w:ascii="Arial" w:cs="Arial" w:eastAsia="Arial" w:hAnsi="Arial"/>
                <w:sz w:val="18"/>
                <w:szCs w:val="18"/>
                <w:color w:val="auto"/>
              </w:rPr>
              <w:t>2004</w:t>
            </w:r>
          </w:p>
        </w:tc>
        <w:tc>
          <w:tcPr>
            <w:tcW w:w="134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208,077</w:t>
            </w:r>
          </w:p>
        </w:tc>
        <w:tc>
          <w:tcPr>
            <w:tcW w:w="1380" w:type="dxa"/>
            <w:vAlign w:val="bottom"/>
            <w:shd w:val="clear" w:color="auto" w:fill="D6F3E8"/>
          </w:tcPr>
          <w:p>
            <w:pPr>
              <w:jc w:val="right"/>
              <w:ind w:right="330"/>
              <w:spacing w:after="0"/>
              <w:rPr>
                <w:sz w:val="20"/>
                <w:szCs w:val="20"/>
                <w:color w:val="auto"/>
              </w:rPr>
            </w:pPr>
            <w:r>
              <w:rPr>
                <w:rFonts w:ascii="Arial" w:cs="Arial" w:eastAsia="Arial" w:hAnsi="Arial"/>
                <w:sz w:val="18"/>
                <w:szCs w:val="18"/>
                <w:color w:val="auto"/>
              </w:rPr>
              <w:t>296,647</w:t>
            </w:r>
          </w:p>
        </w:tc>
        <w:tc>
          <w:tcPr>
            <w:tcW w:w="1300" w:type="dxa"/>
            <w:vAlign w:val="bottom"/>
            <w:shd w:val="clear" w:color="auto" w:fill="D6F3E8"/>
          </w:tcPr>
          <w:p>
            <w:pPr>
              <w:jc w:val="right"/>
              <w:ind w:right="290"/>
              <w:spacing w:after="0"/>
              <w:rPr>
                <w:sz w:val="20"/>
                <w:szCs w:val="20"/>
                <w:color w:val="auto"/>
              </w:rPr>
            </w:pPr>
            <w:r>
              <w:rPr>
                <w:rFonts w:ascii="Arial" w:cs="Arial" w:eastAsia="Arial" w:hAnsi="Arial"/>
                <w:sz w:val="18"/>
                <w:szCs w:val="18"/>
                <w:color w:val="auto"/>
              </w:rPr>
              <w:t>15,000</w:t>
            </w:r>
          </w:p>
        </w:tc>
        <w:tc>
          <w:tcPr>
            <w:tcW w:w="1420" w:type="dxa"/>
            <w:vAlign w:val="bottom"/>
            <w:shd w:val="clear" w:color="auto" w:fill="D6F3E8"/>
          </w:tcPr>
          <w:p>
            <w:pPr>
              <w:jc w:val="right"/>
              <w:ind w:right="370"/>
              <w:spacing w:after="0"/>
              <w:rPr>
                <w:sz w:val="20"/>
                <w:szCs w:val="20"/>
                <w:color w:val="auto"/>
              </w:rPr>
            </w:pPr>
            <w:r>
              <w:rPr>
                <w:rFonts w:ascii="Arial" w:cs="Arial" w:eastAsia="Arial" w:hAnsi="Arial"/>
                <w:sz w:val="18"/>
                <w:szCs w:val="18"/>
                <w:color w:val="auto"/>
              </w:rPr>
              <w:t>148,210</w:t>
            </w:r>
          </w:p>
        </w:tc>
        <w:tc>
          <w:tcPr>
            <w:tcW w:w="980" w:type="dxa"/>
            <w:vAlign w:val="bottom"/>
            <w:shd w:val="clear" w:color="auto" w:fill="D6F3E8"/>
          </w:tcPr>
          <w:p>
            <w:pPr>
              <w:jc w:val="right"/>
              <w:ind w:right="10"/>
              <w:spacing w:after="0"/>
              <w:rPr>
                <w:sz w:val="20"/>
                <w:szCs w:val="20"/>
                <w:color w:val="auto"/>
              </w:rPr>
            </w:pPr>
            <w:r>
              <w:rPr>
                <w:rFonts w:ascii="Arial" w:cs="Arial" w:eastAsia="Arial" w:hAnsi="Arial"/>
                <w:sz w:val="18"/>
                <w:szCs w:val="18"/>
                <w:color w:val="auto"/>
              </w:rPr>
              <w:t>8,492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7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 of the named executive officers received personal benefits in excess of the lesser of 10% of cash compensation or $50,000.</w:t>
      </w:r>
    </w:p>
    <w:p>
      <w:pPr>
        <w:spacing w:after="0" w:line="117" w:lineRule="exact"/>
        <w:rPr>
          <w:rFonts w:ascii="Arial" w:cs="Arial" w:eastAsia="Arial" w:hAnsi="Arial"/>
          <w:sz w:val="18"/>
          <w:szCs w:val="18"/>
          <w:color w:val="auto"/>
        </w:rPr>
      </w:pPr>
    </w:p>
    <w:p>
      <w:pPr>
        <w:ind w:left="540" w:right="180" w:hanging="478"/>
        <w:spacing w:after="0" w:line="34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5" w:lineRule="exact"/>
        <w:rPr>
          <w:rFonts w:ascii="Arial" w:cs="Arial" w:eastAsia="Arial" w:hAnsi="Arial"/>
          <w:sz w:val="16"/>
          <w:szCs w:val="16"/>
          <w:color w:val="auto"/>
        </w:rPr>
      </w:pPr>
    </w:p>
    <w:p>
      <w:pPr>
        <w:ind w:left="540" w:right="40" w:hanging="478"/>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numbers in the table above represent options for the purchase of shares of the Company’s Common Stock granted to the named persons under the Company’s 2004 Incentive Compensation Plan.</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 figures for fiscal year 2004 are adjusted to reflect the 2 for 1 split of the Company’s Common Stock effective March 5, 2004.</w:t>
      </w:r>
    </w:p>
    <w:p>
      <w:pPr>
        <w:spacing w:after="0" w:line="117" w:lineRule="exact"/>
        <w:rPr>
          <w:rFonts w:ascii="Arial" w:cs="Arial" w:eastAsia="Arial" w:hAnsi="Arial"/>
          <w:sz w:val="18"/>
          <w:szCs w:val="18"/>
          <w:color w:val="auto"/>
        </w:rPr>
      </w:pPr>
    </w:p>
    <w:p>
      <w:pPr>
        <w:ind w:left="540" w:right="140" w:hanging="478"/>
        <w:spacing w:after="0" w:line="279"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Awards consisted of cash and are valued at the aggregate market value of the Common Stock as of the respective determination dates. The awards in fiscal 2006 were made pursuant to the Officers’ Long-Term Incentive Plan Fiscal Three-Year Period 2004, 2005 and 2006, the awards in fiscal 2005 were made pursuant to the Officers’ Long-Term Incentive Plan Fiscal Three-Year Period 2003, 2004 and 2005, and the awards in fiscal 2004 were made pursuant to the Officers’ Long-Term Incentive Plan Fiscal Three-Year Period 2002, 2003 and 2004.</w:t>
      </w:r>
    </w:p>
    <w:p>
      <w:pPr>
        <w:spacing w:after="0" w:line="63" w:lineRule="exact"/>
        <w:rPr>
          <w:rFonts w:ascii="Arial" w:cs="Arial" w:eastAsia="Arial" w:hAnsi="Arial"/>
          <w:sz w:val="17"/>
          <w:szCs w:val="17"/>
          <w:color w:val="auto"/>
        </w:rPr>
      </w:pPr>
    </w:p>
    <w:p>
      <w:pPr>
        <w:ind w:left="540" w:hanging="47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Company contributions to 401(k) Plan.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 OPTIONS GRANTED IN FISCAL 2006</w:t>
      </w:r>
    </w:p>
    <w:p>
      <w:pPr>
        <w:spacing w:after="0" w:line="21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provides information on options to purchase shares of the Company’s Common Stock granted in fiscal 2006 to the executive officers named in the Summary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jc w:val="center"/>
              <w:ind w:right="668"/>
              <w:spacing w:after="0"/>
              <w:rPr>
                <w:sz w:val="20"/>
                <w:szCs w:val="20"/>
                <w:color w:val="auto"/>
              </w:rPr>
            </w:pPr>
            <w:r>
              <w:rPr>
                <w:rFonts w:ascii="Arial" w:cs="Arial" w:eastAsia="Arial" w:hAnsi="Arial"/>
                <w:sz w:val="14"/>
                <w:szCs w:val="14"/>
                <w:b w:val="1"/>
                <w:bCs w:val="1"/>
                <w:color w:val="auto"/>
                <w:w w:val="94"/>
              </w:rPr>
              <w:t>Potential</w:t>
            </w: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Individual Grants</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Realizable Value</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rPr>
              <w:t>at Assumed Annual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jc w:val="center"/>
              <w:ind w:right="668"/>
              <w:spacing w:after="0" w:line="147" w:lineRule="exact"/>
              <w:rPr>
                <w:sz w:val="20"/>
                <w:szCs w:val="20"/>
                <w:color w:val="auto"/>
              </w:rPr>
            </w:pPr>
            <w:r>
              <w:rPr>
                <w:rFonts w:ascii="Arial" w:cs="Arial" w:eastAsia="Arial" w:hAnsi="Arial"/>
                <w:sz w:val="14"/>
                <w:szCs w:val="14"/>
                <w:b w:val="1"/>
                <w:bCs w:val="1"/>
                <w:color w:val="auto"/>
                <w:w w:val="90"/>
              </w:rPr>
              <w:t>Rates of Stock</w:t>
            </w: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Appreciation</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Total Options</w:t>
            </w: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For Option Term</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Granted to</w:t>
            </w:r>
          </w:p>
        </w:tc>
        <w:tc>
          <w:tcPr>
            <w:tcW w:w="130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320" w:type="dxa"/>
            <w:vAlign w:val="bottom"/>
          </w:tcPr>
          <w:p>
            <w:pPr>
              <w:spacing w:after="0"/>
              <w:rPr>
                <w:sz w:val="3"/>
                <w:szCs w:val="3"/>
                <w:color w:val="auto"/>
              </w:rPr>
            </w:pPr>
          </w:p>
        </w:tc>
        <w:tc>
          <w:tcPr>
            <w:tcW w:w="1120" w:type="dxa"/>
            <w:vAlign w:val="bottom"/>
            <w:vMerge w:val="restart"/>
          </w:tcPr>
          <w:p>
            <w:pPr>
              <w:ind w:left="260"/>
              <w:spacing w:after="0" w:line="149" w:lineRule="exact"/>
              <w:rPr>
                <w:sz w:val="20"/>
                <w:szCs w:val="20"/>
                <w:color w:val="auto"/>
              </w:rPr>
            </w:pPr>
            <w:r>
              <w:rPr>
                <w:rFonts w:ascii="Arial" w:cs="Arial" w:eastAsia="Arial" w:hAnsi="Arial"/>
                <w:sz w:val="14"/>
                <w:szCs w:val="14"/>
                <w:b w:val="1"/>
                <w:bCs w:val="1"/>
                <w:color w:val="auto"/>
              </w:rPr>
              <w:t>Options</w:t>
            </w: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1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1240" w:type="dxa"/>
            <w:vAlign w:val="bottom"/>
            <w:vMerge w:val="restart"/>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 ($)</w:t>
            </w:r>
          </w:p>
        </w:tc>
        <w:tc>
          <w:tcPr>
            <w:tcW w:w="1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86"/>
        </w:trPr>
        <w:tc>
          <w:tcPr>
            <w:tcW w:w="3320" w:type="dxa"/>
            <w:vAlign w:val="bottom"/>
            <w:vMerge w:val="continue"/>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Granted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2006</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Share ($)</w:t>
            </w:r>
          </w:p>
        </w:tc>
        <w:tc>
          <w:tcPr>
            <w:tcW w:w="124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48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59055</wp:posOffset>
            </wp:positionV>
            <wp:extent cx="5017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vMerge w:val="restart"/>
            <w:shd w:val="clear" w:color="auto" w:fill="D6F3E8"/>
          </w:tcPr>
          <w:p>
            <w:pPr>
              <w:jc w:val="right"/>
              <w:ind w:right="385"/>
              <w:spacing w:after="0"/>
              <w:rPr>
                <w:sz w:val="20"/>
                <w:szCs w:val="20"/>
                <w:color w:val="auto"/>
              </w:rPr>
            </w:pPr>
            <w:r>
              <w:rPr>
                <w:rFonts w:ascii="Arial" w:cs="Arial" w:eastAsia="Arial" w:hAnsi="Arial"/>
                <w:sz w:val="15"/>
                <w:szCs w:val="15"/>
                <w:color w:val="auto"/>
                <w:w w:val="87"/>
              </w:rPr>
              <w:t>(1)</w:t>
            </w:r>
          </w:p>
        </w:tc>
        <w:tc>
          <w:tcPr>
            <w:tcW w:w="1360" w:type="dxa"/>
            <w:vAlign w:val="bottom"/>
            <w:shd w:val="clear" w:color="auto" w:fill="D6F3E8"/>
          </w:tcPr>
          <w:p>
            <w:pPr>
              <w:jc w:val="right"/>
              <w:ind w:right="529"/>
              <w:spacing w:after="0"/>
              <w:rPr>
                <w:sz w:val="20"/>
                <w:szCs w:val="20"/>
                <w:color w:val="auto"/>
              </w:rPr>
            </w:pPr>
            <w:r>
              <w:rPr>
                <w:rFonts w:ascii="Arial" w:cs="Arial" w:eastAsia="Arial" w:hAnsi="Arial"/>
                <w:sz w:val="18"/>
                <w:szCs w:val="18"/>
                <w:color w:val="auto"/>
              </w:rPr>
              <w:t>16.0</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26.93</w:t>
            </w:r>
          </w:p>
        </w:tc>
        <w:tc>
          <w:tcPr>
            <w:tcW w:w="380" w:type="dxa"/>
            <w:vAlign w:val="bottom"/>
            <w:vMerge w:val="restart"/>
            <w:shd w:val="clear" w:color="auto" w:fill="D6F3E8"/>
          </w:tcPr>
          <w:p>
            <w:pPr>
              <w:jc w:val="right"/>
              <w:ind w:right="125"/>
              <w:spacing w:after="0"/>
              <w:rPr>
                <w:sz w:val="20"/>
                <w:szCs w:val="20"/>
                <w:color w:val="auto"/>
              </w:rPr>
            </w:pPr>
            <w:r>
              <w:rPr>
                <w:rFonts w:ascii="Arial" w:cs="Arial" w:eastAsia="Arial" w:hAnsi="Arial"/>
                <w:sz w:val="15"/>
                <w:szCs w:val="15"/>
                <w:color w:val="auto"/>
                <w:w w:val="87"/>
              </w:rPr>
              <w:t>(3)</w:t>
            </w:r>
          </w:p>
        </w:tc>
        <w:tc>
          <w:tcPr>
            <w:tcW w:w="1400" w:type="dxa"/>
            <w:vAlign w:val="bottom"/>
            <w:shd w:val="clear" w:color="auto" w:fill="D6F3E8"/>
          </w:tcPr>
          <w:p>
            <w:pPr>
              <w:jc w:val="right"/>
              <w:ind w:right="354"/>
              <w:spacing w:after="0"/>
              <w:rPr>
                <w:sz w:val="20"/>
                <w:szCs w:val="20"/>
                <w:color w:val="auto"/>
              </w:rPr>
            </w:pPr>
            <w:r>
              <w:rPr>
                <w:rFonts w:ascii="Arial" w:cs="Arial" w:eastAsia="Arial" w:hAnsi="Arial"/>
                <w:sz w:val="18"/>
                <w:szCs w:val="18"/>
                <w:color w:val="auto"/>
              </w:rPr>
              <w:t>10/12/2015</w:t>
            </w:r>
          </w:p>
        </w:tc>
        <w:tc>
          <w:tcPr>
            <w:tcW w:w="1260" w:type="dxa"/>
            <w:vAlign w:val="bottom"/>
            <w:shd w:val="clear" w:color="auto" w:fill="D6F3E8"/>
          </w:tcPr>
          <w:p>
            <w:pPr>
              <w:jc w:val="right"/>
              <w:ind w:right="274"/>
              <w:spacing w:after="0"/>
              <w:rPr>
                <w:sz w:val="20"/>
                <w:szCs w:val="20"/>
                <w:color w:val="auto"/>
              </w:rPr>
            </w:pPr>
            <w:r>
              <w:rPr>
                <w:rFonts w:ascii="Arial" w:cs="Arial" w:eastAsia="Arial" w:hAnsi="Arial"/>
                <w:sz w:val="18"/>
                <w:szCs w:val="18"/>
                <w:color w:val="auto"/>
              </w:rPr>
              <w:t>846,800</w:t>
            </w:r>
          </w:p>
        </w:tc>
        <w:tc>
          <w:tcPr>
            <w:tcW w:w="114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2,145,950</w:t>
            </w:r>
          </w:p>
        </w:tc>
        <w:tc>
          <w:tcPr>
            <w:tcW w:w="0" w:type="dxa"/>
            <w:vAlign w:val="bottom"/>
          </w:tcPr>
          <w:p>
            <w:pPr>
              <w:spacing w:after="0"/>
              <w:rPr>
                <w:sz w:val="1"/>
                <w:szCs w:val="1"/>
                <w:color w:val="auto"/>
              </w:rPr>
            </w:pPr>
          </w:p>
        </w:tc>
      </w:tr>
      <w:tr>
        <w:trPr>
          <w:trHeight w:val="201"/>
        </w:trPr>
        <w:tc>
          <w:tcPr>
            <w:tcW w:w="2640" w:type="dxa"/>
            <w:vAlign w:val="bottom"/>
            <w:shd w:val="clear" w:color="auto" w:fill="D6F3E8"/>
          </w:tcPr>
          <w:p>
            <w:pPr>
              <w:spacing w:after="0"/>
              <w:rPr>
                <w:sz w:val="17"/>
                <w:szCs w:val="17"/>
                <w:color w:val="auto"/>
              </w:rPr>
            </w:pPr>
          </w:p>
        </w:tc>
        <w:tc>
          <w:tcPr>
            <w:tcW w:w="1680" w:type="dxa"/>
            <w:vAlign w:val="bottom"/>
            <w:shd w:val="clear" w:color="auto" w:fill="D6F3E8"/>
          </w:tcPr>
          <w:p>
            <w:pPr>
              <w:spacing w:after="0"/>
              <w:rPr>
                <w:sz w:val="17"/>
                <w:szCs w:val="17"/>
                <w:color w:val="auto"/>
              </w:rPr>
            </w:pPr>
          </w:p>
        </w:tc>
        <w:tc>
          <w:tcPr>
            <w:tcW w:w="640" w:type="dxa"/>
            <w:vAlign w:val="bottom"/>
            <w:vMerge w:val="continue"/>
            <w:shd w:val="clear" w:color="auto" w:fill="D6F3E8"/>
          </w:tcPr>
          <w:p>
            <w:pPr>
              <w:spacing w:after="0"/>
              <w:rPr>
                <w:sz w:val="17"/>
                <w:szCs w:val="17"/>
                <w:color w:val="auto"/>
              </w:rPr>
            </w:pPr>
          </w:p>
        </w:tc>
        <w:tc>
          <w:tcPr>
            <w:tcW w:w="1360" w:type="dxa"/>
            <w:vAlign w:val="bottom"/>
            <w:shd w:val="clear" w:color="auto" w:fill="D6F3E8"/>
          </w:tcPr>
          <w:p>
            <w:pPr>
              <w:jc w:val="right"/>
              <w:ind w:right="369"/>
              <w:spacing w:after="0"/>
              <w:rPr>
                <w:sz w:val="20"/>
                <w:szCs w:val="20"/>
                <w:color w:val="auto"/>
              </w:rPr>
            </w:pPr>
            <w:r>
              <w:rPr>
                <w:rFonts w:ascii="Arial" w:cs="Arial" w:eastAsia="Arial" w:hAnsi="Arial"/>
                <w:sz w:val="15"/>
                <w:szCs w:val="15"/>
                <w:color w:val="auto"/>
              </w:rPr>
              <w:t>(2)</w:t>
            </w:r>
          </w:p>
        </w:tc>
        <w:tc>
          <w:tcPr>
            <w:tcW w:w="820" w:type="dxa"/>
            <w:vAlign w:val="bottom"/>
            <w:shd w:val="clear" w:color="auto" w:fill="D6F3E8"/>
          </w:tcPr>
          <w:p>
            <w:pPr>
              <w:spacing w:after="0"/>
              <w:rPr>
                <w:sz w:val="17"/>
                <w:szCs w:val="17"/>
                <w:color w:val="auto"/>
              </w:rPr>
            </w:pPr>
          </w:p>
        </w:tc>
        <w:tc>
          <w:tcPr>
            <w:tcW w:w="380" w:type="dxa"/>
            <w:vAlign w:val="bottom"/>
            <w:vMerge w:val="continue"/>
            <w:shd w:val="clear" w:color="auto" w:fill="D6F3E8"/>
          </w:tcPr>
          <w:p>
            <w:pPr>
              <w:spacing w:after="0"/>
              <w:rPr>
                <w:sz w:val="17"/>
                <w:szCs w:val="17"/>
                <w:color w:val="auto"/>
              </w:rPr>
            </w:pPr>
          </w:p>
        </w:tc>
        <w:tc>
          <w:tcPr>
            <w:tcW w:w="140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640" w:type="dxa"/>
            <w:vAlign w:val="bottom"/>
          </w:tcPr>
          <w:p>
            <w:pPr>
              <w:spacing w:after="0"/>
              <w:rPr>
                <w:sz w:val="20"/>
                <w:szCs w:val="20"/>
                <w:color w:val="auto"/>
              </w:rPr>
            </w:pPr>
            <w:r>
              <w:rPr>
                <w:rFonts w:ascii="Arial" w:cs="Arial" w:eastAsia="Arial" w:hAnsi="Arial"/>
                <w:sz w:val="1"/>
                <w:szCs w:val="1"/>
                <w:color w:val="auto"/>
              </w:rPr>
              <w:t>Edwin F. Barker</w:t>
            </w:r>
          </w:p>
        </w:tc>
        <w:tc>
          <w:tcPr>
            <w:tcW w:w="1680" w:type="dxa"/>
            <w:vAlign w:val="bottom"/>
          </w:tcPr>
          <w:p>
            <w:pPr>
              <w:jc w:val="right"/>
              <w:spacing w:after="0"/>
              <w:rPr>
                <w:sz w:val="20"/>
                <w:szCs w:val="20"/>
                <w:color w:val="auto"/>
              </w:rPr>
            </w:pPr>
            <w:r>
              <w:rPr>
                <w:rFonts w:ascii="Arial" w:cs="Arial" w:eastAsia="Arial" w:hAnsi="Arial"/>
                <w:sz w:val="1"/>
                <w:szCs w:val="1"/>
                <w:color w:val="auto"/>
              </w:rPr>
              <w:t>25,000</w:t>
            </w:r>
          </w:p>
        </w:tc>
        <w:tc>
          <w:tcPr>
            <w:tcW w:w="640" w:type="dxa"/>
            <w:vAlign w:val="bottom"/>
            <w:vMerge w:val="restart"/>
          </w:tcPr>
          <w:p>
            <w:pPr>
              <w:jc w:val="right"/>
              <w:ind w:right="385"/>
              <w:spacing w:after="0"/>
              <w:rPr>
                <w:sz w:val="20"/>
                <w:szCs w:val="20"/>
                <w:color w:val="auto"/>
              </w:rPr>
            </w:pPr>
            <w:r>
              <w:rPr>
                <w:rFonts w:ascii="Arial" w:cs="Arial" w:eastAsia="Arial" w:hAnsi="Arial"/>
                <w:sz w:val="15"/>
                <w:szCs w:val="15"/>
                <w:color w:val="auto"/>
                <w:w w:val="87"/>
              </w:rPr>
              <w:t>(1)</w:t>
            </w:r>
          </w:p>
        </w:tc>
        <w:tc>
          <w:tcPr>
            <w:tcW w:w="1360" w:type="dxa"/>
            <w:vAlign w:val="bottom"/>
          </w:tcPr>
          <w:p>
            <w:pPr>
              <w:jc w:val="right"/>
              <w:ind w:right="529"/>
              <w:spacing w:after="0"/>
              <w:rPr>
                <w:sz w:val="20"/>
                <w:szCs w:val="20"/>
                <w:color w:val="auto"/>
              </w:rPr>
            </w:pPr>
            <w:r>
              <w:rPr>
                <w:rFonts w:ascii="Arial" w:cs="Arial" w:eastAsia="Arial" w:hAnsi="Arial"/>
                <w:sz w:val="1"/>
                <w:szCs w:val="1"/>
                <w:color w:val="auto"/>
              </w:rPr>
              <w:t>8.0</w:t>
            </w:r>
          </w:p>
        </w:tc>
        <w:tc>
          <w:tcPr>
            <w:tcW w:w="820" w:type="dxa"/>
            <w:vAlign w:val="bottom"/>
          </w:tcPr>
          <w:p>
            <w:pPr>
              <w:jc w:val="right"/>
              <w:spacing w:after="0"/>
              <w:rPr>
                <w:sz w:val="20"/>
                <w:szCs w:val="20"/>
                <w:color w:val="auto"/>
              </w:rPr>
            </w:pPr>
            <w:r>
              <w:rPr>
                <w:rFonts w:ascii="Arial" w:cs="Arial" w:eastAsia="Arial" w:hAnsi="Arial"/>
                <w:sz w:val="1"/>
                <w:szCs w:val="1"/>
                <w:color w:val="auto"/>
              </w:rPr>
              <w:t>26.93</w:t>
            </w:r>
          </w:p>
        </w:tc>
        <w:tc>
          <w:tcPr>
            <w:tcW w:w="380" w:type="dxa"/>
            <w:vAlign w:val="bottom"/>
            <w:vMerge w:val="restart"/>
          </w:tcPr>
          <w:p>
            <w:pPr>
              <w:jc w:val="right"/>
              <w:ind w:right="125"/>
              <w:spacing w:after="0"/>
              <w:rPr>
                <w:sz w:val="20"/>
                <w:szCs w:val="20"/>
                <w:color w:val="auto"/>
              </w:rPr>
            </w:pPr>
            <w:r>
              <w:rPr>
                <w:rFonts w:ascii="Arial" w:cs="Arial" w:eastAsia="Arial" w:hAnsi="Arial"/>
                <w:sz w:val="15"/>
                <w:szCs w:val="15"/>
                <w:color w:val="auto"/>
                <w:w w:val="87"/>
              </w:rPr>
              <w:t>(3)</w:t>
            </w:r>
          </w:p>
        </w:tc>
        <w:tc>
          <w:tcPr>
            <w:tcW w:w="1400" w:type="dxa"/>
            <w:vAlign w:val="bottom"/>
          </w:tcPr>
          <w:p>
            <w:pPr>
              <w:jc w:val="right"/>
              <w:ind w:right="354"/>
              <w:spacing w:after="0"/>
              <w:rPr>
                <w:sz w:val="20"/>
                <w:szCs w:val="20"/>
                <w:color w:val="auto"/>
              </w:rPr>
            </w:pPr>
            <w:r>
              <w:rPr>
                <w:rFonts w:ascii="Arial" w:cs="Arial" w:eastAsia="Arial" w:hAnsi="Arial"/>
                <w:sz w:val="1"/>
                <w:szCs w:val="1"/>
                <w:color w:val="auto"/>
              </w:rPr>
              <w:t>10/12/2015</w:t>
            </w:r>
          </w:p>
        </w:tc>
        <w:tc>
          <w:tcPr>
            <w:tcW w:w="1260" w:type="dxa"/>
            <w:vAlign w:val="bottom"/>
          </w:tcPr>
          <w:p>
            <w:pPr>
              <w:jc w:val="right"/>
              <w:ind w:right="274"/>
              <w:spacing w:after="0"/>
              <w:rPr>
                <w:sz w:val="20"/>
                <w:szCs w:val="20"/>
                <w:color w:val="auto"/>
              </w:rPr>
            </w:pPr>
            <w:r>
              <w:rPr>
                <w:rFonts w:ascii="Arial" w:cs="Arial" w:eastAsia="Arial" w:hAnsi="Arial"/>
                <w:sz w:val="1"/>
                <w:szCs w:val="1"/>
                <w:color w:val="auto"/>
              </w:rPr>
              <w:t>423,400</w:t>
            </w:r>
          </w:p>
        </w:tc>
        <w:tc>
          <w:tcPr>
            <w:tcW w:w="1140" w:type="dxa"/>
            <w:vAlign w:val="bottom"/>
          </w:tcPr>
          <w:p>
            <w:pPr>
              <w:jc w:val="right"/>
              <w:ind w:right="74"/>
              <w:spacing w:after="0"/>
              <w:rPr>
                <w:sz w:val="20"/>
                <w:szCs w:val="20"/>
                <w:color w:val="auto"/>
              </w:rPr>
            </w:pPr>
            <w:r>
              <w:rPr>
                <w:rFonts w:ascii="Arial" w:cs="Arial" w:eastAsia="Arial" w:hAnsi="Arial"/>
                <w:sz w:val="1"/>
                <w:szCs w:val="1"/>
                <w:color w:val="auto"/>
              </w:rPr>
              <w:t>1,072,975</w:t>
            </w:r>
          </w:p>
        </w:tc>
        <w:tc>
          <w:tcPr>
            <w:tcW w:w="0" w:type="dxa"/>
            <w:vAlign w:val="bottom"/>
          </w:tcPr>
          <w:p>
            <w:pPr>
              <w:spacing w:after="0" w:line="20" w:lineRule="exact"/>
              <w:rPr>
                <w:sz w:val="1"/>
                <w:szCs w:val="1"/>
                <w:color w:val="auto"/>
              </w:rPr>
            </w:pPr>
          </w:p>
        </w:tc>
      </w:tr>
      <w:tr>
        <w:trPr>
          <w:trHeight w:val="190"/>
        </w:trPr>
        <w:tc>
          <w:tcPr>
            <w:tcW w:w="2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360" w:type="dxa"/>
            <w:vAlign w:val="bottom"/>
          </w:tcPr>
          <w:p>
            <w:pPr>
              <w:jc w:val="right"/>
              <w:ind w:right="369"/>
              <w:spacing w:after="0"/>
              <w:rPr>
                <w:sz w:val="20"/>
                <w:szCs w:val="20"/>
                <w:color w:val="auto"/>
              </w:rPr>
            </w:pPr>
            <w:r>
              <w:rPr>
                <w:rFonts w:ascii="Arial" w:cs="Arial" w:eastAsia="Arial" w:hAnsi="Arial"/>
                <w:sz w:val="15"/>
                <w:szCs w:val="15"/>
                <w:color w:val="auto"/>
              </w:rPr>
              <w:t>(2)</w:t>
            </w:r>
          </w:p>
        </w:tc>
        <w:tc>
          <w:tcPr>
            <w:tcW w:w="8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Robert J. Olson</w:t>
            </w:r>
          </w:p>
        </w:tc>
        <w:tc>
          <w:tcPr>
            <w:tcW w:w="168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12,500</w:t>
            </w:r>
          </w:p>
        </w:tc>
        <w:tc>
          <w:tcPr>
            <w:tcW w:w="640" w:type="dxa"/>
            <w:vAlign w:val="bottom"/>
            <w:vMerge w:val="restart"/>
            <w:shd w:val="clear" w:color="auto" w:fill="D6F3E8"/>
          </w:tcPr>
          <w:p>
            <w:pPr>
              <w:jc w:val="right"/>
              <w:ind w:right="385"/>
              <w:spacing w:after="0"/>
              <w:rPr>
                <w:sz w:val="20"/>
                <w:szCs w:val="20"/>
                <w:color w:val="auto"/>
              </w:rPr>
            </w:pPr>
            <w:r>
              <w:rPr>
                <w:rFonts w:ascii="Arial" w:cs="Arial" w:eastAsia="Arial" w:hAnsi="Arial"/>
                <w:sz w:val="15"/>
                <w:szCs w:val="15"/>
                <w:color w:val="auto"/>
                <w:w w:val="87"/>
              </w:rPr>
              <w:t>(1)</w:t>
            </w:r>
          </w:p>
        </w:tc>
        <w:tc>
          <w:tcPr>
            <w:tcW w:w="1360" w:type="dxa"/>
            <w:vAlign w:val="bottom"/>
            <w:shd w:val="clear" w:color="auto" w:fill="D6F3E8"/>
          </w:tcPr>
          <w:p>
            <w:pPr>
              <w:jc w:val="right"/>
              <w:ind w:right="529"/>
              <w:spacing w:after="0" w:line="27" w:lineRule="exact"/>
              <w:rPr>
                <w:sz w:val="20"/>
                <w:szCs w:val="20"/>
                <w:color w:val="auto"/>
              </w:rPr>
            </w:pPr>
            <w:r>
              <w:rPr>
                <w:rFonts w:ascii="Arial" w:cs="Arial" w:eastAsia="Arial" w:hAnsi="Arial"/>
                <w:sz w:val="3"/>
                <w:szCs w:val="3"/>
                <w:color w:val="auto"/>
              </w:rPr>
              <w:t>4.0</w:t>
            </w:r>
          </w:p>
        </w:tc>
        <w:tc>
          <w:tcPr>
            <w:tcW w:w="82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26.93</w:t>
            </w:r>
          </w:p>
        </w:tc>
        <w:tc>
          <w:tcPr>
            <w:tcW w:w="380" w:type="dxa"/>
            <w:vAlign w:val="bottom"/>
            <w:vMerge w:val="restart"/>
            <w:shd w:val="clear" w:color="auto" w:fill="D6F3E8"/>
          </w:tcPr>
          <w:p>
            <w:pPr>
              <w:jc w:val="right"/>
              <w:ind w:right="125"/>
              <w:spacing w:after="0"/>
              <w:rPr>
                <w:sz w:val="20"/>
                <w:szCs w:val="20"/>
                <w:color w:val="auto"/>
              </w:rPr>
            </w:pPr>
            <w:r>
              <w:rPr>
                <w:rFonts w:ascii="Arial" w:cs="Arial" w:eastAsia="Arial" w:hAnsi="Arial"/>
                <w:sz w:val="15"/>
                <w:szCs w:val="15"/>
                <w:color w:val="auto"/>
                <w:w w:val="87"/>
              </w:rPr>
              <w:t>(3)</w:t>
            </w:r>
          </w:p>
        </w:tc>
        <w:tc>
          <w:tcPr>
            <w:tcW w:w="1400" w:type="dxa"/>
            <w:vAlign w:val="bottom"/>
            <w:shd w:val="clear" w:color="auto" w:fill="D6F3E8"/>
          </w:tcPr>
          <w:p>
            <w:pPr>
              <w:jc w:val="right"/>
              <w:ind w:right="354"/>
              <w:spacing w:after="0" w:line="27" w:lineRule="exact"/>
              <w:rPr>
                <w:sz w:val="20"/>
                <w:szCs w:val="20"/>
                <w:color w:val="auto"/>
              </w:rPr>
            </w:pPr>
            <w:r>
              <w:rPr>
                <w:rFonts w:ascii="Arial" w:cs="Arial" w:eastAsia="Arial" w:hAnsi="Arial"/>
                <w:sz w:val="3"/>
                <w:szCs w:val="3"/>
                <w:color w:val="auto"/>
              </w:rPr>
              <w:t>10/12/2015</w:t>
            </w:r>
          </w:p>
        </w:tc>
        <w:tc>
          <w:tcPr>
            <w:tcW w:w="1260" w:type="dxa"/>
            <w:vAlign w:val="bottom"/>
            <w:shd w:val="clear" w:color="auto" w:fill="D6F3E8"/>
          </w:tcPr>
          <w:p>
            <w:pPr>
              <w:jc w:val="right"/>
              <w:ind w:right="274"/>
              <w:spacing w:after="0" w:line="27" w:lineRule="exact"/>
              <w:rPr>
                <w:sz w:val="20"/>
                <w:szCs w:val="20"/>
                <w:color w:val="auto"/>
              </w:rPr>
            </w:pPr>
            <w:r>
              <w:rPr>
                <w:rFonts w:ascii="Arial" w:cs="Arial" w:eastAsia="Arial" w:hAnsi="Arial"/>
                <w:sz w:val="3"/>
                <w:szCs w:val="3"/>
                <w:color w:val="auto"/>
              </w:rPr>
              <w:t>211,700</w:t>
            </w:r>
          </w:p>
        </w:tc>
        <w:tc>
          <w:tcPr>
            <w:tcW w:w="1140" w:type="dxa"/>
            <w:vAlign w:val="bottom"/>
            <w:shd w:val="clear" w:color="auto" w:fill="D6F3E8"/>
          </w:tcPr>
          <w:p>
            <w:pPr>
              <w:jc w:val="right"/>
              <w:ind w:right="74"/>
              <w:spacing w:after="0" w:line="27" w:lineRule="exact"/>
              <w:rPr>
                <w:sz w:val="20"/>
                <w:szCs w:val="20"/>
                <w:color w:val="auto"/>
              </w:rPr>
            </w:pPr>
            <w:r>
              <w:rPr>
                <w:rFonts w:ascii="Arial" w:cs="Arial" w:eastAsia="Arial" w:hAnsi="Arial"/>
                <w:sz w:val="3"/>
                <w:szCs w:val="3"/>
                <w:color w:val="auto"/>
              </w:rPr>
              <w:t>536,488</w:t>
            </w:r>
          </w:p>
        </w:tc>
        <w:tc>
          <w:tcPr>
            <w:tcW w:w="0" w:type="dxa"/>
            <w:vAlign w:val="bottom"/>
          </w:tcPr>
          <w:p>
            <w:pPr>
              <w:spacing w:after="0" w:line="20" w:lineRule="exact"/>
              <w:rPr>
                <w:sz w:val="1"/>
                <w:szCs w:val="1"/>
                <w:color w:val="auto"/>
              </w:rPr>
            </w:pPr>
          </w:p>
        </w:tc>
      </w:tr>
      <w:tr>
        <w:trPr>
          <w:trHeight w:val="201"/>
        </w:trPr>
        <w:tc>
          <w:tcPr>
            <w:tcW w:w="2640" w:type="dxa"/>
            <w:vAlign w:val="bottom"/>
            <w:shd w:val="clear" w:color="auto" w:fill="D6F3E8"/>
          </w:tcPr>
          <w:p>
            <w:pPr>
              <w:spacing w:after="0"/>
              <w:rPr>
                <w:sz w:val="17"/>
                <w:szCs w:val="17"/>
                <w:color w:val="auto"/>
              </w:rPr>
            </w:pPr>
          </w:p>
        </w:tc>
        <w:tc>
          <w:tcPr>
            <w:tcW w:w="1680" w:type="dxa"/>
            <w:vAlign w:val="bottom"/>
            <w:shd w:val="clear" w:color="auto" w:fill="D6F3E8"/>
          </w:tcPr>
          <w:p>
            <w:pPr>
              <w:spacing w:after="0"/>
              <w:rPr>
                <w:sz w:val="17"/>
                <w:szCs w:val="17"/>
                <w:color w:val="auto"/>
              </w:rPr>
            </w:pPr>
          </w:p>
        </w:tc>
        <w:tc>
          <w:tcPr>
            <w:tcW w:w="640" w:type="dxa"/>
            <w:vAlign w:val="bottom"/>
            <w:vMerge w:val="continue"/>
            <w:shd w:val="clear" w:color="auto" w:fill="D6F3E8"/>
          </w:tcPr>
          <w:p>
            <w:pPr>
              <w:spacing w:after="0"/>
              <w:rPr>
                <w:sz w:val="17"/>
                <w:szCs w:val="17"/>
                <w:color w:val="auto"/>
              </w:rPr>
            </w:pPr>
          </w:p>
        </w:tc>
        <w:tc>
          <w:tcPr>
            <w:tcW w:w="1360" w:type="dxa"/>
            <w:vAlign w:val="bottom"/>
            <w:shd w:val="clear" w:color="auto" w:fill="D6F3E8"/>
          </w:tcPr>
          <w:p>
            <w:pPr>
              <w:jc w:val="right"/>
              <w:ind w:right="369"/>
              <w:spacing w:after="0"/>
              <w:rPr>
                <w:sz w:val="20"/>
                <w:szCs w:val="20"/>
                <w:color w:val="auto"/>
              </w:rPr>
            </w:pPr>
            <w:r>
              <w:rPr>
                <w:rFonts w:ascii="Arial" w:cs="Arial" w:eastAsia="Arial" w:hAnsi="Arial"/>
                <w:sz w:val="15"/>
                <w:szCs w:val="15"/>
                <w:color w:val="auto"/>
              </w:rPr>
              <w:t>(2)</w:t>
            </w:r>
          </w:p>
        </w:tc>
        <w:tc>
          <w:tcPr>
            <w:tcW w:w="820" w:type="dxa"/>
            <w:vAlign w:val="bottom"/>
            <w:shd w:val="clear" w:color="auto" w:fill="D6F3E8"/>
          </w:tcPr>
          <w:p>
            <w:pPr>
              <w:spacing w:after="0"/>
              <w:rPr>
                <w:sz w:val="17"/>
                <w:szCs w:val="17"/>
                <w:color w:val="auto"/>
              </w:rPr>
            </w:pPr>
          </w:p>
        </w:tc>
        <w:tc>
          <w:tcPr>
            <w:tcW w:w="380" w:type="dxa"/>
            <w:vAlign w:val="bottom"/>
            <w:vMerge w:val="continue"/>
            <w:shd w:val="clear" w:color="auto" w:fill="D6F3E8"/>
          </w:tcPr>
          <w:p>
            <w:pPr>
              <w:spacing w:after="0"/>
              <w:rPr>
                <w:sz w:val="17"/>
                <w:szCs w:val="17"/>
                <w:color w:val="auto"/>
              </w:rPr>
            </w:pPr>
          </w:p>
        </w:tc>
        <w:tc>
          <w:tcPr>
            <w:tcW w:w="140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640" w:type="dxa"/>
            <w:vAlign w:val="bottom"/>
          </w:tcPr>
          <w:p>
            <w:pPr>
              <w:spacing w:after="0"/>
              <w:rPr>
                <w:sz w:val="20"/>
                <w:szCs w:val="20"/>
                <w:color w:val="auto"/>
              </w:rPr>
            </w:pPr>
            <w:r>
              <w:rPr>
                <w:rFonts w:ascii="Arial" w:cs="Arial" w:eastAsia="Arial" w:hAnsi="Arial"/>
                <w:sz w:val="1"/>
                <w:szCs w:val="1"/>
                <w:color w:val="auto"/>
              </w:rPr>
              <w:t>Raymond M. Beebe</w:t>
            </w:r>
          </w:p>
        </w:tc>
        <w:tc>
          <w:tcPr>
            <w:tcW w:w="1680" w:type="dxa"/>
            <w:vAlign w:val="bottom"/>
          </w:tcPr>
          <w:p>
            <w:pPr>
              <w:jc w:val="right"/>
              <w:spacing w:after="0"/>
              <w:rPr>
                <w:sz w:val="20"/>
                <w:szCs w:val="20"/>
                <w:color w:val="auto"/>
              </w:rPr>
            </w:pPr>
            <w:r>
              <w:rPr>
                <w:rFonts w:ascii="Arial" w:cs="Arial" w:eastAsia="Arial" w:hAnsi="Arial"/>
                <w:sz w:val="1"/>
                <w:szCs w:val="1"/>
                <w:color w:val="auto"/>
              </w:rPr>
              <w:t>12,500</w:t>
            </w:r>
          </w:p>
        </w:tc>
        <w:tc>
          <w:tcPr>
            <w:tcW w:w="640" w:type="dxa"/>
            <w:vAlign w:val="bottom"/>
            <w:vMerge w:val="restart"/>
          </w:tcPr>
          <w:p>
            <w:pPr>
              <w:jc w:val="right"/>
              <w:ind w:right="385"/>
              <w:spacing w:after="0"/>
              <w:rPr>
                <w:sz w:val="20"/>
                <w:szCs w:val="20"/>
                <w:color w:val="auto"/>
              </w:rPr>
            </w:pPr>
            <w:r>
              <w:rPr>
                <w:rFonts w:ascii="Arial" w:cs="Arial" w:eastAsia="Arial" w:hAnsi="Arial"/>
                <w:sz w:val="15"/>
                <w:szCs w:val="15"/>
                <w:color w:val="auto"/>
                <w:w w:val="87"/>
              </w:rPr>
              <w:t>(1)</w:t>
            </w:r>
          </w:p>
        </w:tc>
        <w:tc>
          <w:tcPr>
            <w:tcW w:w="1360" w:type="dxa"/>
            <w:vAlign w:val="bottom"/>
          </w:tcPr>
          <w:p>
            <w:pPr>
              <w:jc w:val="right"/>
              <w:ind w:right="529"/>
              <w:spacing w:after="0"/>
              <w:rPr>
                <w:sz w:val="20"/>
                <w:szCs w:val="20"/>
                <w:color w:val="auto"/>
              </w:rPr>
            </w:pPr>
            <w:r>
              <w:rPr>
                <w:rFonts w:ascii="Arial" w:cs="Arial" w:eastAsia="Arial" w:hAnsi="Arial"/>
                <w:sz w:val="1"/>
                <w:szCs w:val="1"/>
                <w:color w:val="auto"/>
              </w:rPr>
              <w:t>4.0</w:t>
            </w:r>
          </w:p>
        </w:tc>
        <w:tc>
          <w:tcPr>
            <w:tcW w:w="820" w:type="dxa"/>
            <w:vAlign w:val="bottom"/>
          </w:tcPr>
          <w:p>
            <w:pPr>
              <w:jc w:val="right"/>
              <w:spacing w:after="0"/>
              <w:rPr>
                <w:sz w:val="20"/>
                <w:szCs w:val="20"/>
                <w:color w:val="auto"/>
              </w:rPr>
            </w:pPr>
            <w:r>
              <w:rPr>
                <w:rFonts w:ascii="Arial" w:cs="Arial" w:eastAsia="Arial" w:hAnsi="Arial"/>
                <w:sz w:val="1"/>
                <w:szCs w:val="1"/>
                <w:color w:val="auto"/>
              </w:rPr>
              <w:t>26.93</w:t>
            </w:r>
          </w:p>
        </w:tc>
        <w:tc>
          <w:tcPr>
            <w:tcW w:w="380" w:type="dxa"/>
            <w:vAlign w:val="bottom"/>
            <w:vMerge w:val="restart"/>
          </w:tcPr>
          <w:p>
            <w:pPr>
              <w:jc w:val="right"/>
              <w:ind w:right="125"/>
              <w:spacing w:after="0"/>
              <w:rPr>
                <w:sz w:val="20"/>
                <w:szCs w:val="20"/>
                <w:color w:val="auto"/>
              </w:rPr>
            </w:pPr>
            <w:r>
              <w:rPr>
                <w:rFonts w:ascii="Arial" w:cs="Arial" w:eastAsia="Arial" w:hAnsi="Arial"/>
                <w:sz w:val="15"/>
                <w:szCs w:val="15"/>
                <w:color w:val="auto"/>
                <w:w w:val="87"/>
              </w:rPr>
              <w:t>(3)</w:t>
            </w:r>
          </w:p>
        </w:tc>
        <w:tc>
          <w:tcPr>
            <w:tcW w:w="1400" w:type="dxa"/>
            <w:vAlign w:val="bottom"/>
          </w:tcPr>
          <w:p>
            <w:pPr>
              <w:jc w:val="right"/>
              <w:ind w:right="354"/>
              <w:spacing w:after="0"/>
              <w:rPr>
                <w:sz w:val="20"/>
                <w:szCs w:val="20"/>
                <w:color w:val="auto"/>
              </w:rPr>
            </w:pPr>
            <w:r>
              <w:rPr>
                <w:rFonts w:ascii="Arial" w:cs="Arial" w:eastAsia="Arial" w:hAnsi="Arial"/>
                <w:sz w:val="1"/>
                <w:szCs w:val="1"/>
                <w:color w:val="auto"/>
              </w:rPr>
              <w:t>10/12/2015</w:t>
            </w:r>
          </w:p>
        </w:tc>
        <w:tc>
          <w:tcPr>
            <w:tcW w:w="1260" w:type="dxa"/>
            <w:vAlign w:val="bottom"/>
          </w:tcPr>
          <w:p>
            <w:pPr>
              <w:jc w:val="right"/>
              <w:ind w:right="274"/>
              <w:spacing w:after="0"/>
              <w:rPr>
                <w:sz w:val="20"/>
                <w:szCs w:val="20"/>
                <w:color w:val="auto"/>
              </w:rPr>
            </w:pPr>
            <w:r>
              <w:rPr>
                <w:rFonts w:ascii="Arial" w:cs="Arial" w:eastAsia="Arial" w:hAnsi="Arial"/>
                <w:sz w:val="1"/>
                <w:szCs w:val="1"/>
                <w:color w:val="auto"/>
              </w:rPr>
              <w:t>211,700</w:t>
            </w:r>
          </w:p>
        </w:tc>
        <w:tc>
          <w:tcPr>
            <w:tcW w:w="1140" w:type="dxa"/>
            <w:vAlign w:val="bottom"/>
          </w:tcPr>
          <w:p>
            <w:pPr>
              <w:jc w:val="right"/>
              <w:ind w:right="74"/>
              <w:spacing w:after="0"/>
              <w:rPr>
                <w:sz w:val="20"/>
                <w:szCs w:val="20"/>
                <w:color w:val="auto"/>
              </w:rPr>
            </w:pPr>
            <w:r>
              <w:rPr>
                <w:rFonts w:ascii="Arial" w:cs="Arial" w:eastAsia="Arial" w:hAnsi="Arial"/>
                <w:sz w:val="1"/>
                <w:szCs w:val="1"/>
                <w:color w:val="auto"/>
              </w:rPr>
              <w:t>536,488</w:t>
            </w:r>
          </w:p>
        </w:tc>
        <w:tc>
          <w:tcPr>
            <w:tcW w:w="0" w:type="dxa"/>
            <w:vAlign w:val="bottom"/>
          </w:tcPr>
          <w:p>
            <w:pPr>
              <w:spacing w:after="0" w:line="20" w:lineRule="exact"/>
              <w:rPr>
                <w:sz w:val="1"/>
                <w:szCs w:val="1"/>
                <w:color w:val="auto"/>
              </w:rPr>
            </w:pPr>
          </w:p>
        </w:tc>
      </w:tr>
      <w:tr>
        <w:trPr>
          <w:trHeight w:val="190"/>
        </w:trPr>
        <w:tc>
          <w:tcPr>
            <w:tcW w:w="2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360" w:type="dxa"/>
            <w:vAlign w:val="bottom"/>
          </w:tcPr>
          <w:p>
            <w:pPr>
              <w:jc w:val="right"/>
              <w:ind w:right="369"/>
              <w:spacing w:after="0"/>
              <w:rPr>
                <w:sz w:val="20"/>
                <w:szCs w:val="20"/>
                <w:color w:val="auto"/>
              </w:rPr>
            </w:pPr>
            <w:r>
              <w:rPr>
                <w:rFonts w:ascii="Arial" w:cs="Arial" w:eastAsia="Arial" w:hAnsi="Arial"/>
                <w:sz w:val="15"/>
                <w:szCs w:val="15"/>
                <w:color w:val="auto"/>
              </w:rPr>
              <w:t>(2)</w:t>
            </w:r>
          </w:p>
        </w:tc>
        <w:tc>
          <w:tcPr>
            <w:tcW w:w="8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4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William J. O’Leary</w:t>
            </w:r>
          </w:p>
        </w:tc>
        <w:tc>
          <w:tcPr>
            <w:tcW w:w="168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12,500</w:t>
            </w:r>
          </w:p>
        </w:tc>
        <w:tc>
          <w:tcPr>
            <w:tcW w:w="640" w:type="dxa"/>
            <w:vAlign w:val="bottom"/>
            <w:vMerge w:val="restart"/>
            <w:shd w:val="clear" w:color="auto" w:fill="D6F3E8"/>
          </w:tcPr>
          <w:p>
            <w:pPr>
              <w:jc w:val="right"/>
              <w:ind w:right="385"/>
              <w:spacing w:after="0"/>
              <w:rPr>
                <w:sz w:val="20"/>
                <w:szCs w:val="20"/>
                <w:color w:val="auto"/>
              </w:rPr>
            </w:pPr>
            <w:r>
              <w:rPr>
                <w:rFonts w:ascii="Arial" w:cs="Arial" w:eastAsia="Arial" w:hAnsi="Arial"/>
                <w:sz w:val="15"/>
                <w:szCs w:val="15"/>
                <w:color w:val="auto"/>
                <w:w w:val="87"/>
              </w:rPr>
              <w:t>(1)</w:t>
            </w:r>
          </w:p>
        </w:tc>
        <w:tc>
          <w:tcPr>
            <w:tcW w:w="1360" w:type="dxa"/>
            <w:vAlign w:val="bottom"/>
            <w:shd w:val="clear" w:color="auto" w:fill="D6F3E8"/>
          </w:tcPr>
          <w:p>
            <w:pPr>
              <w:jc w:val="right"/>
              <w:ind w:right="529"/>
              <w:spacing w:after="0" w:line="27" w:lineRule="exact"/>
              <w:rPr>
                <w:sz w:val="20"/>
                <w:szCs w:val="20"/>
                <w:color w:val="auto"/>
              </w:rPr>
            </w:pPr>
            <w:r>
              <w:rPr>
                <w:rFonts w:ascii="Arial" w:cs="Arial" w:eastAsia="Arial" w:hAnsi="Arial"/>
                <w:sz w:val="3"/>
                <w:szCs w:val="3"/>
                <w:color w:val="auto"/>
              </w:rPr>
              <w:t>4.0</w:t>
            </w:r>
          </w:p>
        </w:tc>
        <w:tc>
          <w:tcPr>
            <w:tcW w:w="82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26.93</w:t>
            </w:r>
          </w:p>
        </w:tc>
        <w:tc>
          <w:tcPr>
            <w:tcW w:w="380" w:type="dxa"/>
            <w:vAlign w:val="bottom"/>
            <w:vMerge w:val="restart"/>
            <w:shd w:val="clear" w:color="auto" w:fill="D6F3E8"/>
          </w:tcPr>
          <w:p>
            <w:pPr>
              <w:jc w:val="right"/>
              <w:ind w:right="125"/>
              <w:spacing w:after="0"/>
              <w:rPr>
                <w:sz w:val="20"/>
                <w:szCs w:val="20"/>
                <w:color w:val="auto"/>
              </w:rPr>
            </w:pPr>
            <w:r>
              <w:rPr>
                <w:rFonts w:ascii="Arial" w:cs="Arial" w:eastAsia="Arial" w:hAnsi="Arial"/>
                <w:sz w:val="15"/>
                <w:szCs w:val="15"/>
                <w:color w:val="auto"/>
                <w:w w:val="87"/>
              </w:rPr>
              <w:t>(3)</w:t>
            </w:r>
          </w:p>
        </w:tc>
        <w:tc>
          <w:tcPr>
            <w:tcW w:w="1400" w:type="dxa"/>
            <w:vAlign w:val="bottom"/>
            <w:shd w:val="clear" w:color="auto" w:fill="D6F3E8"/>
          </w:tcPr>
          <w:p>
            <w:pPr>
              <w:jc w:val="right"/>
              <w:ind w:right="354"/>
              <w:spacing w:after="0" w:line="27" w:lineRule="exact"/>
              <w:rPr>
                <w:sz w:val="20"/>
                <w:szCs w:val="20"/>
                <w:color w:val="auto"/>
              </w:rPr>
            </w:pPr>
            <w:r>
              <w:rPr>
                <w:rFonts w:ascii="Arial" w:cs="Arial" w:eastAsia="Arial" w:hAnsi="Arial"/>
                <w:sz w:val="3"/>
                <w:szCs w:val="3"/>
                <w:color w:val="auto"/>
              </w:rPr>
              <w:t>10/12/2015</w:t>
            </w:r>
          </w:p>
        </w:tc>
        <w:tc>
          <w:tcPr>
            <w:tcW w:w="1260" w:type="dxa"/>
            <w:vAlign w:val="bottom"/>
            <w:shd w:val="clear" w:color="auto" w:fill="D6F3E8"/>
          </w:tcPr>
          <w:p>
            <w:pPr>
              <w:jc w:val="right"/>
              <w:ind w:right="274"/>
              <w:spacing w:after="0" w:line="27" w:lineRule="exact"/>
              <w:rPr>
                <w:sz w:val="20"/>
                <w:szCs w:val="20"/>
                <w:color w:val="auto"/>
              </w:rPr>
            </w:pPr>
            <w:r>
              <w:rPr>
                <w:rFonts w:ascii="Arial" w:cs="Arial" w:eastAsia="Arial" w:hAnsi="Arial"/>
                <w:sz w:val="3"/>
                <w:szCs w:val="3"/>
                <w:color w:val="auto"/>
              </w:rPr>
              <w:t>211,700</w:t>
            </w:r>
          </w:p>
        </w:tc>
        <w:tc>
          <w:tcPr>
            <w:tcW w:w="1140" w:type="dxa"/>
            <w:vAlign w:val="bottom"/>
            <w:shd w:val="clear" w:color="auto" w:fill="D6F3E8"/>
          </w:tcPr>
          <w:p>
            <w:pPr>
              <w:jc w:val="right"/>
              <w:ind w:right="74"/>
              <w:spacing w:after="0" w:line="27" w:lineRule="exact"/>
              <w:rPr>
                <w:sz w:val="20"/>
                <w:szCs w:val="20"/>
                <w:color w:val="auto"/>
              </w:rPr>
            </w:pPr>
            <w:r>
              <w:rPr>
                <w:rFonts w:ascii="Arial" w:cs="Arial" w:eastAsia="Arial" w:hAnsi="Arial"/>
                <w:sz w:val="3"/>
                <w:szCs w:val="3"/>
                <w:color w:val="auto"/>
              </w:rPr>
              <w:t>536,488</w:t>
            </w:r>
          </w:p>
        </w:tc>
        <w:tc>
          <w:tcPr>
            <w:tcW w:w="0" w:type="dxa"/>
            <w:vAlign w:val="bottom"/>
          </w:tcPr>
          <w:p>
            <w:pPr>
              <w:spacing w:after="0" w:line="20" w:lineRule="exact"/>
              <w:rPr>
                <w:sz w:val="1"/>
                <w:szCs w:val="1"/>
                <w:color w:val="auto"/>
              </w:rPr>
            </w:pPr>
          </w:p>
        </w:tc>
      </w:tr>
      <w:tr>
        <w:trPr>
          <w:trHeight w:val="201"/>
        </w:trPr>
        <w:tc>
          <w:tcPr>
            <w:tcW w:w="2640" w:type="dxa"/>
            <w:vAlign w:val="bottom"/>
            <w:shd w:val="clear" w:color="auto" w:fill="D6F3E8"/>
          </w:tcPr>
          <w:p>
            <w:pPr>
              <w:spacing w:after="0"/>
              <w:rPr>
                <w:sz w:val="17"/>
                <w:szCs w:val="17"/>
                <w:color w:val="auto"/>
              </w:rPr>
            </w:pPr>
          </w:p>
        </w:tc>
        <w:tc>
          <w:tcPr>
            <w:tcW w:w="1680" w:type="dxa"/>
            <w:vAlign w:val="bottom"/>
            <w:shd w:val="clear" w:color="auto" w:fill="D6F3E8"/>
          </w:tcPr>
          <w:p>
            <w:pPr>
              <w:spacing w:after="0"/>
              <w:rPr>
                <w:sz w:val="17"/>
                <w:szCs w:val="17"/>
                <w:color w:val="auto"/>
              </w:rPr>
            </w:pPr>
          </w:p>
        </w:tc>
        <w:tc>
          <w:tcPr>
            <w:tcW w:w="640" w:type="dxa"/>
            <w:vAlign w:val="bottom"/>
            <w:vMerge w:val="continue"/>
            <w:shd w:val="clear" w:color="auto" w:fill="D6F3E8"/>
          </w:tcPr>
          <w:p>
            <w:pPr>
              <w:spacing w:after="0"/>
              <w:rPr>
                <w:sz w:val="17"/>
                <w:szCs w:val="17"/>
                <w:color w:val="auto"/>
              </w:rPr>
            </w:pPr>
          </w:p>
        </w:tc>
        <w:tc>
          <w:tcPr>
            <w:tcW w:w="1360" w:type="dxa"/>
            <w:vAlign w:val="bottom"/>
            <w:shd w:val="clear" w:color="auto" w:fill="D6F3E8"/>
          </w:tcPr>
          <w:p>
            <w:pPr>
              <w:jc w:val="right"/>
              <w:ind w:right="369"/>
              <w:spacing w:after="0"/>
              <w:rPr>
                <w:sz w:val="20"/>
                <w:szCs w:val="20"/>
                <w:color w:val="auto"/>
              </w:rPr>
            </w:pPr>
            <w:r>
              <w:rPr>
                <w:rFonts w:ascii="Arial" w:cs="Arial" w:eastAsia="Arial" w:hAnsi="Arial"/>
                <w:sz w:val="15"/>
                <w:szCs w:val="15"/>
                <w:color w:val="auto"/>
              </w:rPr>
              <w:t>(2)</w:t>
            </w:r>
          </w:p>
        </w:tc>
        <w:tc>
          <w:tcPr>
            <w:tcW w:w="820" w:type="dxa"/>
            <w:vAlign w:val="bottom"/>
            <w:shd w:val="clear" w:color="auto" w:fill="D6F3E8"/>
          </w:tcPr>
          <w:p>
            <w:pPr>
              <w:spacing w:after="0"/>
              <w:rPr>
                <w:sz w:val="17"/>
                <w:szCs w:val="17"/>
                <w:color w:val="auto"/>
              </w:rPr>
            </w:pPr>
          </w:p>
        </w:tc>
        <w:tc>
          <w:tcPr>
            <w:tcW w:w="380" w:type="dxa"/>
            <w:vAlign w:val="bottom"/>
            <w:vMerge w:val="continue"/>
            <w:shd w:val="clear" w:color="auto" w:fill="D6F3E8"/>
          </w:tcPr>
          <w:p>
            <w:pPr>
              <w:spacing w:after="0"/>
              <w:rPr>
                <w:sz w:val="17"/>
                <w:szCs w:val="17"/>
                <w:color w:val="auto"/>
              </w:rPr>
            </w:pPr>
          </w:p>
        </w:tc>
        <w:tc>
          <w:tcPr>
            <w:tcW w:w="1400" w:type="dxa"/>
            <w:vAlign w:val="bottom"/>
            <w:shd w:val="clear" w:color="auto" w:fill="D6F3E8"/>
          </w:tcPr>
          <w:p>
            <w:pPr>
              <w:spacing w:after="0"/>
              <w:rPr>
                <w:sz w:val="17"/>
                <w:szCs w:val="17"/>
                <w:color w:val="auto"/>
              </w:rPr>
            </w:pPr>
          </w:p>
        </w:tc>
        <w:tc>
          <w:tcPr>
            <w:tcW w:w="126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360" w:hanging="47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 granted on October 12, 2005 under the Company’s 2004 Incentive Compensation Plan, become exercisable in annual increments of one-third commencing October 12, 2006.</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total grants during fiscal 2006 of 312,000 shares.</w:t>
      </w:r>
    </w:p>
    <w:p>
      <w:pPr>
        <w:spacing w:after="0" w:line="117" w:lineRule="exact"/>
        <w:rPr>
          <w:rFonts w:ascii="Arial" w:cs="Arial" w:eastAsia="Arial" w:hAnsi="Arial"/>
          <w:sz w:val="18"/>
          <w:szCs w:val="18"/>
          <w:color w:val="auto"/>
        </w:rPr>
      </w:pPr>
    </w:p>
    <w:p>
      <w:pPr>
        <w:ind w:left="540" w:right="460" w:hanging="47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per share represents the mean between the high and low prices for a share of the Company’s Common Stock on the NYSE on October 12, 2005.</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AGGREGATED OPTION SHARES EXERCISED IN LAST FISCAL YEAR AND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FISCAL YEAR-END OPTION VALUES</w:t>
      </w:r>
    </w:p>
    <w:p>
      <w:pPr>
        <w:spacing w:after="0" w:line="195"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following table provides information related to the stock options exercised during fiscal 2006 and the number and value of unexercised options at August 26, 2006, by the named executive officers.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Number of Unexercised</w:t>
            </w:r>
          </w:p>
        </w:tc>
        <w:tc>
          <w:tcPr>
            <w:tcW w:w="186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w w:val="90"/>
              </w:rPr>
              <w:t>Value of Unexercised,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4"/>
          </w:tcPr>
          <w:p>
            <w:pPr>
              <w:jc w:val="right"/>
              <w:ind w:right="1000"/>
              <w:spacing w:after="0" w:line="149" w:lineRule="exact"/>
              <w:rPr>
                <w:sz w:val="20"/>
                <w:szCs w:val="20"/>
                <w:color w:val="auto"/>
              </w:rPr>
            </w:pPr>
            <w:r>
              <w:rPr>
                <w:rFonts w:ascii="Arial" w:cs="Arial" w:eastAsia="Arial" w:hAnsi="Arial"/>
                <w:sz w:val="14"/>
                <w:szCs w:val="14"/>
                <w:b w:val="1"/>
                <w:bCs w:val="1"/>
                <w:color w:val="auto"/>
              </w:rPr>
              <w:t>Options Held at</w:t>
            </w:r>
          </w:p>
        </w:tc>
        <w:tc>
          <w:tcPr>
            <w:tcW w:w="24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In-the-Money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4"/>
          </w:tcPr>
          <w:p>
            <w:pPr>
              <w:jc w:val="right"/>
              <w:ind w:right="1000"/>
              <w:spacing w:after="0" w:line="149" w:lineRule="exact"/>
              <w:rPr>
                <w:sz w:val="20"/>
                <w:szCs w:val="20"/>
                <w:color w:val="auto"/>
              </w:rPr>
            </w:pPr>
            <w:r>
              <w:rPr>
                <w:rFonts w:ascii="Arial" w:cs="Arial" w:eastAsia="Arial" w:hAnsi="Arial"/>
                <w:sz w:val="14"/>
                <w:szCs w:val="14"/>
                <w:b w:val="1"/>
                <w:bCs w:val="1"/>
                <w:color w:val="auto"/>
              </w:rPr>
              <w:t>August 26, 2006</w:t>
            </w:r>
          </w:p>
        </w:tc>
        <w:tc>
          <w:tcPr>
            <w:tcW w:w="1860" w:type="dxa"/>
            <w:vAlign w:val="bottom"/>
            <w:gridSpan w:val="3"/>
          </w:tcPr>
          <w:p>
            <w:pPr>
              <w:jc w:val="center"/>
              <w:ind w:left="420"/>
              <w:spacing w:after="0" w:line="149" w:lineRule="exact"/>
              <w:rPr>
                <w:sz w:val="20"/>
                <w:szCs w:val="20"/>
                <w:color w:val="auto"/>
              </w:rPr>
            </w:pPr>
            <w:r>
              <w:rPr>
                <w:rFonts w:ascii="Arial" w:cs="Arial" w:eastAsia="Arial" w:hAnsi="Arial"/>
                <w:sz w:val="11"/>
                <w:szCs w:val="11"/>
                <w:b w:val="1"/>
                <w:bCs w:val="1"/>
                <w:color w:val="auto"/>
              </w:rPr>
              <w:t>August 26, 2006</w:t>
            </w:r>
            <w:r>
              <w:rPr>
                <w:rFonts w:ascii="Arial" w:cs="Arial" w:eastAsia="Arial" w:hAnsi="Arial"/>
                <w:sz w:val="17"/>
                <w:szCs w:val="17"/>
                <w:b w:val="1"/>
                <w:bCs w:val="1"/>
                <w:color w:val="auto"/>
                <w:vertAlign w:val="superscript"/>
              </w:rPr>
              <w:t>(2)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18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8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Acquired on</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Unexercisable</w:t>
            </w: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284"/>
        </w:trPr>
        <w:tc>
          <w:tcPr>
            <w:tcW w:w="3400" w:type="dxa"/>
            <w:vAlign w:val="bottom"/>
            <w:gridSpan w:val="3"/>
            <w:vMerge w:val="continue"/>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Realized</w:t>
            </w:r>
            <w:r>
              <w:rPr>
                <w:rFonts w:ascii="Arial" w:cs="Arial" w:eastAsia="Arial" w:hAnsi="Arial"/>
                <w:sz w:val="23"/>
                <w:szCs w:val="23"/>
                <w:b w:val="1"/>
                <w:bCs w:val="1"/>
                <w:color w:val="auto"/>
                <w:w w:val="92"/>
                <w:vertAlign w:val="superscript"/>
              </w:rPr>
              <w:t>(1)</w:t>
            </w:r>
          </w:p>
        </w:tc>
        <w:tc>
          <w:tcPr>
            <w:tcW w:w="1320" w:type="dxa"/>
            <w:vAlign w:val="bottom"/>
            <w:gridSpan w:val="2"/>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5,478</w:t>
            </w:r>
          </w:p>
        </w:tc>
        <w:tc>
          <w:tcPr>
            <w:tcW w:w="2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67,927</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362,381</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50,001</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  4,276,519</w:t>
            </w:r>
          </w:p>
        </w:tc>
        <w:tc>
          <w:tcPr>
            <w:tcW w:w="320" w:type="dxa"/>
            <w:vAlign w:val="bottom"/>
            <w:shd w:val="clear" w:color="auto" w:fill="D6F3E8"/>
          </w:tcPr>
          <w:p>
            <w:pPr>
              <w:spacing w:after="0"/>
              <w:rPr>
                <w:sz w:val="18"/>
                <w:szCs w:val="18"/>
                <w:color w:val="auto"/>
              </w:rPr>
            </w:pPr>
          </w:p>
        </w:tc>
        <w:tc>
          <w:tcPr>
            <w:tcW w:w="520" w:type="dxa"/>
            <w:vAlign w:val="bottom"/>
            <w:shd w:val="clear" w:color="auto" w:fill="D6F3E8"/>
          </w:tcPr>
          <w:p>
            <w:pPr>
              <w:jc w:val="right"/>
              <w:ind w:right="339"/>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7"/>
              </w:rPr>
              <w:t>49,334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70,473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82,193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25,001</w:t>
            </w:r>
          </w:p>
        </w:tc>
        <w:tc>
          <w:tcPr>
            <w:tcW w:w="1020" w:type="dxa"/>
            <w:vAlign w:val="bottom"/>
          </w:tcPr>
          <w:p>
            <w:pPr>
              <w:jc w:val="right"/>
              <w:spacing w:after="0"/>
              <w:rPr>
                <w:sz w:val="20"/>
                <w:szCs w:val="20"/>
                <w:color w:val="auto"/>
              </w:rPr>
            </w:pPr>
            <w:r>
              <w:rPr>
                <w:rFonts w:ascii="Arial" w:cs="Arial" w:eastAsia="Arial" w:hAnsi="Arial"/>
                <w:sz w:val="18"/>
                <w:szCs w:val="18"/>
                <w:color w:val="auto"/>
              </w:rPr>
              <w:t>161,672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36,245</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12,501</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123,750</w:t>
            </w:r>
          </w:p>
        </w:tc>
        <w:tc>
          <w:tcPr>
            <w:tcW w:w="32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6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7"/>
              </w:rPr>
              <w:t>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32,299</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12,501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83,659</w:t>
            </w:r>
          </w:p>
        </w:tc>
        <w:tc>
          <w:tcPr>
            <w:tcW w:w="5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1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13,600</w:t>
            </w: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183,032</w:t>
            </w:r>
          </w:p>
        </w:tc>
        <w:tc>
          <w:tcPr>
            <w:tcW w:w="13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27,499</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12,501</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34,891</w:t>
            </w:r>
          </w:p>
        </w:tc>
        <w:tc>
          <w:tcPr>
            <w:tcW w:w="520" w:type="dxa"/>
            <w:vAlign w:val="bottom"/>
            <w:shd w:val="clear" w:color="auto" w:fill="D6F3E8"/>
          </w:tcPr>
          <w:p>
            <w:pPr>
              <w:spacing w:after="0"/>
              <w:rPr>
                <w:sz w:val="18"/>
                <w:szCs w:val="18"/>
                <w:color w:val="auto"/>
              </w:rPr>
            </w:pPr>
          </w:p>
        </w:tc>
        <w:tc>
          <w:tcPr>
            <w:tcW w:w="6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87"/>
              </w:rPr>
              <w:t>12,334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200" w:hanging="478"/>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value realized is the difference between the closing market price of the Company’s Common Stock on the date such options were exercised and the exercise price.</w:t>
      </w:r>
    </w:p>
    <w:p>
      <w:pPr>
        <w:spacing w:after="0" w:line="62" w:lineRule="exact"/>
        <w:rPr>
          <w:rFonts w:ascii="Arial" w:cs="Arial" w:eastAsia="Arial" w:hAnsi="Arial"/>
          <w:sz w:val="18"/>
          <w:szCs w:val="18"/>
          <w:color w:val="auto"/>
        </w:rPr>
      </w:pPr>
    </w:p>
    <w:p>
      <w:pPr>
        <w:ind w:left="540" w:right="60" w:hanging="478"/>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amount by which $28.41 (the closing price of the Company’s Common Stock on August 25, 2006 (August 26, 2006 being a non-business day)) exceeded the exercise prices of unexercised options. There is no guarantee that, if and when these options are exercised, they will have this value.</w:t>
      </w:r>
    </w:p>
    <w:p>
      <w:pPr>
        <w:sectPr>
          <w:pgSz w:w="11900" w:h="16838" w:orient="portrait"/>
          <w:cols w:equalWidth="0" w:num="1">
            <w:col w:w="11400"/>
          </w:cols>
          <w:pgMar w:left="240" w:top="140" w:right="25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Long-Term Incentive Plan—Awards in Fiscal 2006</w:t>
      </w:r>
    </w:p>
    <w:p>
      <w:pPr>
        <w:spacing w:after="0" w:line="189"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The following table provides information concerning the participation of the named executive officers in a long-term compensation plan called the “Officers’ Long-Term Incentive Plan Fiscal Three-Year Period 2006, 2007 and 2008.” Under this Plan, they were awarded the right to stock grants made in restricted shares of the Company’s Common Stock (or at the election of the participating officer, in cash) payable in fiscal 2009 based upon the achievement of long-term performance results as measured at the end of the three-year fiscal period. Actual payouts of incentive compensation, if any, will be determined based upon the financial performance of the Company as established by a three-year plan approved by the Human Resources Committee, as administrator of this Plan. Under the Plan, the financial performance measurements are earnings per share and return on equity of the Company for the three-year period. Reference is made to the description of the plan under the caption “Report of the Human Resources Committee on Executive Compensation”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Performance Period</w:t>
            </w:r>
          </w:p>
        </w:tc>
        <w:tc>
          <w:tcPr>
            <w:tcW w:w="3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760" w:type="dxa"/>
            <w:vAlign w:val="bottom"/>
            <w:gridSpan w:val="6"/>
            <w:vMerge w:val="restart"/>
          </w:tcPr>
          <w:p>
            <w:pPr>
              <w:jc w:val="center"/>
              <w:ind w:right="100"/>
              <w:spacing w:after="0" w:line="220" w:lineRule="exact"/>
              <w:rPr>
                <w:sz w:val="20"/>
                <w:szCs w:val="20"/>
                <w:color w:val="auto"/>
              </w:rPr>
            </w:pPr>
            <w:r>
              <w:rPr>
                <w:rFonts w:ascii="Arial" w:cs="Arial" w:eastAsia="Arial" w:hAnsi="Arial"/>
                <w:sz w:val="14"/>
                <w:szCs w:val="14"/>
                <w:b w:val="1"/>
                <w:bCs w:val="1"/>
                <w:color w:val="auto"/>
                <w:w w:val="90"/>
              </w:rPr>
              <w:t xml:space="preserve">Non-Stock Price-Based Plans </w:t>
            </w:r>
            <w:r>
              <w:rPr>
                <w:rFonts w:ascii="Arial" w:cs="Arial" w:eastAsia="Arial" w:hAnsi="Arial"/>
                <w:sz w:val="23"/>
                <w:szCs w:val="23"/>
                <w:b w:val="1"/>
                <w:bCs w:val="1"/>
                <w:color w:val="auto"/>
                <w:w w:val="90"/>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(or Other Period</w:t>
            </w:r>
          </w:p>
        </w:tc>
        <w:tc>
          <w:tcPr>
            <w:tcW w:w="3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140" w:type="dxa"/>
            <w:vAlign w:val="bottom"/>
          </w:tcPr>
          <w:p>
            <w:pPr>
              <w:spacing w:after="0"/>
              <w:rPr>
                <w:sz w:val="7"/>
                <w:szCs w:val="7"/>
                <w:color w:val="auto"/>
              </w:rPr>
            </w:pPr>
          </w:p>
        </w:tc>
        <w:tc>
          <w:tcPr>
            <w:tcW w:w="1380" w:type="dxa"/>
            <w:vAlign w:val="bottom"/>
            <w:gridSpan w:val="2"/>
            <w:vMerge w:val="restart"/>
          </w:tcPr>
          <w:p>
            <w:pPr>
              <w:ind w:left="240"/>
              <w:spacing w:after="0" w:line="159" w:lineRule="exact"/>
              <w:rPr>
                <w:sz w:val="20"/>
                <w:szCs w:val="20"/>
                <w:color w:val="auto"/>
              </w:rPr>
            </w:pPr>
            <w:r>
              <w:rPr>
                <w:rFonts w:ascii="Arial" w:cs="Arial" w:eastAsia="Arial" w:hAnsi="Arial"/>
                <w:sz w:val="14"/>
                <w:szCs w:val="14"/>
                <w:b w:val="1"/>
                <w:bCs w:val="1"/>
                <w:color w:val="auto"/>
              </w:rPr>
              <w:t>Incentive</w:t>
            </w:r>
          </w:p>
        </w:tc>
        <w:tc>
          <w:tcPr>
            <w:tcW w:w="1680" w:type="dxa"/>
            <w:vAlign w:val="bottom"/>
            <w:gridSpan w:val="2"/>
            <w:vMerge w:val="restart"/>
          </w:tcPr>
          <w:p>
            <w:pPr>
              <w:jc w:val="center"/>
              <w:ind w:right="340"/>
              <w:spacing w:after="0" w:line="159" w:lineRule="exact"/>
              <w:rPr>
                <w:sz w:val="20"/>
                <w:szCs w:val="20"/>
                <w:color w:val="auto"/>
              </w:rPr>
            </w:pPr>
            <w:r>
              <w:rPr>
                <w:rFonts w:ascii="Arial" w:cs="Arial" w:eastAsia="Arial" w:hAnsi="Arial"/>
                <w:sz w:val="14"/>
                <w:szCs w:val="14"/>
                <w:b w:val="1"/>
                <w:bCs w:val="1"/>
                <w:color w:val="auto"/>
                <w:w w:val="99"/>
              </w:rPr>
              <w:t>Until Maturation</w:t>
            </w:r>
          </w:p>
        </w:tc>
        <w:tc>
          <w:tcPr>
            <w:tcW w:w="10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23"/>
                <w:szCs w:val="23"/>
                <w:b w:val="1"/>
                <w:bCs w:val="1"/>
                <w:color w:val="auto"/>
                <w:vertAlign w:val="superscript"/>
              </w:rPr>
              <w:t>(1)</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 xml:space="preserve">of Payment) </w:t>
            </w:r>
            <w:r>
              <w:rPr>
                <w:rFonts w:ascii="Arial" w:cs="Arial" w:eastAsia="Arial" w:hAnsi="Arial"/>
                <w:sz w:val="23"/>
                <w:szCs w:val="23"/>
                <w:b w:val="1"/>
                <w:bCs w:val="1"/>
                <w:color w:val="auto"/>
                <w:w w:val="89"/>
                <w:vertAlign w:val="superscript"/>
              </w:rPr>
              <w:t>(2)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Threshold (%)</w:t>
            </w:r>
          </w:p>
        </w:tc>
        <w:tc>
          <w:tcPr>
            <w:tcW w:w="3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Target (%)</w:t>
            </w:r>
          </w:p>
        </w:tc>
        <w:tc>
          <w:tcPr>
            <w:tcW w:w="3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Maximum (%)</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38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rPr>
              <w:t>Fiscal 2006-2008</w:t>
            </w:r>
          </w:p>
        </w:tc>
        <w:tc>
          <w:tcPr>
            <w:tcW w:w="1000" w:type="dxa"/>
            <w:vAlign w:val="bottom"/>
            <w:shd w:val="clear" w:color="auto" w:fill="D6F3E8"/>
          </w:tcPr>
          <w:p>
            <w:pPr>
              <w:jc w:val="right"/>
              <w:ind w:right="277"/>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Fiscal 2006-2008</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248"/>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38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rPr>
              <w:t>Fiscal 2006-2008</w:t>
            </w:r>
          </w:p>
        </w:tc>
        <w:tc>
          <w:tcPr>
            <w:tcW w:w="1000" w:type="dxa"/>
            <w:vAlign w:val="bottom"/>
            <w:shd w:val="clear" w:color="auto" w:fill="D6F3E8"/>
          </w:tcPr>
          <w:p>
            <w:pPr>
              <w:jc w:val="right"/>
              <w:ind w:right="277"/>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Fiscal 2006-2008</w:t>
            </w:r>
          </w:p>
        </w:tc>
        <w:tc>
          <w:tcPr>
            <w:tcW w:w="1000" w:type="dxa"/>
            <w:vAlign w:val="bottom"/>
          </w:tcPr>
          <w:p>
            <w:pPr>
              <w:jc w:val="right"/>
              <w:ind w:right="277"/>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248"/>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William J. O’Leary</w:t>
            </w:r>
          </w:p>
        </w:tc>
        <w:tc>
          <w:tcPr>
            <w:tcW w:w="138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auto"/>
              </w:rPr>
              <w:t>Fiscal 2006-2008</w:t>
            </w:r>
          </w:p>
        </w:tc>
        <w:tc>
          <w:tcPr>
            <w:tcW w:w="1000" w:type="dxa"/>
            <w:vAlign w:val="bottom"/>
            <w:shd w:val="clear" w:color="auto" w:fill="D6F3E8"/>
          </w:tcPr>
          <w:p>
            <w:pPr>
              <w:jc w:val="right"/>
              <w:ind w:right="277"/>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D6F3E8"/>
          </w:tcPr>
          <w:p>
            <w:pPr>
              <w:jc w:val="right"/>
              <w:ind w:right="248"/>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40" w:hanging="478"/>
        <w:spacing w:after="0" w:line="25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actual incentive compensation, if any, that will be paid out after the conclusion of the three-year period cannot be determined because the incentive compensation earned by the named executive officers will be based on the Company’s future performance. The incentive compensation will be a percentage of the officer’s annualized base salary, which is the salary in place for each officer as of January 2006. The annualized base salary as of January 2006 for each of the named officers is as follows: Mr. Hertzke $523,615; Mr. Barker $364,000; Mr. Olson $259,237; Mr. Beebe $242,740; and Mr. O’Leary $231,504.</w:t>
      </w:r>
    </w:p>
    <w:p>
      <w:pPr>
        <w:spacing w:after="0" w:line="80" w:lineRule="exact"/>
        <w:rPr>
          <w:rFonts w:ascii="Arial" w:cs="Arial" w:eastAsia="Arial" w:hAnsi="Arial"/>
          <w:sz w:val="18"/>
          <w:szCs w:val="18"/>
          <w:color w:val="auto"/>
        </w:rPr>
      </w:pPr>
    </w:p>
    <w:p>
      <w:pPr>
        <w:ind w:left="540" w:right="60" w:hanging="478"/>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Payouts will be made in Common Stock or cash, as elected by the officer, in fiscal 2009 depending on the level of attainment of the Plan approved by the Human Resources Committee for achievement of earnings per share for the three-year period.</w:t>
      </w:r>
    </w:p>
    <w:p>
      <w:pPr>
        <w:spacing w:after="0" w:line="62" w:lineRule="exact"/>
        <w:rPr>
          <w:rFonts w:ascii="Arial" w:cs="Arial" w:eastAsia="Arial" w:hAnsi="Arial"/>
          <w:sz w:val="18"/>
          <w:szCs w:val="18"/>
          <w:color w:val="auto"/>
        </w:rPr>
      </w:pPr>
    </w:p>
    <w:p>
      <w:pPr>
        <w:ind w:left="540" w:right="140" w:hanging="478"/>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Shown in these columns are the percentages of the named executive officers’ annualized base salary as of January 2006 that would be payable under the Plan if the Company attains the threshold, target or maximum achievement of financial objectives of earnings per share. If actual Company performance falls below an established level, no payments are made.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Company’s Non-Qualified Deferred Compensation Program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assist in funding the deferred compensation liability, the Company invested in corporate-owned life insurance policies.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sets forth the estimated annual benefits payable for 15 years upon the following named executive officers reaching age 65:</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7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Estimated Annual</w:t>
            </w:r>
          </w:p>
        </w:tc>
        <w:tc>
          <w:tcPr>
            <w:tcW w:w="0" w:type="dxa"/>
            <w:vAlign w:val="bottom"/>
          </w:tcPr>
          <w:p>
            <w:pPr>
              <w:spacing w:after="0"/>
              <w:rPr>
                <w:sz w:val="1"/>
                <w:szCs w:val="1"/>
                <w:color w:val="auto"/>
              </w:rPr>
            </w:pPr>
          </w:p>
        </w:tc>
      </w:tr>
      <w:tr>
        <w:trPr>
          <w:trHeight w:val="186"/>
        </w:trPr>
        <w:tc>
          <w:tcPr>
            <w:tcW w:w="1560" w:type="dxa"/>
            <w:vAlign w:val="bottom"/>
            <w:vMerge w:val="continue"/>
          </w:tcPr>
          <w:p>
            <w:pPr>
              <w:spacing w:after="0"/>
              <w:rPr>
                <w:sz w:val="16"/>
                <w:szCs w:val="16"/>
                <w:color w:val="auto"/>
              </w:rPr>
            </w:pPr>
          </w:p>
        </w:tc>
        <w:tc>
          <w:tcPr>
            <w:tcW w:w="5700" w:type="dxa"/>
            <w:vAlign w:val="bottom"/>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Benefits Payable ($)</w:t>
            </w: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5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6900" w:type="dxa"/>
            <w:vAlign w:val="bottom"/>
            <w:gridSpan w:val="2"/>
            <w:shd w:val="clear" w:color="auto" w:fill="D6F3E8"/>
          </w:tcPr>
          <w:p>
            <w:pPr>
              <w:jc w:val="right"/>
              <w:ind w:right="168"/>
              <w:spacing w:after="0"/>
              <w:rPr>
                <w:sz w:val="20"/>
                <w:szCs w:val="20"/>
                <w:color w:val="auto"/>
              </w:rPr>
            </w:pPr>
            <w:r>
              <w:rPr>
                <w:rFonts w:ascii="Arial" w:cs="Arial" w:eastAsia="Arial" w:hAnsi="Arial"/>
                <w:sz w:val="18"/>
                <w:szCs w:val="18"/>
                <w:color w:val="auto"/>
              </w:rPr>
              <w:t>241,922</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Edwin F. Barker</w:t>
            </w:r>
          </w:p>
        </w:tc>
        <w:tc>
          <w:tcPr>
            <w:tcW w:w="6900" w:type="dxa"/>
            <w:vAlign w:val="bottom"/>
            <w:gridSpan w:val="2"/>
          </w:tcPr>
          <w:p>
            <w:pPr>
              <w:jc w:val="right"/>
              <w:ind w:right="168"/>
              <w:spacing w:after="0"/>
              <w:rPr>
                <w:sz w:val="20"/>
                <w:szCs w:val="20"/>
                <w:color w:val="auto"/>
              </w:rPr>
            </w:pPr>
            <w:r>
              <w:rPr>
                <w:rFonts w:ascii="Arial" w:cs="Arial" w:eastAsia="Arial" w:hAnsi="Arial"/>
                <w:sz w:val="18"/>
                <w:szCs w:val="18"/>
                <w:color w:val="auto"/>
              </w:rPr>
              <w:t>254,242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6900" w:type="dxa"/>
            <w:vAlign w:val="bottom"/>
            <w:gridSpan w:val="2"/>
            <w:shd w:val="clear" w:color="auto" w:fill="D6F3E8"/>
          </w:tcPr>
          <w:p>
            <w:pPr>
              <w:jc w:val="right"/>
              <w:ind w:right="168"/>
              <w:spacing w:after="0"/>
              <w:rPr>
                <w:sz w:val="20"/>
                <w:szCs w:val="20"/>
                <w:color w:val="auto"/>
              </w:rPr>
            </w:pPr>
            <w:r>
              <w:rPr>
                <w:rFonts w:ascii="Arial" w:cs="Arial" w:eastAsia="Arial" w:hAnsi="Arial"/>
                <w:sz w:val="18"/>
                <w:szCs w:val="18"/>
                <w:color w:val="auto"/>
              </w:rPr>
              <w:t>82,176</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w w:val="96"/>
              </w:rPr>
              <w:t>Raymond M. Beebe</w:t>
            </w:r>
          </w:p>
        </w:tc>
        <w:tc>
          <w:tcPr>
            <w:tcW w:w="6900" w:type="dxa"/>
            <w:vAlign w:val="bottom"/>
            <w:gridSpan w:val="2"/>
          </w:tcPr>
          <w:p>
            <w:pPr>
              <w:jc w:val="right"/>
              <w:ind w:right="168"/>
              <w:spacing w:after="0"/>
              <w:rPr>
                <w:sz w:val="20"/>
                <w:szCs w:val="20"/>
                <w:color w:val="auto"/>
              </w:rPr>
            </w:pPr>
            <w:r>
              <w:rPr>
                <w:rFonts w:ascii="Arial" w:cs="Arial" w:eastAsia="Arial" w:hAnsi="Arial"/>
                <w:sz w:val="18"/>
                <w:szCs w:val="18"/>
                <w:color w:val="auto"/>
              </w:rPr>
              <w:t>163,545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William J. O’Leary did not participate in this program.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Human Resources Committee on Executive Compensation</w:t>
      </w:r>
    </w:p>
    <w:p>
      <w:pPr>
        <w:spacing w:after="0" w:line="189"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4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Human Resources Committee of the Board is the compensation committee of the Company. This Committee reviews and approves compensation plans for all corporate officers, including salaries, profit sharing awards and stock option grants.</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type w:val="continuous"/>
        </w:sectPr>
      </w:pPr>
    </w:p>
    <w:bookmarkStart w:id="12" w:name="page13"/>
    <w:bookmarkEnd w:id="12"/>
    <w:p>
      <w:pPr>
        <w:ind w:right="560" w:firstLine="360"/>
        <w:spacing w:after="0" w:line="277" w:lineRule="auto"/>
        <w:rPr>
          <w:sz w:val="20"/>
          <w:szCs w:val="20"/>
          <w:color w:val="auto"/>
        </w:rPr>
      </w:pPr>
      <w:r>
        <w:rPr>
          <w:rFonts w:ascii="Arial" w:cs="Arial" w:eastAsia="Arial" w:hAnsi="Arial"/>
          <w:sz w:val="18"/>
          <w:szCs w:val="18"/>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84" w:lineRule="exact"/>
        <w:rPr>
          <w:sz w:val="20"/>
          <w:szCs w:val="20"/>
          <w:color w:val="auto"/>
        </w:rPr>
      </w:pPr>
    </w:p>
    <w:p>
      <w:pPr>
        <w:ind w:left="580" w:hanging="26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pacing w:after="0" w:line="200" w:lineRule="exact"/>
        <w:rPr>
          <w:sz w:val="20"/>
          <w:szCs w:val="20"/>
          <w:color w:val="auto"/>
        </w:rPr>
      </w:pPr>
    </w:p>
    <w:p>
      <w:pPr>
        <w:spacing w:after="0" w:line="295"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Company’s executive compensation is primarily based on the following three components, each of which is intended to help achieve the overall compensation philosophy: base salary, quarterly incentive awards and long-term incentives.</w:t>
      </w:r>
    </w:p>
    <w:p>
      <w:pPr>
        <w:spacing w:after="0" w:line="13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Base salary levels for the Company’s named executive officers are set by the Committee and approved by the Board of Directors. In determining base salary levels and annual salary adjustments for the named executive officers, including the CEO, the Committee considers market compensation levels of similarly sized manufacturing companies as well as individual performance and contributions.</w:t>
      </w:r>
    </w:p>
    <w:p>
      <w:pPr>
        <w:spacing w:after="0" w:line="14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base salary of Mr. Hertzke, as the CEO, was $503,476 for the period from the beginning of fiscal 2006 until January 2, 2006 and $523,615 thereafter and in fiscal 2005 was $486,450 for the period from the beginning of fiscal 2005 until January 3, 2005 and $503,476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44"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 xml:space="preserve">The Company’s officers including the CEO are eligible for quarterly incentive awards under the Company’s Officers Incentive Compensation Plan Fiscal Period 2006 (the </w:t>
      </w:r>
      <w:r>
        <w:rPr>
          <w:rFonts w:ascii="Arial" w:cs="Arial" w:eastAsia="Arial" w:hAnsi="Arial"/>
          <w:sz w:val="17"/>
          <w:szCs w:val="17"/>
          <w:i w:val="1"/>
          <w:iCs w:val="1"/>
          <w:color w:val="auto"/>
        </w:rPr>
        <w:t>“Officers Incentive Compensation Plan”</w:t>
      </w:r>
      <w:r>
        <w:rPr>
          <w:rFonts w:ascii="Arial" w:cs="Arial" w:eastAsia="Arial" w:hAnsi="Arial"/>
          <w:sz w:val="17"/>
          <w:szCs w:val="17"/>
          <w:color w:val="auto"/>
        </w:rPr>
        <w:t xml:space="preserve"> ). Under the Officers Incentive Compensation Plan, the incentive awards are based upon financial performance of the Company, as established by the Board of Directors. The Officers Incentive Compensation Plan is an annual program that provides for quarterly cumulative measurements of financial performance and an opportunity for quarterly incentive payments based on financial results measured against the management plan adopted by the Board of Directors (the </w:t>
      </w:r>
      <w:r>
        <w:rPr>
          <w:rFonts w:ascii="Arial" w:cs="Arial" w:eastAsia="Arial" w:hAnsi="Arial"/>
          <w:sz w:val="17"/>
          <w:szCs w:val="17"/>
          <w:i w:val="1"/>
          <w:iCs w:val="1"/>
          <w:color w:val="auto"/>
        </w:rPr>
        <w:t>“Management Plan”</w:t>
      </w:r>
      <w:r>
        <w:rPr>
          <w:rFonts w:ascii="Arial" w:cs="Arial" w:eastAsia="Arial" w:hAnsi="Arial"/>
          <w:sz w:val="17"/>
          <w:szCs w:val="17"/>
          <w:color w:val="auto"/>
        </w:rPr>
        <w:t xml:space="preserve"> ).</w:t>
      </w:r>
    </w:p>
    <w:p>
      <w:pPr>
        <w:spacing w:after="0" w:line="13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fiscal 2006, the Human Resources Committee recommended that the Officers Incentive Compensation Plan utilize the same plan format that had been used in prior years, but that the manner of calculating the financial targets for the officers be changed such that the financial performance measurement for the Plan is solely earnings per share (</w:t>
      </w:r>
      <w:r>
        <w:rPr>
          <w:rFonts w:ascii="Arial" w:cs="Arial" w:eastAsia="Arial" w:hAnsi="Arial"/>
          <w:sz w:val="18"/>
          <w:szCs w:val="18"/>
          <w:i w:val="1"/>
          <w:iCs w:val="1"/>
          <w:color w:val="auto"/>
        </w:rPr>
        <w:t>“EPS”</w:t>
      </w:r>
      <w:r>
        <w:rPr>
          <w:rFonts w:ascii="Arial" w:cs="Arial" w:eastAsia="Arial" w:hAnsi="Arial"/>
          <w:sz w:val="18"/>
          <w:szCs w:val="18"/>
          <w:color w:val="auto"/>
        </w:rPr>
        <w:t xml:space="preserve"> ). Additionally, the 100% target bonus payout was set to be the same as the actual EPS for the prior fiscal year, the 200% target bonus payout (maximum) was set at 10% above the best EPS in the Company’s history, payout under the Officers Compensation Plan would begin only after EPS for the year reached 75% of the prior years EPS and an appropriate target bonus matrix was developed for 75%–100%–200% based upon EPS. The Committee believes that the Officers Incentive Compensation Plan provides an excellent link between the value created for shareholders and incentives paid to participants.</w:t>
      </w:r>
    </w:p>
    <w:p>
      <w:pPr>
        <w:spacing w:after="0" w:line="14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Officers Incentive Compensation Plan, the amount of the participants’ incentive compensation for the quarter shall be in direct proportion to the Company’s financial performance expressed as a percentage (Financial Factor) against compensation targets (Target) for each participant as determined by the Board of Directors prior to the commencement of the fiscal year.</w:t>
      </w:r>
    </w:p>
    <w:p>
      <w:pPr>
        <w:spacing w:after="0" w:line="154" w:lineRule="exact"/>
        <w:rPr>
          <w:sz w:val="20"/>
          <w:szCs w:val="20"/>
          <w:color w:val="auto"/>
        </w:rPr>
      </w:pPr>
    </w:p>
    <w:p>
      <w:pPr>
        <w:ind w:right="240" w:firstLine="360"/>
        <w:spacing w:after="0" w:line="293" w:lineRule="auto"/>
        <w:rPr>
          <w:sz w:val="20"/>
          <w:szCs w:val="20"/>
          <w:color w:val="auto"/>
        </w:rPr>
      </w:pPr>
      <w:r>
        <w:rPr>
          <w:rFonts w:ascii="Arial" w:cs="Arial" w:eastAsia="Arial" w:hAnsi="Arial"/>
          <w:sz w:val="16"/>
          <w:szCs w:val="16"/>
          <w:color w:val="auto"/>
        </w:rPr>
        <w:t>The Officers Incentive Compensation Plan provides for a bonus (Target) of 60% of base salary (comprised of 2/3 cash and 1/3 stock (or in cash at the participant’s election)) at 100% achievement of the financial objectives of EPS for participating officers, except the CEO. The Officers Incentive Compensation Plan provides for a bonus (Target) of 105% of base salary (comprised of 2/3 cash and 1/3 stock (or in cash at the participant’s election)) at 100% achievement of the financial objectives of EPS for the CEO.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cash payment is paid as soon as practical after the final fiscal year-end compensation accounting and payment of any remaining incentive compensation holdback for the fiscal year.</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15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40"/>
              <w:spacing w:after="0"/>
              <w:rPr>
                <w:sz w:val="20"/>
                <w:szCs w:val="20"/>
                <w:color w:val="auto"/>
              </w:rPr>
            </w:pPr>
            <w:r>
              <w:rPr>
                <w:rFonts w:ascii="Arial" w:cs="Arial" w:eastAsia="Arial" w:hAnsi="Arial"/>
                <w:sz w:val="18"/>
                <w:szCs w:val="18"/>
                <w:color w:val="auto"/>
              </w:rPr>
              <w:t>Revenue Growth</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rPr>
              <w:t>Customer Satisfaction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 Market Share</w:t>
            </w:r>
          </w:p>
        </w:tc>
        <w:tc>
          <w:tcPr>
            <w:tcW w:w="2500" w:type="dxa"/>
            <w:vAlign w:val="bottom"/>
            <w:gridSpan w:val="2"/>
          </w:tcPr>
          <w:p>
            <w:pPr>
              <w:ind w:left="460"/>
              <w:spacing w:after="0"/>
              <w:rPr>
                <w:sz w:val="20"/>
                <w:szCs w:val="20"/>
                <w:color w:val="auto"/>
              </w:rPr>
            </w:pPr>
            <w:r>
              <w:rPr>
                <w:rFonts w:ascii="Arial" w:cs="Arial" w:eastAsia="Arial" w:hAnsi="Arial"/>
                <w:sz w:val="18"/>
                <w:szCs w:val="18"/>
                <w:color w:val="auto"/>
              </w:rPr>
              <w:t>• Inventory Management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40"/>
              <w:spacing w:after="0"/>
              <w:rPr>
                <w:sz w:val="20"/>
                <w:szCs w:val="20"/>
                <w:color w:val="auto"/>
              </w:rPr>
            </w:pPr>
            <w:r>
              <w:rPr>
                <w:rFonts w:ascii="Arial" w:cs="Arial" w:eastAsia="Arial" w:hAnsi="Arial"/>
                <w:sz w:val="18"/>
                <w:szCs w:val="18"/>
                <w:color w:val="auto"/>
              </w:rPr>
              <w:t>Product Quality</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rPr>
              <w:t>Technical Innovation</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080" w:type="dxa"/>
            <w:vAlign w:val="bottom"/>
          </w:tcPr>
          <w:p>
            <w:pPr>
              <w:ind w:left="40"/>
              <w:spacing w:after="0"/>
              <w:rPr>
                <w:sz w:val="20"/>
                <w:szCs w:val="20"/>
                <w:color w:val="auto"/>
              </w:rPr>
            </w:pPr>
            <w:r>
              <w:rPr>
                <w:rFonts w:ascii="Arial" w:cs="Arial" w:eastAsia="Arial" w:hAnsi="Arial"/>
                <w:sz w:val="18"/>
                <w:szCs w:val="18"/>
                <w:color w:val="auto"/>
              </w:rPr>
              <w:t>Product Introductions</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920" w:type="dxa"/>
            <w:vAlign w:val="bottom"/>
          </w:tcPr>
          <w:p>
            <w:pPr>
              <w:ind w:left="40"/>
              <w:spacing w:after="0"/>
              <w:rPr>
                <w:sz w:val="20"/>
                <w:szCs w:val="20"/>
                <w:color w:val="auto"/>
              </w:rPr>
            </w:pPr>
            <w:r>
              <w:rPr>
                <w:rFonts w:ascii="Arial" w:cs="Arial" w:eastAsia="Arial" w:hAnsi="Arial"/>
                <w:sz w:val="18"/>
                <w:szCs w:val="18"/>
                <w:color w:val="auto"/>
                <w:w w:val="88"/>
              </w:rPr>
              <w:t>Ethical Business Practices</w:t>
            </w:r>
          </w:p>
        </w:tc>
      </w:tr>
    </w:tbl>
    <w:p>
      <w:pPr>
        <w:spacing w:after="0" w:line="200" w:lineRule="exact"/>
        <w:rPr>
          <w:sz w:val="20"/>
          <w:szCs w:val="20"/>
          <w:color w:val="auto"/>
        </w:rPr>
      </w:pP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For purposes of the Officers Incentive Compensation Plan, the Board determined that industry performance, market share, product quality and planning (both strategic and succession) would be the strategic factors used in determining this compensation.</w:t>
      </w:r>
    </w:p>
    <w:p>
      <w:pPr>
        <w:spacing w:after="0" w:line="130"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(including the annual supplementary cash match payment described above) within 15 days of the Effective Date (as defined in the Officers Incentive Compensation Plan) based on the Committee’s estimate of the Company’s financial performance through the end of the fiscal year in which such Change in Control occurs.</w:t>
      </w:r>
    </w:p>
    <w:p>
      <w:pPr>
        <w:sectPr>
          <w:pgSz w:w="11900" w:h="16838" w:orient="portrait"/>
          <w:cols w:equalWidth="0" w:num="1">
            <w:col w:w="11420"/>
          </w:cols>
          <w:pgMar w:left="240" w:top="125" w:right="239" w:bottom="0" w:gutter="0" w:footer="0" w:header="0"/>
        </w:sectPr>
      </w:pPr>
    </w:p>
    <w:bookmarkStart w:id="13" w:name="page14"/>
    <w:bookmarkEnd w:id="13"/>
    <w:p>
      <w:pPr>
        <w:ind w:right="700" w:firstLine="360"/>
        <w:spacing w:after="0" w:line="277" w:lineRule="auto"/>
        <w:rPr>
          <w:sz w:val="20"/>
          <w:szCs w:val="20"/>
          <w:color w:val="auto"/>
        </w:rPr>
      </w:pPr>
      <w:r>
        <w:rPr>
          <w:rFonts w:ascii="Arial" w:cs="Arial" w:eastAsia="Arial" w:hAnsi="Arial"/>
          <w:sz w:val="18"/>
          <w:szCs w:val="18"/>
          <w:color w:val="auto"/>
        </w:rPr>
        <w:t>Financial performance of less than 75% of the Target for EPS results in no bonus and the maximum bonus of 200% of the Target will be paid at attainment of approximately 120% of the Target.</w:t>
      </w:r>
    </w:p>
    <w:p>
      <w:pPr>
        <w:spacing w:after="0" w:line="13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As provided by the Officers Incentive Compensation Plan, the Committee has the discretion and authority to make any and all determinations necessary or advisable for administration of the Officers Incentive Compensation Plan.</w:t>
      </w:r>
    </w:p>
    <w:p>
      <w:pPr>
        <w:spacing w:after="0" w:line="14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Mr. Hertzke received $39,638 in cash in fiscal 2006 and $421,908 in cash in fiscal 2005 pursuant to the Officers Incentive Compensation Plan and the Officers Incentive Compensation Plan Fiscal Period 2005, respectively.</w:t>
      </w:r>
    </w:p>
    <w:p>
      <w:pPr>
        <w:spacing w:after="0" w:line="13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The Company’s officers (including the CEO) are eligible for annual incentive awards under the Company’s Officers Long-Term Incentive Plan (the </w:t>
      </w:r>
      <w:r>
        <w:rPr>
          <w:rFonts w:ascii="Arial" w:cs="Arial" w:eastAsia="Arial" w:hAnsi="Arial"/>
          <w:sz w:val="18"/>
          <w:szCs w:val="18"/>
          <w:i w:val="1"/>
          <w:iCs w:val="1"/>
          <w:color w:val="auto"/>
        </w:rPr>
        <w:t xml:space="preserve">“Long-Term Incentive Plan” </w:t>
      </w:r>
      <w:r>
        <w:rPr>
          <w:rFonts w:ascii="Arial" w:cs="Arial" w:eastAsia="Arial" w:hAnsi="Arial"/>
          <w:sz w:val="18"/>
          <w:szCs w:val="18"/>
          <w:color w:val="auto"/>
        </w:rPr>
        <w:t>). The purpose of the Long-Term Incentive Plan is to promote the long-term growth and profitability of the Company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and retain officers by providing the officers of the Company an opportunity for an incentive award consisting of stock grants made in restricted shares of the Company’s Common Stock (or at the election of a participating officer, in cash) with compensation based on the achievement of long-term performance results as measured at the end of a three-year fiscal period.</w:t>
      </w:r>
    </w:p>
    <w:p>
      <w:pPr>
        <w:spacing w:after="0" w:line="148" w:lineRule="exact"/>
        <w:rPr>
          <w:sz w:val="20"/>
          <w:szCs w:val="20"/>
          <w:color w:val="auto"/>
        </w:rPr>
      </w:pPr>
    </w:p>
    <w:p>
      <w:pPr>
        <w:jc w:val="both"/>
        <w:ind w:right="140" w:firstLine="360"/>
        <w:spacing w:after="0" w:line="279" w:lineRule="auto"/>
        <w:rPr>
          <w:sz w:val="20"/>
          <w:szCs w:val="20"/>
          <w:color w:val="auto"/>
        </w:rPr>
      </w:pPr>
      <w:r>
        <w:rPr>
          <w:rFonts w:ascii="Arial" w:cs="Arial" w:eastAsia="Arial" w:hAnsi="Arial"/>
          <w:sz w:val="17"/>
          <w:szCs w:val="17"/>
          <w:color w:val="auto"/>
        </w:rPr>
        <w:t>The awards under the Long-Term Incentive Plan are based upon the Company’s financial performance as measured against the three-year management plan established by the Committee and approved by the Board of Directors. The financial performance measurements for the Long-Term Incentive Plan are EPS and a minimum average return on equity (</w:t>
      </w:r>
      <w:r>
        <w:rPr>
          <w:rFonts w:ascii="Arial" w:cs="Arial" w:eastAsia="Arial" w:hAnsi="Arial"/>
          <w:sz w:val="17"/>
          <w:szCs w:val="17"/>
          <w:i w:val="1"/>
          <w:iCs w:val="1"/>
          <w:color w:val="auto"/>
        </w:rPr>
        <w:t>“ROE”</w:t>
      </w:r>
      <w:r>
        <w:rPr>
          <w:rFonts w:ascii="Arial" w:cs="Arial" w:eastAsia="Arial" w:hAnsi="Arial"/>
          <w:sz w:val="17"/>
          <w:szCs w:val="17"/>
          <w:color w:val="auto"/>
        </w:rPr>
        <w:t xml:space="preserve"> ) of the Company (collectively, the </w:t>
      </w:r>
      <w:r>
        <w:rPr>
          <w:rFonts w:ascii="Arial" w:cs="Arial" w:eastAsia="Arial" w:hAnsi="Arial"/>
          <w:sz w:val="17"/>
          <w:szCs w:val="17"/>
          <w:i w:val="1"/>
          <w:iCs w:val="1"/>
          <w:color w:val="auto"/>
        </w:rPr>
        <w:t>“Long-Term Financial Target”</w:t>
      </w:r>
      <w:r>
        <w:rPr>
          <w:rFonts w:ascii="Arial" w:cs="Arial" w:eastAsia="Arial" w:hAnsi="Arial"/>
          <w:sz w:val="17"/>
          <w:szCs w:val="17"/>
          <w:color w:val="auto"/>
        </w:rPr>
        <w:t xml:space="preserve"> ). Stockholders’ equity at the start of the Company’s fiscal year of the applicable plan period is used as the basis figure for the calculation of ROE.</w:t>
      </w:r>
    </w:p>
    <w:p>
      <w:pPr>
        <w:spacing w:after="0" w:line="144"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Under the Long-Term Incentive Plan, the amount of the participants’ long-term incentive award for the three-year fiscal period is in direct proportion to the Company’s financial performance expressed as a percentage (Financial Factor) against award targets for each participant established by the Committee and approved by the Board of Directors prior to the commencement of the three-year fiscal period. The Company’s financial results for the three-year fiscal period are used in determining the Financial Factor to be used for that plan period when calculating the participants long-term incentive awards. In fiscal 2006, the Human Resources Committee determined that the year one target under the Long-Term Incentive Plan would be the same as that defined for such year in the annual plans, the target for 150% would be set at 10% above the best EPS year in the Company’s history, the second year target would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 the first year target EPS increased by 10% and the third year target would be the second year target EPS increased by 10%, subject, however, to the further requirement that a minimum average ROE would be identified to insure that officers also focus on ROE financial factors and that if such minimum threshold was not reached there would be no payout under the Long-Term Incentive Plan regardless of the amount of bonus the officer would be entitled by meeting certain EPS targets.</w:t>
      </w:r>
    </w:p>
    <w:p>
      <w:pPr>
        <w:spacing w:after="0" w:line="146"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The long-term incentive for the officers provides for an opportunity of 25% of the annualized base salary (Target) to be awarded in restricted stock or cash at 100% achievement of the Long-Term Financial Target. The annualized base salary figure used is the salary in place for each participant as of January 2006. The resultant incentive award (at 100% of the three-year fiscal management plan) will be adjusted up or down as determined by actual financial performance expressed as a percentage (Financial Factor) at the end of the three-year fiscal period.</w:t>
      </w:r>
    </w:p>
    <w:p>
      <w:pPr>
        <w:spacing w:after="0" w:line="14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Financial performance of less than 80% of the Long-Term Financial Target results in no incentive award under the Long-Term Incentive Plan and the maximum incentive award of 150% of the target will be paid at attainment of 120% of the Long-Term Financial Target.</w:t>
      </w:r>
    </w:p>
    <w:p>
      <w:pPr>
        <w:spacing w:after="0" w:line="10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three-year fiscal period in which such Change in Control occurs.</w:t>
      </w:r>
    </w:p>
    <w:p>
      <w:pPr>
        <w:spacing w:after="0" w:line="14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 participant must be employed by the Company at the end of the three-year fiscal period to be eligible for any long-term incentive award except for a Change in Control as described above or as waived by the Committee for normal retirement and disability.</w:t>
      </w:r>
    </w:p>
    <w:p>
      <w:pPr>
        <w:spacing w:after="0" w:line="143"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Mr. Hertzke received $167,825 in cash in fiscal 2006 and $199,674 in cash in fiscal 2005 pursuant to the Long-Term Incentive Plans for the three-year fiscal periods ended August 26, 2006 and August 27, 2005, respectively. These Long-Term Incentive Plans provided for incentive awards consisting of stock grants made in restricted shares of the Company’s Common Stock, or at the election of a participating officer, in cash. The Board of Directors amended the Long-Term Incentive Plan Fiscal Three-Year Period 2004, 2005 and 2006 to provide that all awards payable under such Plan shall be made in cash. Awards under the Long-Term Incentive Plan Fiscal Three-Year Periods 2005, 2006 and 2007, 2006, 2007 and 2008, and 2007, 2008 and 2009, respectively, are payable in restricted shares of the Company’s Common Stock or in cash upon the election of the participant.</w:t>
      </w:r>
    </w:p>
    <w:p>
      <w:pPr>
        <w:spacing w:after="0" w:line="138"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on the date of grant by the Human Resources Committee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50,000 shares of the Company’s Common Stock in fiscal 2006 and stock options for 70,000 shares in fiscal 2005 under the Incentive Compensation Plan.</w:t>
      </w:r>
    </w:p>
    <w:p>
      <w:pPr>
        <w:spacing w:after="0" w:line="137"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member of the Human Resources Committee is a current or former officer or employee of the Company or any of its subsidiaries.</w:t>
      </w:r>
    </w:p>
    <w:p>
      <w:pPr>
        <w:spacing w:after="0" w:line="185" w:lineRule="exact"/>
        <w:rPr>
          <w:sz w:val="20"/>
          <w:szCs w:val="20"/>
          <w:color w:val="auto"/>
        </w:rPr>
      </w:pPr>
    </w:p>
    <w:p>
      <w:pPr>
        <w:ind w:left="3400"/>
        <w:spacing w:after="0"/>
        <w:tabs>
          <w:tab w:leader="none" w:pos="5580" w:val="left"/>
          <w:tab w:leader="none" w:pos="6920" w:val="left"/>
        </w:tabs>
        <w:rPr>
          <w:sz w:val="20"/>
          <w:szCs w:val="20"/>
          <w:color w:val="auto"/>
        </w:rPr>
      </w:pPr>
      <w:r>
        <w:rPr>
          <w:rFonts w:ascii="Arial" w:cs="Arial" w:eastAsia="Arial" w:hAnsi="Arial"/>
          <w:sz w:val="18"/>
          <w:szCs w:val="18"/>
          <w:color w:val="auto"/>
        </w:rPr>
        <w:t>Gerald C. Kitch (Chair)</w:t>
      </w:r>
      <w:r>
        <w:rPr>
          <w:sz w:val="20"/>
          <w:szCs w:val="20"/>
          <w:color w:val="auto"/>
        </w:rPr>
        <w:tab/>
      </w:r>
      <w:r>
        <w:rPr>
          <w:rFonts w:ascii="Arial" w:cs="Arial" w:eastAsia="Arial" w:hAnsi="Arial"/>
          <w:sz w:val="18"/>
          <w:szCs w:val="18"/>
          <w:color w:val="auto"/>
        </w:rPr>
        <w:t>Irvin E. Aal</w:t>
      </w:r>
      <w:r>
        <w:rPr>
          <w:sz w:val="20"/>
          <w:szCs w:val="20"/>
          <w:color w:val="auto"/>
        </w:rPr>
        <w:tab/>
      </w:r>
      <w:r>
        <w:rPr>
          <w:rFonts w:ascii="Arial" w:cs="Arial" w:eastAsia="Arial" w:hAnsi="Arial"/>
          <w:sz w:val="16"/>
          <w:szCs w:val="16"/>
          <w:color w:val="auto"/>
        </w:rPr>
        <w:t>Jerry N. Currie</w:t>
      </w:r>
    </w:p>
    <w:p>
      <w:pPr>
        <w:sectPr>
          <w:pgSz w:w="11900" w:h="16838" w:orient="portrait"/>
          <w:cols w:equalWidth="0" w:num="1">
            <w:col w:w="11400"/>
          </w:cols>
          <w:pgMar w:left="240" w:top="125" w:right="259" w:bottom="154"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Members of the Human Resources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GRAPH</w:t>
      </w:r>
    </w:p>
    <w:p>
      <w:pPr>
        <w:spacing w:after="0" w:line="219" w:lineRule="exact"/>
        <w:rPr>
          <w:sz w:val="20"/>
          <w:szCs w:val="20"/>
          <w:color w:val="auto"/>
        </w:rPr>
      </w:pPr>
    </w:p>
    <w:p>
      <w:pPr>
        <w:ind w:right="60" w:firstLine="360"/>
        <w:spacing w:after="0" w:line="268" w:lineRule="auto"/>
        <w:rPr>
          <w:sz w:val="20"/>
          <w:szCs w:val="20"/>
          <w:color w:val="auto"/>
        </w:rPr>
      </w:pPr>
      <w:r>
        <w:rPr>
          <w:rFonts w:ascii="Arial" w:cs="Arial" w:eastAsia="Arial" w:hAnsi="Arial"/>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the Company’s Common Stock, in the stock of the companies in the Standard &amp; Poor’s 500 Index and in the stocks of the peer group companies on August 25, 2001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13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Among Winnebago Industries,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125730</wp:posOffset>
            </wp:positionV>
            <wp:extent cx="3687445" cy="3078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744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Company Name/Index</w:t>
            </w:r>
          </w:p>
        </w:tc>
        <w:tc>
          <w:tcPr>
            <w:tcW w:w="1800" w:type="dxa"/>
            <w:vAlign w:val="bottom"/>
          </w:tcPr>
          <w:p>
            <w:pPr>
              <w:jc w:val="right"/>
              <w:ind w:right="414"/>
              <w:spacing w:after="0"/>
              <w:rPr>
                <w:sz w:val="20"/>
                <w:szCs w:val="20"/>
                <w:color w:val="auto"/>
              </w:rPr>
            </w:pPr>
            <w:r>
              <w:rPr>
                <w:rFonts w:ascii="Arial" w:cs="Arial" w:eastAsia="Arial" w:hAnsi="Arial"/>
                <w:sz w:val="14"/>
                <w:szCs w:val="14"/>
                <w:b w:val="1"/>
                <w:bCs w:val="1"/>
                <w:color w:val="auto"/>
              </w:rPr>
              <w:t>8/25/01</w:t>
            </w:r>
          </w:p>
        </w:tc>
        <w:tc>
          <w:tcPr>
            <w:tcW w:w="1340" w:type="dxa"/>
            <w:vAlign w:val="bottom"/>
          </w:tcPr>
          <w:p>
            <w:pPr>
              <w:jc w:val="right"/>
              <w:ind w:right="414"/>
              <w:spacing w:after="0"/>
              <w:rPr>
                <w:sz w:val="20"/>
                <w:szCs w:val="20"/>
                <w:color w:val="auto"/>
              </w:rPr>
            </w:pPr>
            <w:r>
              <w:rPr>
                <w:rFonts w:ascii="Arial" w:cs="Arial" w:eastAsia="Arial" w:hAnsi="Arial"/>
                <w:sz w:val="14"/>
                <w:szCs w:val="14"/>
                <w:b w:val="1"/>
                <w:bCs w:val="1"/>
                <w:color w:val="auto"/>
              </w:rPr>
              <w:t>8/30/02</w:t>
            </w:r>
          </w:p>
        </w:tc>
        <w:tc>
          <w:tcPr>
            <w:tcW w:w="1320" w:type="dxa"/>
            <w:vAlign w:val="bottom"/>
          </w:tcPr>
          <w:p>
            <w:pPr>
              <w:jc w:val="right"/>
              <w:ind w:right="394"/>
              <w:spacing w:after="0"/>
              <w:rPr>
                <w:sz w:val="20"/>
                <w:szCs w:val="20"/>
                <w:color w:val="auto"/>
              </w:rPr>
            </w:pPr>
            <w:r>
              <w:rPr>
                <w:rFonts w:ascii="Arial" w:cs="Arial" w:eastAsia="Arial" w:hAnsi="Arial"/>
                <w:sz w:val="14"/>
                <w:szCs w:val="14"/>
                <w:b w:val="1"/>
                <w:bCs w:val="1"/>
                <w:color w:val="auto"/>
              </w:rPr>
              <w:t>8/30/03</w:t>
            </w:r>
          </w:p>
        </w:tc>
        <w:tc>
          <w:tcPr>
            <w:tcW w:w="1340" w:type="dxa"/>
            <w:vAlign w:val="bottom"/>
          </w:tcPr>
          <w:p>
            <w:pPr>
              <w:jc w:val="right"/>
              <w:ind w:right="394"/>
              <w:spacing w:after="0"/>
              <w:rPr>
                <w:sz w:val="20"/>
                <w:szCs w:val="20"/>
                <w:color w:val="auto"/>
              </w:rPr>
            </w:pPr>
            <w:r>
              <w:rPr>
                <w:rFonts w:ascii="Arial" w:cs="Arial" w:eastAsia="Arial" w:hAnsi="Arial"/>
                <w:sz w:val="14"/>
                <w:szCs w:val="14"/>
                <w:b w:val="1"/>
                <w:bCs w:val="1"/>
                <w:color w:val="auto"/>
              </w:rPr>
              <w:t>8/28/04</w:t>
            </w:r>
          </w:p>
        </w:tc>
        <w:tc>
          <w:tcPr>
            <w:tcW w:w="1340" w:type="dxa"/>
            <w:vAlign w:val="bottom"/>
          </w:tcPr>
          <w:p>
            <w:pPr>
              <w:jc w:val="right"/>
              <w:ind w:right="394"/>
              <w:spacing w:after="0"/>
              <w:rPr>
                <w:sz w:val="20"/>
                <w:szCs w:val="20"/>
                <w:color w:val="auto"/>
              </w:rPr>
            </w:pPr>
            <w:r>
              <w:rPr>
                <w:rFonts w:ascii="Arial" w:cs="Arial" w:eastAsia="Arial" w:hAnsi="Arial"/>
                <w:sz w:val="14"/>
                <w:szCs w:val="14"/>
                <w:b w:val="1"/>
                <w:bCs w:val="1"/>
                <w:color w:val="auto"/>
              </w:rPr>
              <w:t>8/27/05</w:t>
            </w: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8/26/06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D6F3E8"/>
          </w:tcPr>
          <w:p>
            <w:pPr>
              <w:spacing w:after="0"/>
              <w:rPr>
                <w:sz w:val="20"/>
                <w:szCs w:val="20"/>
                <w:color w:val="auto"/>
              </w:rPr>
            </w:pPr>
            <w:r>
              <w:rPr>
                <w:rFonts w:ascii="Arial" w:cs="Arial" w:eastAsia="Arial" w:hAnsi="Arial"/>
                <w:sz w:val="18"/>
                <w:szCs w:val="18"/>
                <w:color w:val="auto"/>
              </w:rPr>
              <w:t>Winnebago Industries, Inc.</w:t>
            </w:r>
          </w:p>
        </w:tc>
        <w:tc>
          <w:tcPr>
            <w:tcW w:w="180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136.99</w:t>
            </w:r>
          </w:p>
        </w:tc>
        <w:tc>
          <w:tcPr>
            <w:tcW w:w="132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177.46</w:t>
            </w:r>
          </w:p>
        </w:tc>
        <w:tc>
          <w:tcPr>
            <w:tcW w:w="134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231.60</w:t>
            </w:r>
          </w:p>
        </w:tc>
        <w:tc>
          <w:tcPr>
            <w:tcW w:w="134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238.05</w:t>
            </w:r>
          </w:p>
        </w:tc>
        <w:tc>
          <w:tcPr>
            <w:tcW w:w="11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210.33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S&amp;P 500 Index</w:t>
            </w:r>
          </w:p>
        </w:tc>
        <w:tc>
          <w:tcPr>
            <w:tcW w:w="1800" w:type="dxa"/>
            <w:vAlign w:val="bottom"/>
          </w:tcPr>
          <w:p>
            <w:pPr>
              <w:jc w:val="right"/>
              <w:ind w:right="334"/>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334"/>
              <w:spacing w:after="0"/>
              <w:rPr>
                <w:sz w:val="20"/>
                <w:szCs w:val="20"/>
                <w:color w:val="auto"/>
              </w:rPr>
            </w:pPr>
            <w:r>
              <w:rPr>
                <w:rFonts w:ascii="Arial" w:cs="Arial" w:eastAsia="Arial" w:hAnsi="Arial"/>
                <w:sz w:val="18"/>
                <w:szCs w:val="18"/>
                <w:color w:val="auto"/>
              </w:rPr>
              <w:t>82.01</w:t>
            </w:r>
          </w:p>
        </w:tc>
        <w:tc>
          <w:tcPr>
            <w:tcW w:w="1320" w:type="dxa"/>
            <w:vAlign w:val="bottom"/>
          </w:tcPr>
          <w:p>
            <w:pPr>
              <w:jc w:val="right"/>
              <w:ind w:right="314"/>
              <w:spacing w:after="0"/>
              <w:rPr>
                <w:sz w:val="20"/>
                <w:szCs w:val="20"/>
                <w:color w:val="auto"/>
              </w:rPr>
            </w:pPr>
            <w:r>
              <w:rPr>
                <w:rFonts w:ascii="Arial" w:cs="Arial" w:eastAsia="Arial" w:hAnsi="Arial"/>
                <w:sz w:val="18"/>
                <w:szCs w:val="18"/>
                <w:color w:val="auto"/>
              </w:rPr>
              <w:t>91.90</w:t>
            </w:r>
          </w:p>
        </w:tc>
        <w:tc>
          <w:tcPr>
            <w:tcW w:w="1340" w:type="dxa"/>
            <w:vAlign w:val="bottom"/>
          </w:tcPr>
          <w:p>
            <w:pPr>
              <w:jc w:val="right"/>
              <w:ind w:right="314"/>
              <w:spacing w:after="0"/>
              <w:rPr>
                <w:sz w:val="20"/>
                <w:szCs w:val="20"/>
                <w:color w:val="auto"/>
              </w:rPr>
            </w:pPr>
            <w:r>
              <w:rPr>
                <w:rFonts w:ascii="Arial" w:cs="Arial" w:eastAsia="Arial" w:hAnsi="Arial"/>
                <w:sz w:val="18"/>
                <w:szCs w:val="18"/>
                <w:color w:val="auto"/>
              </w:rPr>
              <w:t>102.43</w:t>
            </w:r>
          </w:p>
        </w:tc>
        <w:tc>
          <w:tcPr>
            <w:tcW w:w="1340" w:type="dxa"/>
            <w:vAlign w:val="bottom"/>
          </w:tcPr>
          <w:p>
            <w:pPr>
              <w:jc w:val="right"/>
              <w:ind w:right="314"/>
              <w:spacing w:after="0"/>
              <w:rPr>
                <w:sz w:val="20"/>
                <w:szCs w:val="20"/>
                <w:color w:val="auto"/>
              </w:rPr>
            </w:pPr>
            <w:r>
              <w:rPr>
                <w:rFonts w:ascii="Arial" w:cs="Arial" w:eastAsia="Arial" w:hAnsi="Arial"/>
                <w:sz w:val="18"/>
                <w:szCs w:val="18"/>
                <w:color w:val="auto"/>
              </w:rPr>
              <w:t>115.29</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125.53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D6F3E8"/>
          </w:tcPr>
          <w:p>
            <w:pPr>
              <w:spacing w:after="0"/>
              <w:rPr>
                <w:sz w:val="20"/>
                <w:szCs w:val="20"/>
                <w:color w:val="auto"/>
              </w:rPr>
            </w:pPr>
            <w:r>
              <w:rPr>
                <w:rFonts w:ascii="Arial" w:cs="Arial" w:eastAsia="Arial" w:hAnsi="Arial"/>
                <w:sz w:val="18"/>
                <w:szCs w:val="18"/>
                <w:color w:val="auto"/>
              </w:rPr>
              <w:t>Peer Group</w:t>
            </w:r>
          </w:p>
        </w:tc>
        <w:tc>
          <w:tcPr>
            <w:tcW w:w="180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D6F3E8"/>
          </w:tcPr>
          <w:p>
            <w:pPr>
              <w:jc w:val="right"/>
              <w:ind w:right="334"/>
              <w:spacing w:after="0"/>
              <w:rPr>
                <w:sz w:val="20"/>
                <w:szCs w:val="20"/>
                <w:color w:val="auto"/>
              </w:rPr>
            </w:pPr>
            <w:r>
              <w:rPr>
                <w:rFonts w:ascii="Arial" w:cs="Arial" w:eastAsia="Arial" w:hAnsi="Arial"/>
                <w:sz w:val="18"/>
                <w:szCs w:val="18"/>
                <w:color w:val="auto"/>
              </w:rPr>
              <w:t>105.21</w:t>
            </w:r>
          </w:p>
        </w:tc>
        <w:tc>
          <w:tcPr>
            <w:tcW w:w="132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148.28</w:t>
            </w:r>
          </w:p>
        </w:tc>
        <w:tc>
          <w:tcPr>
            <w:tcW w:w="134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158.66</w:t>
            </w:r>
          </w:p>
        </w:tc>
        <w:tc>
          <w:tcPr>
            <w:tcW w:w="1340" w:type="dxa"/>
            <w:vAlign w:val="bottom"/>
            <w:shd w:val="clear" w:color="auto" w:fill="D6F3E8"/>
          </w:tcPr>
          <w:p>
            <w:pPr>
              <w:jc w:val="right"/>
              <w:ind w:right="314"/>
              <w:spacing w:after="0"/>
              <w:rPr>
                <w:sz w:val="20"/>
                <w:szCs w:val="20"/>
                <w:color w:val="auto"/>
              </w:rPr>
            </w:pPr>
            <w:r>
              <w:rPr>
                <w:rFonts w:ascii="Arial" w:cs="Arial" w:eastAsia="Arial" w:hAnsi="Arial"/>
                <w:sz w:val="18"/>
                <w:szCs w:val="18"/>
                <w:color w:val="auto"/>
              </w:rPr>
              <w:t>150.55</w:t>
            </w:r>
          </w:p>
        </w:tc>
        <w:tc>
          <w:tcPr>
            <w:tcW w:w="11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156.78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540" w:right="720" w:hanging="478"/>
        <w:spacing w:after="0" w:line="34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peer group companies, consisting of Coachmen Industries, Inc., Fleetwood Enterprises, Inc., Monaco Coach Corporation, National R.V. Holdings, Inc. and Thor Industries, Inc. were selected by the Company on the basis of the similarity of their business to that of the Company.</w:t>
      </w:r>
    </w:p>
    <w:p>
      <w:pPr>
        <w:spacing w:after="0" w:line="16" w:lineRule="exact"/>
        <w:rPr>
          <w:sz w:val="20"/>
          <w:szCs w:val="20"/>
          <w:color w:val="auto"/>
        </w:rPr>
      </w:pPr>
    </w:p>
    <w:p>
      <w:pPr>
        <w:ind w:left="540" w:right="320" w:hanging="478"/>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invested on 8/25/01 in Winnebago Industries or Peer Group stock or on 8/31/01 in the S&amp;P 500 Index––including reinvestment of dividends. Said Index is calculated on a month-end basis.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THE AUDIT COMMITTEE</w:t>
      </w:r>
    </w:p>
    <w:p>
      <w:pPr>
        <w:spacing w:after="0" w:line="21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148"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The Audit Committee reviews the Company’s financial reporting process on behalf of the Board of Directors. In fulfilling its responsibilities, the Committee has reviewed and discussed the audited financial statements to be included in the 2006 Annual Report on SEC Form 10-K with the Company’s management and the independent accountants. Management is responsible for the financial statements and the reporting process, including the system of</w:t>
      </w:r>
    </w:p>
    <w:p>
      <w:pPr>
        <w:sectPr>
          <w:pgSz w:w="11900" w:h="16838" w:orient="portrait"/>
          <w:cols w:equalWidth="0" w:num="1">
            <w:col w:w="11420"/>
          </w:cols>
          <w:pgMar w:left="240" w:top="125" w:right="239" w:bottom="0" w:gutter="0" w:footer="0" w:header="0"/>
        </w:sectPr>
      </w:pPr>
    </w:p>
    <w:bookmarkStart w:id="15" w:name="page16"/>
    <w:bookmarkEnd w:id="15"/>
    <w:p>
      <w:pPr>
        <w:spacing w:after="0" w:line="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130" w:lineRule="exact"/>
        <w:rPr>
          <w:sz w:val="20"/>
          <w:szCs w:val="20"/>
          <w:color w:val="auto"/>
        </w:rPr>
      </w:pPr>
    </w:p>
    <w:p>
      <w:pPr>
        <w:ind w:right="660" w:firstLine="368"/>
        <w:spacing w:after="0" w:line="277" w:lineRule="auto"/>
        <w:tabs>
          <w:tab w:leader="none" w:pos="6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Audit Committee has reviewed and discussed the audited financial statements for the fiscal year ended August 26, 2006 of Winnebago Industries, Inc. (the </w:t>
      </w:r>
      <w:r>
        <w:rPr>
          <w:rFonts w:ascii="Arial" w:cs="Arial" w:eastAsia="Arial" w:hAnsi="Arial"/>
          <w:sz w:val="18"/>
          <w:szCs w:val="18"/>
          <w:i w:val="1"/>
          <w:iCs w:val="1"/>
          <w:color w:val="auto"/>
        </w:rPr>
        <w:t>“Audited Financial Statements”</w:t>
      </w:r>
      <w:r>
        <w:rPr>
          <w:rFonts w:ascii="Arial" w:cs="Arial" w:eastAsia="Arial" w:hAnsi="Arial"/>
          <w:sz w:val="18"/>
          <w:szCs w:val="18"/>
          <w:color w:val="auto"/>
        </w:rPr>
        <w:t xml:space="preserve"> ) with Winnebago Industries, Inc.’s management.</w:t>
      </w:r>
    </w:p>
    <w:p>
      <w:pPr>
        <w:spacing w:after="0" w:line="143" w:lineRule="exact"/>
        <w:rPr>
          <w:rFonts w:ascii="Arial" w:cs="Arial" w:eastAsia="Arial" w:hAnsi="Arial"/>
          <w:sz w:val="18"/>
          <w:szCs w:val="18"/>
          <w:color w:val="auto"/>
        </w:rPr>
      </w:pPr>
    </w:p>
    <w:p>
      <w:pPr>
        <w:ind w:right="100" w:firstLine="368"/>
        <w:spacing w:after="0" w:line="308" w:lineRule="auto"/>
        <w:tabs>
          <w:tab w:leader="none" w:pos="6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06" w:lineRule="exact"/>
        <w:rPr>
          <w:rFonts w:ascii="Arial" w:cs="Arial" w:eastAsia="Arial" w:hAnsi="Arial"/>
          <w:sz w:val="17"/>
          <w:szCs w:val="17"/>
          <w:color w:val="auto"/>
        </w:rPr>
      </w:pPr>
    </w:p>
    <w:p>
      <w:pPr>
        <w:ind w:right="80" w:firstLine="368"/>
        <w:spacing w:after="0" w:line="264" w:lineRule="auto"/>
        <w:tabs>
          <w:tab w:leader="none" w:pos="6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40" w:lineRule="exact"/>
        <w:rPr>
          <w:rFonts w:ascii="Arial" w:cs="Arial" w:eastAsia="Arial" w:hAnsi="Arial"/>
          <w:sz w:val="18"/>
          <w:szCs w:val="18"/>
          <w:color w:val="auto"/>
        </w:rPr>
      </w:pPr>
    </w:p>
    <w:p>
      <w:pPr>
        <w:jc w:val="both"/>
        <w:ind w:firstLine="368"/>
        <w:spacing w:after="0" w:line="264" w:lineRule="auto"/>
        <w:tabs>
          <w:tab w:leader="none" w:pos="6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Annual Report on Form 10-K for the fiscal year ended August 26, 2006, for filing with the SEC.</w:t>
      </w:r>
    </w:p>
    <w:p>
      <w:pPr>
        <w:spacing w:after="0" w:line="154" w:lineRule="exact"/>
        <w:rPr>
          <w:sz w:val="20"/>
          <w:szCs w:val="20"/>
          <w:color w:val="auto"/>
        </w:rPr>
      </w:pPr>
    </w:p>
    <w:p>
      <w:pPr>
        <w:ind w:right="600" w:firstLine="360"/>
        <w:spacing w:after="0" w:line="286" w:lineRule="auto"/>
        <w:rPr>
          <w:sz w:val="20"/>
          <w:szCs w:val="20"/>
          <w:color w:val="auto"/>
        </w:rPr>
      </w:pPr>
      <w:r>
        <w:rPr>
          <w:rFonts w:ascii="Arial" w:cs="Arial" w:eastAsia="Arial" w:hAnsi="Arial"/>
          <w:sz w:val="17"/>
          <w:szCs w:val="17"/>
          <w:color w:val="auto"/>
        </w:rPr>
        <w:t>A copy of the Audit Committee Charter, as last amended as of June 21, 2006, is available on the Company’s website at http://www.winnebagoind.com/company/investor/governance.php and in print free of charge to any shareholder who requests a copy in writing from: Winnebago Industries, Inc., Attn: Vice President-General Counsel and Secretary, 605 West Crystal Lake Road, Forest City, Iowa 60436.</w:t>
      </w:r>
    </w:p>
    <w:p>
      <w:pPr>
        <w:spacing w:after="0" w:line="1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Joseph W. England (Chair)</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Irvin E. Aal</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Jerry N. Currie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PRINCIPAL ACCOUNTING FEES AND SERVICES</w:t>
      </w:r>
    </w:p>
    <w:p>
      <w:pPr>
        <w:spacing w:after="0" w:line="219"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Deloitte &amp; Touche LLP for the audit of the Company’s annual financial statements for fiscal years ended August 26, 2006 and August 27, 2005, and fees billed for other services rendered by Deloitte &amp; Touche LLP during those periods.</w:t>
      </w:r>
    </w:p>
    <w:p>
      <w:pPr>
        <w:spacing w:after="0" w:line="132"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2006</w:t>
            </w:r>
          </w:p>
        </w:tc>
        <w:tc>
          <w:tcPr>
            <w:tcW w:w="62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2005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6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278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520,000</w:t>
            </w:r>
          </w:p>
        </w:tc>
        <w:tc>
          <w:tcPr>
            <w:tcW w:w="78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670,000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16,000</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6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126,120</w:t>
            </w:r>
          </w:p>
        </w:tc>
        <w:tc>
          <w:tcPr>
            <w:tcW w:w="620" w:type="dxa"/>
            <w:vAlign w:val="bottom"/>
            <w:shd w:val="clear" w:color="auto" w:fill="D6F3E8"/>
          </w:tcPr>
          <w:p>
            <w:pPr>
              <w:spacing w:after="0"/>
              <w:rPr>
                <w:sz w:val="22"/>
                <w:szCs w:val="22"/>
                <w:color w:val="auto"/>
              </w:rPr>
            </w:pPr>
          </w:p>
        </w:tc>
        <w:tc>
          <w:tcPr>
            <w:tcW w:w="160" w:type="dxa"/>
            <w:vAlign w:val="bottom"/>
            <w:shd w:val="clear" w:color="auto" w:fill="D6F3E8"/>
          </w:tcPr>
          <w:p>
            <w:pPr>
              <w:spacing w:after="0"/>
              <w:rPr>
                <w:sz w:val="22"/>
                <w:szCs w:val="22"/>
                <w:color w:val="auto"/>
              </w:rPr>
            </w:pP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136,909</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All Other Fees</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662,120</w:t>
            </w:r>
          </w:p>
        </w:tc>
        <w:tc>
          <w:tcPr>
            <w:tcW w:w="78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8"/>
              </w:rPr>
              <w:t>880,814</w:t>
            </w: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0" w:right="80" w:hanging="478"/>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related consulting matters.</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200" w:lineRule="exact"/>
        <w:rPr>
          <w:sz w:val="20"/>
          <w:szCs w:val="20"/>
          <w:color w:val="auto"/>
        </w:rPr>
      </w:pPr>
    </w:p>
    <w:p>
      <w:pPr>
        <w:spacing w:after="0" w:line="29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LLP to the Company is compatible with maintaining the independence of Deloitte &amp; Touche and concluded that the independence of Deloitte &amp; Touche is not compromised by the provision of such services.</w:t>
      </w:r>
    </w:p>
    <w:p>
      <w:pPr>
        <w:spacing w:after="0" w:line="141" w:lineRule="exact"/>
        <w:rPr>
          <w:sz w:val="20"/>
          <w:szCs w:val="20"/>
          <w:color w:val="auto"/>
        </w:rPr>
      </w:pPr>
    </w:p>
    <w:p>
      <w:pPr>
        <w:jc w:val="both"/>
        <w:ind w:right="300" w:firstLine="360"/>
        <w:spacing w:after="0" w:line="302" w:lineRule="auto"/>
        <w:rPr>
          <w:sz w:val="20"/>
          <w:szCs w:val="20"/>
          <w:color w:val="auto"/>
        </w:rPr>
      </w:pPr>
      <w:r>
        <w:rPr>
          <w:rFonts w:ascii="Arial" w:cs="Arial" w:eastAsia="Arial" w:hAnsi="Arial"/>
          <w:sz w:val="16"/>
          <w:szCs w:val="16"/>
          <w:i w:val="1"/>
          <w:iCs w:val="1"/>
          <w:color w:val="auto"/>
        </w:rPr>
        <w:t xml:space="preserve">Policy Regarding the Approval of Independent Accountants Provision of Audit and Non-Audit Services — </w:t>
      </w:r>
      <w:r>
        <w:rPr>
          <w:rFonts w:ascii="Arial" w:cs="Arial" w:eastAsia="Arial" w:hAnsi="Arial"/>
          <w:sz w:val="16"/>
          <w:szCs w:val="16"/>
          <w:color w:val="auto"/>
        </w:rPr>
        <w:t>The Company’s Audit Committee Charter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Audit Committee to pre-approve the fees and other significant compensation to be paid to the independent auditors as well as pre-approve all non-audit engagements with the independent auditors. The Audit Committee shall consult with management but shall not delegate these responsibilities, except that pre-approvals of non-audit services may be delegated to a single member of the Audit Committee, who shall then inform the entire Audit</w:t>
      </w:r>
    </w:p>
    <w:p>
      <w:pPr>
        <w:sectPr>
          <w:pgSz w:w="11900" w:h="16904" w:orient="portrait"/>
          <w:cols w:equalWidth="0" w:num="1">
            <w:col w:w="11360"/>
          </w:cols>
          <w:pgMar w:left="240" w:top="125" w:right="299" w:bottom="0" w:gutter="0" w:footer="0" w:header="0"/>
        </w:sectPr>
      </w:pPr>
    </w:p>
    <w:bookmarkStart w:id="16" w:name="page17"/>
    <w:bookmarkEnd w:id="16"/>
    <w:p>
      <w:pPr>
        <w:ind w:right="360"/>
        <w:spacing w:after="0" w:line="277" w:lineRule="auto"/>
        <w:rPr>
          <w:sz w:val="20"/>
          <w:szCs w:val="20"/>
          <w:color w:val="auto"/>
        </w:rPr>
      </w:pPr>
      <w:r>
        <w:rPr>
          <w:rFonts w:ascii="Arial" w:cs="Arial" w:eastAsia="Arial" w:hAnsi="Arial"/>
          <w:sz w:val="18"/>
          <w:szCs w:val="18"/>
          <w:color w:val="auto"/>
        </w:rPr>
        <w:t>Committee of the engagement of such services. The Audit Committee pre-approved under that policy 100 percent of the fees, if any, for services covered under the captions “Audit-Related Fees,” “Tax Fees” and “All Other Fees” for fiscal years 2005 and 2006.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CHANGE IN CONTROL ARRANGEMENTS</w:t>
      </w:r>
    </w:p>
    <w:p>
      <w:pPr>
        <w:spacing w:after="0" w:line="219"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 xml:space="preserve">During fiscal 2001, the Board of Directors approved Executive Change of Control Agreements (the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 for each of the named executive officers in the “Summary Compensation Table” and, at later dates, approved Agreements for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Change of Control occurs when the executive is in the employ of the Company)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5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In addition, under the Agreements, if an executive’s employment is terminated (other than as described above) within three years following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Change of Control occurs when the executive is in the employ of the Company) the executive would be entitled to (i) life, dental, vision, long term disability and health insurance benefits for three years following such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dental, vision and health insurance benefits, such benefits shall be extended to the time the executive reaches age 65), (ii) transfer of title to the company car, if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w:t>
      </w: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immediate vesting under the Company’s Deferred Compensation and Deferred Bonus Plans and immediate vesting of all stock options and rights,</w:t>
      </w:r>
    </w:p>
    <w:p>
      <w:pPr>
        <w:spacing w:after="0" w:line="20" w:lineRule="exact"/>
        <w:rPr>
          <w:rFonts w:ascii="Arial" w:cs="Arial" w:eastAsia="Arial" w:hAnsi="Arial"/>
          <w:sz w:val="17"/>
          <w:szCs w:val="17"/>
          <w:color w:val="auto"/>
        </w:rPr>
      </w:pPr>
    </w:p>
    <w:p>
      <w:pPr>
        <w:ind w:right="18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5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 xml:space="preserve">Under the Agreements, a “Change of Control” occurs when (i) any person or other entity (except for the Company and certain Hanson family members or certain related persons or entities to the Company or such Hanson family members) acquires 20 percent or more of the outstanding stock of the Company or (ii) individuals who shall qualify as Continuing Directors (as defined below) shall have ceased for any reason to constitute at least a majority of the Board of Directors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 </w:t>
      </w:r>
      <w:r>
        <w:rPr>
          <w:rFonts w:ascii="Arial" w:cs="Arial" w:eastAsia="Arial" w:hAnsi="Arial"/>
          <w:sz w:val="17"/>
          <w:szCs w:val="17"/>
          <w:i w:val="1"/>
          <w:iCs w:val="1"/>
          <w:color w:val="auto"/>
        </w:rPr>
        <w:t>“Continuing Director”</w:t>
      </w:r>
      <w:r>
        <w:rPr>
          <w:rFonts w:ascii="Arial" w:cs="Arial" w:eastAsia="Arial" w:hAnsi="Arial"/>
          <w:sz w:val="17"/>
          <w:szCs w:val="17"/>
          <w:color w:val="auto"/>
        </w:rPr>
        <w:t xml:space="preserve"> means (i) any member of the Company’s Board of Directors, while such person is a member of the Board, who is not an affiliate or associate of any person or group described in clause (i) of the preceding sentence (an </w:t>
      </w:r>
      <w:r>
        <w:rPr>
          <w:rFonts w:ascii="Arial" w:cs="Arial" w:eastAsia="Arial" w:hAnsi="Arial"/>
          <w:sz w:val="17"/>
          <w:szCs w:val="17"/>
          <w:i w:val="1"/>
          <w:iCs w:val="1"/>
          <w:color w:val="auto"/>
        </w:rPr>
        <w:t>“acquiring person”</w:t>
      </w:r>
      <w:r>
        <w:rPr>
          <w:rFonts w:ascii="Arial" w:cs="Arial" w:eastAsia="Arial" w:hAnsi="Arial"/>
          <w:sz w:val="17"/>
          <w:szCs w:val="17"/>
          <w:color w:val="auto"/>
        </w:rPr>
        <w:t>)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TRANSACTIONS WITH MANAGEMENT AND BUSINESS RELATIONSHIPS</w:t>
      </w:r>
    </w:p>
    <w:p>
      <w:pPr>
        <w:spacing w:after="0" w:line="219"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 xml:space="preserve">The Company maintains normal banking relations on customary terms with Manufacturers Bank &amp; Trust Company (the </w:t>
      </w:r>
      <w:r>
        <w:rPr>
          <w:rFonts w:ascii="Arial" w:cs="Arial" w:eastAsia="Arial" w:hAnsi="Arial"/>
          <w:sz w:val="17"/>
          <w:szCs w:val="17"/>
          <w:i w:val="1"/>
          <w:iCs w:val="1"/>
          <w:color w:val="auto"/>
        </w:rPr>
        <w:t>“Bank”</w:t>
      </w:r>
      <w:r>
        <w:rPr>
          <w:rFonts w:ascii="Arial" w:cs="Arial" w:eastAsia="Arial" w:hAnsi="Arial"/>
          <w:sz w:val="17"/>
          <w:szCs w:val="17"/>
          <w:color w:val="auto"/>
        </w:rPr>
        <w:t xml:space="preserve"> ), Forest City and Crystal Lake, Iowa. Manufacturers Bank &amp; Trust Company is a wholly owned subsidiary of MBT Corp. John V. Hanson owns approximately 33-1/3 percent of MBT Corp.’s outstanding stock. Mr. Hanson is also Chairman of the Board of the Bank and is a director of MBT Corp.</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Section 16(a)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 requires the Company’s officers and directors and persons who own more than ten percent of the Company’s Common Stock (collectively, </w:t>
      </w:r>
      <w:r>
        <w:rPr>
          <w:rFonts w:ascii="Arial" w:cs="Arial" w:eastAsia="Arial" w:hAnsi="Arial"/>
          <w:sz w:val="17"/>
          <w:szCs w:val="17"/>
          <w:i w:val="1"/>
          <w:iCs w:val="1"/>
          <w:color w:val="auto"/>
        </w:rPr>
        <w:t>“Reporting Persons”</w:t>
      </w:r>
      <w:r>
        <w:rPr>
          <w:rFonts w:ascii="Arial" w:cs="Arial" w:eastAsia="Arial" w:hAnsi="Arial"/>
          <w:sz w:val="17"/>
          <w:szCs w:val="17"/>
          <w:color w:val="auto"/>
        </w:rPr>
        <w:t xml:space="preserve"> ) to file reports of ownership and changes in ownership with the SEC and the NYSE.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2006, all Reporting Persons complied with all applicable filing requirements, with the exception of Jerry N. Currie who, due to an inadvertent administrative error, filed one late Form 4 reporting two transactions.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FISCAL YEAR 2007 SHAREHOLDER PROPOSALS</w:t>
      </w:r>
    </w:p>
    <w:p>
      <w:pPr>
        <w:spacing w:after="0" w:line="219"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If a shareholder intends to present a proposal at the Company’s fiscal year 2007 Annual Meeting scheduled for December 18, 2007 and desires that the proposal be included in the Company’s proxy statement and form of proxy for that meeting, the proposal must be in compliance with Rule 14a-8 under the Exchange Act and received at the Company’s principal executive offices no later than July 13, 2007.</w:t>
      </w:r>
    </w:p>
    <w:p>
      <w:pPr>
        <w:sectPr>
          <w:pgSz w:w="11900" w:h="16838" w:orient="portrait"/>
          <w:cols w:equalWidth="0" w:num="1">
            <w:col w:w="11400"/>
          </w:cols>
          <w:pgMar w:left="240" w:top="125" w:right="25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730" w:gutter="0" w:footer="0" w:header="0"/>
          <w:type w:val="continuous"/>
        </w:sectPr>
      </w:pPr>
    </w:p>
    <w:bookmarkStart w:id="17" w:name="page18"/>
    <w:bookmarkEnd w:id="17"/>
    <w:p>
      <w:pPr>
        <w:ind w:firstLine="360"/>
        <w:spacing w:after="0" w:line="285" w:lineRule="auto"/>
        <w:rPr>
          <w:sz w:val="20"/>
          <w:szCs w:val="20"/>
          <w:color w:val="auto"/>
        </w:rPr>
      </w:pPr>
      <w:r>
        <w:rPr>
          <w:rFonts w:ascii="Arial" w:cs="Arial" w:eastAsia="Arial" w:hAnsi="Arial"/>
          <w:sz w:val="16"/>
          <w:szCs w:val="16"/>
          <w:color w:val="auto"/>
        </w:rPr>
        <w:t>The Company’s By-Laws and the Policy Regarding Nominations of Directors require that in order to nominate persons to the Company’s Board of Directors, a shareholder must provide advance written notice in the form set forth therein to the Secretary, which notice must be delivered to or mailed and received at the Company’s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Policy Regarding Nominations of Directors and except as otherwise provided in the Company’s By-Laws. The Company’s By-Laws also require that in order to present a proposal for action by shareholders at an annual meeting, a shareholder must provide advance written notice to the Secretary,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As to any proposal that a shareholder intends to present to shareholders without inclusion in the Company’s proxy statement for the Company’s fiscal year 2007 annual meeting,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Company’s Policy Regarding Nominations of Directors, a copy of which is attached hereto as Appendix A, and the Company’s By-Laws. A copy of the Company’s By-Laws may be obtained by written request to: Winnebago Industries, Inc., Attn: Vice President-General Counsel and Secretary, 605 West Crystal Lake Road, Forest City, Iowa 50436.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w:t>
      </w:r>
    </w:p>
    <w:p>
      <w:pPr>
        <w:spacing w:after="0" w:line="21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Deloitte &amp; Touche LLP has been selected as the Company’s accountants for the current fiscal year by the Audit Committee. Deloitte &amp; Touche LLP has been the Company’s accountants for more than 20 years. Representatives of that firm are expected to be present at the Annual Meeting with the opportunity to make a statement if they desire to do so and to be available to respond to appropriate questions.</w:t>
      </w:r>
    </w:p>
    <w:p>
      <w:pPr>
        <w:spacing w:after="0" w:line="14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60" w:lineRule="exact"/>
        <w:rPr>
          <w:sz w:val="20"/>
          <w:szCs w:val="20"/>
          <w:color w:val="auto"/>
        </w:rPr>
      </w:pPr>
    </w:p>
    <w:p>
      <w:pPr>
        <w:jc w:val="both"/>
        <w:ind w:right="200" w:firstLine="360"/>
        <w:spacing w:after="0" w:line="312" w:lineRule="auto"/>
        <w:rPr>
          <w:sz w:val="20"/>
          <w:szCs w:val="20"/>
          <w:color w:val="auto"/>
        </w:rPr>
      </w:pPr>
      <w:r>
        <w:rPr>
          <w:rFonts w:ascii="Arial" w:cs="Arial" w:eastAsia="Arial" w:hAnsi="Arial"/>
          <w:sz w:val="16"/>
          <w:szCs w:val="16"/>
          <w:color w:val="auto"/>
        </w:rPr>
        <w:t>A copy of the Company’s Annual Report for the fiscal year ended August 26, 2006,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02" w:lineRule="exact"/>
        <w:rPr>
          <w:sz w:val="20"/>
          <w:szCs w:val="20"/>
          <w:color w:val="auto"/>
        </w:rPr>
      </w:pPr>
    </w:p>
    <w:p>
      <w:pPr>
        <w:ind w:right="280" w:firstLine="360"/>
        <w:spacing w:after="0" w:line="261" w:lineRule="auto"/>
        <w:rPr>
          <w:sz w:val="20"/>
          <w:szCs w:val="20"/>
          <w:color w:val="auto"/>
        </w:rPr>
      </w:pPr>
      <w:r>
        <w:rPr>
          <w:rFonts w:ascii="Arial" w:cs="Arial" w:eastAsia="Arial" w:hAnsi="Arial"/>
          <w:sz w:val="18"/>
          <w:szCs w:val="18"/>
          <w:b w:val="1"/>
          <w:bCs w:val="1"/>
          <w:color w:val="auto"/>
        </w:rPr>
        <w:t>A COPY OF THE COMPANY’S MOST RECENT ANNUAL REPORT TO THE SEC ON FORM 10-K (WITHOUT EXHIBITS) WILL BE FURNISHED, WITHOUT CHARGE, TO SHAREHOLDERS OF THE COMPANY UPON WRITTEN REQUEST TO WINNEBAGO INDUSTRIES, INC., ATTN: VICE PRESIDENT-GENERAL COUNSEL AND SECRETARY, 605 WEST CRYSTAL LAKE ROAD, FOREST CITY, IOWA 50436.</w:t>
      </w:r>
    </w:p>
    <w:p>
      <w:pPr>
        <w:spacing w:after="0" w:line="140" w:lineRule="exact"/>
        <w:rPr>
          <w:sz w:val="20"/>
          <w:szCs w:val="20"/>
          <w:color w:val="auto"/>
        </w:rPr>
      </w:pPr>
    </w:p>
    <w:p>
      <w:pPr>
        <w:ind w:right="260" w:firstLine="360"/>
        <w:spacing w:after="0" w:line="261" w:lineRule="auto"/>
        <w:rPr>
          <w:sz w:val="20"/>
          <w:szCs w:val="20"/>
          <w:color w:val="auto"/>
        </w:rPr>
      </w:pPr>
      <w:r>
        <w:rPr>
          <w:rFonts w:ascii="Arial" w:cs="Arial" w:eastAsia="Arial" w:hAnsi="Arial"/>
          <w:sz w:val="18"/>
          <w:szCs w:val="18"/>
          <w:b w:val="1"/>
          <w:bCs w:val="1"/>
          <w:color w:val="auto"/>
        </w:rPr>
        <w:t>FOR INFORMATION ABOUT THE COMPANY, INCLUDING THE COMPANY’S ANNUAL, QUARTERLY AND CURRENT REPORTS ON SEC FORMS 10-K, 10-Q AND 8-K, RESPECTIVELY, PLEASE VISIT THE COMPANY’S HOME PAGE ON THE INTERNET – http://www.winnebagoind.com. INFORMATION CONTAINED ON THE COMPANY’S WEBSITE IS NOT INCORPORATED INTO THIS PROXY STATEMENT OR OTHER SECURITIES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pacing w:after="0" w:line="14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126365</wp:posOffset>
            </wp:positionV>
            <wp:extent cx="1543685" cy="266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jc w:val="center"/>
        <w:ind w:left="542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10, 2006</w:t>
      </w:r>
    </w:p>
    <w:p>
      <w:pPr>
        <w:sectPr>
          <w:pgSz w:w="11900" w:h="16838" w:orient="portrait"/>
          <w:cols w:equalWidth="0" w:num="1">
            <w:col w:w="11420"/>
          </w:cols>
          <w:pgMar w:left="240" w:top="125" w:right="239" w:bottom="1440" w:gutter="0" w:footer="0" w:header="0"/>
        </w:sectPr>
      </w:pPr>
    </w:p>
    <w:bookmarkStart w:id="18" w:name="page19"/>
    <w:bookmarkEnd w:id="18"/>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1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AUDIT COMMITTEE CHARTER</w:t>
      </w:r>
    </w:p>
    <w:p>
      <w:pPr>
        <w:spacing w:after="0" w:line="195"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PURPOSE</w:t>
      </w:r>
    </w:p>
    <w:p>
      <w:pPr>
        <w:spacing w:after="0" w:line="184"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Audit Committee is established by the Board of Directors for the primary purpose of assisting the Board in:</w:t>
      </w:r>
    </w:p>
    <w:p>
      <w:pPr>
        <w:spacing w:after="0" w:line="198" w:lineRule="exact"/>
        <w:rPr>
          <w:rFonts w:ascii="Arial" w:cs="Arial" w:eastAsia="Arial" w:hAnsi="Arial"/>
          <w:sz w:val="18"/>
          <w:szCs w:val="18"/>
          <w:color w:val="auto"/>
        </w:rPr>
      </w:pPr>
    </w:p>
    <w:p>
      <w:pPr>
        <w:ind w:left="1220" w:hanging="312"/>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Overseeing the integrity of the Company’s financial statements.</w:t>
      </w:r>
    </w:p>
    <w:p>
      <w:pPr>
        <w:spacing w:after="0" w:line="184" w:lineRule="exact"/>
        <w:rPr>
          <w:rFonts w:ascii="Arial" w:cs="Arial" w:eastAsia="Arial" w:hAnsi="Arial"/>
          <w:sz w:val="18"/>
          <w:szCs w:val="18"/>
          <w:color w:val="auto"/>
        </w:rPr>
      </w:pPr>
    </w:p>
    <w:p>
      <w:pPr>
        <w:ind w:left="1220" w:hanging="312"/>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w:t>
      </w:r>
    </w:p>
    <w:p>
      <w:pPr>
        <w:spacing w:after="0" w:line="184" w:lineRule="exact"/>
        <w:rPr>
          <w:rFonts w:ascii="Arial" w:cs="Arial" w:eastAsia="Arial" w:hAnsi="Arial"/>
          <w:sz w:val="18"/>
          <w:szCs w:val="18"/>
          <w:color w:val="auto"/>
        </w:rPr>
      </w:pPr>
    </w:p>
    <w:p>
      <w:pPr>
        <w:ind w:left="1220" w:hanging="312"/>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Overseeing the independent auditor’s qualifications and independence.</w:t>
      </w:r>
    </w:p>
    <w:p>
      <w:pPr>
        <w:spacing w:after="0" w:line="198" w:lineRule="exact"/>
        <w:rPr>
          <w:rFonts w:ascii="Arial" w:cs="Arial" w:eastAsia="Arial" w:hAnsi="Arial"/>
          <w:sz w:val="18"/>
          <w:szCs w:val="18"/>
          <w:color w:val="auto"/>
        </w:rPr>
      </w:pPr>
    </w:p>
    <w:p>
      <w:pPr>
        <w:ind w:left="1220" w:hanging="312"/>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Overseeing the performance of the Company’s independent auditor and internal audit function.</w:t>
      </w:r>
    </w:p>
    <w:p>
      <w:pPr>
        <w:spacing w:after="0" w:line="184" w:lineRule="exact"/>
        <w:rPr>
          <w:rFonts w:ascii="Arial" w:cs="Arial" w:eastAsia="Arial" w:hAnsi="Arial"/>
          <w:sz w:val="18"/>
          <w:szCs w:val="18"/>
          <w:color w:val="auto"/>
        </w:rPr>
      </w:pPr>
    </w:p>
    <w:p>
      <w:pPr>
        <w:ind w:left="540" w:right="320" w:firstLine="368"/>
        <w:spacing w:after="0" w:line="277" w:lineRule="auto"/>
        <w:tabs>
          <w:tab w:leader="none" w:pos="12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Overseeing the Company’s system of disclosure controls and procedures, internal controls over financial reporting, and compliance with ethical standards adopted by the Company.</w:t>
      </w:r>
    </w:p>
    <w:p>
      <w:pPr>
        <w:spacing w:after="0" w:line="130"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In discharging this oversight role, the Audit Committee is empowered to investigate any matter brought to its attention or to obtain advice and assistance as deemed appropriate to perform its duties and responsibilities, with full power to retain external auditors, outside counsel or other experts for this purpose.</w:t>
      </w:r>
    </w:p>
    <w:p>
      <w:pPr>
        <w:spacing w:after="0" w:line="97"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The Company shall at all times make adequate provisions for the payment of all fees and other compensation approved by the Audit Committee to the independent auditors in connection with the issuance of their audit report and to any consultants or experts employed by the Audit Committee.</w:t>
      </w:r>
    </w:p>
    <w:p>
      <w:pPr>
        <w:spacing w:after="0" w:line="10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The Audit Committee will primarily fulfill its responsibilities by carrying out the activities enumerated in Section III of this Charter. The Audit Committee shall report its activities to the Board of Directors on a regular basis and make such recommendations as the Committee may deem necessary or appropriate.</w:t>
      </w:r>
    </w:p>
    <w:p>
      <w:pPr>
        <w:spacing w:after="0" w:line="14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COMMITTEE COMPOSITION AND MEETINGS</w:t>
      </w:r>
    </w:p>
    <w:p>
      <w:pPr>
        <w:spacing w:after="0" w:line="19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Audit Committee shall be comprised of three or more directors as determined by the Board, each of whom shall satisfy the independence requirements of the New York Stock Exchange (</w:t>
      </w:r>
      <w:r>
        <w:rPr>
          <w:rFonts w:ascii="Arial" w:cs="Arial" w:eastAsia="Arial" w:hAnsi="Arial"/>
          <w:sz w:val="18"/>
          <w:szCs w:val="18"/>
          <w:i w:val="1"/>
          <w:iCs w:val="1"/>
          <w:color w:val="auto"/>
        </w:rPr>
        <w:t>“NYSE”</w:t>
      </w:r>
      <w:r>
        <w:rPr>
          <w:rFonts w:ascii="Arial" w:cs="Arial" w:eastAsia="Arial" w:hAnsi="Arial"/>
          <w:sz w:val="18"/>
          <w:szCs w:val="18"/>
          <w:color w:val="auto"/>
        </w:rPr>
        <w:t xml:space="preserve"> ), Section 10A of the Securities Exchange Act of 1934, as amended by the Sarbanes-Oxley Act of 2002, and the rules promulgated thereunder and the Company’s Policy Regarding Nominations of Directors. The members of the Audit Committee shall meet the applicable requirements of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xml:space="preserve"> ) and NYSE. At least one member of the Audit Committee shall qualify as a “financial expert” within the meaning of the rules of the SEC and have “accounting or related financial management expertise” within the meaning of the rules of the NYSE.</w:t>
      </w:r>
    </w:p>
    <w:p>
      <w:pPr>
        <w:spacing w:after="0" w:line="153"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Audit Committee members shall not simultaneously serve on the audit committees of more than three public companies. Directors’ fees (including fees for attendance at meetings of committees of the Board) are the only compensation that an Audit Committee member may receive from the Company.</w:t>
      </w:r>
    </w:p>
    <w:p>
      <w:pPr>
        <w:spacing w:after="0" w:line="8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Audit Committee Chair shall be responsible for leadership of the Committee, including overseeing the agenda, presiding over the meetings and reporting to the Board. The Audit Committee shall meet at least four times each year (or more frequently if circumstances require) and hold such other meetings from time to time as may be called by its Chair, the Chief Executive Officer or any two members of the Committee. Meetings may also be held telephonically or actions may be taken by unanimous written consent. Each regularly scheduled meeting will conclude with an executive session of the Audit Committee absent members of management. The Audit Committee will meet at least annually with the Chief Financial Officer, the internal auditors and the independent auditors in separate executive sessions. In addition, the Audit Committee will meet with the independent auditors and management to discuss the annual audited financial statements and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including the Company’s disclosures under “Management’s Discussion and Analysis of Financial Condition and Results of Operations.”</w:t>
      </w:r>
    </w:p>
    <w:p>
      <w:pPr>
        <w:spacing w:after="0" w:line="18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Audit Committee members shall be appointed by the Board on recommendation of the Nominating and Governance Committee. A majority of the members of the Audit Committee shall constitute a quorum of the Committee. The vote of a majority of the members of the full Audit Committee shall be the act of the Committee. Except as expressly provided in this Charter or the By-Laws of the Company or as required by law, regulations or NYSE listing standards, the Audit Committee shall fix its own rules of procedure.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III.  AUDIT COMMITTEE RESPONSIBILITIES AND DUTIES</w:t>
      </w:r>
    </w:p>
    <w:p>
      <w:pPr>
        <w:sectPr>
          <w:pgSz w:w="11900" w:h="16838" w:orient="portrait"/>
          <w:cols w:equalWidth="0" w:num="1">
            <w:col w:w="11380"/>
          </w:cols>
          <w:pgMar w:left="240" w:top="1440" w:right="279" w:bottom="0" w:gutter="0" w:footer="0" w:header="0"/>
        </w:sectPr>
      </w:pPr>
    </w:p>
    <w:bookmarkStart w:id="19" w:name="page20"/>
    <w:bookmarkEnd w:id="19"/>
    <w:p>
      <w:pPr>
        <w:ind w:left="360"/>
        <w:spacing w:after="0"/>
        <w:rPr>
          <w:sz w:val="20"/>
          <w:szCs w:val="20"/>
          <w:color w:val="auto"/>
        </w:rPr>
      </w:pPr>
      <w:r>
        <w:rPr>
          <w:rFonts w:ascii="Arial" w:cs="Arial" w:eastAsia="Arial" w:hAnsi="Arial"/>
          <w:sz w:val="18"/>
          <w:szCs w:val="18"/>
          <w:color w:val="auto"/>
        </w:rPr>
        <w:t>To fulfill its responsibilities and duties, the Audit Committee 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Documents/Reports/Accounting Information Review</w:t>
      </w:r>
    </w:p>
    <w:p>
      <w:pPr>
        <w:spacing w:after="0" w:line="202" w:lineRule="exact"/>
        <w:rPr>
          <w:sz w:val="20"/>
          <w:szCs w:val="20"/>
          <w:color w:val="auto"/>
        </w:rPr>
      </w:pPr>
    </w:p>
    <w:p>
      <w:pPr>
        <w:ind w:left="1220" w:hanging="312"/>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this Charter annually and recommend any proposed changes to the Board for approval.</w:t>
      </w:r>
    </w:p>
    <w:p>
      <w:pPr>
        <w:spacing w:after="0" w:line="184" w:lineRule="exact"/>
        <w:rPr>
          <w:rFonts w:ascii="Arial" w:cs="Arial" w:eastAsia="Arial" w:hAnsi="Arial"/>
          <w:sz w:val="18"/>
          <w:szCs w:val="18"/>
          <w:color w:val="auto"/>
        </w:rPr>
      </w:pPr>
    </w:p>
    <w:p>
      <w:pPr>
        <w:ind w:left="540" w:right="20" w:firstLine="368"/>
        <w:spacing w:after="0" w:line="276" w:lineRule="auto"/>
        <w:tabs>
          <w:tab w:leader="none" w:pos="1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auditors the annual audited financial statements to be included in the Company’s Form 10-K filing (prior to the Company’s 10-K filing) and quarterly financial statements (prior to the Company’s 10-Q filings or release of earnings), including the Company’s disclosures under “Management’s Discussion and Analysis of Financial Condition and Results of Operations.” Review other relevant reports or financial information submitted by the Company to any governmental body or the public, including management certifications as required by the Sarbanes-Oxley Act of 2002. Review relevant reports rendered by the independent auditor.</w:t>
      </w:r>
    </w:p>
    <w:p>
      <w:pPr>
        <w:spacing w:after="0" w:line="132" w:lineRule="exact"/>
        <w:rPr>
          <w:rFonts w:ascii="Arial" w:cs="Arial" w:eastAsia="Arial" w:hAnsi="Arial"/>
          <w:sz w:val="17"/>
          <w:szCs w:val="17"/>
          <w:color w:val="auto"/>
        </w:rPr>
      </w:pPr>
    </w:p>
    <w:p>
      <w:pPr>
        <w:ind w:left="540" w:right="280" w:firstLine="368"/>
        <w:spacing w:after="0" w:line="277" w:lineRule="auto"/>
        <w:tabs>
          <w:tab w:leader="none" w:pos="1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whether the Company’s annual financial statements, together with the report of their independent auditors as to their examination, should be included in the Company’s Form 10-K.</w:t>
      </w:r>
    </w:p>
    <w:p>
      <w:pPr>
        <w:spacing w:after="0" w:line="143" w:lineRule="exact"/>
        <w:rPr>
          <w:rFonts w:ascii="Arial" w:cs="Arial" w:eastAsia="Arial" w:hAnsi="Arial"/>
          <w:sz w:val="18"/>
          <w:szCs w:val="18"/>
          <w:color w:val="auto"/>
        </w:rPr>
      </w:pPr>
    </w:p>
    <w:p>
      <w:pPr>
        <w:ind w:left="540" w:right="400" w:firstLine="368"/>
        <w:spacing w:after="0" w:line="264" w:lineRule="auto"/>
        <w:tabs>
          <w:tab w:leader="none" w:pos="1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 the type and presentation of information to be included in earnings press releases (paying particular attention to any use of “pro forma,” or “adjusted” non-GAAP, information), as well as financial information and earnings guidance, if any, provided to analysts and rating agencies.</w:t>
      </w:r>
    </w:p>
    <w:p>
      <w:pPr>
        <w:spacing w:after="0" w:line="140" w:lineRule="exact"/>
        <w:rPr>
          <w:rFonts w:ascii="Arial" w:cs="Arial" w:eastAsia="Arial" w:hAnsi="Arial"/>
          <w:sz w:val="18"/>
          <w:szCs w:val="18"/>
          <w:color w:val="auto"/>
        </w:rPr>
      </w:pPr>
    </w:p>
    <w:p>
      <w:pPr>
        <w:ind w:left="540" w:right="380" w:firstLine="368"/>
        <w:spacing w:after="0" w:line="277" w:lineRule="auto"/>
        <w:tabs>
          <w:tab w:leader="none" w:pos="1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the regular internal audit reports to management (or summaries thereof) prepared by the internal auditing department, as well as management’s response.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w:t>
      </w:r>
    </w:p>
    <w:p>
      <w:pPr>
        <w:spacing w:after="0" w:line="202" w:lineRule="exact"/>
        <w:rPr>
          <w:sz w:val="20"/>
          <w:szCs w:val="20"/>
          <w:color w:val="auto"/>
        </w:rPr>
      </w:pPr>
    </w:p>
    <w:p>
      <w:pPr>
        <w:ind w:left="540" w:right="60" w:firstLine="368"/>
        <w:spacing w:after="0" w:line="273" w:lineRule="auto"/>
        <w:tabs>
          <w:tab w:leader="none" w:pos="12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Audit Committee is directly responsible for the appointment, compensation, retention and oversight of the work of the independent auditors employed by the Company (including resolution of disagreements between management and the auditors regarding financial reporting) for the purpose of preparing or issuing an audit report or related work. The independent auditors shall report directly to the Audit Committee. In the process, the Audit Committee will provide to the independent auditors full access to the Audit Committee (and the Board) to report on any and all appropriate matters. The Audit Committee will discuss results of the annual audit and quarterly reviews with the independent auditors and the matters required to be discussed under Statement on Auditing Standards (SAS) No. 61, as modified or supplemented.</w:t>
      </w:r>
    </w:p>
    <w:p>
      <w:pPr>
        <w:spacing w:after="0" w:line="137" w:lineRule="exact"/>
        <w:rPr>
          <w:rFonts w:ascii="Arial" w:cs="Arial" w:eastAsia="Arial" w:hAnsi="Arial"/>
          <w:sz w:val="17"/>
          <w:szCs w:val="17"/>
          <w:color w:val="auto"/>
        </w:rPr>
      </w:pPr>
    </w:p>
    <w:p>
      <w:pPr>
        <w:ind w:left="1220" w:hanging="312"/>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review a report from the independent auditors at least annually regarding:</w:t>
      </w:r>
    </w:p>
    <w:p>
      <w:pPr>
        <w:spacing w:after="0" w:line="184" w:lineRule="exact"/>
        <w:rPr>
          <w:rFonts w:ascii="Arial" w:cs="Arial" w:eastAsia="Arial" w:hAnsi="Arial"/>
          <w:sz w:val="18"/>
          <w:szCs w:val="18"/>
          <w:color w:val="auto"/>
        </w:rPr>
      </w:pPr>
    </w:p>
    <w:p>
      <w:pPr>
        <w:ind w:left="1800" w:hanging="352"/>
        <w:spacing w:after="0"/>
        <w:tabs>
          <w:tab w:leader="none" w:pos="1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independent auditors’ internal quality-control procedures;</w:t>
      </w:r>
    </w:p>
    <w:p>
      <w:pPr>
        <w:spacing w:after="0" w:line="198" w:lineRule="exact"/>
        <w:rPr>
          <w:rFonts w:ascii="Arial" w:cs="Arial" w:eastAsia="Arial" w:hAnsi="Arial"/>
          <w:sz w:val="18"/>
          <w:szCs w:val="18"/>
          <w:color w:val="auto"/>
        </w:rPr>
      </w:pPr>
    </w:p>
    <w:p>
      <w:pPr>
        <w:jc w:val="both"/>
        <w:ind w:left="1080" w:firstLine="368"/>
        <w:spacing w:after="0" w:line="264" w:lineRule="auto"/>
        <w:tabs>
          <w:tab w:leader="none" w:pos="18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material issues raised by the most recent quality-control review, or peer review, of the firm, or by any inquiry or investigation by governmental or professional authorities within the preceding five years respecting one or more independent audits carried out by the firm, any steps taken to deal with any such issues; and</w:t>
      </w:r>
    </w:p>
    <w:p>
      <w:pPr>
        <w:spacing w:after="0" w:line="140" w:lineRule="exact"/>
        <w:rPr>
          <w:rFonts w:ascii="Arial" w:cs="Arial" w:eastAsia="Arial" w:hAnsi="Arial"/>
          <w:sz w:val="18"/>
          <w:szCs w:val="18"/>
          <w:color w:val="auto"/>
        </w:rPr>
      </w:pPr>
    </w:p>
    <w:p>
      <w:pPr>
        <w:ind w:left="1080" w:right="280" w:firstLine="368"/>
        <w:spacing w:after="0" w:line="277" w:lineRule="auto"/>
        <w:tabs>
          <w:tab w:leader="none" w:pos="18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relationships between the independent auditors and the Company, addressing the matters set forth in Independence Standards Board Standard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firstLine="360"/>
        <w:spacing w:after="0" w:line="308" w:lineRule="auto"/>
        <w:rPr>
          <w:sz w:val="20"/>
          <w:szCs w:val="20"/>
          <w:color w:val="auto"/>
        </w:rPr>
      </w:pPr>
      <w:r>
        <w:rPr>
          <w:rFonts w:ascii="Arial" w:cs="Arial" w:eastAsia="Arial" w:hAnsi="Arial"/>
          <w:sz w:val="17"/>
          <w:szCs w:val="17"/>
          <w:color w:val="auto"/>
        </w:rPr>
        <w:t>Evaluate the independent auditor’s qualifications, performance, and independence. Further, the Audit Committee will review and evaluate the lead partner and other senior members of the independent audit team each year. Ensure the rotation of audit partners as required by law.</w:t>
      </w:r>
    </w:p>
    <w:p>
      <w:pPr>
        <w:spacing w:after="0" w:line="120" w:lineRule="exact"/>
        <w:rPr>
          <w:sz w:val="20"/>
          <w:szCs w:val="20"/>
          <w:color w:val="auto"/>
        </w:rPr>
      </w:pPr>
    </w:p>
    <w:p>
      <w:pPr>
        <w:ind w:left="540" w:firstLine="368"/>
        <w:spacing w:after="0" w:line="279" w:lineRule="auto"/>
        <w:tabs>
          <w:tab w:leader="none" w:pos="1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Ensure that the independent auditors submit on a quarterly basis to the Audit Committee a statement delineating all relationships between the independent auditors and the Company and actively engage in a dialogue with the independent auditors with respect to any disclosed relationships or services that may impact the auditors’ objectivity and independence; and, if deemed appropriate by the Audit Committee, recommend that the Board of Directors take appropriate action to ensure the independence of the auditors.</w:t>
      </w:r>
    </w:p>
    <w:p>
      <w:pPr>
        <w:spacing w:after="0" w:line="130" w:lineRule="exact"/>
        <w:rPr>
          <w:rFonts w:ascii="Arial" w:cs="Arial" w:eastAsia="Arial" w:hAnsi="Arial"/>
          <w:sz w:val="17"/>
          <w:szCs w:val="17"/>
          <w:color w:val="auto"/>
        </w:rPr>
      </w:pPr>
    </w:p>
    <w:p>
      <w:pPr>
        <w:ind w:left="540" w:right="240" w:firstLine="368"/>
        <w:spacing w:after="0" w:line="302" w:lineRule="auto"/>
        <w:tabs>
          <w:tab w:leader="none" w:pos="121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the independent auditors’ audit plan – discuss scope, staffing, budget, locations, reliance upon management and internal audit and general audit approach. Approve the fees and other significant compensation to be paid to the independent auditors as well as pre-approve all permitted non-audit engagements with the independent auditors. The Audit Committee shall consult with management but shall not delegate these responsibilities, except that pre-approvals of non-audit services may be delegated to a single member of the Audit Committee.</w:t>
      </w:r>
    </w:p>
    <w:p>
      <w:pPr>
        <w:spacing w:after="0" w:line="113" w:lineRule="exact"/>
        <w:rPr>
          <w:rFonts w:ascii="Arial" w:cs="Arial" w:eastAsia="Arial" w:hAnsi="Arial"/>
          <w:sz w:val="16"/>
          <w:szCs w:val="16"/>
          <w:color w:val="auto"/>
        </w:rPr>
      </w:pPr>
    </w:p>
    <w:p>
      <w:pPr>
        <w:ind w:left="540" w:right="200" w:firstLine="368"/>
        <w:spacing w:after="0" w:line="264" w:lineRule="auto"/>
        <w:tabs>
          <w:tab w:leader="none" w:pos="1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with the independent auditors any problems, difficulties or differences encountered in the course of the audit work, including any disagreements with management or restrictions on the scope of the independent auditors’ activities or on access to requested information and management’s response thereto.</w:t>
      </w:r>
    </w:p>
    <w:p>
      <w:pPr>
        <w:spacing w:after="0" w:line="154" w:lineRule="exact"/>
        <w:rPr>
          <w:rFonts w:ascii="Arial" w:cs="Arial" w:eastAsia="Arial" w:hAnsi="Arial"/>
          <w:sz w:val="18"/>
          <w:szCs w:val="18"/>
          <w:color w:val="auto"/>
        </w:rPr>
      </w:pPr>
    </w:p>
    <w:p>
      <w:pPr>
        <w:ind w:left="1300" w:hanging="39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 timely discussions with the independent auditors regarding the following:</w:t>
      </w:r>
    </w:p>
    <w:p>
      <w:pPr>
        <w:spacing w:after="0" w:line="184" w:lineRule="exact"/>
        <w:rPr>
          <w:rFonts w:ascii="Arial" w:cs="Arial" w:eastAsia="Arial" w:hAnsi="Arial"/>
          <w:sz w:val="18"/>
          <w:szCs w:val="18"/>
          <w:color w:val="auto"/>
        </w:rPr>
      </w:pPr>
    </w:p>
    <w:p>
      <w:pPr>
        <w:ind w:left="1800" w:hanging="352"/>
        <w:spacing w:after="0"/>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184" w:lineRule="exact"/>
        <w:rPr>
          <w:rFonts w:ascii="Arial" w:cs="Arial" w:eastAsia="Arial" w:hAnsi="Arial"/>
          <w:sz w:val="18"/>
          <w:szCs w:val="18"/>
          <w:color w:val="auto"/>
        </w:rPr>
      </w:pPr>
    </w:p>
    <w:p>
      <w:pPr>
        <w:ind w:left="1080" w:right="220" w:firstLine="368"/>
        <w:spacing w:after="0" w:line="264" w:lineRule="auto"/>
        <w:tabs>
          <w:tab w:leader="none" w:pos="18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alternative treatments of financial information within generally accepted accounting principles that have been discussed with management, ramifications of the use of such alternative disclosures and treatments, and the treatment preferred by the independent auditor; and</w:t>
      </w:r>
    </w:p>
    <w:p>
      <w:pPr>
        <w:spacing w:after="0" w:line="154" w:lineRule="exact"/>
        <w:rPr>
          <w:rFonts w:ascii="Arial" w:cs="Arial" w:eastAsia="Arial" w:hAnsi="Arial"/>
          <w:sz w:val="18"/>
          <w:szCs w:val="18"/>
          <w:color w:val="auto"/>
        </w:rPr>
      </w:pPr>
    </w:p>
    <w:p>
      <w:pPr>
        <w:ind w:left="1080" w:right="640" w:firstLine="368"/>
        <w:spacing w:after="0" w:line="277" w:lineRule="auto"/>
        <w:tabs>
          <w:tab w:leader="none" w:pos="18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management, including, but not limited to, the management letter.</w:t>
      </w:r>
    </w:p>
    <w:p>
      <w:pPr>
        <w:spacing w:after="0" w:line="129" w:lineRule="exact"/>
        <w:rPr>
          <w:rFonts w:ascii="Arial" w:cs="Arial" w:eastAsia="Arial" w:hAnsi="Arial"/>
          <w:sz w:val="18"/>
          <w:szCs w:val="18"/>
          <w:color w:val="auto"/>
        </w:rPr>
      </w:pPr>
    </w:p>
    <w:p>
      <w:pPr>
        <w:ind w:left="1320" w:hanging="412"/>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Recommend to the Board policies for the Company’s hiring of employees or former employees of the independent auditors.</w:t>
      </w:r>
    </w:p>
    <w:p>
      <w:pPr>
        <w:sectPr>
          <w:pgSz w:w="11900" w:h="16838" w:orient="portrait"/>
          <w:cols w:equalWidth="0" w:num="1">
            <w:col w:w="11400"/>
          </w:cols>
          <w:pgMar w:left="240" w:top="125" w:right="259" w:bottom="0" w:gutter="0" w:footer="0" w:header="0"/>
        </w:sectPr>
      </w:pPr>
    </w:p>
    <w:bookmarkStart w:id="20" w:name="page21"/>
    <w:bookmarkEnd w:id="20"/>
    <w:p>
      <w:pPr>
        <w:ind w:left="540" w:right="160" w:firstLine="368"/>
        <w:spacing w:after="0" w:line="277" w:lineRule="auto"/>
        <w:tabs>
          <w:tab w:leader="none" w:pos="13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 with the independent auditors any communications between the audit team and the audit firm’s national office respecting auditing or accounting issues presented by the engagement.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Reporting Processes, Accounting Policies and Internal Control Structure</w:t>
      </w:r>
    </w:p>
    <w:p>
      <w:pPr>
        <w:spacing w:after="0" w:line="202" w:lineRule="exact"/>
        <w:rPr>
          <w:sz w:val="20"/>
          <w:szCs w:val="20"/>
          <w:color w:val="auto"/>
        </w:rPr>
      </w:pPr>
    </w:p>
    <w:p>
      <w:pPr>
        <w:ind w:left="540" w:right="40" w:firstLine="368"/>
        <w:spacing w:after="0" w:line="264" w:lineRule="auto"/>
        <w:tabs>
          <w:tab w:leader="none" w:pos="1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and review disclosures made by the Company’s principal executive officer and principal financial officer regarding compliance with their certification obligations as required under the Sarbanes-Oxley Act of 2002 and the rules promulgated thereunder, including the Company’s disclosure controls and procedures and internal controls for financial reporting and evaluations thereof.</w:t>
      </w:r>
    </w:p>
    <w:p>
      <w:pPr>
        <w:spacing w:after="0" w:line="140" w:lineRule="exact"/>
        <w:rPr>
          <w:rFonts w:ascii="Arial" w:cs="Arial" w:eastAsia="Arial" w:hAnsi="Arial"/>
          <w:sz w:val="18"/>
          <w:szCs w:val="18"/>
          <w:color w:val="auto"/>
        </w:rPr>
      </w:pPr>
    </w:p>
    <w:p>
      <w:pPr>
        <w:ind w:left="540" w:right="260" w:firstLine="368"/>
        <w:spacing w:after="0" w:line="277" w:lineRule="auto"/>
        <w:tabs>
          <w:tab w:leader="none" w:pos="1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management’s assertion on its assessment of the effectiveness of internal controls as of the end of the most recent fiscal year and the independent auditors report on management’s assertion.</w:t>
      </w:r>
    </w:p>
    <w:p>
      <w:pPr>
        <w:spacing w:after="0" w:line="129" w:lineRule="exact"/>
        <w:rPr>
          <w:rFonts w:ascii="Arial" w:cs="Arial" w:eastAsia="Arial" w:hAnsi="Arial"/>
          <w:sz w:val="18"/>
          <w:szCs w:val="18"/>
          <w:color w:val="auto"/>
        </w:rPr>
      </w:pPr>
    </w:p>
    <w:p>
      <w:pPr>
        <w:ind w:left="540" w:right="60" w:firstLine="368"/>
        <w:spacing w:after="0" w:line="264" w:lineRule="auto"/>
        <w:tabs>
          <w:tab w:leader="none" w:pos="1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major issues regarding accounting principles and financial statement presentations, including any significant changes in the Company’s selection or application of accounting principles, and reports from management and the independent auditors as to the Company’s internal controls over financial reporting and any special audit steps adopted in light of control deficiencies.</w:t>
      </w:r>
    </w:p>
    <w:p>
      <w:pPr>
        <w:spacing w:after="0" w:line="154" w:lineRule="exact"/>
        <w:rPr>
          <w:rFonts w:ascii="Arial" w:cs="Arial" w:eastAsia="Arial" w:hAnsi="Arial"/>
          <w:sz w:val="18"/>
          <w:szCs w:val="18"/>
          <w:color w:val="auto"/>
        </w:rPr>
      </w:pPr>
    </w:p>
    <w:p>
      <w:pPr>
        <w:ind w:left="540" w:right="260" w:firstLine="368"/>
        <w:spacing w:after="0" w:line="264" w:lineRule="auto"/>
        <w:tabs>
          <w:tab w:leader="none" w:pos="1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20" w:hanging="412"/>
        <w:spacing w:after="0"/>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 the effect of regulatory and accounting initiatives, as well as off-balance sheet structures, on the financial statements of the</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Ethical Compliance, Legal Compliance, and Risk Management</w:t>
      </w:r>
    </w:p>
    <w:p>
      <w:pPr>
        <w:spacing w:after="0" w:line="202" w:lineRule="exact"/>
        <w:rPr>
          <w:sz w:val="20"/>
          <w:szCs w:val="20"/>
          <w:color w:val="auto"/>
        </w:rPr>
      </w:pPr>
    </w:p>
    <w:p>
      <w:pPr>
        <w:ind w:left="540" w:right="340" w:firstLine="368"/>
        <w:spacing w:after="0" w:line="277" w:lineRule="auto"/>
        <w:tabs>
          <w:tab w:leader="none" w:pos="13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29" w:lineRule="exact"/>
        <w:rPr>
          <w:rFonts w:ascii="Arial" w:cs="Arial" w:eastAsia="Arial" w:hAnsi="Arial"/>
          <w:sz w:val="18"/>
          <w:szCs w:val="18"/>
          <w:color w:val="auto"/>
        </w:rPr>
      </w:pPr>
    </w:p>
    <w:p>
      <w:pPr>
        <w:ind w:left="540" w:right="160" w:firstLine="368"/>
        <w:spacing w:after="0" w:line="308" w:lineRule="auto"/>
        <w:tabs>
          <w:tab w:leader="none" w:pos="13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the Company’s policies and practices related to compliance with the Company’s codes of ethical conduct and conflicts of interest, to be satisfied that such policies are adequate and adhered to by the Company and its directors and executive officers.</w:t>
      </w:r>
    </w:p>
    <w:p>
      <w:pPr>
        <w:spacing w:after="0" w:line="106" w:lineRule="exact"/>
        <w:rPr>
          <w:rFonts w:ascii="Arial" w:cs="Arial" w:eastAsia="Arial" w:hAnsi="Arial"/>
          <w:sz w:val="17"/>
          <w:szCs w:val="17"/>
          <w:color w:val="auto"/>
        </w:rPr>
      </w:pPr>
    </w:p>
    <w:p>
      <w:pPr>
        <w:ind w:left="1320" w:hanging="412"/>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and review annually procedures for:</w:t>
      </w:r>
    </w:p>
    <w:p>
      <w:pPr>
        <w:spacing w:after="0" w:line="198" w:lineRule="exact"/>
        <w:rPr>
          <w:rFonts w:ascii="Arial" w:cs="Arial" w:eastAsia="Arial" w:hAnsi="Arial"/>
          <w:sz w:val="18"/>
          <w:szCs w:val="18"/>
          <w:color w:val="auto"/>
        </w:rPr>
      </w:pPr>
    </w:p>
    <w:p>
      <w:pPr>
        <w:ind w:left="1080" w:right="320" w:firstLine="368"/>
        <w:spacing w:after="0" w:line="277" w:lineRule="auto"/>
        <w:tabs>
          <w:tab w:leader="none" w:pos="17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receipt, retention and treatment of complaints received by the Company regarding accounting, internal accounting controls or auditing matters; and</w:t>
      </w:r>
    </w:p>
    <w:p>
      <w:pPr>
        <w:spacing w:after="0" w:line="129" w:lineRule="exact"/>
        <w:rPr>
          <w:rFonts w:ascii="Arial" w:cs="Arial" w:eastAsia="Arial" w:hAnsi="Arial"/>
          <w:sz w:val="18"/>
          <w:szCs w:val="18"/>
          <w:color w:val="auto"/>
        </w:rPr>
      </w:pPr>
    </w:p>
    <w:p>
      <w:pPr>
        <w:ind w:left="1840" w:hanging="392"/>
        <w:spacing w:after="0"/>
        <w:tabs>
          <w:tab w:leader="none" w:pos="18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confidential, anonymous submission by employees of the Company of concerns regarding questionable accounting or auditing</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matters.</w:t>
      </w:r>
    </w:p>
    <w:p>
      <w:pPr>
        <w:spacing w:after="0" w:line="170" w:lineRule="exact"/>
        <w:rPr>
          <w:rFonts w:ascii="Arial" w:cs="Arial" w:eastAsia="Arial" w:hAnsi="Arial"/>
          <w:sz w:val="16"/>
          <w:szCs w:val="16"/>
          <w:color w:val="auto"/>
        </w:rPr>
      </w:pPr>
    </w:p>
    <w:p>
      <w:pPr>
        <w:ind w:left="1220" w:hanging="312"/>
        <w:spacing w:after="0"/>
        <w:tabs>
          <w:tab w:leader="none" w:pos="1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with management policies and analyses with respect to financial risk and fraud risk assessment and related risk management.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w:t>
      </w:r>
    </w:p>
    <w:p>
      <w:pPr>
        <w:spacing w:after="0" w:line="189" w:lineRule="exact"/>
        <w:rPr>
          <w:sz w:val="20"/>
          <w:szCs w:val="20"/>
          <w:color w:val="auto"/>
        </w:rPr>
      </w:pPr>
    </w:p>
    <w:p>
      <w:pPr>
        <w:ind w:left="540" w:right="460" w:firstLine="368"/>
        <w:spacing w:after="0" w:line="264" w:lineRule="auto"/>
        <w:tabs>
          <w:tab w:leader="none" w:pos="1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Ensure that the Company maintains an internal audit function and review the activities, organization structure, qualifications and performance of this function. Periodically review with the internal auditor any significant difficulties, disagreements with management, or scope restrictions encountered in the course of the function’s work.</w:t>
      </w:r>
    </w:p>
    <w:p>
      <w:pPr>
        <w:spacing w:after="0" w:line="140" w:lineRule="exact"/>
        <w:rPr>
          <w:rFonts w:ascii="Arial" w:cs="Arial" w:eastAsia="Arial" w:hAnsi="Arial"/>
          <w:sz w:val="18"/>
          <w:szCs w:val="18"/>
          <w:color w:val="auto"/>
        </w:rPr>
      </w:pPr>
    </w:p>
    <w:p>
      <w:pPr>
        <w:ind w:left="540" w:right="400" w:firstLine="368"/>
        <w:spacing w:after="0" w:line="277" w:lineRule="auto"/>
        <w:tabs>
          <w:tab w:leader="none" w:pos="1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the appointment, replacement, reassignment or dismissal of the internal audit manager (if any) or approve the retention of, and engagement terms for, any third party provider of internal audit services.</w:t>
      </w:r>
    </w:p>
    <w:p>
      <w:pPr>
        <w:spacing w:after="0" w:line="143" w:lineRule="exact"/>
        <w:rPr>
          <w:rFonts w:ascii="Arial" w:cs="Arial" w:eastAsia="Arial" w:hAnsi="Arial"/>
          <w:sz w:val="18"/>
          <w:szCs w:val="18"/>
          <w:color w:val="auto"/>
        </w:rPr>
      </w:pPr>
    </w:p>
    <w:p>
      <w:pPr>
        <w:ind w:left="1320" w:hanging="412"/>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the internal auditors’ audit plan — discuss scope, staffing, budget, locations, and general audit approach.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Responsibilities</w:t>
      </w:r>
    </w:p>
    <w:p>
      <w:pPr>
        <w:spacing w:after="0" w:line="189" w:lineRule="exact"/>
        <w:rPr>
          <w:sz w:val="20"/>
          <w:szCs w:val="20"/>
          <w:color w:val="auto"/>
        </w:rPr>
      </w:pPr>
    </w:p>
    <w:p>
      <w:pPr>
        <w:ind w:left="1300" w:hanging="392"/>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Annually prepare a report to shareholders as required by the SEC. The report should be included in the Company’s annual proxy statement.</w:t>
      </w:r>
    </w:p>
    <w:p>
      <w:pPr>
        <w:spacing w:after="0" w:line="221" w:lineRule="exact"/>
        <w:rPr>
          <w:rFonts w:ascii="Arial" w:cs="Arial" w:eastAsia="Arial" w:hAnsi="Arial"/>
          <w:sz w:val="16"/>
          <w:szCs w:val="16"/>
          <w:color w:val="auto"/>
        </w:rPr>
      </w:pPr>
    </w:p>
    <w:p>
      <w:pPr>
        <w:ind w:left="1300" w:hanging="39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Annually conduct a self-evaluation of the Audit Committee.</w:t>
      </w:r>
    </w:p>
    <w:p>
      <w:pPr>
        <w:spacing w:after="0" w:line="184" w:lineRule="exact"/>
        <w:rPr>
          <w:rFonts w:ascii="Arial" w:cs="Arial" w:eastAsia="Arial" w:hAnsi="Arial"/>
          <w:sz w:val="18"/>
          <w:szCs w:val="18"/>
          <w:color w:val="auto"/>
        </w:rPr>
      </w:pPr>
    </w:p>
    <w:p>
      <w:pPr>
        <w:ind w:left="540" w:right="380" w:firstLine="368"/>
        <w:spacing w:after="0" w:line="277" w:lineRule="auto"/>
        <w:tabs>
          <w:tab w:leader="none" w:pos="13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and governing law, as the Board of Directors deems necessary or appropriate.</w:t>
      </w:r>
    </w:p>
    <w:p>
      <w:pPr>
        <w:spacing w:after="0" w:line="13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While the Audit Committee has the responsibilities and powers set forth in this Charter, the Audit Committee’s function is one of oversight. The Company’s management is responsible for preparing the Company’s financial statements and, along with the internal auditors, for developing and maintaining systems of internal accounting and financial controls, while the independent auditors will assist the Audit Committee and the Board in fulfilling their responsibilities for their review of these financial statements and internal controls. The Audit Committee expects the independent auditors to call to its attention any accounting, auditing, internal accounting control, regulatory or other related matters that they believe warrant consideration or action. The Audit Committee recognizes that the financial management and the internal and independent auditors have more knowledge and information about the Company than do Audit Committee members. Consequently, in carrying out its oversight responsibilities, the Audit Committee does not provide any expert or special assurance as to the Company’s financial statements or internal controls or any professional certification as to the independent auditors’ work.</w:t>
      </w:r>
    </w:p>
    <w:p>
      <w:pPr>
        <w:sectPr>
          <w:pgSz w:w="11900" w:h="16838" w:orient="portrait"/>
          <w:cols w:equalWidth="0" w:num="1">
            <w:col w:w="11420"/>
          </w:cols>
          <w:pgMar w:left="240" w:top="125" w:right="239" w:bottom="351" w:gutter="0" w:footer="0" w:header="0"/>
        </w:sectPr>
      </w:pPr>
    </w:p>
    <w:bookmarkStart w:id="21" w:name="page22"/>
    <w:bookmarkEnd w:id="21"/>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Appendix B</w:t>
      </w:r>
    </w:p>
    <w:p>
      <w:pPr>
        <w:spacing w:after="0" w:line="21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NOMINATIONS OF DIRECTORS</w:t>
      </w:r>
    </w:p>
    <w:p>
      <w:pPr>
        <w:spacing w:after="0" w:line="195"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The Nominating and Governance Committee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 has adopted the following policy (the </w:t>
      </w:r>
      <w:r>
        <w:rPr>
          <w:rFonts w:ascii="Arial" w:cs="Arial" w:eastAsia="Arial" w:hAnsi="Arial"/>
          <w:sz w:val="18"/>
          <w:szCs w:val="18"/>
          <w:i w:val="1"/>
          <w:iCs w:val="1"/>
          <w:color w:val="auto"/>
        </w:rPr>
        <w:t>“Director Nomination Policy”</w:t>
      </w:r>
      <w:r>
        <w:rPr>
          <w:rFonts w:ascii="Arial" w:cs="Arial" w:eastAsia="Arial" w:hAnsi="Arial"/>
          <w:sz w:val="18"/>
          <w:szCs w:val="18"/>
          <w:color w:val="auto"/>
        </w:rPr>
        <w:t xml:space="preserve"> ) to assist it in fulfilling its duties and responsibilities as provided in its charter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 This Director Nomination Policy may be amended and/or restated from time to time by the Committee in accordance with the Charter and as provided herein.</w:t>
      </w:r>
    </w:p>
    <w:p>
      <w:pPr>
        <w:spacing w:after="0" w:line="195" w:lineRule="exact"/>
        <w:rPr>
          <w:sz w:val="20"/>
          <w:szCs w:val="20"/>
          <w:color w:val="auto"/>
        </w:rPr>
      </w:pPr>
    </w:p>
    <w:p>
      <w:pPr>
        <w:ind w:left="1020" w:hanging="472"/>
        <w:spacing w:after="0" w:line="268"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Recommended Candidates. </w:t>
      </w:r>
      <w:r>
        <w:rPr>
          <w:rFonts w:ascii="Arial" w:cs="Arial" w:eastAsia="Arial" w:hAnsi="Arial"/>
          <w:sz w:val="17"/>
          <w:szCs w:val="17"/>
          <w:color w:val="auto"/>
        </w:rPr>
        <w:t>The Committee shall consider any and all candidates recommended as nominees for directors to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by any directors, officers, shareholders of the Company, third 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of the Company’s Common Stock who may also submit nominations in accordance with the procedures in Section 2 under “5% Shareholder Recommendations”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50" w:lineRule="exact"/>
        <w:rPr>
          <w:rFonts w:ascii="Arial" w:cs="Arial" w:eastAsia="Arial" w:hAnsi="Arial"/>
          <w:sz w:val="17"/>
          <w:szCs w:val="17"/>
          <w:color w:val="auto"/>
        </w:rPr>
      </w:pPr>
    </w:p>
    <w:p>
      <w:pPr>
        <w:ind w:left="1020" w:right="60" w:hanging="472"/>
        <w:spacing w:after="0" w:line="28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5% Shareholder Recommendations. </w:t>
      </w:r>
      <w:r>
        <w:rPr>
          <w:rFonts w:ascii="Arial" w:cs="Arial" w:eastAsia="Arial" w:hAnsi="Arial"/>
          <w:sz w:val="16"/>
          <w:szCs w:val="16"/>
          <w:color w:val="auto"/>
        </w:rPr>
        <w:t>For purposes of facilitating disclosure required in the Proxy Statement, the Committee and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shall identify any candidates recommended by shareholders owning more than 5%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w:t>
      </w:r>
    </w:p>
    <w:p>
      <w:pPr>
        <w:spacing w:after="0" w:line="1" w:lineRule="exact"/>
        <w:rPr>
          <w:rFonts w:ascii="Arial" w:cs="Arial" w:eastAsia="Arial" w:hAnsi="Arial"/>
          <w:sz w:val="16"/>
          <w:szCs w:val="16"/>
          <w:color w:val="auto"/>
        </w:rPr>
      </w:pPr>
    </w:p>
    <w:p>
      <w:pPr>
        <w:ind w:left="1020" w:right="20"/>
        <w:spacing w:after="0" w:line="281" w:lineRule="auto"/>
        <w:rPr>
          <w:rFonts w:ascii="Arial" w:cs="Arial" w:eastAsia="Arial" w:hAnsi="Arial"/>
          <w:sz w:val="16"/>
          <w:szCs w:val="16"/>
          <w:color w:val="auto"/>
        </w:rPr>
      </w:pPr>
      <w:r>
        <w:rPr>
          <w:rFonts w:ascii="Arial" w:cs="Arial" w:eastAsia="Arial" w:hAnsi="Arial"/>
          <w:sz w:val="16"/>
          <w:szCs w:val="16"/>
          <w:color w:val="auto"/>
        </w:rPr>
        <w:t>(2)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Company shareholders in accordance with applicable laws and the Company’s By-Laws and</w:t>
      </w:r>
    </w:p>
    <w:p>
      <w:pPr>
        <w:spacing w:after="0" w:line="4"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(b) comply with the Company’s Code of Ethics.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right="40" w:hanging="472"/>
        <w:spacing w:after="0" w:line="312"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Desired Qualifications, Qualities and Skills. </w:t>
      </w:r>
      <w:r>
        <w:rPr>
          <w:rFonts w:ascii="Arial" w:cs="Arial" w:eastAsia="Arial" w:hAnsi="Arial"/>
          <w:sz w:val="16"/>
          <w:szCs w:val="16"/>
          <w:color w:val="auto"/>
        </w:rPr>
        <w:t>The Committee shall endeavor to find individuals of high integrity who have a solid record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146" w:lineRule="exact"/>
        <w:rPr>
          <w:rFonts w:ascii="Arial" w:cs="Arial" w:eastAsia="Arial" w:hAnsi="Arial"/>
          <w:sz w:val="16"/>
          <w:szCs w:val="16"/>
          <w:color w:val="auto"/>
        </w:rPr>
      </w:pPr>
    </w:p>
    <w:p>
      <w:pPr>
        <w:ind w:left="1020" w:right="240"/>
        <w:spacing w:after="0" w:line="277" w:lineRule="auto"/>
        <w:rPr>
          <w:rFonts w:ascii="Arial" w:cs="Arial" w:eastAsia="Arial" w:hAnsi="Arial"/>
          <w:sz w:val="16"/>
          <w:szCs w:val="16"/>
          <w:color w:val="auto"/>
        </w:rPr>
      </w:pPr>
      <w:r>
        <w:rPr>
          <w:rFonts w:ascii="Arial" w:cs="Arial" w:eastAsia="Arial" w:hAnsi="Arial"/>
          <w:sz w:val="18"/>
          <w:szCs w:val="18"/>
          <w:color w:val="auto"/>
        </w:rPr>
        <w:t>The Committee considers the following qualifications at a minimum to be required of any Board members in recommending to the Board of Directors potential new Board members, or the continued service of existing members:</w:t>
      </w:r>
    </w:p>
    <w:p>
      <w:pPr>
        <w:spacing w:after="0" w:line="62" w:lineRule="exact"/>
        <w:rPr>
          <w:rFonts w:ascii="Arial" w:cs="Arial" w:eastAsia="Arial" w:hAnsi="Arial"/>
          <w:sz w:val="16"/>
          <w:szCs w:val="16"/>
          <w:color w:val="auto"/>
        </w:rPr>
      </w:pPr>
    </w:p>
    <w:p>
      <w:pPr>
        <w:ind w:left="1500" w:hanging="466"/>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500" w:right="200" w:hanging="466"/>
        <w:spacing w:after="0" w:line="277" w:lineRule="auto"/>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spacing w:after="0" w:line="35" w:lineRule="exact"/>
        <w:rPr>
          <w:rFonts w:ascii="Arial" w:cs="Arial" w:eastAsia="Arial" w:hAnsi="Arial"/>
          <w:sz w:val="18"/>
          <w:szCs w:val="18"/>
          <w:color w:val="auto"/>
        </w:rPr>
      </w:pPr>
    </w:p>
    <w:p>
      <w:pPr>
        <w:ind w:left="1500" w:right="20" w:hanging="466"/>
        <w:spacing w:after="0" w:line="277" w:lineRule="auto"/>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500" w:hanging="466"/>
        <w:spacing w:after="0"/>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239"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200" w:lineRule="exact"/>
        <w:rPr>
          <w:sz w:val="20"/>
          <w:szCs w:val="20"/>
          <w:color w:val="auto"/>
        </w:rPr>
      </w:pPr>
    </w:p>
    <w:p>
      <w:pPr>
        <w:ind w:left="1020" w:right="20" w:hanging="472"/>
        <w:spacing w:after="0" w:line="342"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Independence. </w:t>
      </w:r>
      <w:r>
        <w:rPr>
          <w:rFonts w:ascii="Arial" w:cs="Arial" w:eastAsia="Arial" w:hAnsi="Arial"/>
          <w:sz w:val="16"/>
          <w:szCs w:val="16"/>
          <w:color w:val="auto"/>
        </w:rPr>
        <w:t>The Committee believes and it is the policy of the Company that a majority of the members of the Board meet the definition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director” set forth in this Director Nomination Policy. The Committee shall annually assess each nominee for director by</w:t>
      </w:r>
    </w:p>
    <w:p>
      <w:pPr>
        <w:sectPr>
          <w:pgSz w:w="11900" w:h="16908" w:orient="portrait"/>
          <w:cols w:equalWidth="0" w:num="1">
            <w:col w:w="11360"/>
          </w:cols>
          <w:pgMar w:left="240" w:top="125" w:right="299" w:bottom="0" w:gutter="0" w:footer="0" w:header="0"/>
        </w:sectPr>
      </w:pPr>
    </w:p>
    <w:bookmarkStart w:id="22" w:name="page23"/>
    <w:bookmarkEnd w:id="22"/>
    <w:p>
      <w:pPr>
        <w:ind w:left="480"/>
        <w:spacing w:after="0"/>
        <w:rPr>
          <w:sz w:val="20"/>
          <w:szCs w:val="20"/>
          <w:color w:val="auto"/>
        </w:rPr>
      </w:pPr>
      <w:r>
        <w:rPr>
          <w:rFonts w:ascii="Arial" w:cs="Arial" w:eastAsia="Arial" w:hAnsi="Arial"/>
          <w:sz w:val="18"/>
          <w:szCs w:val="18"/>
          <w:color w:val="auto"/>
        </w:rPr>
        <w:t>reviewing any potential conflicts of interest and outside affiliations, based on the criteria for independence set out below.</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independent director is one who:</w:t>
      </w:r>
    </w:p>
    <w:p>
      <w:pPr>
        <w:spacing w:after="0" w:line="239" w:lineRule="exact"/>
        <w:rPr>
          <w:sz w:val="20"/>
          <w:szCs w:val="20"/>
          <w:color w:val="auto"/>
        </w:rPr>
      </w:pPr>
    </w:p>
    <w:p>
      <w:pPr>
        <w:ind w:left="960" w:right="620" w:hanging="466"/>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960" w:hanging="46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960" w:right="220" w:hanging="466"/>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960" w:right="140" w:hanging="466"/>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960" w:hanging="466"/>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is not and no member of his or her immediate family is a current partner of a firm that is the Company’s internal or external auditor;</w:t>
      </w:r>
    </w:p>
    <w:p>
      <w:pPr>
        <w:spacing w:after="0" w:line="46" w:lineRule="exact"/>
        <w:rPr>
          <w:rFonts w:ascii="Arial" w:cs="Arial" w:eastAsia="Arial" w:hAnsi="Arial"/>
          <w:sz w:val="16"/>
          <w:szCs w:val="16"/>
          <w:color w:val="auto"/>
        </w:rPr>
      </w:pPr>
    </w:p>
    <w:p>
      <w:pPr>
        <w:jc w:val="both"/>
        <w:ind w:left="960" w:right="220"/>
        <w:spacing w:after="0" w:line="253" w:lineRule="auto"/>
        <w:rPr>
          <w:rFonts w:ascii="Arial" w:cs="Arial" w:eastAsia="Arial" w:hAnsi="Arial"/>
          <w:sz w:val="16"/>
          <w:szCs w:val="16"/>
          <w:color w:val="auto"/>
        </w:rPr>
      </w:pPr>
      <w:r>
        <w:rPr>
          <w:rFonts w:ascii="Arial" w:cs="Arial" w:eastAsia="Arial" w:hAnsi="Arial"/>
          <w:sz w:val="18"/>
          <w:szCs w:val="18"/>
          <w:color w:val="auto"/>
        </w:rPr>
        <w:t>(B) is not a current employee of the Company’s internal or external auditor; (C) does not have an immediate family member who is a current employee of the Company’s internal or external auditor and who participates in that firm’s audit, assurance or tax compliance (but not tax planning) practice; and (D) within the last three years was not and no member of his or her immediate family was (and no longer is), a partner or employee of the Company’s internal or external auditor and personally worked on the Company’s audit within that time.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132715</wp:posOffset>
            </wp:positionV>
            <wp:extent cx="725043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60" w:right="20" w:hanging="466"/>
        <w:spacing w:after="0" w:line="286"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ind w:left="960" w:right="220" w:hanging="466"/>
        <w:spacing w:after="0" w:line="31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960" w:right="260" w:hanging="466"/>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35" w:lineRule="exact"/>
        <w:rPr>
          <w:rFonts w:ascii="Arial" w:cs="Arial" w:eastAsia="Arial" w:hAnsi="Arial"/>
          <w:sz w:val="18"/>
          <w:szCs w:val="18"/>
          <w:color w:val="auto"/>
        </w:rPr>
      </w:pPr>
    </w:p>
    <w:p>
      <w:pPr>
        <w:ind w:left="960" w:hanging="466"/>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195" w:lineRule="exact"/>
        <w:rPr>
          <w:sz w:val="20"/>
          <w:szCs w:val="20"/>
          <w:color w:val="auto"/>
        </w:rPr>
      </w:pPr>
    </w:p>
    <w:p>
      <w:pPr>
        <w:ind w:left="540" w:right="860"/>
        <w:spacing w:after="0" w:line="277" w:lineRule="auto"/>
        <w:rPr>
          <w:sz w:val="20"/>
          <w:szCs w:val="20"/>
          <w:color w:val="auto"/>
        </w:rPr>
      </w:pPr>
      <w:r>
        <w:rPr>
          <w:rFonts w:ascii="Arial" w:cs="Arial" w:eastAsia="Arial" w:hAnsi="Arial"/>
          <w:sz w:val="18"/>
          <w:szCs w:val="18"/>
          <w:color w:val="auto"/>
        </w:rPr>
        <w:t>This policy may be modified temporarily if, due to unforeseen circumstances, strict adherence would be detrimental to the Board’s performance.</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252" w:lineRule="exact"/>
        <w:rPr>
          <w:sz w:val="20"/>
          <w:szCs w:val="20"/>
          <w:color w:val="auto"/>
        </w:rPr>
      </w:pPr>
    </w:p>
    <w:p>
      <w:pPr>
        <w:ind w:left="960" w:right="180" w:hanging="466"/>
        <w:spacing w:after="0" w:line="312" w:lineRule="auto"/>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1" w:lineRule="exact"/>
        <w:rPr>
          <w:rFonts w:ascii="Arial" w:cs="Arial" w:eastAsia="Arial" w:hAnsi="Arial"/>
          <w:sz w:val="16"/>
          <w:szCs w:val="16"/>
          <w:color w:val="auto"/>
        </w:rPr>
      </w:pPr>
    </w:p>
    <w:p>
      <w:pPr>
        <w:ind w:left="960" w:hanging="46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239"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200" w:lineRule="exact"/>
        <w:rPr>
          <w:sz w:val="20"/>
          <w:szCs w:val="20"/>
          <w:color w:val="auto"/>
        </w:rPr>
      </w:pPr>
    </w:p>
    <w:p>
      <w:pPr>
        <w:ind w:left="480" w:right="20" w:hanging="472"/>
        <w:spacing w:after="0" w:line="287" w:lineRule="auto"/>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Nominee Evaluation Process. </w:t>
      </w:r>
      <w:r>
        <w:rPr>
          <w:rFonts w:ascii="Arial" w:cs="Arial" w:eastAsia="Arial" w:hAnsi="Arial"/>
          <w:sz w:val="16"/>
          <w:szCs w:val="16"/>
          <w:color w:val="auto"/>
        </w:rPr>
        <w:t>The Committee will consider as a candidate any director of the Company who has indicated to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 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124460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 w:right="920"/>
        <w:spacing w:after="0" w:line="277" w:lineRule="auto"/>
        <w:rPr>
          <w:sz w:val="20"/>
          <w:szCs w:val="20"/>
          <w:color w:val="auto"/>
        </w:rPr>
      </w:pPr>
      <w:r>
        <w:rPr>
          <w:rFonts w:ascii="Arial" w:cs="Arial" w:eastAsia="Arial" w:hAnsi="Arial"/>
          <w:sz w:val="18"/>
          <w:szCs w:val="18"/>
          <w:color w:val="auto"/>
        </w:rPr>
        <w:t>shareholder of the Company pursuant to a process substantially different than that used for other nominees for the same election or appointment of directors.</w:t>
      </w:r>
    </w:p>
    <w:p>
      <w:pPr>
        <w:sectPr>
          <w:pgSz w:w="11900" w:h="16838" w:orient="portrait"/>
          <w:cols w:equalWidth="0" w:num="1">
            <w:col w:w="10820"/>
          </w:cols>
          <w:pgMar w:left="780" w:top="125" w:right="299" w:bottom="0" w:gutter="0" w:footer="0" w:header="0"/>
        </w:sectPr>
      </w:pPr>
    </w:p>
    <w:bookmarkStart w:id="23" w:name="page24"/>
    <w:bookmarkEnd w:id="23"/>
    <w:p>
      <w:pPr>
        <w:ind w:left="1020" w:right="20" w:hanging="472"/>
        <w:spacing w:after="0" w:line="25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Categorize Recommendations. </w:t>
      </w:r>
      <w:r>
        <w:rPr>
          <w:rFonts w:ascii="Arial" w:cs="Arial" w:eastAsia="Arial" w:hAnsi="Arial"/>
          <w:sz w:val="18"/>
          <w:szCs w:val="18"/>
          <w:color w:val="auto"/>
        </w:rPr>
        <w:t>For purposes of facilitating disclosure required in the Proxy Statement, the Committee and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78" w:lineRule="exact"/>
        <w:rPr>
          <w:rFonts w:ascii="Arial" w:cs="Arial" w:eastAsia="Arial" w:hAnsi="Arial"/>
          <w:sz w:val="18"/>
          <w:szCs w:val="18"/>
          <w:color w:val="auto"/>
        </w:rPr>
      </w:pPr>
    </w:p>
    <w:p>
      <w:pPr>
        <w:ind w:left="1500" w:hanging="466"/>
        <w:spacing w:after="0"/>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117" w:lineRule="exact"/>
        <w:rPr>
          <w:rFonts w:ascii="Arial" w:cs="Arial" w:eastAsia="Arial" w:hAnsi="Arial"/>
          <w:sz w:val="18"/>
          <w:szCs w:val="18"/>
          <w:color w:val="auto"/>
        </w:rPr>
      </w:pPr>
    </w:p>
    <w:p>
      <w:pPr>
        <w:ind w:left="1020" w:hanging="472"/>
        <w:spacing w:after="0" w:line="264"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to Nomination Procedures. </w:t>
      </w:r>
      <w:r>
        <w:rPr>
          <w:rFonts w:ascii="Arial" w:cs="Arial" w:eastAsia="Arial" w:hAnsi="Arial"/>
          <w:sz w:val="18"/>
          <w:szCs w:val="18"/>
          <w:color w:val="auto"/>
        </w:rPr>
        <w:t>For purposes of facilitating disclosure required in Form 10-K and Form 10-Q,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Corporate Secretary shall identify any material changes to the procedures for shareholder nominations of directors for the reporting period in which such material changes occur.</w:t>
      </w:r>
    </w:p>
    <w:p>
      <w:pPr>
        <w:spacing w:after="0" w:line="46" w:lineRule="exact"/>
        <w:rPr>
          <w:rFonts w:ascii="Arial" w:cs="Arial" w:eastAsia="Arial" w:hAnsi="Arial"/>
          <w:sz w:val="18"/>
          <w:szCs w:val="18"/>
          <w:color w:val="auto"/>
        </w:rPr>
      </w:pPr>
    </w:p>
    <w:p>
      <w:pPr>
        <w:ind w:left="1020" w:right="40" w:hanging="47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Posting of Policy. </w:t>
      </w:r>
      <w:r>
        <w:rPr>
          <w:rFonts w:ascii="Arial" w:cs="Arial" w:eastAsia="Arial" w:hAnsi="Arial"/>
          <w:sz w:val="18"/>
          <w:szCs w:val="18"/>
          <w:color w:val="auto"/>
        </w:rPr>
        <w:t>This Director Nomination Policy shall be posted to the Company’s website in accordance with the Company’s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Policy.</w:t>
      </w:r>
    </w:p>
    <w:p>
      <w:pPr>
        <w:spacing w:after="0" w:line="35" w:lineRule="exact"/>
        <w:rPr>
          <w:rFonts w:ascii="Arial" w:cs="Arial" w:eastAsia="Arial" w:hAnsi="Arial"/>
          <w:sz w:val="18"/>
          <w:szCs w:val="18"/>
          <w:color w:val="auto"/>
        </w:rPr>
      </w:pPr>
    </w:p>
    <w:p>
      <w:pPr>
        <w:ind w:left="1020" w:right="180" w:hanging="472"/>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This Policy. </w:t>
      </w:r>
      <w:r>
        <w:rPr>
          <w:rFonts w:ascii="Arial" w:cs="Arial" w:eastAsia="Arial" w:hAnsi="Arial"/>
          <w:sz w:val="18"/>
          <w:szCs w:val="18"/>
          <w:color w:val="auto"/>
        </w:rPr>
        <w:t>Any amendments to this Director Nomination Policy must be approved by the Committee and ratified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January 12,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666750</wp:posOffset>
            </wp:positionV>
            <wp:extent cx="1132205"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32205" cy="41148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992505</wp:posOffset>
            </wp:positionV>
            <wp:extent cx="3190240" cy="4073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90240"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60"/>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5260"/>
        <w:spacing w:after="0"/>
        <w:tabs>
          <w:tab w:leader="none" w:pos="260" w:val="left"/>
        </w:tabs>
        <w:rPr>
          <w:sz w:val="20"/>
          <w:szCs w:val="20"/>
          <w:color w:val="auto"/>
        </w:rPr>
      </w:pPr>
      <w:r>
        <w:rPr>
          <w:rFonts w:ascii="Arial" w:cs="Arial" w:eastAsia="Arial" w:hAnsi="Arial"/>
          <w:sz w:val="18"/>
          <w:szCs w:val="18"/>
          <w:b w:val="1"/>
          <w:bCs w:val="1"/>
          <w:color w:val="auto"/>
        </w:rPr>
        <w:t>Tuesday, January 9, 2007</w:t>
      </w:r>
      <w:r>
        <w:rPr>
          <w:sz w:val="20"/>
          <w:szCs w:val="20"/>
          <w:color w:val="auto"/>
        </w:rPr>
        <w:tab/>
      </w:r>
      <w:r>
        <w:rPr>
          <w:rFonts w:ascii="Arial" w:cs="Arial" w:eastAsia="Arial" w:hAnsi="Arial"/>
          <w:sz w:val="16"/>
          <w:szCs w:val="16"/>
          <w:b w:val="1"/>
          <w:bCs w:val="1"/>
          <w:color w:val="auto"/>
        </w:rPr>
        <w:t>4:00 p.m. Central Standard Time</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Winnebago Industries’ South Office Complex Theater,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605 W. Crystal Lake Road, Forest City, Iowa</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DIRECTIONS:</w:t>
      </w:r>
    </w:p>
    <w:p>
      <w:pPr>
        <w:spacing w:after="0" w:line="4" w:lineRule="exact"/>
        <w:rPr>
          <w:sz w:val="20"/>
          <w:szCs w:val="20"/>
          <w:color w:val="auto"/>
        </w:rPr>
      </w:pPr>
    </w:p>
    <w:p>
      <w:pPr>
        <w:ind w:left="240" w:hanging="191"/>
        <w:spacing w:after="0"/>
        <w:tabs>
          <w:tab w:leader="none" w:pos="24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spacing w:after="0" w:line="29" w:lineRule="exact"/>
        <w:rPr>
          <w:rFonts w:ascii="Arial" w:cs="Arial" w:eastAsia="Arial" w:hAnsi="Arial"/>
          <w:sz w:val="14"/>
          <w:szCs w:val="14"/>
          <w:b w:val="1"/>
          <w:bCs w:val="1"/>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From I-35, take exit number 203, and turn right (West) on IA-9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right="5320" w:hanging="261"/>
        <w:spacing w:after="0" w:line="253" w:lineRule="auto"/>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304" w:lineRule="exact"/>
        <w:rPr>
          <w:rFonts w:ascii="Arial" w:cs="Arial" w:eastAsia="Arial" w:hAnsi="Arial"/>
          <w:sz w:val="14"/>
          <w:szCs w:val="14"/>
          <w:color w:val="auto"/>
        </w:rPr>
      </w:pPr>
    </w:p>
    <w:p>
      <w:pPr>
        <w:ind w:left="240" w:hanging="191"/>
        <w:spacing w:after="0"/>
        <w:tabs>
          <w:tab w:leader="none" w:pos="24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45" w:lineRule="exact"/>
        <w:rPr>
          <w:rFonts w:ascii="Arial" w:cs="Arial" w:eastAsia="Arial" w:hAnsi="Arial"/>
          <w:sz w:val="14"/>
          <w:szCs w:val="14"/>
          <w:b w:val="1"/>
          <w:bCs w:val="1"/>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From I-80, take exit number 137B, turning onto I-35 North towards Minneapolis.</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right="5320" w:hanging="261"/>
        <w:spacing w:after="0" w:line="253" w:lineRule="auto"/>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304" w:lineRule="exact"/>
        <w:rPr>
          <w:rFonts w:ascii="Arial" w:cs="Arial" w:eastAsia="Arial" w:hAnsi="Arial"/>
          <w:sz w:val="14"/>
          <w:szCs w:val="14"/>
          <w:color w:val="auto"/>
        </w:rPr>
      </w:pPr>
    </w:p>
    <w:p>
      <w:pPr>
        <w:ind w:left="240" w:hanging="191"/>
        <w:spacing w:after="0"/>
        <w:tabs>
          <w:tab w:leader="none" w:pos="24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From I-90</w:t>
      </w:r>
    </w:p>
    <w:p>
      <w:pPr>
        <w:spacing w:after="0" w:line="45" w:lineRule="exact"/>
        <w:rPr>
          <w:rFonts w:ascii="Arial" w:cs="Arial" w:eastAsia="Arial" w:hAnsi="Arial"/>
          <w:sz w:val="14"/>
          <w:szCs w:val="14"/>
          <w:b w:val="1"/>
          <w:bCs w:val="1"/>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From I-90, take exit number 159A, turning onto I-35 South towards Albert Lea.</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Exit I-35 on exit number 203, IA-9 right (West) towards Forest City.</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41" w:lineRule="exact"/>
        <w:rPr>
          <w:rFonts w:ascii="Arial" w:cs="Arial" w:eastAsia="Arial" w:hAnsi="Arial"/>
          <w:sz w:val="14"/>
          <w:szCs w:val="14"/>
          <w:color w:val="auto"/>
        </w:rPr>
      </w:pPr>
    </w:p>
    <w:p>
      <w:pPr>
        <w:ind w:left="580" w:hanging="261"/>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w:t>
      </w:r>
    </w:p>
    <w:p>
      <w:pPr>
        <w:sectPr>
          <w:pgSz w:w="11900" w:h="16838" w:orient="portrait"/>
          <w:cols w:equalWidth="0" w:num="1">
            <w:col w:w="11160"/>
          </w:cols>
          <w:pgMar w:left="240" w:top="125" w:right="499" w:bottom="0" w:gutter="0" w:footer="0" w:header="0"/>
        </w:sectPr>
      </w:pPr>
    </w:p>
    <w:bookmarkStart w:id="24" w:name="page25"/>
    <w:bookmarkEnd w:id="24"/>
    <w:p>
      <w:pPr>
        <w:ind w:left="580"/>
        <w:spacing w:after="0"/>
        <w:rPr>
          <w:sz w:val="20"/>
          <w:szCs w:val="20"/>
          <w:color w:val="auto"/>
        </w:rPr>
      </w:pPr>
      <w:r>
        <w:rPr>
          <w:rFonts w:ascii="Arial" w:cs="Arial" w:eastAsia="Arial" w:hAnsi="Arial"/>
          <w:sz w:val="12"/>
          <w:szCs w:val="12"/>
          <w:color w:val="auto"/>
        </w:rPr>
        <w:t>and direct you to the Theater.</w:t>
      </w:r>
    </w:p>
    <w:p>
      <w:pPr>
        <w:sectPr>
          <w:pgSz w:w="11900" w:h="16838" w:orient="portrait"/>
          <w:cols w:equalWidth="0" w:num="1">
            <w:col w:w="11420"/>
          </w:cols>
          <w:pgMar w:left="240" w:top="121" w:right="239" w:bottom="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 of the Company for Annual Meeting on January 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proxy</w:t>
      </w:r>
    </w:p>
    <w:p>
      <w:pPr>
        <w:spacing w:after="0" w:line="733" w:lineRule="exact"/>
        <w:rPr>
          <w:sz w:val="20"/>
          <w:szCs w:val="20"/>
          <w:color w:val="auto"/>
        </w:rPr>
      </w:pPr>
    </w:p>
    <w:p>
      <w:pPr>
        <w:sectPr>
          <w:pgSz w:w="11900" w:h="16838" w:orient="portrait"/>
          <w:cols w:equalWidth="0" w:num="2">
            <w:col w:w="9980" w:space="720"/>
            <w:col w:w="720"/>
          </w:cols>
          <w:pgMar w:left="240" w:top="121" w:right="239" w:bottom="58" w:gutter="0" w:footer="0" w:header="0"/>
          <w:type w:val="continuous"/>
        </w:sectPr>
      </w:pPr>
    </w:p>
    <w:p>
      <w:pPr>
        <w:spacing w:after="0" w:line="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undersigned hereby appoints Bruce D. Hertzke and Edwin F. Barker,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9th day of January, 2007,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760730</wp:posOffset>
            </wp:positionV>
            <wp:extent cx="144907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COMPANY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Ways to Appoint Your Proxy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electonically by telephone: 1-800-560-1965</w:t>
      </w:r>
    </w:p>
    <w:p>
      <w:pPr>
        <w:spacing w:after="0" w:line="27"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1-800-560-1965.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electronically via the Internet: www.eproxy.com/wgo/</w:t>
      </w:r>
    </w:p>
    <w:p>
      <w:pPr>
        <w:spacing w:after="0" w:line="27"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Go to website </w:t>
      </w:r>
      <w:r>
        <w:rPr>
          <w:rFonts w:ascii="Arial" w:cs="Arial" w:eastAsia="Arial" w:hAnsi="Arial"/>
          <w:sz w:val="18"/>
          <w:szCs w:val="18"/>
          <w:b w:val="1"/>
          <w:bCs w:val="1"/>
          <w:color w:val="auto"/>
        </w:rPr>
        <w:t>www.eproxy.com/wgo/.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Follow the instructions provided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by mail</w:t>
      </w:r>
    </w:p>
    <w:p>
      <w:pPr>
        <w:spacing w:after="0" w:line="27" w:lineRule="exact"/>
        <w:rPr>
          <w:sz w:val="20"/>
          <w:szCs w:val="20"/>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Read the Proxy Statement.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boxes on the proxy card below.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 and date the proxy card.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Return the proxy card in the envelope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deadline for telephone or Internet voting is 12:00 p.m. (CST) on Monday, January 8, 2007.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Item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860" w:type="dxa"/>
            <w:vAlign w:val="bottom"/>
          </w:tcPr>
          <w:p>
            <w:pPr>
              <w:ind w:left="60"/>
              <w:spacing w:after="0"/>
              <w:rPr>
                <w:sz w:val="20"/>
                <w:szCs w:val="20"/>
                <w:color w:val="auto"/>
              </w:rPr>
            </w:pPr>
            <w:r>
              <w:rPr>
                <w:rFonts w:ascii="Arial" w:cs="Arial" w:eastAsia="Arial" w:hAnsi="Arial"/>
                <w:sz w:val="18"/>
                <w:szCs w:val="18"/>
                <w:color w:val="auto"/>
              </w:rPr>
              <w:t>Irvin E. Aal</w:t>
            </w:r>
          </w:p>
        </w:tc>
        <w:tc>
          <w:tcPr>
            <w:tcW w:w="3260" w:type="dxa"/>
            <w:vAlign w:val="bottom"/>
          </w:tcPr>
          <w:p>
            <w:pPr>
              <w:ind w:left="14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2200" w:type="dxa"/>
            <w:vAlign w:val="bottom"/>
          </w:tcPr>
          <w:p>
            <w:pPr>
              <w:ind w:left="48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r>
      <w:tr>
        <w:trPr>
          <w:trHeight w:val="249"/>
        </w:trPr>
        <w:tc>
          <w:tcPr>
            <w:tcW w:w="1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860" w:type="dxa"/>
            <w:vAlign w:val="bottom"/>
          </w:tcPr>
          <w:p>
            <w:pPr>
              <w:ind w:left="60"/>
              <w:spacing w:after="0"/>
              <w:rPr>
                <w:sz w:val="20"/>
                <w:szCs w:val="20"/>
                <w:color w:val="auto"/>
              </w:rPr>
            </w:pPr>
            <w:r>
              <w:rPr>
                <w:rFonts w:ascii="Arial" w:cs="Arial" w:eastAsia="Arial" w:hAnsi="Arial"/>
                <w:sz w:val="18"/>
                <w:szCs w:val="18"/>
                <w:color w:val="auto"/>
              </w:rPr>
              <w:t>Joseph W. England</w:t>
            </w:r>
          </w:p>
        </w:tc>
        <w:tc>
          <w:tcPr>
            <w:tcW w:w="3260" w:type="dxa"/>
            <w:vAlign w:val="bottom"/>
          </w:tcPr>
          <w:p>
            <w:pPr>
              <w:ind w:left="1900"/>
              <w:spacing w:after="0"/>
              <w:rPr>
                <w:sz w:val="20"/>
                <w:szCs w:val="20"/>
                <w:color w:val="auto"/>
              </w:rPr>
            </w:pPr>
            <w:r>
              <w:rPr>
                <w:rFonts w:ascii="Arial" w:cs="Arial" w:eastAsia="Arial" w:hAnsi="Arial"/>
                <w:sz w:val="18"/>
                <w:szCs w:val="18"/>
                <w:color w:val="auto"/>
              </w:rPr>
              <w:t>all nominees</w:t>
            </w:r>
          </w:p>
        </w:tc>
        <w:tc>
          <w:tcPr>
            <w:tcW w:w="2200" w:type="dxa"/>
            <w:vAlign w:val="bottom"/>
          </w:tcPr>
          <w:p>
            <w:pPr>
              <w:ind w:left="920"/>
              <w:spacing w:after="0"/>
              <w:rPr>
                <w:sz w:val="20"/>
                <w:szCs w:val="20"/>
                <w:color w:val="auto"/>
              </w:rPr>
            </w:pPr>
            <w:r>
              <w:rPr>
                <w:rFonts w:ascii="Arial" w:cs="Arial" w:eastAsia="Arial" w:hAnsi="Arial"/>
                <w:sz w:val="18"/>
                <w:szCs w:val="18"/>
                <w:color w:val="auto"/>
                <w:w w:val="88"/>
              </w:rPr>
              <w:t>from all nominees</w:t>
            </w:r>
          </w:p>
        </w:tc>
      </w:tr>
    </w:tbl>
    <w:p>
      <w:pPr>
        <w:ind w:left="7280"/>
        <w:spacing w:after="0"/>
        <w:rPr>
          <w:sz w:val="20"/>
          <w:szCs w:val="20"/>
          <w:color w:val="auto"/>
        </w:rPr>
      </w:pPr>
      <w:r>
        <w:rPr>
          <w:rFonts w:ascii="Arial" w:cs="Arial" w:eastAsia="Arial" w:hAnsi="Arial"/>
          <w:sz w:val="18"/>
          <w:szCs w:val="18"/>
          <w:color w:val="auto"/>
        </w:rPr>
        <w:t>(except as marked)</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30861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p>
      <w:pPr>
        <w:sectPr>
          <w:pgSz w:w="11900" w:h="16838" w:orient="portrait"/>
          <w:cols w:equalWidth="0" w:num="1">
            <w:col w:w="11420"/>
          </w:cols>
          <w:pgMar w:left="240" w:top="121" w:right="239" w:bottom="58" w:gutter="0" w:footer="0" w:header="0"/>
          <w:type w:val="continuous"/>
        </w:sectPr>
      </w:pPr>
    </w:p>
    <w:bookmarkStart w:id="25" w:name="page26"/>
    <w:bookmarkEnd w:id="25"/>
    <w:p>
      <w:pPr>
        <w:spacing w:after="0"/>
        <w:tabs>
          <w:tab w:leader="none" w:pos="252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9"/>
          <w:szCs w:val="19"/>
          <w:color w:val="auto"/>
        </w:rPr>
        <w:t xml:space="preserve">o </w:t>
      </w:r>
      <w:r>
        <w:rPr>
          <w:rFonts w:ascii="Arial" w:cs="Arial" w:eastAsia="Arial" w:hAnsi="Arial"/>
          <w:sz w:val="15"/>
          <w:szCs w:val="15"/>
          <w:color w:val="auto"/>
        </w:rPr>
        <w:t>Indicate changes below:</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 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175260</wp:posOffset>
            </wp:positionV>
            <wp:extent cx="2907030" cy="582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070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name(s) appears on Proxy. If held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 joint tenancy, all persons must sign. Trustees,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administrators, etc., should include title and authority.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Corporations should provide full name of corporation and title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1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x"/>
      <w:numFmt w:val="bullet"/>
      <w:start w:val="1"/>
    </w:lvl>
  </w:abstractNum>
  <w:abstractNum w:abstractNumId="2">
    <w:nsid w:val="54E49EB4"/>
    <w:multiLevelType w:val="hybridMultilevel"/>
    <w:lvl w:ilvl="0">
      <w:lvlJc w:val="left"/>
      <w:lvlText w:val="o"/>
      <w:numFmt w:val="bullet"/>
      <w:start w:val="1"/>
    </w:lvl>
  </w:abstractNum>
  <w:abstractNum w:abstractNumId="3">
    <w:nsid w:val="71F32454"/>
    <w:multiLevelType w:val="hybridMultilevel"/>
    <w:lvl w:ilvl="0">
      <w:lvlJc w:val="left"/>
      <w:lvlText w:val="x"/>
      <w:numFmt w:val="bullet"/>
      <w:start w:val="1"/>
    </w:lvl>
  </w:abstractNum>
  <w:abstractNum w:abstractNumId="4">
    <w:nsid w:val="2CA88611"/>
    <w:multiLevelType w:val="hybridMultilevel"/>
    <w:lvl w:ilvl="0">
      <w:lvlJc w:val="left"/>
      <w:lvlText w:val="o"/>
      <w:numFmt w:val="bullet"/>
      <w:start w:val="1"/>
    </w:lvl>
    <w:lvl w:ilvl="1">
      <w:lvlJc w:val="left"/>
      <w:lvlText w:val="(%2)"/>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1)"/>
      <w:numFmt w:val="decimal"/>
      <w:start w:val="4"/>
    </w:lvl>
    <w:lvl w:ilvl="1">
      <w:lvlJc w:val="left"/>
      <w:lvlText w:val="•"/>
      <w:numFmt w:val="bullet"/>
      <w:start w:val="1"/>
    </w:lvl>
  </w:abstractNum>
  <w:abstractNum w:abstractNumId="9">
    <w:nsid w:val="1E7FF521"/>
    <w:multiLevelType w:val="hybridMultilevel"/>
    <w:lvl w:ilvl="0">
      <w:lvlJc w:val="left"/>
      <w:lvlText w:val="(%1)"/>
      <w:numFmt w:val="decimal"/>
      <w:start w:val="5"/>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Roman"/>
      <w:start w:val="4"/>
    </w:lvl>
  </w:abstractNum>
  <w:abstractNum w:abstractNumId="28">
    <w:nsid w:val="2D517796"/>
    <w:multiLevelType w:val="hybridMultilevel"/>
    <w:lvl w:ilvl="0">
      <w:lvlJc w:val="left"/>
      <w:lvlText w:val="%1."/>
      <w:numFmt w:val="upperLetter"/>
      <w:start w:val="9"/>
    </w:lvl>
    <w:lvl w:ilvl="1">
      <w:lvlJc w:val="left"/>
      <w:lvlText w:val="%2."/>
      <w:numFmt w:val="decimal"/>
      <w:start w:val="1"/>
    </w:lvl>
  </w:abstractNum>
  <w:abstractNum w:abstractNumId="29">
    <w:nsid w:val="580BD78F"/>
    <w:multiLevelType w:val="hybridMultilevel"/>
    <w:lvl w:ilvl="0">
      <w:lvlJc w:val="left"/>
      <w:lvlText w:val="%1."/>
      <w:numFmt w:val="upperLetter"/>
      <w:start w:val="35"/>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6"/>
    </w:lvl>
    <w:lvl w:ilvl="1">
      <w:lvlJc w:val="left"/>
      <w:lvlText w:val="(%2)"/>
      <w:numFmt w:val="lowerRoman"/>
      <w:start w:val="1"/>
    </w:lvl>
  </w:abstractNum>
  <w:abstractNum w:abstractNumId="32">
    <w:nsid w:val="70A64E2A"/>
    <w:multiLevelType w:val="hybridMultilevel"/>
    <w:lvl w:ilvl="0">
      <w:lvlJc w:val="left"/>
      <w:lvlText w:val="%1."/>
      <w:numFmt w:val="decimal"/>
      <w:start w:val="8"/>
    </w:lvl>
    <w:lvl w:ilvl="1">
      <w:lvlJc w:val="left"/>
      <w:lvlText w:val="(%2)"/>
      <w:numFmt w:val="lowerRoman"/>
      <w:start w:val="1"/>
    </w:lvl>
  </w:abstractNum>
  <w:abstractNum w:abstractNumId="33">
    <w:nsid w:val="6A2342EC"/>
    <w:multiLevelType w:val="hybridMultilevel"/>
    <w:lvl w:ilvl="0">
      <w:lvlJc w:val="left"/>
      <w:lvlText w:val="%1."/>
      <w:numFmt w:val="decimal"/>
      <w:start w:val="13"/>
    </w:lvl>
  </w:abstractNum>
  <w:abstractNum w:abstractNumId="34">
    <w:nsid w:val="2A487CB0"/>
    <w:multiLevelType w:val="hybridMultilevel"/>
    <w:lvl w:ilvl="0">
      <w:lvlJc w:val="left"/>
      <w:lvlText w:val="%1."/>
      <w:numFmt w:val="decimal"/>
      <w:start w:val="14"/>
    </w:lvl>
  </w:abstractNum>
  <w:abstractNum w:abstractNumId="35">
    <w:nsid w:val="1D4ED43B"/>
    <w:multiLevelType w:val="hybridMultilevel"/>
    <w:lvl w:ilvl="0">
      <w:lvlJc w:val="left"/>
      <w:lvlText w:val="%1."/>
      <w:numFmt w:val="decimal"/>
      <w:start w:val="18"/>
    </w:lvl>
  </w:abstractNum>
  <w:abstractNum w:abstractNumId="36">
    <w:nsid w:val="725A06FB"/>
    <w:multiLevelType w:val="hybridMultilevel"/>
    <w:lvl w:ilvl="0">
      <w:lvlJc w:val="left"/>
      <w:lvlText w:val="%1."/>
      <w:numFmt w:val="decimal"/>
      <w:start w:val="19"/>
    </w:lvl>
    <w:lvl w:ilvl="1">
      <w:lvlJc w:val="left"/>
      <w:lvlText w:val="(%2)"/>
      <w:numFmt w:val="lowerRoman"/>
      <w:start w:val="1"/>
    </w:lvl>
  </w:abstractNum>
  <w:abstractNum w:abstractNumId="37">
    <w:nsid w:val="2CD89A32"/>
    <w:multiLevelType w:val="hybridMultilevel"/>
    <w:lvl w:ilvl="0">
      <w:lvlJc w:val="left"/>
      <w:lvlText w:val="%1."/>
      <w:numFmt w:val="decimal"/>
      <w:start w:val="23"/>
    </w:lvl>
  </w:abstractNum>
  <w:abstractNum w:abstractNumId="38">
    <w:nsid w:val="57E4CCAF"/>
    <w:multiLevelType w:val="hybridMultilevel"/>
    <w:lvl w:ilvl="0">
      <w:lvlJc w:val="left"/>
      <w:lvlText w:val="%1."/>
      <w:numFmt w:val="decimal"/>
      <w:start w:val="26"/>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3"/>
    </w:lvl>
    <w:lvl w:ilvl="1">
      <w:lvlJc w:val="left"/>
      <w:lvlText w:val="•"/>
      <w:numFmt w:val="bullet"/>
      <w:start w:val="1"/>
    </w:lvl>
  </w:abstractNum>
  <w:abstractNum w:abstractNumId="41">
    <w:nsid w:val="542289EC"/>
    <w:multiLevelType w:val="hybridMultilevel"/>
    <w:lvl w:ilvl="0">
      <w:lvlJc w:val="left"/>
      <w:lvlText w:val="%1."/>
      <w:numFmt w:val="decimal"/>
      <w:start w:val="4"/>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6"/>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5"/>
    </w:lvl>
  </w:abstractNum>
  <w:abstractNum w:abstractNumId="46">
    <w:nsid w:val="684A481A"/>
    <w:multiLevelType w:val="hybridMultilevel"/>
    <w:lvl w:ilvl="0">
      <w:lvlJc w:val="left"/>
      <w:lvlText w:val="%1."/>
      <w:numFmt w:val="decimal"/>
      <w:start w:val="6"/>
    </w:lvl>
    <w:lvl w:ilvl="1">
      <w:lvlJc w:val="left"/>
      <w:lvlText w:val="(%2)"/>
      <w:numFmt w:val="decimal"/>
      <w:start w:val="1"/>
    </w:lvl>
  </w:abstractNum>
  <w:abstractNum w:abstractNumId="47">
    <w:nsid w:val="579478FE"/>
    <w:multiLevelType w:val="hybridMultilevel"/>
    <w:lvl w:ilvl="0">
      <w:lvlJc w:val="left"/>
      <w:lvlText w:val="%1)"/>
      <w:numFmt w:val="decimal"/>
      <w:start w:val="1"/>
    </w:lvl>
    <w:lvl w:ilvl="1">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2019-12-13T08:22:45Z</dcterms:created>
  <dcterms:modified xsi:type="dcterms:W3CDTF">2019-12-13T08:22:45Z</dcterms:modified>
</cp:coreProperties>
</file>