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tabs>
          <w:tab w:leader="none" w:pos="5060" w:val="left"/>
          <w:tab w:leader="none" w:pos="84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1 of 14</w:t>
      </w:r>
    </w:p>
    <w:p>
      <w:pPr>
        <w:spacing w:after="0" w:line="200" w:lineRule="exact"/>
        <w:rPr>
          <w:sz w:val="24"/>
          <w:szCs w:val="24"/>
          <w:color w:val="auto"/>
        </w:rPr>
      </w:pPr>
    </w:p>
    <w:p>
      <w:pPr>
        <w:spacing w:after="0" w:line="312" w:lineRule="exact"/>
        <w:rPr>
          <w:sz w:val="24"/>
          <w:szCs w:val="24"/>
          <w:color w:val="auto"/>
        </w:rPr>
      </w:pPr>
    </w:p>
    <w:p>
      <w:pPr>
        <w:ind w:left="3820"/>
        <w:spacing w:after="0"/>
        <w:rPr>
          <w:sz w:val="20"/>
          <w:szCs w:val="20"/>
          <w:color w:val="auto"/>
        </w:rPr>
      </w:pPr>
      <w:r>
        <w:rPr>
          <w:rFonts w:ascii="Courier New" w:cs="Courier New" w:eastAsia="Courier New" w:hAnsi="Courier New"/>
          <w:sz w:val="18"/>
          <w:szCs w:val="18"/>
          <w:color w:val="auto"/>
        </w:rPr>
        <w:t>UNITED STATES</w:t>
      </w:r>
    </w:p>
    <w:p>
      <w:pPr>
        <w:spacing w:after="0" w:line="26" w:lineRule="exact"/>
        <w:rPr>
          <w:sz w:val="24"/>
          <w:szCs w:val="24"/>
          <w:color w:val="auto"/>
        </w:rPr>
      </w:pPr>
    </w:p>
    <w:p>
      <w:pPr>
        <w:ind w:left="278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Washington, D.C. 20549</w:t>
      </w:r>
    </w:p>
    <w:p>
      <w:pPr>
        <w:spacing w:after="0" w:line="2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13G</w:t>
      </w:r>
    </w:p>
    <w:p>
      <w:pPr>
        <w:spacing w:after="0" w:line="269" w:lineRule="exact"/>
        <w:rPr>
          <w:sz w:val="24"/>
          <w:szCs w:val="24"/>
          <w:color w:val="auto"/>
        </w:rPr>
      </w:pPr>
    </w:p>
    <w:p>
      <w:pPr>
        <w:ind w:left="226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6" w:lineRule="exact"/>
        <w:rPr>
          <w:sz w:val="24"/>
          <w:szCs w:val="24"/>
          <w:color w:val="auto"/>
        </w:rPr>
      </w:pPr>
    </w:p>
    <w:p>
      <w:pPr>
        <w:ind w:left="3400"/>
        <w:spacing w:after="0"/>
        <w:rPr>
          <w:sz w:val="20"/>
          <w:szCs w:val="20"/>
          <w:color w:val="auto"/>
        </w:rPr>
      </w:pPr>
      <w:r>
        <w:rPr>
          <w:rFonts w:ascii="Courier New" w:cs="Courier New" w:eastAsia="Courier New" w:hAnsi="Courier New"/>
          <w:sz w:val="18"/>
          <w:szCs w:val="18"/>
          <w:color w:val="auto"/>
        </w:rPr>
        <w:t>(Amendment No. 5)*</w:t>
      </w:r>
    </w:p>
    <w:p>
      <w:pPr>
        <w:spacing w:after="0" w:line="255" w:lineRule="exact"/>
        <w:rPr>
          <w:sz w:val="24"/>
          <w:szCs w:val="24"/>
          <w:color w:val="auto"/>
        </w:rPr>
      </w:pPr>
    </w:p>
    <w:p>
      <w:pPr>
        <w:ind w:left="3000"/>
        <w:spacing w:after="0"/>
        <w:rPr>
          <w:sz w:val="20"/>
          <w:szCs w:val="20"/>
          <w:color w:val="auto"/>
        </w:rPr>
      </w:pPr>
      <w:r>
        <w:rPr>
          <w:rFonts w:ascii="Courier New" w:cs="Courier New" w:eastAsia="Courier New" w:hAnsi="Courier New"/>
          <w:sz w:val="18"/>
          <w:szCs w:val="18"/>
          <w:color w:val="auto"/>
        </w:rPr>
        <w:t>WINNEBAGO INDUSTRIES, INC.</w:t>
      </w:r>
    </w:p>
    <w:p>
      <w:pPr>
        <w:spacing w:after="0" w:line="12" w:lineRule="exact"/>
        <w:rPr>
          <w:sz w:val="24"/>
          <w:szCs w:val="24"/>
          <w:color w:val="auto"/>
        </w:rPr>
      </w:pPr>
    </w:p>
    <w:p>
      <w:pPr>
        <w:ind w:left="3500"/>
        <w:spacing w:after="0"/>
        <w:rPr>
          <w:sz w:val="20"/>
          <w:szCs w:val="20"/>
          <w:color w:val="auto"/>
        </w:rPr>
      </w:pPr>
      <w:r>
        <w:rPr>
          <w:rFonts w:ascii="Courier New" w:cs="Courier New" w:eastAsia="Courier New" w:hAnsi="Courier New"/>
          <w:sz w:val="18"/>
          <w:szCs w:val="18"/>
          <w:color w:val="auto"/>
        </w:rPr>
        <w:t>(Name of Issuer)</w:t>
      </w:r>
    </w:p>
    <w:p>
      <w:pPr>
        <w:spacing w:after="0" w:line="269"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Common Stock ($.50 par value)</w:t>
      </w:r>
    </w:p>
    <w:p>
      <w:pPr>
        <w:spacing w:after="0" w:line="12" w:lineRule="exact"/>
        <w:rPr>
          <w:sz w:val="24"/>
          <w:szCs w:val="24"/>
          <w:color w:val="auto"/>
        </w:rPr>
      </w:pPr>
    </w:p>
    <w:p>
      <w:pPr>
        <w:ind w:left="2800"/>
        <w:spacing w:after="0"/>
        <w:rPr>
          <w:sz w:val="20"/>
          <w:szCs w:val="20"/>
          <w:color w:val="auto"/>
        </w:rPr>
      </w:pPr>
      <w:r>
        <w:rPr>
          <w:rFonts w:ascii="Courier New" w:cs="Courier New" w:eastAsia="Courier New" w:hAnsi="Courier New"/>
          <w:sz w:val="18"/>
          <w:szCs w:val="18"/>
          <w:color w:val="auto"/>
        </w:rPr>
        <w:t>(Title of Class of Securities)</w:t>
      </w:r>
    </w:p>
    <w:p>
      <w:pPr>
        <w:spacing w:after="0" w:line="269" w:lineRule="exact"/>
        <w:rPr>
          <w:sz w:val="24"/>
          <w:szCs w:val="24"/>
          <w:color w:val="auto"/>
        </w:rPr>
      </w:pPr>
    </w:p>
    <w:p>
      <w:pPr>
        <w:ind w:left="3860"/>
        <w:spacing w:after="0"/>
        <w:rPr>
          <w:sz w:val="20"/>
          <w:szCs w:val="20"/>
          <w:color w:val="auto"/>
        </w:rPr>
      </w:pPr>
      <w:r>
        <w:rPr>
          <w:rFonts w:ascii="Courier New" w:cs="Courier New" w:eastAsia="Courier New" w:hAnsi="Courier New"/>
          <w:sz w:val="18"/>
          <w:szCs w:val="18"/>
          <w:color w:val="auto"/>
        </w:rPr>
        <w:t>974637100</w:t>
      </w:r>
    </w:p>
    <w:p>
      <w:pPr>
        <w:spacing w:after="0" w:line="26"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(CUSIP Number)</w:t>
      </w:r>
    </w:p>
    <w:p>
      <w:pPr>
        <w:spacing w:after="0" w:line="282" w:lineRule="exact"/>
        <w:rPr>
          <w:sz w:val="24"/>
          <w:szCs w:val="24"/>
          <w:color w:val="auto"/>
        </w:rPr>
      </w:pPr>
    </w:p>
    <w:p>
      <w:pPr>
        <w:ind w:left="3460"/>
        <w:spacing w:after="0"/>
        <w:rPr>
          <w:sz w:val="20"/>
          <w:szCs w:val="20"/>
          <w:color w:val="auto"/>
        </w:rPr>
      </w:pPr>
      <w:r>
        <w:rPr>
          <w:rFonts w:ascii="Courier New" w:cs="Courier New" w:eastAsia="Courier New" w:hAnsi="Courier New"/>
          <w:sz w:val="18"/>
          <w:szCs w:val="18"/>
          <w:color w:val="auto"/>
        </w:rPr>
        <w:t>December 31, 2012</w:t>
      </w:r>
    </w:p>
    <w:p>
      <w:pPr>
        <w:spacing w:after="0" w:line="242" w:lineRule="exact"/>
        <w:rPr>
          <w:sz w:val="24"/>
          <w:szCs w:val="24"/>
          <w:color w:val="auto"/>
        </w:rPr>
      </w:pPr>
    </w:p>
    <w:p>
      <w:pPr>
        <w:ind w:left="15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71" w:lineRule="exact"/>
        <w:rPr>
          <w:sz w:val="24"/>
          <w:szCs w:val="24"/>
          <w:color w:val="auto"/>
        </w:rPr>
      </w:pPr>
    </w:p>
    <w:p>
      <w:pPr>
        <w:jc w:val="both"/>
        <w:ind w:right="8179" w:firstLine="8"/>
        <w:spacing w:after="0" w:line="221" w:lineRule="exact"/>
        <w:tabs>
          <w:tab w:leader="none" w:pos="4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1(c)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1(d)</w:t>
      </w:r>
    </w:p>
    <w:p>
      <w:pPr>
        <w:spacing w:after="0" w:line="272" w:lineRule="exact"/>
        <w:rPr>
          <w:sz w:val="24"/>
          <w:szCs w:val="24"/>
          <w:color w:val="auto"/>
        </w:rPr>
      </w:pPr>
    </w:p>
    <w:p>
      <w:pPr>
        <w:ind w:right="399"/>
        <w:spacing w:after="0" w:line="269"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47" w:lineRule="exact"/>
        <w:rPr>
          <w:sz w:val="24"/>
          <w:szCs w:val="24"/>
          <w:color w:val="auto"/>
        </w:rPr>
      </w:pPr>
    </w:p>
    <w:p>
      <w:pPr>
        <w:jc w:val="both"/>
        <w:ind w:right="619"/>
        <w:spacing w:after="0" w:line="269"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-123190</wp:posOffset>
            </wp:positionH>
            <wp:positionV relativeFrom="paragraph">
              <wp:posOffset>215900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019"/>
          </w:cols>
          <w:pgMar w:left="440" w:top="744" w:right="1440" w:bottom="1440" w:gutter="0" w:footer="0" w:header="0"/>
        </w:sectPr>
      </w:pPr>
    </w:p>
    <w:bookmarkStart w:id="1" w:name="page2"/>
    <w:bookmarkEnd w:id="1"/>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2 of 14</w:t>
      </w:r>
    </w:p>
    <w:p>
      <w:pPr>
        <w:sectPr>
          <w:pgSz w:w="11900" w:h="16838" w:orient="portrait"/>
          <w:cols w:equalWidth="0" w:num="1">
            <w:col w:w="9919"/>
          </w:cols>
          <w:pgMar w:left="540" w:top="1136" w:right="1440"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800" w:right="6139" w:hanging="592"/>
        <w:spacing w:after="0" w:line="532" w:lineRule="auto"/>
        <w:tabs>
          <w:tab w:leader="none" w:pos="8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Resources, Inc.</w:t>
      </w:r>
    </w:p>
    <w:p>
      <w:pPr>
        <w:ind w:left="860" w:hanging="6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68"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70" w:lineRule="exact"/>
        <w:rPr>
          <w:rFonts w:ascii="Courier New" w:cs="Courier New" w:eastAsia="Courier New" w:hAnsi="Courier New"/>
          <w:sz w:val="18"/>
          <w:szCs w:val="18"/>
          <w:color w:val="auto"/>
        </w:rPr>
      </w:pPr>
    </w:p>
    <w:p>
      <w:pPr>
        <w:ind w:left="800" w:right="5179" w:hanging="592"/>
        <w:spacing w:after="0" w:line="532" w:lineRule="auto"/>
        <w:tabs>
          <w:tab w:leader="none" w:pos="8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ind w:left="200"/>
        <w:spacing w:after="0" w:line="238"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71" w:lineRule="exact"/>
        <w:rPr>
          <w:sz w:val="20"/>
          <w:szCs w:val="20"/>
          <w:color w:val="auto"/>
        </w:rPr>
      </w:pPr>
    </w:p>
    <w:p>
      <w:pPr>
        <w:ind w:left="800" w:right="7219" w:hanging="592"/>
        <w:spacing w:after="0" w:line="554"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3" w:lineRule="exact"/>
        <w:rPr>
          <w:rFonts w:ascii="Courier New" w:cs="Courier New" w:eastAsia="Courier New" w:hAnsi="Courier New"/>
          <w:sz w:val="18"/>
          <w:szCs w:val="18"/>
          <w:color w:val="auto"/>
        </w:rPr>
      </w:pPr>
    </w:p>
    <w:p>
      <w:pPr>
        <w:ind w:left="800" w:right="7019" w:hanging="592"/>
        <w:spacing w:after="0" w:line="554"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3" w:lineRule="exact"/>
        <w:rPr>
          <w:rFonts w:ascii="Courier New" w:cs="Courier New" w:eastAsia="Courier New" w:hAnsi="Courier New"/>
          <w:sz w:val="18"/>
          <w:szCs w:val="18"/>
          <w:color w:val="auto"/>
        </w:rPr>
      </w:pPr>
    </w:p>
    <w:p>
      <w:pPr>
        <w:ind w:left="800" w:right="6679" w:hanging="592"/>
        <w:spacing w:after="0" w:line="554"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3" w:lineRule="exact"/>
        <w:rPr>
          <w:rFonts w:ascii="Courier New" w:cs="Courier New" w:eastAsia="Courier New" w:hAnsi="Courier New"/>
          <w:sz w:val="18"/>
          <w:szCs w:val="18"/>
          <w:color w:val="auto"/>
        </w:rPr>
      </w:pPr>
    </w:p>
    <w:p>
      <w:pPr>
        <w:ind w:left="800" w:right="6479" w:hanging="592"/>
        <w:spacing w:after="0" w:line="554"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3" w:lineRule="exact"/>
        <w:rPr>
          <w:rFonts w:ascii="Courier New" w:cs="Courier New" w:eastAsia="Courier New" w:hAnsi="Courier New"/>
          <w:sz w:val="18"/>
          <w:szCs w:val="18"/>
          <w:color w:val="auto"/>
        </w:rPr>
      </w:pPr>
    </w:p>
    <w:p>
      <w:pPr>
        <w:ind w:left="800" w:right="2579" w:hanging="592"/>
        <w:spacing w:after="0" w:line="532"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1,544,805</w:t>
      </w:r>
    </w:p>
    <w:p>
      <w:pPr>
        <w:ind w:left="860" w:hanging="6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71" w:lineRule="exact"/>
        <w:rPr>
          <w:sz w:val="20"/>
          <w:szCs w:val="20"/>
          <w:color w:val="auto"/>
        </w:rPr>
      </w:pPr>
    </w:p>
    <w:p>
      <w:pPr>
        <w:ind w:left="800" w:right="3779" w:hanging="592"/>
        <w:spacing w:after="0" w:line="532" w:lineRule="auto"/>
        <w:tabs>
          <w:tab w:leader="none" w:pos="8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5.5%</w:t>
      </w:r>
    </w:p>
    <w:p>
      <w:pPr>
        <w:ind w:left="860" w:hanging="6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1136" w:right="1440" w:bottom="1440" w:gutter="0" w:footer="0" w:header="0"/>
          <w:type w:val="continuous"/>
        </w:sectPr>
      </w:pPr>
    </w:p>
    <w:bookmarkStart w:id="2" w:name="page3"/>
    <w:bookmarkEnd w:id="2"/>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3 of 14</w:t>
      </w:r>
    </w:p>
    <w:p>
      <w:pPr>
        <w:sectPr>
          <w:pgSz w:w="11900" w:h="16838" w:orient="portrait"/>
          <w:cols w:equalWidth="0" w:num="1">
            <w:col w:w="9919"/>
          </w:cols>
          <w:pgMar w:left="540" w:top="1122"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800" w:right="6139" w:hanging="592"/>
        <w:spacing w:after="0" w:line="554" w:lineRule="auto"/>
        <w:tabs>
          <w:tab w:leader="none" w:pos="8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Charles B. Johnson</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68"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70" w:lineRule="exact"/>
        <w:rPr>
          <w:rFonts w:ascii="Courier New" w:cs="Courier New" w:eastAsia="Courier New" w:hAnsi="Courier New"/>
          <w:sz w:val="18"/>
          <w:szCs w:val="18"/>
          <w:color w:val="auto"/>
        </w:rPr>
      </w:pPr>
    </w:p>
    <w:p>
      <w:pPr>
        <w:ind w:left="800" w:right="5179" w:hanging="592"/>
        <w:spacing w:after="0" w:line="554" w:lineRule="auto"/>
        <w:tabs>
          <w:tab w:leader="none" w:pos="8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71" w:lineRule="exact"/>
        <w:rPr>
          <w:sz w:val="20"/>
          <w:szCs w:val="20"/>
          <w:color w:val="auto"/>
        </w:rPr>
      </w:pPr>
    </w:p>
    <w:p>
      <w:pPr>
        <w:ind w:left="800" w:right="7219"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ind w:left="800" w:right="7019"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800" w:right="6679"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800" w:right="6479"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800" w:right="2579"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1,544,805</w:t>
      </w:r>
    </w:p>
    <w:p>
      <w:pPr>
        <w:ind w:left="860" w:hanging="6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71" w:lineRule="exact"/>
        <w:rPr>
          <w:sz w:val="20"/>
          <w:szCs w:val="20"/>
          <w:color w:val="auto"/>
        </w:rPr>
      </w:pPr>
    </w:p>
    <w:p>
      <w:pPr>
        <w:ind w:left="800" w:right="3779" w:hanging="592"/>
        <w:spacing w:after="0" w:line="532" w:lineRule="auto"/>
        <w:tabs>
          <w:tab w:leader="none" w:pos="8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5.5%</w:t>
      </w:r>
    </w:p>
    <w:p>
      <w:pPr>
        <w:ind w:left="860" w:hanging="6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1122" w:right="1440" w:bottom="1440" w:gutter="0" w:footer="0" w:header="0"/>
          <w:type w:val="continuous"/>
        </w:sectPr>
      </w:pPr>
    </w:p>
    <w:bookmarkStart w:id="3" w:name="page4"/>
    <w:bookmarkEnd w:id="3"/>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4 of 14</w:t>
      </w:r>
    </w:p>
    <w:p>
      <w:pPr>
        <w:sectPr>
          <w:pgSz w:w="11900" w:h="16838" w:orient="portrait"/>
          <w:cols w:equalWidth="0" w:num="1">
            <w:col w:w="9919"/>
          </w:cols>
          <w:pgMar w:left="540" w:top="1122"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800" w:right="6139" w:hanging="592"/>
        <w:spacing w:after="0" w:line="554" w:lineRule="auto"/>
        <w:tabs>
          <w:tab w:leader="none" w:pos="84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Rupert H. Johnson, Jr.</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68"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70" w:lineRule="exact"/>
        <w:rPr>
          <w:rFonts w:ascii="Courier New" w:cs="Courier New" w:eastAsia="Courier New" w:hAnsi="Courier New"/>
          <w:sz w:val="18"/>
          <w:szCs w:val="18"/>
          <w:color w:val="auto"/>
        </w:rPr>
      </w:pPr>
    </w:p>
    <w:p>
      <w:pPr>
        <w:ind w:left="800" w:right="5179" w:hanging="592"/>
        <w:spacing w:after="0" w:line="554" w:lineRule="auto"/>
        <w:tabs>
          <w:tab w:leader="none" w:pos="8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71" w:lineRule="exact"/>
        <w:rPr>
          <w:sz w:val="20"/>
          <w:szCs w:val="20"/>
          <w:color w:val="auto"/>
        </w:rPr>
      </w:pPr>
    </w:p>
    <w:p>
      <w:pPr>
        <w:ind w:left="800" w:right="721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ind w:left="800" w:right="701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800" w:right="667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800" w:right="647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800" w:right="257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1,544,805</w:t>
      </w:r>
    </w:p>
    <w:p>
      <w:pPr>
        <w:ind w:left="860" w:hanging="6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71" w:lineRule="exact"/>
        <w:rPr>
          <w:sz w:val="20"/>
          <w:szCs w:val="20"/>
          <w:color w:val="auto"/>
        </w:rPr>
      </w:pPr>
    </w:p>
    <w:p>
      <w:pPr>
        <w:ind w:left="800" w:right="3779" w:hanging="592"/>
        <w:spacing w:after="0" w:line="532" w:lineRule="auto"/>
        <w:tabs>
          <w:tab w:leader="none" w:pos="8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5.5%</w:t>
      </w:r>
    </w:p>
    <w:p>
      <w:pPr>
        <w:ind w:left="860" w:hanging="652"/>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1122" w:right="1440" w:bottom="1440" w:gutter="0" w:footer="0" w:header="0"/>
          <w:type w:val="continuous"/>
        </w:sectPr>
      </w:pPr>
    </w:p>
    <w:bookmarkStart w:id="4" w:name="page5"/>
    <w:bookmarkEnd w:id="4"/>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5 of 14</w:t>
      </w:r>
    </w:p>
    <w:p>
      <w:pPr>
        <w:sectPr>
          <w:pgSz w:w="11900" w:h="16838" w:orient="portrait"/>
          <w:cols w:equalWidth="0" w:num="1">
            <w:col w:w="9919"/>
          </w:cols>
          <w:pgMar w:left="540" w:top="1122"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800" w:right="5759" w:hanging="592"/>
        <w:spacing w:after="0" w:line="532" w:lineRule="auto"/>
        <w:tabs>
          <w:tab w:leader="none" w:pos="8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Advisory Services, LLC</w:t>
      </w:r>
    </w:p>
    <w:p>
      <w:pPr>
        <w:ind w:left="860" w:hanging="6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68"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70" w:lineRule="exact"/>
        <w:rPr>
          <w:rFonts w:ascii="Courier New" w:cs="Courier New" w:eastAsia="Courier New" w:hAnsi="Courier New"/>
          <w:sz w:val="18"/>
          <w:szCs w:val="18"/>
          <w:color w:val="auto"/>
        </w:rPr>
      </w:pPr>
    </w:p>
    <w:p>
      <w:pPr>
        <w:ind w:left="800" w:right="5179" w:hanging="592"/>
        <w:spacing w:after="0" w:line="532" w:lineRule="auto"/>
        <w:tabs>
          <w:tab w:leader="none" w:pos="84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ind w:left="200"/>
        <w:spacing w:after="0" w:line="238"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71" w:lineRule="exact"/>
        <w:rPr>
          <w:sz w:val="20"/>
          <w:szCs w:val="20"/>
          <w:color w:val="auto"/>
        </w:rPr>
      </w:pPr>
    </w:p>
    <w:p>
      <w:pPr>
        <w:ind w:left="800" w:right="7219" w:hanging="592"/>
        <w:spacing w:after="0" w:line="554"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1,476,305</w:t>
      </w:r>
    </w:p>
    <w:p>
      <w:pPr>
        <w:spacing w:after="0" w:line="3" w:lineRule="exact"/>
        <w:rPr>
          <w:rFonts w:ascii="Courier New" w:cs="Courier New" w:eastAsia="Courier New" w:hAnsi="Courier New"/>
          <w:sz w:val="18"/>
          <w:szCs w:val="18"/>
          <w:color w:val="auto"/>
        </w:rPr>
      </w:pPr>
    </w:p>
    <w:p>
      <w:pPr>
        <w:ind w:left="800" w:right="7019" w:hanging="592"/>
        <w:spacing w:after="0" w:line="532"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ind w:left="800" w:right="6679" w:hanging="592"/>
        <w:spacing w:after="0" w:line="554"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1,544,805</w:t>
      </w:r>
    </w:p>
    <w:p>
      <w:pPr>
        <w:spacing w:after="0" w:line="3" w:lineRule="exact"/>
        <w:rPr>
          <w:rFonts w:ascii="Courier New" w:cs="Courier New" w:eastAsia="Courier New" w:hAnsi="Courier New"/>
          <w:sz w:val="18"/>
          <w:szCs w:val="18"/>
          <w:color w:val="auto"/>
        </w:rPr>
      </w:pPr>
    </w:p>
    <w:p>
      <w:pPr>
        <w:ind w:left="800" w:right="6479" w:hanging="592"/>
        <w:spacing w:after="0" w:line="532"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ind w:left="800" w:right="2579" w:hanging="592"/>
        <w:spacing w:after="0" w:line="532"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1,544,805</w:t>
      </w:r>
    </w:p>
    <w:p>
      <w:pPr>
        <w:ind w:left="860" w:hanging="6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71" w:lineRule="exact"/>
        <w:rPr>
          <w:sz w:val="20"/>
          <w:szCs w:val="20"/>
          <w:color w:val="auto"/>
        </w:rPr>
      </w:pPr>
    </w:p>
    <w:p>
      <w:pPr>
        <w:ind w:left="800" w:right="3779" w:hanging="592"/>
        <w:spacing w:after="0" w:line="532" w:lineRule="auto"/>
        <w:tabs>
          <w:tab w:leader="none" w:pos="84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5.5%</w:t>
      </w:r>
    </w:p>
    <w:p>
      <w:pPr>
        <w:ind w:left="860" w:hanging="6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IA, OO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1122" w:right="1440" w:bottom="1440" w:gutter="0" w:footer="0" w:header="0"/>
          <w:type w:val="continuous"/>
        </w:sectPr>
      </w:pPr>
    </w:p>
    <w:bookmarkStart w:id="5" w:name="page6"/>
    <w:bookmarkEnd w:id="5"/>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6 of 14</w:t>
      </w:r>
    </w:p>
    <w:p>
      <w:pPr>
        <w:sectPr>
          <w:pgSz w:w="11900" w:h="16838" w:orient="portrait"/>
          <w:cols w:equalWidth="0" w:num="1">
            <w:col w:w="9919"/>
          </w:cols>
          <w:pgMar w:left="540" w:top="1122"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1.</w:t>
      </w:r>
    </w:p>
    <w:p>
      <w:pPr>
        <w:spacing w:after="0" w:line="269" w:lineRule="exact"/>
        <w:rPr>
          <w:sz w:val="20"/>
          <w:szCs w:val="20"/>
          <w:color w:val="auto"/>
        </w:rPr>
      </w:pPr>
    </w:p>
    <w:p>
      <w:pPr>
        <w:ind w:left="860" w:hanging="6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WINNEBAGO INDUSTRIES, INC.</w:t>
      </w:r>
    </w:p>
    <w:p>
      <w:pPr>
        <w:spacing w:after="0" w:line="242" w:lineRule="exact"/>
        <w:rPr>
          <w:sz w:val="20"/>
          <w:szCs w:val="20"/>
          <w:color w:val="auto"/>
        </w:rPr>
      </w:pPr>
    </w:p>
    <w:p>
      <w:pPr>
        <w:ind w:left="860" w:hanging="652"/>
        <w:spacing w:after="0"/>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P.O. Box 152</w:t>
      </w:r>
    </w:p>
    <w:p>
      <w:pPr>
        <w:ind w:left="800"/>
        <w:spacing w:after="0" w:line="238" w:lineRule="auto"/>
        <w:rPr>
          <w:sz w:val="20"/>
          <w:szCs w:val="20"/>
          <w:color w:val="auto"/>
        </w:rPr>
      </w:pPr>
      <w:r>
        <w:rPr>
          <w:rFonts w:ascii="Courier New" w:cs="Courier New" w:eastAsia="Courier New" w:hAnsi="Courier New"/>
          <w:sz w:val="18"/>
          <w:szCs w:val="18"/>
          <w:color w:val="auto"/>
        </w:rPr>
        <w:t>Forest City, IA 50436</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2.</w:t>
      </w:r>
    </w:p>
    <w:p>
      <w:pPr>
        <w:spacing w:after="0" w:line="269" w:lineRule="exact"/>
        <w:rPr>
          <w:sz w:val="20"/>
          <w:szCs w:val="20"/>
          <w:color w:val="auto"/>
        </w:rPr>
      </w:pPr>
    </w:p>
    <w:p>
      <w:pPr>
        <w:ind w:left="860" w:hanging="652"/>
        <w:spacing w:after="0"/>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53"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w:t>
        <w:tab/>
        <w:t>Franklin Resources, Inc.</w:t>
      </w:r>
    </w:p>
    <w:p>
      <w:pPr>
        <w:spacing w:after="0" w:line="296"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7"/>
          <w:szCs w:val="17"/>
          <w:color w:val="auto"/>
        </w:rPr>
        <w:t>Charles B. Johnson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(iii): Rupert H. Johnson, Jr.</w:t>
      </w:r>
    </w:p>
    <w:p>
      <w:pPr>
        <w:spacing w:after="0" w:line="296"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(iv):</w:t>
        <w:tab/>
        <w:t>Franklin Advisory Services, LLC</w:t>
      </w:r>
    </w:p>
    <w:p>
      <w:pPr>
        <w:spacing w:after="0" w:line="200" w:lineRule="exact"/>
        <w:rPr>
          <w:sz w:val="20"/>
          <w:szCs w:val="20"/>
          <w:color w:val="auto"/>
        </w:rPr>
      </w:pPr>
    </w:p>
    <w:p>
      <w:pPr>
        <w:spacing w:after="0" w:line="327" w:lineRule="exact"/>
        <w:rPr>
          <w:sz w:val="20"/>
          <w:szCs w:val="20"/>
          <w:color w:val="auto"/>
        </w:rPr>
      </w:pPr>
    </w:p>
    <w:p>
      <w:pPr>
        <w:ind w:left="860" w:hanging="652"/>
        <w:spacing w:after="0"/>
        <w:tabs>
          <w:tab w:leader="none" w:pos="86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Address of Principal Business Office or, if none, Residence</w:t>
      </w:r>
    </w:p>
    <w:p>
      <w:pPr>
        <w:spacing w:after="0" w:line="278"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 (ii), and (iii):</w:t>
      </w:r>
    </w:p>
    <w:p>
      <w:pPr>
        <w:spacing w:after="0" w:line="12"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One Franklin Parkway</w:t>
      </w:r>
    </w:p>
    <w:p>
      <w:pPr>
        <w:spacing w:after="0" w:line="7" w:lineRule="exact"/>
        <w:rPr>
          <w:sz w:val="20"/>
          <w:szCs w:val="20"/>
          <w:color w:val="auto"/>
        </w:rPr>
      </w:pPr>
    </w:p>
    <w:p>
      <w:pPr>
        <w:ind w:left="14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66"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(iv): One Parker Plaza, Ninth Floor</w:t>
      </w:r>
    </w:p>
    <w:p>
      <w:pPr>
        <w:spacing w:after="0" w:line="48" w:lineRule="exact"/>
        <w:rPr>
          <w:sz w:val="20"/>
          <w:szCs w:val="20"/>
          <w:color w:val="auto"/>
        </w:rPr>
      </w:pPr>
    </w:p>
    <w:p>
      <w:pPr>
        <w:ind w:left="1400"/>
        <w:spacing w:after="0" w:line="209" w:lineRule="exact"/>
        <w:tabs>
          <w:tab w:leader="none" w:pos="2900" w:val="left"/>
        </w:tabs>
        <w:rPr>
          <w:sz w:val="20"/>
          <w:szCs w:val="20"/>
          <w:color w:val="auto"/>
        </w:rPr>
      </w:pPr>
      <w:r>
        <w:rPr>
          <w:rFonts w:ascii="Courier New" w:cs="Courier New" w:eastAsia="Courier New" w:hAnsi="Courier New"/>
          <w:sz w:val="18"/>
          <w:szCs w:val="18"/>
          <w:color w:val="auto"/>
        </w:rPr>
        <w:t>Fort Lee, NJ</w:t>
        <w:tab/>
        <w:t>07024</w:t>
      </w:r>
      <w:r>
        <w:rPr>
          <w:rFonts w:ascii="MS Gothic" w:cs="MS Gothic" w:eastAsia="MS Gothic" w:hAnsi="MS Gothic"/>
          <w:sz w:val="18"/>
          <w:szCs w:val="18"/>
          <w:color w:val="auto"/>
        </w:rPr>
        <w:t>‑</w:t>
      </w:r>
      <w:r>
        <w:rPr>
          <w:rFonts w:ascii="Courier New" w:cs="Courier New" w:eastAsia="Courier New" w:hAnsi="Courier New"/>
          <w:sz w:val="18"/>
          <w:szCs w:val="18"/>
          <w:color w:val="auto"/>
        </w:rPr>
        <w:t>2938</w:t>
      </w:r>
    </w:p>
    <w:p>
      <w:pPr>
        <w:spacing w:after="0" w:line="296" w:lineRule="exact"/>
        <w:rPr>
          <w:sz w:val="20"/>
          <w:szCs w:val="20"/>
          <w:color w:val="auto"/>
        </w:rPr>
      </w:pPr>
    </w:p>
    <w:p>
      <w:pPr>
        <w:ind w:left="860" w:hanging="6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82" w:lineRule="exact"/>
        <w:rPr>
          <w:sz w:val="20"/>
          <w:szCs w:val="20"/>
          <w:color w:val="auto"/>
        </w:rPr>
      </w:pPr>
    </w:p>
    <w:p>
      <w:pPr>
        <w:ind w:left="800"/>
        <w:spacing w:after="0"/>
        <w:tabs>
          <w:tab w:leader="none" w:pos="17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Delaware</w:t>
      </w:r>
    </w:p>
    <w:p>
      <w:pPr>
        <w:spacing w:after="0" w:line="269" w:lineRule="exact"/>
        <w:rPr>
          <w:sz w:val="20"/>
          <w:szCs w:val="20"/>
          <w:color w:val="auto"/>
        </w:rPr>
      </w:pPr>
    </w:p>
    <w:p>
      <w:pPr>
        <w:ind w:left="1340" w:hanging="532"/>
        <w:spacing w:after="0"/>
        <w:tabs>
          <w:tab w:leader="none" w:pos="134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spacing w:after="0" w:line="282" w:lineRule="exact"/>
        <w:rPr>
          <w:rFonts w:ascii="Courier New" w:cs="Courier New" w:eastAsia="Courier New" w:hAnsi="Courier New"/>
          <w:sz w:val="18"/>
          <w:szCs w:val="18"/>
          <w:color w:val="auto"/>
        </w:rPr>
      </w:pPr>
    </w:p>
    <w:p>
      <w:pPr>
        <w:ind w:left="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 Delaware</w:t>
      </w:r>
    </w:p>
    <w:p>
      <w:pPr>
        <w:spacing w:after="0" w:line="200" w:lineRule="exact"/>
        <w:rPr>
          <w:rFonts w:ascii="Courier New" w:cs="Courier New" w:eastAsia="Courier New" w:hAnsi="Courier New"/>
          <w:sz w:val="18"/>
          <w:szCs w:val="18"/>
          <w:color w:val="auto"/>
        </w:rPr>
      </w:pPr>
    </w:p>
    <w:p>
      <w:pPr>
        <w:spacing w:after="0" w:line="327" w:lineRule="exact"/>
        <w:rPr>
          <w:rFonts w:ascii="Courier New" w:cs="Courier New" w:eastAsia="Courier New" w:hAnsi="Courier New"/>
          <w:sz w:val="18"/>
          <w:szCs w:val="18"/>
          <w:color w:val="auto"/>
        </w:rPr>
      </w:pPr>
    </w:p>
    <w:p>
      <w:pPr>
        <w:jc w:val="both"/>
        <w:ind w:left="800" w:right="5979" w:hanging="592"/>
        <w:spacing w:after="0" w:line="532" w:lineRule="auto"/>
        <w:tabs>
          <w:tab w:leader="none" w:pos="84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 ($.50 par value)</w:t>
      </w:r>
    </w:p>
    <w:p>
      <w:pPr>
        <w:ind w:left="860" w:hanging="652"/>
        <w:spacing w:after="0"/>
        <w:tabs>
          <w:tab w:leader="none" w:pos="8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974637100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213360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1122" w:right="1440" w:bottom="1440" w:gutter="0" w:footer="0" w:header="0"/>
          <w:type w:val="continuous"/>
        </w:sectPr>
      </w:pPr>
    </w:p>
    <w:bookmarkStart w:id="6" w:name="page7"/>
    <w:bookmarkEnd w:id="6"/>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7 of 14</w:t>
      </w:r>
    </w:p>
    <w:p>
      <w:pPr>
        <w:sectPr>
          <w:pgSz w:w="11900" w:h="16838" w:orient="portrait"/>
          <w:cols w:equalWidth="0" w:num="1">
            <w:col w:w="9919"/>
          </w:cols>
          <w:pgMar w:left="540" w:top="1149" w:right="1440"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900" w:right="639" w:hanging="799"/>
        <w:spacing w:after="0" w:line="215" w:lineRule="exact"/>
        <w:rPr>
          <w:sz w:val="20"/>
          <w:szCs w:val="20"/>
          <w:color w:val="auto"/>
        </w:rPr>
      </w:pPr>
      <w:r>
        <w:rPr>
          <w:rFonts w:ascii="Courier New" w:cs="Courier New" w:eastAsia="Courier New" w:hAnsi="Courier New"/>
          <w:sz w:val="18"/>
          <w:szCs w:val="18"/>
          <w:color w:val="auto"/>
        </w:rPr>
        <w:t>Item 3. If this statement is filed pursuant to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or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2(b) or (c), check whether the person filing is a:</w:t>
      </w:r>
    </w:p>
    <w:p>
      <w:pPr>
        <w:spacing w:after="0" w:line="27" w:lineRule="exact"/>
        <w:rPr>
          <w:sz w:val="20"/>
          <w:szCs w:val="20"/>
          <w:color w:val="auto"/>
        </w:rPr>
      </w:pPr>
    </w:p>
    <w:p>
      <w:pPr>
        <w:ind w:left="1240" w:hanging="432"/>
        <w:spacing w:after="0"/>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68"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70" w:lineRule="exact"/>
        <w:rPr>
          <w:rFonts w:ascii="Courier New" w:cs="Courier New" w:eastAsia="Courier New" w:hAnsi="Courier New"/>
          <w:sz w:val="18"/>
          <w:szCs w:val="18"/>
          <w:color w:val="auto"/>
        </w:rPr>
      </w:pPr>
    </w:p>
    <w:p>
      <w:pPr>
        <w:ind w:left="1600" w:right="679" w:hanging="792"/>
        <w:spacing w:after="0" w:line="267" w:lineRule="auto"/>
        <w:tabs>
          <w:tab w:leader="none" w:pos="12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48" w:lineRule="exact"/>
        <w:rPr>
          <w:rFonts w:ascii="Courier New" w:cs="Courier New" w:eastAsia="Courier New" w:hAnsi="Courier New"/>
          <w:sz w:val="18"/>
          <w:szCs w:val="18"/>
          <w:color w:val="auto"/>
        </w:rPr>
      </w:pPr>
    </w:p>
    <w:p>
      <w:pPr>
        <w:ind w:left="1600" w:right="579" w:hanging="792"/>
        <w:spacing w:after="0" w:line="215" w:lineRule="exact"/>
        <w:tabs>
          <w:tab w:leader="none" w:pos="12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8).</w:t>
      </w:r>
    </w:p>
    <w:p>
      <w:pPr>
        <w:spacing w:after="0" w:line="265" w:lineRule="exact"/>
        <w:rPr>
          <w:rFonts w:ascii="Courier New" w:cs="Courier New" w:eastAsia="Courier New" w:hAnsi="Courier New"/>
          <w:sz w:val="18"/>
          <w:szCs w:val="18"/>
          <w:color w:val="auto"/>
        </w:rPr>
      </w:pPr>
    </w:p>
    <w:p>
      <w:pPr>
        <w:ind w:left="1240" w:hanging="432"/>
        <w:spacing w:after="0" w:line="209" w:lineRule="exact"/>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1(b)(1)(ii)(E);</w:t>
      </w:r>
    </w:p>
    <w:p>
      <w:pPr>
        <w:spacing w:after="0" w:line="268"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spacing w:after="0" w:line="21" w:lineRule="exact"/>
        <w:rPr>
          <w:sz w:val="20"/>
          <w:szCs w:val="20"/>
          <w:color w:val="auto"/>
        </w:rPr>
      </w:pPr>
    </w:p>
    <w:p>
      <w:pPr>
        <w:ind w:left="1600"/>
        <w:spacing w:after="0" w:line="209" w:lineRule="exact"/>
        <w:rPr>
          <w:sz w:val="20"/>
          <w:szCs w:val="20"/>
          <w:color w:val="auto"/>
        </w:rPr>
      </w:pPr>
      <w:r>
        <w:rPr>
          <w:rFonts w:ascii="Courier New" w:cs="Courier New" w:eastAsia="Courier New" w:hAnsi="Courier New"/>
          <w:sz w:val="18"/>
          <w:szCs w:val="18"/>
          <w:color w:val="auto"/>
        </w:rPr>
        <w:t>§240.13d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1(b)(1)(ii)(F);</w:t>
      </w:r>
    </w:p>
    <w:p>
      <w:pPr>
        <w:spacing w:after="0" w:line="271" w:lineRule="exact"/>
        <w:rPr>
          <w:sz w:val="20"/>
          <w:szCs w:val="20"/>
          <w:color w:val="auto"/>
        </w:rPr>
      </w:pPr>
    </w:p>
    <w:p>
      <w:pPr>
        <w:ind w:left="1600" w:right="1659" w:hanging="792"/>
        <w:spacing w:after="0" w:line="215" w:lineRule="exact"/>
        <w:tabs>
          <w:tab w:leader="none" w:pos="12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1(b)(1)(ii)(G);</w:t>
      </w:r>
    </w:p>
    <w:p>
      <w:pPr>
        <w:spacing w:after="0" w:line="272" w:lineRule="exact"/>
        <w:rPr>
          <w:rFonts w:ascii="Courier New" w:cs="Courier New" w:eastAsia="Courier New" w:hAnsi="Courier New"/>
          <w:sz w:val="18"/>
          <w:szCs w:val="18"/>
          <w:color w:val="auto"/>
        </w:rPr>
      </w:pPr>
    </w:p>
    <w:p>
      <w:pPr>
        <w:ind w:left="1600" w:right="479" w:hanging="792"/>
        <w:spacing w:after="0" w:line="267" w:lineRule="auto"/>
        <w:tabs>
          <w:tab w:leader="none" w:pos="12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48" w:lineRule="exact"/>
        <w:rPr>
          <w:rFonts w:ascii="Courier New" w:cs="Courier New" w:eastAsia="Courier New" w:hAnsi="Courier New"/>
          <w:sz w:val="18"/>
          <w:szCs w:val="18"/>
          <w:color w:val="auto"/>
        </w:rPr>
      </w:pPr>
    </w:p>
    <w:p>
      <w:pPr>
        <w:ind w:left="1600" w:right="539" w:hanging="792"/>
        <w:spacing w:after="0" w:line="221" w:lineRule="exact"/>
        <w:tabs>
          <w:tab w:leader="none" w:pos="12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3);</w:t>
      </w:r>
    </w:p>
    <w:p>
      <w:pPr>
        <w:spacing w:after="0" w:line="264" w:lineRule="exact"/>
        <w:rPr>
          <w:rFonts w:ascii="Courier New" w:cs="Courier New" w:eastAsia="Courier New" w:hAnsi="Courier New"/>
          <w:sz w:val="18"/>
          <w:szCs w:val="18"/>
          <w:color w:val="auto"/>
        </w:rPr>
      </w:pPr>
    </w:p>
    <w:p>
      <w:pPr>
        <w:ind w:left="1240" w:hanging="432"/>
        <w:spacing w:after="0" w:line="209" w:lineRule="exact"/>
        <w:tabs>
          <w:tab w:leader="none" w:pos="12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1(b)(ii)(J);</w:t>
      </w:r>
    </w:p>
    <w:p>
      <w:pPr>
        <w:spacing w:after="0" w:line="268"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 1(b)(1)(ii)(K).</w:t>
      </w:r>
    </w:p>
    <w:p>
      <w:pPr>
        <w:spacing w:after="0" w:line="264" w:lineRule="exact"/>
        <w:rPr>
          <w:sz w:val="20"/>
          <w:szCs w:val="20"/>
          <w:color w:val="auto"/>
        </w:rPr>
      </w:pPr>
    </w:p>
    <w:p>
      <w:pPr>
        <w:ind w:left="800"/>
        <w:spacing w:after="0" w:line="209" w:lineRule="exact"/>
        <w:rPr>
          <w:sz w:val="20"/>
          <w:szCs w:val="20"/>
          <w:color w:val="auto"/>
        </w:rPr>
      </w:pPr>
      <w:r>
        <w:rPr>
          <w:rFonts w:ascii="Courier New" w:cs="Courier New" w:eastAsia="Courier New" w:hAnsi="Courier New"/>
          <w:sz w:val="18"/>
          <w:szCs w:val="18"/>
          <w:color w:val="auto"/>
        </w:rPr>
        <w:t>If filing as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 (J).</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please specify the type of institution:</w:t>
      </w:r>
    </w:p>
    <w:p>
      <w:pPr>
        <w:spacing w:after="0" w:line="296"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4.</w:t>
        <w:tab/>
        <w:t>Ownership</w:t>
      </w:r>
    </w:p>
    <w:p>
      <w:pPr>
        <w:spacing w:after="0" w:line="284" w:lineRule="exact"/>
        <w:rPr>
          <w:sz w:val="20"/>
          <w:szCs w:val="20"/>
          <w:color w:val="auto"/>
        </w:rPr>
      </w:pPr>
    </w:p>
    <w:p>
      <w:pPr>
        <w:ind w:left="200" w:right="419"/>
        <w:spacing w:after="0" w:line="228" w:lineRule="exact"/>
        <w:rPr>
          <w:sz w:val="20"/>
          <w:szCs w:val="20"/>
          <w:color w:val="auto"/>
        </w:rPr>
      </w:pPr>
      <w:r>
        <w:rPr>
          <w:rFonts w:ascii="Courier New" w:cs="Courier New" w:eastAsia="Courier New" w:hAnsi="Courier New"/>
          <w:sz w:val="18"/>
          <w:szCs w:val="18"/>
          <w:color w:val="auto"/>
        </w:rPr>
        <w:t>The securities reported herein are beneficially owned by one or more open</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or closed</w:t>
      </w:r>
      <w:r>
        <w:rPr>
          <w:rFonts w:ascii="MS Gothic" w:cs="MS Gothic" w:eastAsia="MS Gothic" w:hAnsi="MS Gothic"/>
          <w:sz w:val="18"/>
          <w:szCs w:val="18"/>
          <w:color w:val="auto"/>
        </w:rPr>
        <w:t>‑</w:t>
      </w:r>
      <w:r>
        <w:rPr>
          <w:rFonts w:ascii="Courier New" w:cs="Courier New" w:eastAsia="Courier New" w:hAnsi="Courier New"/>
          <w:sz w:val="18"/>
          <w:szCs w:val="18"/>
          <w:color w:val="auto"/>
        </w:rPr>
        <w:t>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this Item 4. When an investment management contract (including a sub</w:t>
      </w:r>
      <w:r>
        <w:rPr>
          <w:rFonts w:ascii="MS Gothic" w:cs="MS Gothic" w:eastAsia="MS Gothic" w:hAnsi="MS Gothic"/>
          <w:sz w:val="18"/>
          <w:szCs w:val="18"/>
          <w:color w:val="auto"/>
        </w:rPr>
        <w:t>‑</w:t>
      </w:r>
      <w:r>
        <w:rPr>
          <w:rFonts w:ascii="Courier New" w:cs="Courier New" w:eastAsia="Courier New" w:hAnsi="Courier New"/>
          <w:sz w:val="18"/>
          <w:szCs w:val="18"/>
          <w:color w:val="auto"/>
        </w:rPr>
        <w:t>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Investment Management Subsidiaries listed in this Item 4 may be deemed to be the beneficial owners of the securities reported in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390525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1149" w:right="1440" w:bottom="1440" w:gutter="0" w:footer="0" w:header="0"/>
          <w:type w:val="continuous"/>
        </w:sectPr>
      </w:pPr>
    </w:p>
    <w:bookmarkStart w:id="7" w:name="page8"/>
    <w:bookmarkEnd w:id="7"/>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8 of 14</w:t>
      </w:r>
    </w:p>
    <w:p>
      <w:pPr>
        <w:sectPr>
          <w:pgSz w:w="11900" w:h="16838" w:orient="portrait"/>
          <w:cols w:equalWidth="0" w:num="1">
            <w:col w:w="9919"/>
          </w:cols>
          <w:pgMar w:left="540" w:top="1122" w:right="1440" w:bottom="325" w:gutter="0" w:footer="0" w:header="0"/>
        </w:sectPr>
      </w:pPr>
    </w:p>
    <w:p>
      <w:pPr>
        <w:spacing w:after="0" w:line="271" w:lineRule="exact"/>
        <w:rPr>
          <w:sz w:val="20"/>
          <w:szCs w:val="20"/>
          <w:color w:val="auto"/>
        </w:rPr>
      </w:pPr>
    </w:p>
    <w:p>
      <w:pPr>
        <w:ind w:left="200" w:right="419"/>
        <w:spacing w:after="0" w:line="228" w:lineRule="exact"/>
        <w:rPr>
          <w:sz w:val="20"/>
          <w:szCs w:val="20"/>
          <w:color w:val="auto"/>
        </w:rPr>
      </w:pPr>
      <w:r>
        <w:rPr>
          <w:rFonts w:ascii="Courier New" w:cs="Courier New" w:eastAsia="Courier New" w:hAnsi="Courier New"/>
          <w:sz w:val="18"/>
          <w:szCs w:val="18"/>
          <w:color w:val="auto"/>
        </w:rPr>
        <w:t>Beneficial ownership by Investment Management Subsidiaries and other FRI affiliates is being reported in conformity with the guidelines articulated by the SEC staff in Release No. 34</w:t>
      </w:r>
      <w:r>
        <w:rPr>
          <w:rFonts w:ascii="MS Gothic" w:cs="MS Gothic" w:eastAsia="MS Gothic" w:hAnsi="MS Gothic"/>
          <w:sz w:val="18"/>
          <w:szCs w:val="18"/>
          <w:color w:val="auto"/>
        </w:rPr>
        <w:t>‑</w:t>
      </w:r>
      <w:r>
        <w:rPr>
          <w:rFonts w:ascii="Courier New" w:cs="Courier New" w:eastAsia="Courier New" w:hAnsi="Courier New"/>
          <w:sz w:val="18"/>
          <w:szCs w:val="18"/>
          <w:color w:val="auto"/>
        </w:rPr>
        <w:t>39538 (January 12, 1998) relating to organizations, such as FRI, where related entities exercise voting and investment powers over the securities being reported independently from each other. The voting and investment powers held by Franklin Mutual Advisers, LLC (“FMA”), an indirect wholly</w:t>
      </w:r>
      <w:r>
        <w:rPr>
          <w:rFonts w:ascii="MS Gothic" w:cs="MS Gothic" w:eastAsia="MS Gothic" w:hAnsi="MS Gothic"/>
          <w:sz w:val="18"/>
          <w:szCs w:val="18"/>
          <w:color w:val="auto"/>
        </w:rPr>
        <w:t>‑</w:t>
      </w:r>
      <w:r>
        <w:rPr>
          <w:rFonts w:ascii="Courier New" w:cs="Courier New" w:eastAsia="Courier New" w:hAnsi="Courier New"/>
          <w:sz w:val="18"/>
          <w:szCs w:val="18"/>
          <w:color w:val="auto"/>
        </w:rPr>
        <w:t>owned Investment Management Subsidiary, are exercised independently from FRI and from all other Investment Management Subsidiaries (FRI, its affiliates and the Investment Management Subsidiaries other than FMA are collectively, “FRI affiliates”). Furthermore, internal policies and procedures of FMA and FRI establish informational barriers that prevent the flow between FMA and the FRI affiliates of information that relates to the voting and investment powers over the securities owned by their respective management clients. Consequently, FMA and FRI affiliates report the securities over which they hold investment and voting power separately from each other for purposes of Section 13 of the Act.</w:t>
      </w:r>
    </w:p>
    <w:p>
      <w:pPr>
        <w:spacing w:after="0" w:line="287" w:lineRule="exact"/>
        <w:rPr>
          <w:sz w:val="20"/>
          <w:szCs w:val="20"/>
          <w:color w:val="auto"/>
        </w:rPr>
      </w:pPr>
    </w:p>
    <w:p>
      <w:pPr>
        <w:ind w:left="200" w:right="419"/>
        <w:spacing w:after="0" w:line="229" w:lineRule="exact"/>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stockholders of FRI. FRI and the Principal Shareholders may be deemed to be,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the such securities. In addition, the filing of this Schedule 13G on behalf of the Principal Shareholders, FRI and the FRI affiliates, as applicable, should not be construed as an admission that any of them is, and each of them disclaims that it is, the beneficial owner, as defined in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of any of the securities reported in this Schedule 13G.</w:t>
      </w:r>
    </w:p>
    <w:p>
      <w:pPr>
        <w:spacing w:after="0" w:line="286" w:lineRule="exact"/>
        <w:rPr>
          <w:sz w:val="20"/>
          <w:szCs w:val="20"/>
          <w:color w:val="auto"/>
        </w:rPr>
      </w:pPr>
    </w:p>
    <w:p>
      <w:pPr>
        <w:ind w:left="200" w:right="419"/>
        <w:spacing w:after="0" w:line="225" w:lineRule="exact"/>
        <w:rPr>
          <w:sz w:val="20"/>
          <w:szCs w:val="20"/>
          <w:color w:val="auto"/>
        </w:rPr>
      </w:pPr>
      <w:r>
        <w:rPr>
          <w:rFonts w:ascii="Courier New" w:cs="Courier New" w:eastAsia="Courier New" w:hAnsi="Courier New"/>
          <w:sz w:val="18"/>
          <w:szCs w:val="18"/>
          <w:color w:val="auto"/>
        </w:rPr>
        <w:t>FRI, the Principal Shareholders, and each of the Investment Management Subsidiaries believe that they are not a “group” within the meaning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275" w:lineRule="exact"/>
        <w:rPr>
          <w:sz w:val="20"/>
          <w:szCs w:val="20"/>
          <w:color w:val="auto"/>
        </w:rPr>
      </w:pPr>
    </w:p>
    <w:p>
      <w:pPr>
        <w:ind w:left="1400" w:right="5659" w:hanging="592"/>
        <w:spacing w:after="0" w:line="532" w:lineRule="auto"/>
        <w:tabs>
          <w:tab w:leader="none" w:pos="144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1,544,805</w:t>
      </w:r>
    </w:p>
    <w:p>
      <w:pPr>
        <w:ind w:left="1460" w:hanging="652"/>
        <w:spacing w:after="0"/>
        <w:tabs>
          <w:tab w:leader="none" w:pos="14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55"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5.5%</w:t>
      </w:r>
    </w:p>
    <w:p>
      <w:pPr>
        <w:spacing w:after="0" w:line="242" w:lineRule="exact"/>
        <w:rPr>
          <w:sz w:val="20"/>
          <w:szCs w:val="20"/>
          <w:color w:val="auto"/>
        </w:rPr>
      </w:pPr>
    </w:p>
    <w:p>
      <w:pPr>
        <w:ind w:left="1460" w:hanging="652"/>
        <w:spacing w:after="0"/>
        <w:tabs>
          <w:tab w:leader="none" w:pos="14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68" w:lineRule="exact"/>
        <w:rPr>
          <w:rFonts w:ascii="Courier New" w:cs="Courier New" w:eastAsia="Courier New" w:hAnsi="Courier New"/>
          <w:sz w:val="18"/>
          <w:szCs w:val="18"/>
          <w:color w:val="auto"/>
        </w:rPr>
      </w:pPr>
    </w:p>
    <w:p>
      <w:pPr>
        <w:ind w:left="1740" w:hanging="532"/>
        <w:spacing w:after="0"/>
        <w:tabs>
          <w:tab w:leader="none" w:pos="174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69"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504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504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504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59"/>
        </w:trPr>
        <w:tc>
          <w:tcPr>
            <w:tcW w:w="5040" w:type="dxa"/>
            <w:vAlign w:val="bottom"/>
          </w:tcPr>
          <w:p>
            <w:pPr>
              <w:spacing w:after="0"/>
              <w:rPr>
                <w:sz w:val="20"/>
                <w:szCs w:val="20"/>
                <w:color w:val="auto"/>
              </w:rPr>
            </w:pPr>
            <w:r>
              <w:rPr>
                <w:rFonts w:ascii="Courier New" w:cs="Courier New" w:eastAsia="Courier New" w:hAnsi="Courier New"/>
                <w:sz w:val="18"/>
                <w:szCs w:val="18"/>
                <w:color w:val="auto"/>
              </w:rPr>
              <w:t>Franklin Advisory Services, LLC:</w:t>
            </w: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1,476,305</w:t>
            </w:r>
          </w:p>
        </w:tc>
      </w:tr>
    </w:tbl>
    <w:p>
      <w:pPr>
        <w:spacing w:after="0" w:line="244" w:lineRule="exact"/>
        <w:rPr>
          <w:sz w:val="20"/>
          <w:szCs w:val="20"/>
          <w:color w:val="auto"/>
        </w:rPr>
      </w:pPr>
    </w:p>
    <w:p>
      <w:pPr>
        <w:ind w:left="1700" w:right="3619" w:hanging="592"/>
        <w:spacing w:after="0" w:line="554" w:lineRule="auto"/>
        <w:tabs>
          <w:tab w:leader="none" w:pos="174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207010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1122" w:right="1440" w:bottom="325" w:gutter="0" w:footer="0" w:header="0"/>
          <w:type w:val="continuous"/>
        </w:sectPr>
      </w:pPr>
    </w:p>
    <w:bookmarkStart w:id="8" w:name="page9"/>
    <w:bookmarkEnd w:id="8"/>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9 of 14</w:t>
      </w:r>
    </w:p>
    <w:p>
      <w:pPr>
        <w:sectPr>
          <w:pgSz w:w="11900" w:h="16838" w:orient="portrait"/>
          <w:cols w:equalWidth="0" w:num="1">
            <w:col w:w="9919"/>
          </w:cols>
          <w:pgMar w:left="540" w:top="1122"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1760" w:hanging="752"/>
        <w:spacing w:after="0"/>
        <w:tabs>
          <w:tab w:leader="none" w:pos="17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69"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504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504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504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59"/>
        </w:trPr>
        <w:tc>
          <w:tcPr>
            <w:tcW w:w="5040" w:type="dxa"/>
            <w:vAlign w:val="bottom"/>
          </w:tcPr>
          <w:p>
            <w:pPr>
              <w:spacing w:after="0"/>
              <w:rPr>
                <w:sz w:val="20"/>
                <w:szCs w:val="20"/>
                <w:color w:val="auto"/>
              </w:rPr>
            </w:pPr>
            <w:r>
              <w:rPr>
                <w:rFonts w:ascii="Courier New" w:cs="Courier New" w:eastAsia="Courier New" w:hAnsi="Courier New"/>
                <w:sz w:val="18"/>
                <w:szCs w:val="18"/>
                <w:color w:val="auto"/>
              </w:rPr>
              <w:t>Franklin Advisory Services, LLC:</w:t>
            </w: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1,544,805</w:t>
            </w:r>
          </w:p>
        </w:tc>
      </w:tr>
    </w:tbl>
    <w:p>
      <w:pPr>
        <w:spacing w:after="0" w:line="282" w:lineRule="exact"/>
        <w:rPr>
          <w:sz w:val="20"/>
          <w:szCs w:val="20"/>
          <w:color w:val="auto"/>
        </w:rPr>
      </w:pPr>
    </w:p>
    <w:p>
      <w:pPr>
        <w:ind w:left="1820" w:hanging="762"/>
        <w:spacing w:after="0"/>
        <w:tabs>
          <w:tab w:leader="none" w:pos="18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8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0</w:t>
      </w:r>
    </w:p>
    <w:p>
      <w:pPr>
        <w:spacing w:after="0" w:line="26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5.</w:t>
        <w:tab/>
        <w:t>Ownership of Five Percent or Less of a Class</w:t>
      </w:r>
    </w:p>
    <w:p>
      <w:pPr>
        <w:spacing w:after="0" w:line="298" w:lineRule="exact"/>
        <w:rPr>
          <w:sz w:val="20"/>
          <w:szCs w:val="20"/>
          <w:color w:val="auto"/>
        </w:rPr>
      </w:pPr>
    </w:p>
    <w:p>
      <w:pPr>
        <w:ind w:left="1100" w:right="919"/>
        <w:spacing w:after="0" w:line="269"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44"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271" w:lineRule="exact"/>
        <w:rPr>
          <w:sz w:val="20"/>
          <w:szCs w:val="20"/>
          <w:color w:val="auto"/>
        </w:rPr>
      </w:pPr>
    </w:p>
    <w:p>
      <w:pPr>
        <w:ind w:left="1100" w:right="499"/>
        <w:spacing w:after="0" w:line="269" w:lineRule="auto"/>
        <w:rPr>
          <w:sz w:val="20"/>
          <w:szCs w:val="20"/>
          <w:color w:val="auto"/>
        </w:rPr>
      </w:pPr>
      <w:r>
        <w:rPr>
          <w:rFonts w:ascii="Courier New" w:cs="Courier New" w:eastAsia="Courier New" w:hAnsi="Courier New"/>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275" w:lineRule="exact"/>
        <w:rPr>
          <w:sz w:val="20"/>
          <w:szCs w:val="20"/>
          <w:color w:val="auto"/>
        </w:rPr>
      </w:pPr>
    </w:p>
    <w:p>
      <w:pPr>
        <w:ind w:left="1100" w:right="1179" w:hanging="899"/>
        <w:spacing w:after="0" w:line="283" w:lineRule="auto"/>
        <w:tabs>
          <w:tab w:leader="none" w:pos="10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33"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See Attached Exhibit C</w:t>
      </w:r>
    </w:p>
    <w:p>
      <w:pPr>
        <w:spacing w:after="0" w:line="26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w:t>
      </w:r>
    </w:p>
    <w:p>
      <w:pPr>
        <w:spacing w:after="0" w:line="269"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6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269"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1122" w:right="1440" w:bottom="1440" w:gutter="0" w:footer="0" w:header="0"/>
          <w:type w:val="continuous"/>
        </w:sectPr>
      </w:pPr>
    </w:p>
    <w:bookmarkStart w:id="9" w:name="page10"/>
    <w:bookmarkEnd w:id="9"/>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14</w:t>
      </w:r>
    </w:p>
    <w:p>
      <w:pPr>
        <w:sectPr>
          <w:pgSz w:w="11900" w:h="16838" w:orient="portrait"/>
          <w:cols w:equalWidth="0" w:num="1">
            <w:col w:w="9919"/>
          </w:cols>
          <w:pgMar w:left="540" w:top="1136" w:right="1440" w:bottom="1051" w:gutter="0" w:footer="0" w:header="0"/>
        </w:sectPr>
      </w:pPr>
    </w:p>
    <w:p>
      <w:pPr>
        <w:spacing w:after="0" w:line="282" w:lineRule="exact"/>
        <w:rPr>
          <w:sz w:val="20"/>
          <w:szCs w:val="20"/>
          <w:color w:val="auto"/>
        </w:rPr>
      </w:pPr>
    </w:p>
    <w:p>
      <w:pPr>
        <w:ind w:left="200"/>
        <w:spacing w:after="0"/>
        <w:tabs>
          <w:tab w:leader="none" w:pos="1260" w:val="left"/>
        </w:tabs>
        <w:rPr>
          <w:sz w:val="20"/>
          <w:szCs w:val="20"/>
          <w:color w:val="auto"/>
        </w:rPr>
      </w:pPr>
      <w:r>
        <w:rPr>
          <w:rFonts w:ascii="Courier New" w:cs="Courier New" w:eastAsia="Courier New" w:hAnsi="Courier New"/>
          <w:sz w:val="18"/>
          <w:szCs w:val="18"/>
          <w:color w:val="auto"/>
        </w:rPr>
        <w:t>Item 10.</w:t>
        <w:tab/>
        <w:t>Certification</w:t>
      </w:r>
    </w:p>
    <w:p>
      <w:pPr>
        <w:spacing w:after="0" w:line="271" w:lineRule="exact"/>
        <w:rPr>
          <w:sz w:val="20"/>
          <w:szCs w:val="20"/>
          <w:color w:val="auto"/>
        </w:rPr>
      </w:pPr>
    </w:p>
    <w:p>
      <w:pPr>
        <w:ind w:left="200" w:right="539"/>
        <w:spacing w:after="0" w:line="269"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65" w:lineRule="exact"/>
        <w:rPr>
          <w:sz w:val="20"/>
          <w:szCs w:val="20"/>
          <w:color w:val="auto"/>
        </w:rPr>
      </w:pPr>
    </w:p>
    <w:p>
      <w:pPr>
        <w:ind w:left="200" w:right="739"/>
        <w:spacing w:after="0" w:line="267"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247"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Exhibits.</w:t>
      </w:r>
    </w:p>
    <w:p>
      <w:pPr>
        <w:spacing w:after="0" w:line="26"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Exhibit A Joint Filing Agreement</w:t>
      </w:r>
    </w:p>
    <w:p>
      <w:pPr>
        <w:spacing w:after="0" w:line="28" w:lineRule="exact"/>
        <w:rPr>
          <w:sz w:val="20"/>
          <w:szCs w:val="20"/>
          <w:color w:val="auto"/>
        </w:rPr>
      </w:pPr>
    </w:p>
    <w:p>
      <w:pPr>
        <w:ind w:left="1100" w:right="919"/>
        <w:spacing w:after="0" w:line="267" w:lineRule="auto"/>
        <w:rPr>
          <w:sz w:val="20"/>
          <w:szCs w:val="20"/>
          <w:color w:val="auto"/>
        </w:rPr>
      </w:pPr>
      <w:r>
        <w:rPr>
          <w:rFonts w:ascii="Courier New" w:cs="Courier New" w:eastAsia="Courier New" w:hAnsi="Courier New"/>
          <w:sz w:val="18"/>
          <w:szCs w:val="18"/>
          <w:color w:val="auto"/>
        </w:rPr>
        <w:t>Exhibit B Limited Powers of Attorney for Section 13 Reporting Obligations Exhibit C Item 7 Identification and Classification of Subsidiaries</w:t>
      </w:r>
    </w:p>
    <w:p>
      <w:pPr>
        <w:spacing w:after="0" w:line="24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71" w:lineRule="exact"/>
        <w:rPr>
          <w:sz w:val="20"/>
          <w:szCs w:val="20"/>
          <w:color w:val="auto"/>
        </w:rPr>
      </w:pPr>
    </w:p>
    <w:p>
      <w:pPr>
        <w:ind w:left="200" w:right="739"/>
        <w:spacing w:after="0" w:line="26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47"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7"/>
          <w:szCs w:val="17"/>
          <w:color w:val="auto"/>
        </w:rPr>
        <w:t>January 30, 2013</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4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ROBERT C. ROSSELOT</w:t>
      </w:r>
    </w:p>
    <w:p>
      <w:pPr>
        <w:spacing w:after="0" w:line="55"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Robert C. Rosselot</w:t>
      </w:r>
    </w:p>
    <w:p>
      <w:pPr>
        <w:spacing w:after="0" w:line="2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68" w:lineRule="exact"/>
        <w:rPr>
          <w:sz w:val="20"/>
          <w:szCs w:val="20"/>
          <w:color w:val="auto"/>
        </w:rPr>
      </w:pPr>
    </w:p>
    <w:p>
      <w:pPr>
        <w:ind w:left="960" w:right="1499"/>
        <w:spacing w:after="0" w:line="22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72" w:lineRule="exact"/>
        <w:rPr>
          <w:sz w:val="20"/>
          <w:szCs w:val="20"/>
          <w:color w:val="auto"/>
        </w:rPr>
      </w:pPr>
    </w:p>
    <w:p>
      <w:pPr>
        <w:ind w:left="960" w:right="107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40"/>
        <w:spacing w:after="0"/>
        <w:rPr>
          <w:sz w:val="20"/>
          <w:szCs w:val="20"/>
          <w:color w:val="auto"/>
        </w:rPr>
      </w:pPr>
      <w:r>
        <w:rPr>
          <w:rFonts w:ascii="Courier New" w:cs="Courier New" w:eastAsia="Courier New" w:hAnsi="Courier New"/>
          <w:sz w:val="18"/>
          <w:szCs w:val="18"/>
          <w:color w:val="auto"/>
        </w:rPr>
        <w:t>Franklin Advisory Services,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STEVEN J. GRAY</w:t>
      </w:r>
    </w:p>
    <w:p>
      <w:pPr>
        <w:spacing w:after="0" w:line="28"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Steven J. Gray</w:t>
      </w:r>
    </w:p>
    <w:p>
      <w:pPr>
        <w:ind w:left="960"/>
        <w:spacing w:after="0" w:line="238" w:lineRule="auto"/>
        <w:rPr>
          <w:sz w:val="20"/>
          <w:szCs w:val="20"/>
          <w:color w:val="auto"/>
        </w:rPr>
      </w:pPr>
      <w:r>
        <w:rPr>
          <w:rFonts w:ascii="Courier New" w:cs="Courier New" w:eastAsia="Courier New" w:hAnsi="Courier New"/>
          <w:sz w:val="18"/>
          <w:szCs w:val="18"/>
          <w:color w:val="auto"/>
        </w:rPr>
        <w:t>Assistant Secretary of Franklin Advisory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385445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1136" w:right="1440" w:bottom="1051" w:gutter="0" w:footer="0" w:header="0"/>
          <w:type w:val="continuous"/>
        </w:sectPr>
      </w:pPr>
    </w:p>
    <w:bookmarkStart w:id="10" w:name="page11"/>
    <w:bookmarkEnd w:id="10"/>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14</w:t>
      </w:r>
    </w:p>
    <w:p>
      <w:pPr>
        <w:sectPr>
          <w:pgSz w:w="11900" w:h="16838" w:orient="portrait"/>
          <w:cols w:equalWidth="0" w:num="1">
            <w:col w:w="9919"/>
          </w:cols>
          <w:pgMar w:left="540" w:top="1122" w:right="1440" w:bottom="1440" w:gutter="0" w:footer="0" w:header="0"/>
        </w:sectPr>
      </w:pPr>
    </w:p>
    <w:p>
      <w:pPr>
        <w:spacing w:after="0" w:line="30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A</w:t>
      </w:r>
    </w:p>
    <w:p>
      <w:pPr>
        <w:spacing w:after="0" w:line="29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JOINT FILING AGREEMENT</w:t>
      </w:r>
    </w:p>
    <w:p>
      <w:pPr>
        <w:spacing w:after="0" w:line="271" w:lineRule="exact"/>
        <w:rPr>
          <w:sz w:val="20"/>
          <w:szCs w:val="20"/>
          <w:color w:val="auto"/>
        </w:rPr>
      </w:pPr>
    </w:p>
    <w:p>
      <w:pPr>
        <w:ind w:left="200" w:right="739"/>
        <w:spacing w:after="0" w:line="224" w:lineRule="exact"/>
        <w:rPr>
          <w:sz w:val="20"/>
          <w:szCs w:val="20"/>
          <w:color w:val="auto"/>
        </w:rPr>
      </w:pPr>
      <w:r>
        <w:rPr>
          <w:rFonts w:ascii="Courier New" w:cs="Courier New" w:eastAsia="Courier New" w:hAnsi="Courier New"/>
          <w:sz w:val="18"/>
          <w:szCs w:val="18"/>
          <w:color w:val="auto"/>
        </w:rPr>
        <w:t>In accordance with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27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 WITNESS WHEREOF, the undersigned have executed this agreement on January 30, 2013.</w:t>
      </w:r>
    </w:p>
    <w:p>
      <w:pPr>
        <w:spacing w:after="0" w:line="26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4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352"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ROBERT C. ROSSELOT</w:t>
      </w:r>
    </w:p>
    <w:p>
      <w:pPr>
        <w:spacing w:after="0" w:line="55"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Robert C. Rosselot</w:t>
      </w:r>
    </w:p>
    <w:p>
      <w:pPr>
        <w:spacing w:after="0" w:line="2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68" w:lineRule="exact"/>
        <w:rPr>
          <w:sz w:val="20"/>
          <w:szCs w:val="20"/>
          <w:color w:val="auto"/>
        </w:rPr>
      </w:pPr>
    </w:p>
    <w:p>
      <w:pPr>
        <w:ind w:left="960" w:right="1499"/>
        <w:spacing w:after="0" w:line="22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72" w:lineRule="exact"/>
        <w:rPr>
          <w:sz w:val="20"/>
          <w:szCs w:val="20"/>
          <w:color w:val="auto"/>
        </w:rPr>
      </w:pPr>
    </w:p>
    <w:p>
      <w:pPr>
        <w:ind w:left="960" w:right="107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40"/>
        <w:spacing w:after="0"/>
        <w:rPr>
          <w:sz w:val="20"/>
          <w:szCs w:val="20"/>
          <w:color w:val="auto"/>
        </w:rPr>
      </w:pPr>
      <w:r>
        <w:rPr>
          <w:rFonts w:ascii="Courier New" w:cs="Courier New" w:eastAsia="Courier New" w:hAnsi="Courier New"/>
          <w:sz w:val="18"/>
          <w:szCs w:val="18"/>
          <w:color w:val="auto"/>
        </w:rPr>
        <w:t>Franklin Advisory Services,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STEVEN J. GRAY</w:t>
      </w:r>
    </w:p>
    <w:p>
      <w:pPr>
        <w:spacing w:after="0" w:line="28"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Steven J. Gray</w:t>
      </w:r>
    </w:p>
    <w:p>
      <w:pPr>
        <w:ind w:left="960"/>
        <w:spacing w:after="0" w:line="238" w:lineRule="auto"/>
        <w:rPr>
          <w:sz w:val="20"/>
          <w:szCs w:val="20"/>
          <w:color w:val="auto"/>
        </w:rPr>
      </w:pPr>
      <w:r>
        <w:rPr>
          <w:rFonts w:ascii="Courier New" w:cs="Courier New" w:eastAsia="Courier New" w:hAnsi="Courier New"/>
          <w:sz w:val="18"/>
          <w:szCs w:val="18"/>
          <w:color w:val="auto"/>
        </w:rPr>
        <w:t>Assistant Secretary of Franklin Advisory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385445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1122" w:right="1440" w:bottom="1440" w:gutter="0" w:footer="0" w:header="0"/>
          <w:type w:val="continuous"/>
        </w:sectPr>
      </w:pPr>
    </w:p>
    <w:bookmarkStart w:id="11" w:name="page12"/>
    <w:bookmarkEnd w:id="11"/>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12 of 14</w:t>
      </w:r>
    </w:p>
    <w:p>
      <w:pPr>
        <w:sectPr>
          <w:pgSz w:w="11900" w:h="16838" w:orient="portrait"/>
          <w:cols w:equalWidth="0" w:num="1">
            <w:col w:w="9919"/>
          </w:cols>
          <w:pgMar w:left="540" w:top="1122" w:right="1440" w:bottom="807" w:gutter="0" w:footer="0" w:header="0"/>
        </w:sectPr>
      </w:pP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B</w:t>
      </w:r>
    </w:p>
    <w:p>
      <w:pPr>
        <w:spacing w:after="0" w:line="269"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LIMITED POWER OF ATTORNEY</w:t>
      </w:r>
    </w:p>
    <w:p>
      <w:pPr>
        <w:spacing w:after="0" w:line="26" w:lineRule="exact"/>
        <w:rPr>
          <w:sz w:val="20"/>
          <w:szCs w:val="20"/>
          <w:color w:val="auto"/>
        </w:rPr>
      </w:pPr>
    </w:p>
    <w:p>
      <w:pPr>
        <w:ind w:left="4360"/>
        <w:spacing w:after="0"/>
        <w:rPr>
          <w:sz w:val="20"/>
          <w:szCs w:val="20"/>
          <w:color w:val="auto"/>
        </w:rPr>
      </w:pPr>
      <w:r>
        <w:rPr>
          <w:rFonts w:ascii="Courier New" w:cs="Courier New" w:eastAsia="Courier New" w:hAnsi="Courier New"/>
          <w:sz w:val="18"/>
          <w:szCs w:val="18"/>
          <w:color w:val="auto"/>
        </w:rPr>
        <w:t>FOR</w:t>
      </w:r>
    </w:p>
    <w:p>
      <w:pPr>
        <w:spacing w:after="0" w:line="26" w:lineRule="exact"/>
        <w:rPr>
          <w:sz w:val="20"/>
          <w:szCs w:val="20"/>
          <w:color w:val="auto"/>
        </w:rPr>
      </w:pPr>
    </w:p>
    <w:p>
      <w:pPr>
        <w:ind w:left="2900"/>
        <w:spacing w:after="0"/>
        <w:rPr>
          <w:sz w:val="20"/>
          <w:szCs w:val="20"/>
          <w:color w:val="auto"/>
        </w:rPr>
      </w:pPr>
      <w:r>
        <w:rPr>
          <w:rFonts w:ascii="Courier New" w:cs="Courier New" w:eastAsia="Courier New" w:hAnsi="Courier New"/>
          <w:sz w:val="18"/>
          <w:szCs w:val="18"/>
          <w:u w:val="single" w:color="auto"/>
          <w:color w:val="auto"/>
        </w:rPr>
        <w:t>SECTION 13 REPORTING OBLIGATIONS</w:t>
      </w:r>
    </w:p>
    <w:p>
      <w:pPr>
        <w:spacing w:after="0" w:line="271" w:lineRule="exact"/>
        <w:rPr>
          <w:sz w:val="20"/>
          <w:szCs w:val="20"/>
          <w:color w:val="auto"/>
        </w:rPr>
      </w:pPr>
    </w:p>
    <w:p>
      <w:pPr>
        <w:ind w:left="200" w:right="419" w:firstLine="1200"/>
        <w:spacing w:after="0" w:line="224"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Robert Rosselot and Maria Gray,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273" w:lineRule="exact"/>
        <w:rPr>
          <w:sz w:val="20"/>
          <w:szCs w:val="20"/>
          <w:color w:val="auto"/>
        </w:rPr>
      </w:pPr>
    </w:p>
    <w:p>
      <w:pPr>
        <w:ind w:left="200" w:right="419" w:firstLine="8"/>
        <w:spacing w:after="0" w:line="269" w:lineRule="auto"/>
        <w:tabs>
          <w:tab w:leader="none" w:pos="1496"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248" w:lineRule="exact"/>
        <w:rPr>
          <w:rFonts w:ascii="Courier New" w:cs="Courier New" w:eastAsia="Courier New" w:hAnsi="Courier New"/>
          <w:sz w:val="18"/>
          <w:szCs w:val="18"/>
          <w:color w:val="auto"/>
        </w:rPr>
      </w:pPr>
    </w:p>
    <w:p>
      <w:pPr>
        <w:ind w:left="1500" w:hanging="1292"/>
        <w:spacing w:after="0"/>
        <w:tabs>
          <w:tab w:leader="none" w:pos="150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w:t>
      </w:r>
    </w:p>
    <w:p>
      <w:pPr>
        <w:spacing w:after="0" w:line="28" w:lineRule="exact"/>
        <w:rPr>
          <w:sz w:val="20"/>
          <w:szCs w:val="20"/>
          <w:color w:val="auto"/>
        </w:rPr>
      </w:pPr>
    </w:p>
    <w:p>
      <w:pPr>
        <w:ind w:left="200" w:right="73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270"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71" w:lineRule="exact"/>
        <w:rPr>
          <w:sz w:val="20"/>
          <w:szCs w:val="20"/>
          <w:color w:val="auto"/>
        </w:rPr>
      </w:pPr>
    </w:p>
    <w:p>
      <w:pPr>
        <w:ind w:left="200" w:right="419" w:firstLine="8"/>
        <w:spacing w:after="0" w:line="221" w:lineRule="exact"/>
        <w:tabs>
          <w:tab w:leader="none" w:pos="149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8" w:lineRule="exact"/>
        <w:rPr>
          <w:rFonts w:ascii="Courier New" w:cs="Courier New" w:eastAsia="Courier New" w:hAnsi="Courier New"/>
          <w:sz w:val="18"/>
          <w:szCs w:val="18"/>
          <w:color w:val="auto"/>
        </w:rPr>
      </w:pPr>
    </w:p>
    <w:p>
      <w:pPr>
        <w:ind w:left="200" w:right="419" w:firstLine="8"/>
        <w:spacing w:after="0" w:line="223" w:lineRule="exact"/>
        <w:tabs>
          <w:tab w:leader="none" w:pos="149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20" w:lineRule="exact"/>
        <w:rPr>
          <w:rFonts w:ascii="Courier New" w:cs="Courier New" w:eastAsia="Courier New" w:hAnsi="Courier New"/>
          <w:sz w:val="18"/>
          <w:szCs w:val="18"/>
          <w:color w:val="auto"/>
        </w:rPr>
      </w:pPr>
    </w:p>
    <w:p>
      <w:pPr>
        <w:ind w:left="1500" w:hanging="1292"/>
        <w:spacing w:after="0" w:line="209" w:lineRule="exact"/>
        <w:tabs>
          <w:tab w:leader="none" w:pos="150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w:t>
      </w:r>
    </w:p>
    <w:p>
      <w:pPr>
        <w:spacing w:after="0" w:line="27" w:lineRule="exact"/>
        <w:rPr>
          <w:rFonts w:ascii="Courier New" w:cs="Courier New" w:eastAsia="Courier New" w:hAnsi="Courier New"/>
          <w:sz w:val="18"/>
          <w:szCs w:val="18"/>
          <w:color w:val="auto"/>
        </w:rPr>
      </w:pPr>
    </w:p>
    <w:p>
      <w:pPr>
        <w:jc w:val="both"/>
        <w:ind w:left="200" w:right="419"/>
        <w:spacing w:after="0" w:line="26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 any liability for the undersigned’s responsibility to comply with the requirements of the Exchange Act or (ii) any liability of the undersigned for any failure to comply with such requirements; and</w:t>
      </w:r>
    </w:p>
    <w:p>
      <w:pPr>
        <w:spacing w:after="0" w:line="3" w:lineRule="exact"/>
        <w:rPr>
          <w:rFonts w:ascii="Courier New" w:cs="Courier New" w:eastAsia="Courier New" w:hAnsi="Courier New"/>
          <w:sz w:val="18"/>
          <w:szCs w:val="18"/>
          <w:color w:val="auto"/>
        </w:rPr>
      </w:pPr>
    </w:p>
    <w:p>
      <w:pPr>
        <w:ind w:left="200" w:right="639" w:firstLine="8"/>
        <w:spacing w:after="0" w:line="269" w:lineRule="auto"/>
        <w:tabs>
          <w:tab w:leader="none" w:pos="149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4" w:lineRule="exact"/>
        <w:rPr>
          <w:rFonts w:ascii="Courier New" w:cs="Courier New" w:eastAsia="Courier New" w:hAnsi="Courier New"/>
          <w:sz w:val="18"/>
          <w:szCs w:val="18"/>
          <w:color w:val="auto"/>
        </w:rPr>
      </w:pPr>
    </w:p>
    <w:p>
      <w:pPr>
        <w:ind w:left="200" w:right="539" w:firstLine="1200"/>
        <w:spacing w:after="0" w:line="22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32" w:lineRule="exact"/>
        <w:rPr>
          <w:rFonts w:ascii="Courier New" w:cs="Courier New" w:eastAsia="Courier New" w:hAnsi="Courier New"/>
          <w:sz w:val="18"/>
          <w:szCs w:val="18"/>
          <w:color w:val="auto"/>
        </w:rPr>
      </w:pPr>
    </w:p>
    <w:p>
      <w:pPr>
        <w:ind w:left="200" w:right="519" w:firstLine="1200"/>
        <w:spacing w:after="0" w:line="221"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IN WITNESS WHEREOF,</w:t>
            </w:r>
          </w:p>
        </w:tc>
        <w:tc>
          <w:tcPr>
            <w:tcW w:w="492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9"/>
              </w:rPr>
              <w:t>the undersigned has caused this Limited Power</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of Attorney to be</w:t>
            </w:r>
          </w:p>
        </w:tc>
      </w:tr>
      <w:tr>
        <w:trPr>
          <w:trHeight w:val="191"/>
        </w:trPr>
        <w:tc>
          <w:tcPr>
            <w:tcW w:w="2160" w:type="dxa"/>
            <w:vAlign w:val="bottom"/>
          </w:tcPr>
          <w:p>
            <w:pPr>
              <w:spacing w:after="0" w:line="191" w:lineRule="exact"/>
              <w:rPr>
                <w:sz w:val="20"/>
                <w:szCs w:val="20"/>
                <w:color w:val="auto"/>
              </w:rPr>
            </w:pPr>
            <w:r>
              <w:rPr>
                <w:rFonts w:ascii="Courier New" w:cs="Courier New" w:eastAsia="Courier New" w:hAnsi="Courier New"/>
                <w:sz w:val="18"/>
                <w:szCs w:val="18"/>
                <w:color w:val="auto"/>
              </w:rPr>
              <w:t>executed as of this</w:t>
            </w:r>
          </w:p>
        </w:tc>
        <w:tc>
          <w:tcPr>
            <w:tcW w:w="1620" w:type="dxa"/>
            <w:vAlign w:val="bottom"/>
            <w:tcBorders>
              <w:bottom w:val="single" w:sz="8" w:color="auto"/>
            </w:tcBorders>
          </w:tcPr>
          <w:p>
            <w:pPr>
              <w:ind w:left="540"/>
              <w:spacing w:after="0" w:line="191" w:lineRule="exact"/>
              <w:rPr>
                <w:sz w:val="20"/>
                <w:szCs w:val="20"/>
                <w:color w:val="auto"/>
              </w:rPr>
            </w:pPr>
            <w:r>
              <w:rPr>
                <w:rFonts w:ascii="Courier New" w:cs="Courier New" w:eastAsia="Courier New" w:hAnsi="Courier New"/>
                <w:sz w:val="18"/>
                <w:szCs w:val="18"/>
                <w:color w:val="auto"/>
              </w:rPr>
              <w:t>30th</w:t>
            </w:r>
          </w:p>
        </w:tc>
        <w:tc>
          <w:tcPr>
            <w:tcW w:w="760" w:type="dxa"/>
            <w:vAlign w:val="bottom"/>
          </w:tcPr>
          <w:p>
            <w:pPr>
              <w:spacing w:after="0" w:line="191" w:lineRule="exact"/>
              <w:rPr>
                <w:sz w:val="20"/>
                <w:szCs w:val="20"/>
                <w:color w:val="auto"/>
              </w:rPr>
            </w:pPr>
            <w:r>
              <w:rPr>
                <w:rFonts w:ascii="Courier New" w:cs="Courier New" w:eastAsia="Courier New" w:hAnsi="Courier New"/>
                <w:sz w:val="18"/>
                <w:szCs w:val="18"/>
                <w:color w:val="auto"/>
              </w:rPr>
              <w:t>day of</w:t>
            </w:r>
          </w:p>
        </w:tc>
        <w:tc>
          <w:tcPr>
            <w:tcW w:w="2380" w:type="dxa"/>
            <w:vAlign w:val="bottom"/>
            <w:tcBorders>
              <w:bottom w:val="single" w:sz="8" w:color="auto"/>
            </w:tcBorders>
          </w:tcPr>
          <w:p>
            <w:pPr>
              <w:ind w:left="980"/>
              <w:spacing w:after="0" w:line="191" w:lineRule="exact"/>
              <w:rPr>
                <w:sz w:val="20"/>
                <w:szCs w:val="20"/>
                <w:color w:val="auto"/>
              </w:rPr>
            </w:pPr>
            <w:r>
              <w:rPr>
                <w:rFonts w:ascii="Courier New" w:cs="Courier New" w:eastAsia="Courier New" w:hAnsi="Courier New"/>
                <w:sz w:val="18"/>
                <w:szCs w:val="18"/>
                <w:color w:val="auto"/>
              </w:rPr>
              <w:t>April</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8"/>
                <w:szCs w:val="18"/>
                <w:color w:val="auto"/>
                <w:w w:val="73"/>
              </w:rPr>
              <w:t>,</w:t>
            </w:r>
          </w:p>
        </w:tc>
        <w:tc>
          <w:tcPr>
            <w:tcW w:w="1900" w:type="dxa"/>
            <w:vAlign w:val="bottom"/>
          </w:tcPr>
          <w:p>
            <w:pPr>
              <w:ind w:left="60"/>
              <w:spacing w:after="0" w:line="191" w:lineRule="exact"/>
              <w:rPr>
                <w:sz w:val="20"/>
                <w:szCs w:val="20"/>
                <w:color w:val="auto"/>
              </w:rPr>
            </w:pPr>
            <w:r>
              <w:rPr>
                <w:rFonts w:ascii="Courier New" w:cs="Courier New" w:eastAsia="Courier New" w:hAnsi="Courier New"/>
                <w:sz w:val="18"/>
                <w:szCs w:val="18"/>
                <w:color w:val="auto"/>
              </w:rPr>
              <w:t>2007</w:t>
            </w:r>
          </w:p>
        </w:tc>
      </w:tr>
    </w:tbl>
    <w:p>
      <w:pPr>
        <w:spacing w:after="0" w:line="294"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u w:val="single" w:color="auto"/>
          <w:color w:val="auto"/>
        </w:rPr>
        <w:t>/s/Charles B. Johnson</w:t>
      </w:r>
    </w:p>
    <w:p>
      <w:pPr>
        <w:spacing w:after="0" w:line="26"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color w:val="auto"/>
        </w:rPr>
        <w:t>Signature</w:t>
      </w:r>
    </w:p>
    <w:p>
      <w:pPr>
        <w:spacing w:after="0" w:line="269"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u w:val="single" w:color="auto"/>
          <w:color w:val="auto"/>
        </w:rPr>
        <w:t>Charles B. Johnson</w:t>
      </w:r>
    </w:p>
    <w:p>
      <w:pPr>
        <w:spacing w:after="0" w:line="26"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1122" w:right="1440" w:bottom="807" w:gutter="0" w:footer="0" w:header="0"/>
          <w:type w:val="continuous"/>
        </w:sectPr>
      </w:pPr>
    </w:p>
    <w:bookmarkStart w:id="12" w:name="page13"/>
    <w:bookmarkEnd w:id="12"/>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13 of 14</w:t>
      </w:r>
    </w:p>
    <w:p>
      <w:pPr>
        <w:sectPr>
          <w:pgSz w:w="11900" w:h="16838" w:orient="portrait"/>
          <w:cols w:equalWidth="0" w:num="1">
            <w:col w:w="9919"/>
          </w:cols>
          <w:pgMar w:left="540" w:top="676" w:right="1440" w:bottom="1440" w:gutter="0" w:footer="0" w:header="0"/>
        </w:sectPr>
      </w:pPr>
    </w:p>
    <w:p>
      <w:pPr>
        <w:spacing w:after="0" w:line="147" w:lineRule="exact"/>
        <w:rPr>
          <w:sz w:val="20"/>
          <w:szCs w:val="20"/>
          <w:color w:val="auto"/>
        </w:rPr>
      </w:pPr>
    </w:p>
    <w:p>
      <w:pPr>
        <w:ind w:left="3200"/>
        <w:spacing w:after="0"/>
        <w:rPr>
          <w:sz w:val="20"/>
          <w:szCs w:val="20"/>
          <w:color w:val="auto"/>
        </w:rPr>
      </w:pPr>
      <w:r>
        <w:rPr>
          <w:rFonts w:ascii="Courier New" w:cs="Courier New" w:eastAsia="Courier New" w:hAnsi="Courier New"/>
          <w:sz w:val="18"/>
          <w:szCs w:val="18"/>
          <w:color w:val="auto"/>
        </w:rPr>
        <w:t>LIMITED POWER OF ATTORNEY</w:t>
      </w:r>
    </w:p>
    <w:p>
      <w:pPr>
        <w:spacing w:after="0" w:line="26" w:lineRule="exact"/>
        <w:rPr>
          <w:sz w:val="20"/>
          <w:szCs w:val="20"/>
          <w:color w:val="auto"/>
        </w:rPr>
      </w:pPr>
    </w:p>
    <w:p>
      <w:pPr>
        <w:ind w:left="4300"/>
        <w:spacing w:after="0"/>
        <w:rPr>
          <w:sz w:val="20"/>
          <w:szCs w:val="20"/>
          <w:color w:val="auto"/>
        </w:rPr>
      </w:pPr>
      <w:r>
        <w:rPr>
          <w:rFonts w:ascii="Courier New" w:cs="Courier New" w:eastAsia="Courier New" w:hAnsi="Courier New"/>
          <w:sz w:val="18"/>
          <w:szCs w:val="18"/>
          <w:color w:val="auto"/>
        </w:rPr>
        <w:t>FOR</w:t>
      </w:r>
    </w:p>
    <w:p>
      <w:pPr>
        <w:spacing w:after="0" w:line="2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u w:val="single" w:color="auto"/>
          <w:color w:val="auto"/>
        </w:rPr>
        <w:t>SECTION 13 REPORTING OBLIGATIONS</w:t>
      </w:r>
    </w:p>
    <w:p>
      <w:pPr>
        <w:spacing w:after="0" w:line="244" w:lineRule="exact"/>
        <w:rPr>
          <w:sz w:val="20"/>
          <w:szCs w:val="20"/>
          <w:color w:val="auto"/>
        </w:rPr>
      </w:pPr>
    </w:p>
    <w:p>
      <w:pPr>
        <w:ind w:left="200" w:right="639" w:firstLine="1200"/>
        <w:spacing w:after="0" w:line="224"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Robert Rosselot and Maria Gray,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246" w:lineRule="exact"/>
        <w:rPr>
          <w:sz w:val="20"/>
          <w:szCs w:val="20"/>
          <w:color w:val="auto"/>
        </w:rPr>
      </w:pPr>
    </w:p>
    <w:p>
      <w:pPr>
        <w:ind w:left="200" w:right="639" w:firstLine="8"/>
        <w:spacing w:after="0" w:line="269" w:lineRule="auto"/>
        <w:tabs>
          <w:tab w:leader="none" w:pos="1496"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221" w:lineRule="exact"/>
        <w:rPr>
          <w:rFonts w:ascii="Courier New" w:cs="Courier New" w:eastAsia="Courier New" w:hAnsi="Courier New"/>
          <w:sz w:val="18"/>
          <w:szCs w:val="18"/>
          <w:color w:val="auto"/>
        </w:rPr>
      </w:pPr>
    </w:p>
    <w:p>
      <w:pPr>
        <w:ind w:left="1500" w:hanging="1292"/>
        <w:spacing w:after="0"/>
        <w:tabs>
          <w:tab w:leader="none" w:pos="150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w:t>
      </w:r>
    </w:p>
    <w:p>
      <w:pPr>
        <w:spacing w:after="0" w:line="28" w:lineRule="exact"/>
        <w:rPr>
          <w:sz w:val="20"/>
          <w:szCs w:val="20"/>
          <w:color w:val="auto"/>
        </w:rPr>
      </w:pPr>
    </w:p>
    <w:p>
      <w:pPr>
        <w:ind w:left="200" w:right="73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243"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44" w:lineRule="exact"/>
        <w:rPr>
          <w:sz w:val="20"/>
          <w:szCs w:val="20"/>
          <w:color w:val="auto"/>
        </w:rPr>
      </w:pPr>
    </w:p>
    <w:p>
      <w:pPr>
        <w:ind w:left="200" w:right="959" w:firstLine="8"/>
        <w:spacing w:after="0" w:line="221" w:lineRule="exact"/>
        <w:tabs>
          <w:tab w:leader="none" w:pos="1496"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8" w:lineRule="exact"/>
        <w:rPr>
          <w:rFonts w:ascii="Courier New" w:cs="Courier New" w:eastAsia="Courier New" w:hAnsi="Courier New"/>
          <w:sz w:val="18"/>
          <w:szCs w:val="18"/>
          <w:color w:val="auto"/>
        </w:rPr>
      </w:pPr>
    </w:p>
    <w:p>
      <w:pPr>
        <w:jc w:val="both"/>
        <w:ind w:left="200" w:right="639" w:firstLine="8"/>
        <w:spacing w:after="0" w:line="223" w:lineRule="exact"/>
        <w:tabs>
          <w:tab w:leader="none" w:pos="1496"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27" w:lineRule="exact"/>
        <w:rPr>
          <w:rFonts w:ascii="Courier New" w:cs="Courier New" w:eastAsia="Courier New" w:hAnsi="Courier New"/>
          <w:sz w:val="18"/>
          <w:szCs w:val="18"/>
          <w:color w:val="auto"/>
        </w:rPr>
      </w:pPr>
    </w:p>
    <w:p>
      <w:pPr>
        <w:ind w:left="200" w:right="959" w:firstLine="8"/>
        <w:spacing w:after="0" w:line="223" w:lineRule="exact"/>
        <w:tabs>
          <w:tab w:leader="none" w:pos="1496"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or (ii) any liability of the undersigned for any failure to comply with such requirements; and</w:t>
      </w:r>
    </w:p>
    <w:p>
      <w:pPr>
        <w:spacing w:after="0" w:line="29" w:lineRule="exact"/>
        <w:rPr>
          <w:rFonts w:ascii="Courier New" w:cs="Courier New" w:eastAsia="Courier New" w:hAnsi="Courier New"/>
          <w:sz w:val="18"/>
          <w:szCs w:val="18"/>
          <w:color w:val="auto"/>
        </w:rPr>
      </w:pPr>
    </w:p>
    <w:p>
      <w:pPr>
        <w:ind w:left="200" w:right="639" w:firstLine="8"/>
        <w:spacing w:after="0" w:line="269" w:lineRule="auto"/>
        <w:tabs>
          <w:tab w:leader="none" w:pos="1496"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4" w:lineRule="exact"/>
        <w:rPr>
          <w:rFonts w:ascii="Courier New" w:cs="Courier New" w:eastAsia="Courier New" w:hAnsi="Courier New"/>
          <w:sz w:val="18"/>
          <w:szCs w:val="18"/>
          <w:color w:val="auto"/>
        </w:rPr>
      </w:pPr>
    </w:p>
    <w:p>
      <w:pPr>
        <w:ind w:left="200" w:right="539" w:firstLine="1200"/>
        <w:spacing w:after="0" w:line="22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32" w:lineRule="exact"/>
        <w:rPr>
          <w:rFonts w:ascii="Courier New" w:cs="Courier New" w:eastAsia="Courier New" w:hAnsi="Courier New"/>
          <w:sz w:val="18"/>
          <w:szCs w:val="18"/>
          <w:color w:val="auto"/>
        </w:rPr>
      </w:pPr>
    </w:p>
    <w:p>
      <w:pPr>
        <w:ind w:left="200" w:right="1159" w:firstLine="1200"/>
        <w:spacing w:after="0" w:line="221"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IN WITNESS WHEREOF,</w:t>
            </w:r>
          </w:p>
        </w:tc>
        <w:tc>
          <w:tcPr>
            <w:tcW w:w="534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the undersigned has caused this Limited Power of</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w w:val="99"/>
              </w:rPr>
              <w:t>Attorney to be</w:t>
            </w:r>
          </w:p>
        </w:tc>
      </w:tr>
      <w:tr>
        <w:trPr>
          <w:trHeight w:val="191"/>
        </w:trPr>
        <w:tc>
          <w:tcPr>
            <w:tcW w:w="2060" w:type="dxa"/>
            <w:vAlign w:val="bottom"/>
          </w:tcPr>
          <w:p>
            <w:pPr>
              <w:spacing w:after="0" w:line="191" w:lineRule="exact"/>
              <w:rPr>
                <w:sz w:val="20"/>
                <w:szCs w:val="20"/>
                <w:color w:val="auto"/>
              </w:rPr>
            </w:pPr>
            <w:r>
              <w:rPr>
                <w:rFonts w:ascii="Courier New" w:cs="Courier New" w:eastAsia="Courier New" w:hAnsi="Courier New"/>
                <w:sz w:val="18"/>
                <w:szCs w:val="18"/>
                <w:color w:val="auto"/>
                <w:w w:val="99"/>
              </w:rPr>
              <w:t>executed as of this</w:t>
            </w:r>
          </w:p>
        </w:tc>
        <w:tc>
          <w:tcPr>
            <w:tcW w:w="2380" w:type="dxa"/>
            <w:vAlign w:val="bottom"/>
            <w:tcBorders>
              <w:bottom w:val="single" w:sz="8" w:color="auto"/>
            </w:tcBorders>
          </w:tcPr>
          <w:p>
            <w:pPr>
              <w:ind w:left="980"/>
              <w:spacing w:after="0" w:line="191" w:lineRule="exact"/>
              <w:rPr>
                <w:sz w:val="20"/>
                <w:szCs w:val="20"/>
                <w:color w:val="auto"/>
              </w:rPr>
            </w:pPr>
            <w:r>
              <w:rPr>
                <w:rFonts w:ascii="Courier New" w:cs="Courier New" w:eastAsia="Courier New" w:hAnsi="Courier New"/>
                <w:sz w:val="18"/>
                <w:szCs w:val="18"/>
                <w:color w:val="auto"/>
              </w:rPr>
              <w:t>25th</w:t>
            </w:r>
          </w:p>
        </w:tc>
        <w:tc>
          <w:tcPr>
            <w:tcW w:w="760" w:type="dxa"/>
            <w:vAlign w:val="bottom"/>
          </w:tcPr>
          <w:p>
            <w:pPr>
              <w:spacing w:after="0" w:line="191" w:lineRule="exact"/>
              <w:rPr>
                <w:sz w:val="20"/>
                <w:szCs w:val="20"/>
                <w:color w:val="auto"/>
              </w:rPr>
            </w:pPr>
            <w:r>
              <w:rPr>
                <w:rFonts w:ascii="Courier New" w:cs="Courier New" w:eastAsia="Courier New" w:hAnsi="Courier New"/>
                <w:sz w:val="18"/>
                <w:szCs w:val="18"/>
                <w:color w:val="auto"/>
              </w:rPr>
              <w:t>day of</w:t>
            </w:r>
          </w:p>
        </w:tc>
        <w:tc>
          <w:tcPr>
            <w:tcW w:w="1560" w:type="dxa"/>
            <w:vAlign w:val="bottom"/>
            <w:tcBorders>
              <w:bottom w:val="single" w:sz="8" w:color="auto"/>
            </w:tcBorders>
          </w:tcPr>
          <w:p>
            <w:pPr>
              <w:ind w:left="540"/>
              <w:spacing w:after="0" w:line="191" w:lineRule="exact"/>
              <w:rPr>
                <w:sz w:val="20"/>
                <w:szCs w:val="20"/>
                <w:color w:val="auto"/>
              </w:rPr>
            </w:pPr>
            <w:r>
              <w:rPr>
                <w:rFonts w:ascii="Courier New" w:cs="Courier New" w:eastAsia="Courier New" w:hAnsi="Courier New"/>
                <w:sz w:val="18"/>
                <w:szCs w:val="18"/>
                <w:color w:val="auto"/>
              </w:rPr>
              <w:t>April</w:t>
            </w:r>
          </w:p>
        </w:tc>
        <w:tc>
          <w:tcPr>
            <w:tcW w:w="480" w:type="dxa"/>
            <w:vAlign w:val="bottom"/>
            <w:tcBorders>
              <w:bottom w:val="single" w:sz="8" w:color="auto"/>
            </w:tcBorders>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ind w:left="60"/>
              <w:spacing w:after="0" w:line="191" w:lineRule="exact"/>
              <w:rPr>
                <w:sz w:val="20"/>
                <w:szCs w:val="20"/>
                <w:color w:val="auto"/>
              </w:rPr>
            </w:pPr>
            <w:r>
              <w:rPr>
                <w:rFonts w:ascii="Courier New" w:cs="Courier New" w:eastAsia="Courier New" w:hAnsi="Courier New"/>
                <w:sz w:val="18"/>
                <w:szCs w:val="18"/>
                <w:color w:val="auto"/>
              </w:rPr>
              <w:t>2007</w:t>
            </w:r>
          </w:p>
        </w:tc>
      </w:tr>
    </w:tbl>
    <w:p>
      <w:pPr>
        <w:spacing w:after="0" w:line="267"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u w:val="single" w:color="auto"/>
          <w:color w:val="auto"/>
        </w:rPr>
        <w:t>/s/ Rupert H. Johnson, Jr.</w:t>
      </w:r>
    </w:p>
    <w:p>
      <w:pPr>
        <w:spacing w:after="0" w:line="2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Signature</w:t>
      </w:r>
    </w:p>
    <w:p>
      <w:pPr>
        <w:spacing w:after="0" w:line="134"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u w:val="single" w:color="auto"/>
          <w:color w:val="auto"/>
        </w:rPr>
        <w:t>Rupert H. Johnson, Jr.</w:t>
      </w:r>
    </w:p>
    <w:p>
      <w:pPr>
        <w:spacing w:after="0" w:line="2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385445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676" w:right="1440"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04"/>
        </w:trPr>
        <w:tc>
          <w:tcPr>
            <w:tcW w:w="4260" w:type="dxa"/>
            <w:vAlign w:val="bottom"/>
          </w:tcPr>
          <w:p>
            <w:pPr>
              <w:spacing w:after="0"/>
              <w:rPr>
                <w:sz w:val="20"/>
                <w:szCs w:val="20"/>
                <w:color w:val="auto"/>
              </w:rPr>
            </w:pPr>
            <w:r>
              <w:rPr>
                <w:rFonts w:ascii="Courier New" w:cs="Courier New" w:eastAsia="Courier New" w:hAnsi="Courier New"/>
                <w:sz w:val="18"/>
                <w:szCs w:val="18"/>
                <w:color w:val="auto"/>
              </w:rPr>
              <w:t>CUSIP NO. 974637100</w:t>
            </w:r>
          </w:p>
        </w:tc>
        <w:tc>
          <w:tcPr>
            <w:tcW w:w="1740" w:type="dxa"/>
            <w:vAlign w:val="bottom"/>
          </w:tcPr>
          <w:p>
            <w:pPr>
              <w:ind w:left="720"/>
              <w:spacing w:after="0"/>
              <w:rPr>
                <w:sz w:val="20"/>
                <w:szCs w:val="20"/>
                <w:color w:val="auto"/>
              </w:rPr>
            </w:pPr>
            <w:r>
              <w:rPr>
                <w:rFonts w:ascii="Courier New" w:cs="Courier New" w:eastAsia="Courier New" w:hAnsi="Courier New"/>
                <w:sz w:val="18"/>
                <w:szCs w:val="18"/>
                <w:color w:val="auto"/>
              </w:rPr>
              <w:t>13G</w:t>
            </w:r>
          </w:p>
        </w:tc>
        <w:tc>
          <w:tcPr>
            <w:tcW w:w="3720" w:type="dxa"/>
            <w:vAlign w:val="bottom"/>
          </w:tcPr>
          <w:p>
            <w:pPr>
              <w:ind w:left="2320"/>
              <w:spacing w:after="0"/>
              <w:rPr>
                <w:sz w:val="20"/>
                <w:szCs w:val="20"/>
                <w:color w:val="auto"/>
              </w:rPr>
            </w:pPr>
            <w:r>
              <w:rPr>
                <w:rFonts w:ascii="Courier New" w:cs="Courier New" w:eastAsia="Courier New" w:hAnsi="Courier New"/>
                <w:sz w:val="18"/>
                <w:szCs w:val="18"/>
                <w:color w:val="auto"/>
                <w:w w:val="98"/>
              </w:rPr>
              <w:t>Page 14 of 14</w:t>
            </w:r>
          </w:p>
        </w:tc>
      </w:tr>
      <w:tr>
        <w:trPr>
          <w:trHeight w:val="351"/>
        </w:trPr>
        <w:tc>
          <w:tcPr>
            <w:tcW w:w="4260" w:type="dxa"/>
            <w:vAlign w:val="bottom"/>
          </w:tcPr>
          <w:p>
            <w:pPr>
              <w:ind w:left="200"/>
              <w:spacing w:after="0"/>
              <w:rPr>
                <w:sz w:val="20"/>
                <w:szCs w:val="20"/>
                <w:color w:val="auto"/>
              </w:rPr>
            </w:pPr>
            <w:r>
              <w:rPr>
                <w:rFonts w:ascii="Courier New" w:cs="Courier New" w:eastAsia="Courier New" w:hAnsi="Courier New"/>
                <w:sz w:val="18"/>
                <w:szCs w:val="18"/>
                <w:color w:val="auto"/>
              </w:rPr>
              <w:t>EXHIBIT C</w:t>
            </w:r>
          </w:p>
        </w:tc>
        <w:tc>
          <w:tcPr>
            <w:tcW w:w="174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419"/>
        </w:trPr>
        <w:tc>
          <w:tcPr>
            <w:tcW w:w="4260" w:type="dxa"/>
            <w:vAlign w:val="bottom"/>
          </w:tcPr>
          <w:p>
            <w:pPr>
              <w:ind w:left="200"/>
              <w:spacing w:after="0"/>
              <w:rPr>
                <w:sz w:val="20"/>
                <w:szCs w:val="20"/>
                <w:color w:val="auto"/>
              </w:rPr>
            </w:pPr>
            <w:r>
              <w:rPr>
                <w:rFonts w:ascii="Courier New" w:cs="Courier New" w:eastAsia="Courier New" w:hAnsi="Courier New"/>
                <w:sz w:val="18"/>
                <w:szCs w:val="18"/>
                <w:color w:val="auto"/>
              </w:rPr>
              <w:t>Franklin Advisory Services, LLC</w:t>
            </w:r>
          </w:p>
        </w:tc>
        <w:tc>
          <w:tcPr>
            <w:tcW w:w="1740" w:type="dxa"/>
            <w:vAlign w:val="bottom"/>
          </w:tcPr>
          <w:p>
            <w:pPr>
              <w:spacing w:after="0"/>
              <w:rPr>
                <w:sz w:val="24"/>
                <w:szCs w:val="24"/>
                <w:color w:val="auto"/>
              </w:rPr>
            </w:pPr>
          </w:p>
        </w:tc>
        <w:tc>
          <w:tcPr>
            <w:tcW w:w="3720" w:type="dxa"/>
            <w:vAlign w:val="bottom"/>
          </w:tcPr>
          <w:p>
            <w:pPr>
              <w:ind w:left="680"/>
              <w:spacing w:after="0"/>
              <w:rPr>
                <w:sz w:val="20"/>
                <w:szCs w:val="20"/>
                <w:color w:val="auto"/>
              </w:rPr>
            </w:pPr>
            <w:r>
              <w:rPr>
                <w:rFonts w:ascii="Courier New" w:cs="Courier New" w:eastAsia="Courier New" w:hAnsi="Courier New"/>
                <w:sz w:val="18"/>
                <w:szCs w:val="18"/>
                <w:color w:val="auto"/>
              </w:rPr>
              <w:t>Item 3 Classification: 3(e)</w:t>
            </w:r>
          </w:p>
        </w:tc>
      </w:tr>
    </w:tbl>
    <w:p>
      <w:pPr>
        <w:spacing w:after="0" w:line="1" w:lineRule="exact"/>
        <w:rPr>
          <w:sz w:val="20"/>
          <w:szCs w:val="20"/>
          <w:color w:val="auto"/>
        </w:rPr>
      </w:pPr>
    </w:p>
    <w:sectPr>
      <w:pgSz w:w="11900" w:h="16838" w:orient="portrait"/>
      <w:cols w:equalWidth="0" w:num="1">
        <w:col w:w="9919"/>
      </w:cols>
      <w:pgMar w:left="540" w:top="6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upperLetter"/>
      <w:start w:val="24"/>
    </w:lvl>
  </w:abstractNum>
  <w:abstractNum w:abstractNumId="1">
    <w:nsid w:val="436C6125"/>
    <w:multiLevelType w:val="hybridMultilevel"/>
    <w:lvl w:ilvl="0">
      <w:lvlJc w:val="left"/>
      <w:lvlText w:val="%1."/>
      <w:numFmt w:val="decimal"/>
      <w:start w:val="1"/>
    </w:lvl>
  </w:abstractNum>
  <w:abstractNum w:abstractNumId="2">
    <w:nsid w:val="628C895D"/>
    <w:multiLevelType w:val="hybridMultilevel"/>
    <w:lvl w:ilvl="0">
      <w:lvlJc w:val="left"/>
      <w:lvlText w:val="%1"/>
      <w:numFmt w:val="decimal"/>
      <w:start w:val="1"/>
    </w:lvl>
    <w:lvl w:ilvl="1">
      <w:lvlJc w:val="left"/>
      <w:lvlText w:val="(%2)"/>
      <w:numFmt w:val="lowerLetter"/>
      <w:start w:val="2"/>
    </w:lvl>
  </w:abstractNum>
  <w:abstractNum w:abstractNumId="3">
    <w:nsid w:val="333AB105"/>
    <w:multiLevelType w:val="hybridMultilevel"/>
    <w:lvl w:ilvl="0">
      <w:lvlJc w:val="left"/>
      <w:lvlText w:val="%1."/>
      <w:numFmt w:val="decimal"/>
      <w:start w:val="3"/>
    </w:lvl>
    <w:lvl w:ilvl="1">
      <w:lvlJc w:val="left"/>
      <w:lvlText w:val="%2"/>
      <w:numFmt w:val="lowerLetter"/>
      <w:start w:val="1"/>
    </w:lvl>
  </w:abstractNum>
  <w:abstractNum w:abstractNumId="4">
    <w:nsid w:val="721DA317"/>
    <w:multiLevelType w:val="hybridMultilevel"/>
    <w:lvl w:ilvl="0">
      <w:lvlJc w:val="left"/>
      <w:lvlText w:val="%1."/>
      <w:numFmt w:val="decimal"/>
      <w:start w:val="5"/>
    </w:lvl>
  </w:abstractNum>
  <w:abstractNum w:abstractNumId="5">
    <w:nsid w:val="2443A858"/>
    <w:multiLevelType w:val="hybridMultilevel"/>
    <w:lvl w:ilvl="0">
      <w:lvlJc w:val="left"/>
      <w:lvlText w:val="%1."/>
      <w:numFmt w:val="decimal"/>
      <w:start w:val="1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lvl w:ilvl="1">
      <w:lvlJc w:val="left"/>
      <w:lvlText w:val="(%2)"/>
      <w:numFmt w:val="lowerLetter"/>
      <w:start w:val="2"/>
    </w:lvl>
  </w:abstractNum>
  <w:abstractNum w:abstractNumId="8">
    <w:nsid w:val="75A2A8D4"/>
    <w:multiLevelType w:val="hybridMultilevel"/>
    <w:lvl w:ilvl="0">
      <w:lvlJc w:val="left"/>
      <w:lvlText w:val="%1."/>
      <w:numFmt w:val="decimal"/>
      <w:start w:val="3"/>
    </w:lvl>
    <w:lvl w:ilvl="1">
      <w:lvlJc w:val="left"/>
      <w:lvlText w:val="%2"/>
      <w:numFmt w:val="lowerLetter"/>
      <w:start w:val="1"/>
    </w:lvl>
  </w:abstractNum>
  <w:abstractNum w:abstractNumId="9">
    <w:nsid w:val="8EDBDAB"/>
    <w:multiLevelType w:val="hybridMultilevel"/>
    <w:lvl w:ilvl="0">
      <w:lvlJc w:val="left"/>
      <w:lvlText w:val="%1."/>
      <w:numFmt w:val="decimal"/>
      <w:start w:val="5"/>
    </w:lvl>
  </w:abstractNum>
  <w:abstractNum w:abstractNumId="10">
    <w:nsid w:val="79838CB2"/>
    <w:multiLevelType w:val="hybridMultilevel"/>
    <w:lvl w:ilvl="0">
      <w:lvlJc w:val="left"/>
      <w:lvlText w:val="%1."/>
      <w:numFmt w:val="decimal"/>
      <w:start w:val="1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1"/>
    </w:lvl>
    <w:lvl w:ilvl="1">
      <w:lvlJc w:val="left"/>
      <w:lvlText w:val="(%2)"/>
      <w:numFmt w:val="lowerLetter"/>
      <w:start w:val="2"/>
    </w:lvl>
  </w:abstractNum>
  <w:abstractNum w:abstractNumId="13">
    <w:nsid w:val="189A769B"/>
    <w:multiLevelType w:val="hybridMultilevel"/>
    <w:lvl w:ilvl="0">
      <w:lvlJc w:val="left"/>
      <w:lvlText w:val="%1."/>
      <w:numFmt w:val="decimal"/>
      <w:start w:val="3"/>
    </w:lvl>
    <w:lvl w:ilvl="1">
      <w:lvlJc w:val="left"/>
      <w:lvlText w:val="%2"/>
      <w:numFmt w:val="lowerLetter"/>
      <w:start w:val="1"/>
    </w:lvl>
  </w:abstractNum>
  <w:abstractNum w:abstractNumId="14">
    <w:nsid w:val="54E49EB4"/>
    <w:multiLevelType w:val="hybridMultilevel"/>
    <w:lvl w:ilvl="0">
      <w:lvlJc w:val="left"/>
      <w:lvlText w:val="%1."/>
      <w:numFmt w:val="decimal"/>
      <w:start w:val="5"/>
    </w:lvl>
  </w:abstractNum>
  <w:abstractNum w:abstractNumId="15">
    <w:nsid w:val="71F32454"/>
    <w:multiLevelType w:val="hybridMultilevel"/>
    <w:lvl w:ilvl="0">
      <w:lvlJc w:val="left"/>
      <w:lvlText w:val="%1."/>
      <w:numFmt w:val="decimal"/>
      <w:start w:val="1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
    </w:lvl>
    <w:lvl w:ilvl="1">
      <w:lvlJc w:val="left"/>
      <w:lvlText w:val="(%2)"/>
      <w:numFmt w:val="lowerLetter"/>
      <w:start w:val="2"/>
    </w:lvl>
  </w:abstractNum>
  <w:abstractNum w:abstractNumId="18">
    <w:nsid w:val="2901D82"/>
    <w:multiLevelType w:val="hybridMultilevel"/>
    <w:lvl w:ilvl="0">
      <w:lvlJc w:val="left"/>
      <w:lvlText w:val="%1."/>
      <w:numFmt w:val="decimal"/>
      <w:start w:val="3"/>
    </w:lvl>
    <w:lvl w:ilvl="1">
      <w:lvlJc w:val="left"/>
      <w:lvlText w:val="%2"/>
      <w:numFmt w:val="lowerLetter"/>
      <w:start w:val="1"/>
    </w:lvl>
  </w:abstractNum>
  <w:abstractNum w:abstractNumId="19">
    <w:nsid w:val="3A95F874"/>
    <w:multiLevelType w:val="hybridMultilevel"/>
    <w:lvl w:ilvl="0">
      <w:lvlJc w:val="left"/>
      <w:lvlText w:val="%1."/>
      <w:numFmt w:val="decimal"/>
      <w:start w:val="5"/>
    </w:lvl>
  </w:abstractNum>
  <w:abstractNum w:abstractNumId="20">
    <w:nsid w:val="8138641"/>
    <w:multiLevelType w:val="hybridMultilevel"/>
    <w:lvl w:ilvl="0">
      <w:lvlJc w:val="left"/>
      <w:lvlText w:val="%1."/>
      <w:numFmt w:val="decimal"/>
      <w:start w:val="11"/>
    </w:lvl>
  </w:abstractNum>
  <w:abstractNum w:abstractNumId="21">
    <w:nsid w:val="1E7FF521"/>
    <w:multiLevelType w:val="hybridMultilevel"/>
    <w:lvl w:ilvl="0">
      <w:lvlJc w:val="left"/>
      <w:lvlText w:val="(%1)"/>
      <w:numFmt w:val="lowerLetter"/>
      <w:start w:val="1"/>
    </w:lvl>
  </w:abstractNum>
  <w:abstractNum w:abstractNumId="22">
    <w:nsid w:val="7C3DBD3D"/>
    <w:multiLevelType w:val="hybridMultilevel"/>
    <w:lvl w:ilvl="0">
      <w:lvlJc w:val="left"/>
      <w:lvlText w:val="(%1)"/>
      <w:numFmt w:val="lowerLetter"/>
      <w:start w:val="2"/>
    </w:lvl>
  </w:abstractNum>
  <w:abstractNum w:abstractNumId="23">
    <w:nsid w:val="737B8DDC"/>
    <w:multiLevelType w:val="hybridMultilevel"/>
    <w:lvl w:ilvl="0">
      <w:lvlJc w:val="left"/>
      <w:lvlText w:val="(%1)"/>
      <w:numFmt w:val="lowerLetter"/>
      <w:start w:val="1"/>
    </w:lvl>
  </w:abstractNum>
  <w:abstractNum w:abstractNumId="24">
    <w:nsid w:val="6CEAF087"/>
    <w:multiLevelType w:val="hybridMultilevel"/>
    <w:lvl w:ilvl="0">
      <w:lvlJc w:val="left"/>
      <w:lvlText w:val="(%1)"/>
      <w:numFmt w:val="lowerLetter"/>
      <w:start w:val="2"/>
    </w:lvl>
  </w:abstractNum>
  <w:abstractNum w:abstractNumId="25">
    <w:nsid w:val="22221A70"/>
    <w:multiLevelType w:val="hybridMultilevel"/>
    <w:lvl w:ilvl="0">
      <w:lvlJc w:val="left"/>
      <w:lvlText w:val="(%1)"/>
      <w:numFmt w:val="lowerLetter"/>
      <w:start w:val="3"/>
    </w:lvl>
  </w:abstractNum>
  <w:abstractNum w:abstractNumId="26">
    <w:nsid w:val="4516DDE9"/>
    <w:multiLevelType w:val="hybridMultilevel"/>
    <w:lvl w:ilvl="0">
      <w:lvlJc w:val="left"/>
      <w:lvlText w:val="%1"/>
      <w:numFmt w:val="lowerLetter"/>
      <w:start w:val="1"/>
    </w:lvl>
    <w:lvl w:ilvl="1">
      <w:lvlJc w:val="left"/>
      <w:lvlText w:val="(%2)"/>
      <w:numFmt w:val="lowerLetter"/>
      <w:start w:val="35"/>
    </w:lvl>
  </w:abstractNum>
  <w:abstractNum w:abstractNumId="27">
    <w:nsid w:val="3006C83E"/>
    <w:multiLevelType w:val="hybridMultilevel"/>
    <w:lvl w:ilvl="0">
      <w:lvlJc w:val="left"/>
      <w:lvlText w:val="(%1)"/>
      <w:numFmt w:val="lowerLetter"/>
      <w:start w:val="4"/>
    </w:lvl>
    <w:lvl w:ilvl="1">
      <w:lvlJc w:val="left"/>
      <w:lvlText w:val="%2"/>
      <w:numFmt w:val="lowerLetter"/>
      <w:start w:val="1"/>
    </w:lvl>
  </w:abstractNum>
  <w:abstractNum w:abstractNumId="28">
    <w:nsid w:val="614FD4A1"/>
    <w:multiLevelType w:val="hybridMultilevel"/>
    <w:lvl w:ilvl="0">
      <w:lvlJc w:val="left"/>
      <w:lvlText w:val="(%1)"/>
      <w:numFmt w:val="lowerLetter"/>
      <w:start w:val="1"/>
    </w:lvl>
  </w:abstractNum>
  <w:abstractNum w:abstractNumId="29">
    <w:nsid w:val="419AC241"/>
    <w:multiLevelType w:val="hybridMultilevel"/>
    <w:lvl w:ilvl="0">
      <w:lvlJc w:val="left"/>
      <w:lvlText w:val="(%1)"/>
      <w:numFmt w:val="lowerLetter"/>
      <w:start w:val="7"/>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lowerLetter"/>
      <w:start w:val="3"/>
    </w:lvl>
    <w:lvl w:ilvl="1">
      <w:lvlJc w:val="left"/>
      <w:lvlText w:val="(%2)"/>
      <w:numFmt w:val="lowerLetter"/>
      <w:start w:val="9"/>
    </w:lvl>
  </w:abstractNum>
  <w:abstractNum w:abstractNumId="32">
    <w:nsid w:val="5072367"/>
    <w:multiLevelType w:val="hybridMultilevel"/>
    <w:lvl w:ilvl="0">
      <w:lvlJc w:val="left"/>
      <w:lvlText w:val="(%1)"/>
      <w:numFmt w:val="lowerRoman"/>
      <w:start w:val="2"/>
    </w:lvl>
  </w:abstractNum>
  <w:abstractNum w:abstractNumId="33">
    <w:nsid w:val="3804823E"/>
    <w:multiLevelType w:val="hybridMultilevel"/>
    <w:lvl w:ilvl="0">
      <w:lvlJc w:val="left"/>
      <w:lvlText w:val="(%1)"/>
      <w:numFmt w:val="lowerRoman"/>
      <w:start w:val="3"/>
    </w:lvl>
  </w:abstractNum>
  <w:abstractNum w:abstractNumId="34">
    <w:nsid w:val="77465F01"/>
    <w:multiLevelType w:val="hybridMultilevel"/>
    <w:lvl w:ilvl="0">
      <w:lvlJc w:val="left"/>
      <w:lvlText w:val="(%1)"/>
      <w:numFmt w:val="lowerRoman"/>
      <w:start w:val="4"/>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1)"/>
      <w:numFmt w:val="decimal"/>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2019-12-05T16:28:56Z</dcterms:created>
  <dcterms:modified xsi:type="dcterms:W3CDTF">2019-12-05T16:28:56Z</dcterms:modified>
</cp:coreProperties>
</file>