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480060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Iowa</w:t>
            </w:r>
          </w:p>
        </w:tc>
        <w:tc>
          <w:tcPr>
            <w:tcW w:w="302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001-06403</w:t>
            </w:r>
          </w:p>
        </w:tc>
        <w:tc>
          <w:tcPr>
            <w:tcW w:w="296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(State or other jurisdiction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rPr>
              <w:t>(Commission</w:t>
            </w: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(I.R.S. Employer</w:t>
            </w:r>
          </w:p>
        </w:tc>
      </w:tr>
      <w:tr>
        <w:trPr>
          <w:trHeight w:val="195"/>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of incorporation or organization)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w w:val="99"/>
              </w:rPr>
              <w:t>File Number)</w:t>
            </w:r>
          </w:p>
        </w:tc>
        <w:tc>
          <w:tcPr>
            <w:tcW w:w="2960" w:type="dxa"/>
            <w:vAlign w:val="bottom"/>
          </w:tcPr>
          <w:p>
            <w:pPr>
              <w:jc w:val="center"/>
              <w:ind w:right="619"/>
              <w:spacing w:after="0"/>
              <w:rPr>
                <w:sz w:val="20"/>
                <w:szCs w:val="20"/>
                <w:color w:val="auto"/>
              </w:rPr>
            </w:pPr>
            <w:r>
              <w:rPr>
                <w:rFonts w:ascii="Arial" w:cs="Arial" w:eastAsia="Arial" w:hAnsi="Arial"/>
                <w:sz w:val="16"/>
                <w:szCs w:val="16"/>
                <w:color w:val="auto"/>
              </w:rPr>
              <w:t>Identification No.)</w:t>
            </w:r>
          </w:p>
        </w:tc>
      </w:tr>
      <w:tr>
        <w:trPr>
          <w:trHeight w:val="580"/>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P. O. Box 152, Forest City, Iowa</w:t>
            </w:r>
          </w:p>
        </w:tc>
        <w:tc>
          <w:tcPr>
            <w:tcW w:w="30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51"/>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(Address of principal executive offices)</w:t>
            </w:r>
          </w:p>
        </w:tc>
        <w:tc>
          <w:tcPr>
            <w:tcW w:w="3020" w:type="dxa"/>
            <w:vAlign w:val="bottom"/>
          </w:tcPr>
          <w:p>
            <w:pPr>
              <w:spacing w:after="0"/>
              <w:rPr>
                <w:sz w:val="21"/>
                <w:szCs w:val="21"/>
                <w:color w:val="auto"/>
              </w:rPr>
            </w:pP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(Zip Code)</w:t>
            </w:r>
          </w:p>
        </w:tc>
      </w:tr>
      <w:tr>
        <w:trPr>
          <w:trHeight w:val="540"/>
        </w:trPr>
        <w:tc>
          <w:tcPr>
            <w:tcW w:w="3260" w:type="dxa"/>
            <w:vAlign w:val="bottom"/>
          </w:tcPr>
          <w:p>
            <w:pPr>
              <w:spacing w:after="0"/>
              <w:rPr>
                <w:sz w:val="24"/>
                <w:szCs w:val="24"/>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Scott C. Folkers</w:t>
            </w:r>
          </w:p>
        </w:tc>
        <w:tc>
          <w:tcPr>
            <w:tcW w:w="2960" w:type="dxa"/>
            <w:vAlign w:val="bottom"/>
          </w:tcPr>
          <w:p>
            <w:pPr>
              <w:spacing w:after="0"/>
              <w:rPr>
                <w:sz w:val="24"/>
                <w:szCs w:val="24"/>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Vice President,</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General Counsel and Secretary</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right"/>
              <w:ind w:right="1139"/>
              <w:spacing w:after="0"/>
              <w:rPr>
                <w:sz w:val="20"/>
                <w:szCs w:val="20"/>
                <w:color w:val="auto"/>
              </w:rPr>
            </w:pPr>
            <w:r>
              <w:rPr>
                <w:rFonts w:ascii="Arial" w:cs="Arial" w:eastAsia="Arial" w:hAnsi="Arial"/>
                <w:sz w:val="16"/>
                <w:szCs w:val="16"/>
                <w:b w:val="1"/>
                <w:bCs w:val="1"/>
                <w:color w:val="auto"/>
              </w:rPr>
              <w:t>641-585-3535</w:t>
            </w:r>
          </w:p>
        </w:tc>
        <w:tc>
          <w:tcPr>
            <w:tcW w:w="29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12700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2"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1227455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1141730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147"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and 1.02 Conflict Minerals Disclosure and Report; Exhibit.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 copy of Winnebago Industries, Inc. (“Winnebago’s”) Conflict Minerals Report for the reporting period January 1, 2014 to December 31, 2014 is provided as Exhibit 1.01 hereto and is publicly available at </w:t>
      </w:r>
      <w:r>
        <w:rPr>
          <w:rFonts w:ascii="Arial" w:cs="Arial" w:eastAsia="Arial" w:hAnsi="Arial"/>
          <w:sz w:val="18"/>
          <w:szCs w:val="18"/>
          <w:u w:val="single" w:color="auto"/>
          <w:color w:val="0000FF"/>
        </w:rPr>
        <w:t>www.winnebagoind.com</w:t>
      </w:r>
      <w:r>
        <w:rPr>
          <w:rFonts w:ascii="Arial" w:cs="Arial" w:eastAsia="Arial" w:hAnsi="Arial"/>
          <w:sz w:val="18"/>
          <w:szCs w:val="18"/>
          <w:color w:val="auto"/>
        </w:rPr>
        <w:t xml:space="preserve"> under the tab “Company-Investor Relations”. Winnebago’s determination and related due diligence efforts are included in Winnebago’s Conflict Minerals Report and incorporated by reference 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for the reporting period January 1, 2014 to December 31, 2014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WINNEBAGO INDUSTRIES, INC.</w:t>
      </w:r>
    </w:p>
    <w:p>
      <w:pPr>
        <w:spacing w:after="0" w:line="329" w:lineRule="exact"/>
        <w:rPr>
          <w:sz w:val="20"/>
          <w:szCs w:val="20"/>
          <w:color w:val="auto"/>
        </w:rPr>
      </w:pPr>
    </w:p>
    <w:p>
      <w:pPr>
        <w:ind w:left="40"/>
        <w:spacing w:after="0"/>
        <w:tabs>
          <w:tab w:leader="none" w:pos="700" w:val="left"/>
          <w:tab w:leader="none" w:pos="5060" w:val="left"/>
          <w:tab w:leader="none" w:pos="5520" w:val="left"/>
        </w:tabs>
        <w:rPr>
          <w:sz w:val="20"/>
          <w:szCs w:val="20"/>
          <w:color w:val="auto"/>
        </w:rPr>
      </w:pPr>
      <w:r>
        <w:rPr>
          <w:rFonts w:ascii="Arial" w:cs="Arial" w:eastAsia="Arial" w:hAnsi="Arial"/>
          <w:sz w:val="18"/>
          <w:szCs w:val="18"/>
          <w:color w:val="auto"/>
        </w:rPr>
        <w:t>Date:</w:t>
        <w:tab/>
        <w:t>June 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26035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Scott C. Folkers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280"/>
          </w:cols>
          <w:pgMar w:left="240" w:top="1062"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"Company," "Winnebago Industries," "we," "our" and "us" are used interchangeably to refer to Winnebago Industries, Inc. and its subsidiary, Winnebago of Indiana, LLC, as appropriate in this context.</w:t>
      </w:r>
    </w:p>
    <w:p>
      <w:pPr>
        <w:spacing w:after="0" w:line="19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This Conflict Minerals Report of Winnebago Industries, Inc. for calendar year 2014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Winnebago Industries, a manufacturer of recreation vehicles, has determined that its products were manufactured with tin, tantalum, tungsten, and gold which were necessary to the functionality of such products. In accordance with the rules, Winnebago Industries performed due diligence as noted below to determine the conflict minerals status of the necessary conflict minerals used in its product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of Due Diligence:</w:t>
      </w:r>
    </w:p>
    <w:p>
      <w:pPr>
        <w:spacing w:after="0" w:line="2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Winnebago Industries has reviewed their suppliers and sourcing decisions and integrated into their management programs the Organization for Economic Cooperation and Development Due Diligence Guidance for Responsible Supply Chains of Minerals from Conflict-Affected and High-Risk Areas: Second Edition (“OECD Framework”), an internationally recognized due diligence framework. Specific details on the due diligence framework and compliance efforts are listed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Measures Performed:</w:t>
      </w:r>
    </w:p>
    <w:p>
      <w:pPr>
        <w:spacing w:after="0" w:line="225" w:lineRule="exact"/>
        <w:rPr>
          <w:sz w:val="20"/>
          <w:szCs w:val="20"/>
          <w:color w:val="auto"/>
        </w:rPr>
      </w:pPr>
    </w:p>
    <w:p>
      <w:pPr>
        <w:ind w:left="660" w:hanging="328"/>
        <w:spacing w:after="0"/>
        <w:tabs>
          <w:tab w:leader="none" w:pos="6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accordance with the execution of this rule, Winnebago Industries has concluded in good faith that,</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We have clearly communicated to all suppliers our efforts to comply with Rule 13p-1.</w:t>
      </w:r>
    </w:p>
    <w:p>
      <w:pPr>
        <w:spacing w:after="0" w:line="117" w:lineRule="exact"/>
        <w:rPr>
          <w:rFonts w:ascii="Arial" w:cs="Arial" w:eastAsia="Arial" w:hAnsi="Arial"/>
          <w:sz w:val="18"/>
          <w:szCs w:val="18"/>
          <w:color w:val="auto"/>
        </w:rPr>
      </w:pPr>
    </w:p>
    <w:p>
      <w:pPr>
        <w:ind w:left="980" w:right="380" w:hanging="324"/>
        <w:spacing w:after="0" w:line="262" w:lineRule="auto"/>
        <w:tabs>
          <w:tab w:leader="none" w:pos="9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We have structured compliance efforts internally to support supply chain due diligence. Winnebago Industries has developed a team responsible for the conflict minerals program. The team reports to the CFO.</w:t>
      </w:r>
    </w:p>
    <w:p>
      <w:pPr>
        <w:spacing w:after="0" w:line="88" w:lineRule="exact"/>
        <w:rPr>
          <w:rFonts w:ascii="Arial" w:cs="Arial" w:eastAsia="Arial" w:hAnsi="Arial"/>
          <w:sz w:val="18"/>
          <w:szCs w:val="18"/>
          <w:color w:val="auto"/>
        </w:rPr>
      </w:pPr>
    </w:p>
    <w:p>
      <w:pPr>
        <w:ind w:left="980" w:right="20" w:hanging="324"/>
        <w:spacing w:after="0" w:line="216" w:lineRule="exact"/>
        <w:tabs>
          <w:tab w:leader="none" w:pos="9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We have established a system of controls and supply chain transparency through the adoption and use of due diligence tools created by the Electronic Industry Citizenship Coalition and the Global e</w:t>
      </w:r>
      <w:r>
        <w:rPr>
          <w:rFonts w:ascii="MS PGothic" w:cs="MS PGothic" w:eastAsia="MS PGothic" w:hAnsi="MS PGothic"/>
          <w:sz w:val="18"/>
          <w:szCs w:val="18"/>
          <w:color w:val="auto"/>
        </w:rPr>
        <w:t>‑</w:t>
      </w:r>
      <w:r>
        <w:rPr>
          <w:rFonts w:ascii="Arial" w:cs="Arial" w:eastAsia="Arial" w:hAnsi="Arial"/>
          <w:sz w:val="18"/>
          <w:szCs w:val="18"/>
          <w:color w:val="auto"/>
        </w:rPr>
        <w:t>Sustainability Initiative (EICC/GeSI). This included the use the Conflict Minerals Reporting Template (CMRT), a supply-chain survey.</w:t>
      </w:r>
    </w:p>
    <w:p>
      <w:pPr>
        <w:spacing w:after="0" w:line="109" w:lineRule="exact"/>
        <w:rPr>
          <w:rFonts w:ascii="Arial" w:cs="Arial" w:eastAsia="Arial" w:hAnsi="Arial"/>
          <w:sz w:val="18"/>
          <w:szCs w:val="18"/>
          <w:color w:val="auto"/>
        </w:rPr>
      </w:pPr>
    </w:p>
    <w:p>
      <w:pPr>
        <w:ind w:left="980" w:right="160" w:hanging="324"/>
        <w:spacing w:after="0" w:line="256" w:lineRule="auto"/>
        <w:tabs>
          <w:tab w:leader="none" w:pos="9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We have conducted a supply-chain survey, which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93" w:lineRule="exact"/>
        <w:rPr>
          <w:rFonts w:ascii="Arial" w:cs="Arial" w:eastAsia="Arial" w:hAnsi="Arial"/>
          <w:sz w:val="18"/>
          <w:szCs w:val="18"/>
          <w:color w:val="auto"/>
        </w:rPr>
      </w:pPr>
    </w:p>
    <w:p>
      <w:pPr>
        <w:jc w:val="both"/>
        <w:ind w:left="980" w:right="180" w:hanging="324"/>
        <w:spacing w:after="0" w:line="256" w:lineRule="auto"/>
        <w:tabs>
          <w:tab w:leader="none" w:pos="9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When applicable, we compared smelters and refiners identified by the supply-chain survey against the list of facilities which have received a DRC conflict free designation from the Conflict Free Smelter Program (CFSP) or other independent third-party smelter audit programs.</w:t>
      </w:r>
    </w:p>
    <w:p>
      <w:pPr>
        <w:spacing w:after="0" w:line="179"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47" w:lineRule="exact"/>
        <w:rPr>
          <w:sz w:val="20"/>
          <w:szCs w:val="20"/>
          <w:color w:val="auto"/>
        </w:rPr>
      </w:pPr>
    </w:p>
    <w:p>
      <w:pPr>
        <w:ind w:left="660" w:right="600"/>
        <w:spacing w:after="0" w:line="262" w:lineRule="auto"/>
        <w:rPr>
          <w:sz w:val="20"/>
          <w:szCs w:val="20"/>
          <w:color w:val="auto"/>
        </w:rPr>
      </w:pPr>
      <w:r>
        <w:rPr>
          <w:rFonts w:ascii="Arial" w:cs="Arial" w:eastAsia="Arial" w:hAnsi="Arial"/>
          <w:sz w:val="18"/>
          <w:szCs w:val="18"/>
          <w:color w:val="auto"/>
        </w:rPr>
        <w:t>We identified risks at the product level and determined that all products we produce contained conflict minerals necessary to the functionality of the product. As we progress, we expect that transparency in our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supply chain will increase which will allow for better risk assessment at more detailed levels within our supply chain.</w:t>
      </w:r>
    </w:p>
    <w:p>
      <w:pPr>
        <w:spacing w:after="0" w:line="225" w:lineRule="exact"/>
        <w:rPr>
          <w:sz w:val="20"/>
          <w:szCs w:val="20"/>
          <w:color w:val="auto"/>
        </w:rPr>
      </w:pPr>
    </w:p>
    <w:p>
      <w:pPr>
        <w:ind w:left="660" w:right="60"/>
        <w:spacing w:after="0" w:line="262" w:lineRule="auto"/>
        <w:rPr>
          <w:sz w:val="20"/>
          <w:szCs w:val="20"/>
          <w:color w:val="auto"/>
        </w:rPr>
      </w:pPr>
      <w:r>
        <w:rPr>
          <w:rFonts w:ascii="Arial" w:cs="Arial" w:eastAsia="Arial" w:hAnsi="Arial"/>
          <w:sz w:val="18"/>
          <w:szCs w:val="18"/>
          <w:color w:val="auto"/>
        </w:rPr>
        <w:t>Based on the assessed risks, Winnebago Industries performed a reasonable country of origin inquiry (RCOI) over all tier one suppliers to identify the smelters/refiners of conflict minerals.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Design and implement a strategy to respond to identified risks:</w:t>
      </w:r>
    </w:p>
    <w:p>
      <w:pPr>
        <w:spacing w:after="0" w:line="247"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Our RCOI strategy was reasonably designed and implemented to determine the existence and source of conflict minerals in Winnebago Industries’ supply chain, including recycled or scrap materials. We utilized the EICC/GeSI template for our RCOI, but comparable forms of documentation were also accepted. We conducted our efforts to send surveys in good faith, utilizing two rounds of communications with our suppliers through April 2015. We evaluated survey responses to identify: (i) the use and source of Conflict Minerals; and (ii) any warning signs indicating that Conflict Minerals may have come from the Democratic Republic of the Congo or an Adjoining Country. We made additional inquiries on a case-by-case basis to clarify or obtain more information as necessary. Additionally, we compared the listing of smelters and refiners per the vendor survey to the Conflict Free Sourcing Initiative’s Conflict Free Smelter and Refiner lists.</w:t>
      </w:r>
    </w:p>
    <w:p>
      <w:pPr>
        <w:spacing w:after="0" w:line="206"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Based on the surveys provided and notifications that our suppliers’ diligence efforts were incomplete, we do not have sufficient information to conclusively determine all smelters/refiners or countries of origin of the conflict minerals. Our efforts to determine mine or location of origin and future due diligence activities will continue to be assessed and improved. Results of supply chain due diligence were tracked and reported to senior management during periodic status meetings. Final determinations were reviewed to support due diligence conclusions.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4. Carry out independent third-party audit of supply chain due diligence at identified points in the supply chain: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support the industry associations which administer independent third-party smelter audit programs that we rely upon.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5. Report on supply chain due diligence:</w:t>
      </w:r>
    </w:p>
    <w:p>
      <w:pPr>
        <w:spacing w:after="0" w:line="247" w:lineRule="exact"/>
        <w:rPr>
          <w:sz w:val="20"/>
          <w:szCs w:val="20"/>
          <w:color w:val="auto"/>
        </w:rPr>
      </w:pPr>
    </w:p>
    <w:p>
      <w:pPr>
        <w:jc w:val="both"/>
        <w:ind w:left="660" w:right="240"/>
        <w:spacing w:after="0" w:line="256" w:lineRule="auto"/>
        <w:rPr>
          <w:sz w:val="20"/>
          <w:szCs w:val="20"/>
          <w:color w:val="auto"/>
        </w:rPr>
      </w:pPr>
      <w:r>
        <w:rPr>
          <w:rFonts w:ascii="Arial" w:cs="Arial" w:eastAsia="Arial" w:hAnsi="Arial"/>
          <w:sz w:val="18"/>
          <w:szCs w:val="18"/>
          <w:color w:val="auto"/>
        </w:rPr>
        <w:t>We have developed and communicated a company policy. Management’s conflict minerals compliance results are reported annually with the SEC and are made publicly available on our website. Additionally, we have responded to customer inquiries for information when requested.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to Improve Due Diligence Measures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on our survey assessment, Winnebago identified 80 potential suppliers providing conflict minerals from 311 smelters and refiners. There were numerous suppliers that did not provide smelters and refiners used and a substantial group of other suppliers that did not provide a response to our survey.</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Winnebago plans to undertake the following steps during 2015 to improve due diligence procedures in order to further enhance transparency and reduce risk that the conflict minerals which are necessary to our products benefit armed groups in a covered country, including:</w:t>
      </w:r>
    </w:p>
    <w:p>
      <w:pPr>
        <w:spacing w:after="0" w:line="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assess presence of conflict minerals in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Clearly communicate expectations with new and delinquent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improve risk mitigation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evaluate supplier relationships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Description:</w:t>
      </w:r>
    </w:p>
    <w:p>
      <w:pPr>
        <w:spacing w:after="0" w:line="24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All products manufactured by Winnebago Industries are deemed to contain conflict minerals necessary to the product’s functionality. We produce products that include motorhomes, touring coaches, transit buses, travel trailers and fifth wheel trailers as well as supporting RV products. We do not currently have sufficient information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8" w:right="25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t>disclose all smelters and refiners or countries of origin or whether the conflict minerals are from recycled or scrap sources. However, based on the data provided by the ROCI, this information has been listed in Annex I and II, respectively. The majority of our suppliers reported conflict minerals use at the company level, not at the product level. As such, we cannot definitively state whether these conflict minerals were included in the products provided to Winnebago, or further validate that these smelters or refiners exist in our supply chain.</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9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Advanced Chemical Company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Aktyubinsk</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Allgemeine Gold- und Silberscheideanstalt A.G.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AngloGold Ashanti Córrego do Sítio Minerção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Argor-Heraeus 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Pretec Corp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Asaka Riken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Aurubis AG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Bauer Walser AG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Boliden AB</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 Hafner GmbH + Co. KG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Caridad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Cendres &amp; Métaux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Central Bank of the DPR of Korea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Chimet S.p.A.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 National Gold Group Corporation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Chugai Mining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CHUGAI MINING CO.,LTD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Codelco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Colt Refining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Daejin Indus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DaeryongENC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 Sung Corporation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Doduco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Dowa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Dowa Metals &amp; Mining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Dowa Mining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Eco-System Recycling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FSE Novosibirsk Refinery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Gansu Seemine Material Hi-Tech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Guangdong Jinding Gold Limited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Heimerle + Meule GmbH</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Heraeus Ltd Hong Kong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HONG KONG</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Heraeus Precious Metals GmbH &amp; Co. KG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Industry Group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Hwasung CJ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Inner Mongolia Qiankun Gold and Silver Refinery Share Company Limited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Istanbul Gold Refinery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 Mint</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bl>
    <w:p>
      <w:pPr>
        <w:spacing w:after="0" w:line="200" w:lineRule="exact"/>
        <w:rPr>
          <w:sz w:val="20"/>
          <w:szCs w:val="20"/>
          <w:color w:val="auto"/>
        </w:rPr>
      </w:pPr>
    </w:p>
    <w:p>
      <w:pPr>
        <w:sectPr>
          <w:pgSz w:w="11900" w:h="16838" w:orient="portrait"/>
          <w:cols w:equalWidth="0" w:num="1">
            <w:col w:w="11440"/>
          </w:cols>
          <w:pgMar w:left="240" w:top="576"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576" w:right="21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Copper Company Limited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Johnson Matthey Gold and Silver Refining Inc.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Johnson Matthey HongKong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Johnson Matthey Limited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Johnson Matthey USA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JSC Uralectromed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Kazzinc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KAZAKHSTAN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Kennecott Utah Copper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Kojima Chemicals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Metal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Zinc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Kyrgyzaltyn JSC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 azurde Company For Jewelry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SAUDI ARABIA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Gold Company Limited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LS-Nikko Copper Inc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Metalor Technologies (Hong Kong)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Mistubishi Materials Corporation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Nadir Metal Rafineri San. Ve Tic. A.Ş.</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UZBEKISTAN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Nihon Material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Ohio Precious Metals LLC.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8"/>
        </w:trPr>
        <w:tc>
          <w:tcPr>
            <w:tcW w:w="23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OJSC “The Gulidov Krasnoyarsk Non-Ferrous Metals Plant” (OJSC</w:t>
            </w:r>
          </w:p>
        </w:tc>
        <w:tc>
          <w:tcPr>
            <w:tcW w:w="33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100"/>
        </w:trPr>
        <w:tc>
          <w:tcPr>
            <w:tcW w:w="23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5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Krastvetmet)</w:t>
            </w:r>
          </w:p>
        </w:tc>
        <w:tc>
          <w:tcPr>
            <w:tcW w:w="33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5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33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Kolyma Refinery</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PAMP 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Pan Pacific Copper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Penglai Penggang Gold Industry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Perth Mint</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Prioksky Plant of Non-Ferrous Metals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Produits Artistiques de Métaux Précieux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Aneka Tambang (Persero) Tbk</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PX Précinox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Rand Refinery (Pty)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Republic Metals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Royal Canadian Mint</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Sabin Metal Corp.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Samduck Precious Metals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SAMWON METALS Corp.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Saxonia Edelmetallrecycling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Schone Edelmetaal</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SEMPSA Joyeria Plateria 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714"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40"/>
          </w:cols>
          <w:pgMar w:left="240" w:top="714" w:right="21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Sichuan Tianze Precious Metals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 Accurate Refining Group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Sumitomo Metal Mining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Suzhou Xingrui Noble</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Tanaka Kikinzoku Kogyo K.K.</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Great Wall Gold and Silver Refinery of China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Tokuriki Honten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Tokuriki Tokyo Melters Assayers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Tongling nonferrous Metals Group Co.,Ltd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Torecom</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Toyo Smelter &amp; Refinery</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Umicore Brasil Ltda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Umicore SA Business Unit Precious Metals Refining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Precious Metal Refining, Inc.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unknown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PERU</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Valcambi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Western Australian Mint trading as The Perth Mint</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Xstrata Canada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YAMAMOTO PRECIOUS METAL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Yokohama Metal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Yunnan Copper Industry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Gold</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Zijin Mining Group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Cabot (Global Advanced Metals)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Changsha South Tantalum Niobium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Conghua Tantalum and Niobium Smeltry</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 Block Metals, LLC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Duoluoshan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Exotech Inc.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F&amp;X Electro-Materials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Gannon &amp; Scott</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Advanced Metals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Global Advanced Metals Aizu</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Advanced Metals Boyertown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Guangdong Zhiyuan New Material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H.C. Starck GmbH Goslar</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GmbH Laufenburg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H.C. Starck Group</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Hermsdorf GmbH</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H.C. Starck Inc.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H.C. Starck Smelting GmbH &amp; Co.KG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Hi-Temp</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bl>
    <w:p>
      <w:pPr>
        <w:spacing w:after="0" w:line="200" w:lineRule="exact"/>
        <w:rPr>
          <w:sz w:val="20"/>
          <w:szCs w:val="20"/>
          <w:color w:val="auto"/>
        </w:rPr>
      </w:pPr>
    </w:p>
    <w:p>
      <w:pPr>
        <w:sectPr>
          <w:pgSz w:w="11900" w:h="16838" w:orient="portrait"/>
          <w:cols w:equalWidth="0" w:num="1">
            <w:col w:w="11440"/>
          </w:cols>
          <w:pgMar w:left="240" w:top="714"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40"/>
          </w:cols>
          <w:pgMar w:left="240" w:top="714" w:right="21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Jiangmen Fuxiang Electro-materials Ltd. (F&amp;X)</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Jiujiang Tanbre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KEMET Blue Metals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KEMET Blue Powder</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King-Tan Industry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King-Tan Tantalum Industry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LSM Brasil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Metallurgical Products India (Pvt.)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Mitsui Mining &amp; Smelting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Molycorp Silmet A.S.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ESTONIA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Plansee</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Plansee SE Liezen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Plansee SE Reutte</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QuantumClean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RFH Tantalum Smeltry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Shanghai Jiangxi Metals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Solikamsk Magnesium Works OAO</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Taki Chemicals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Tantalite Resources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Telex</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Ulba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Yichun Jin Yang Rare Metal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Tantalum</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Zhuzhou Cement Carbide</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Alpha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ATI Metalworking Products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Bangka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 Rare Metal Materials Company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Tin Group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CNMC (Guangxi) PGMA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Cookson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Cooper Santa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DS Jaya Abadi</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CV Duta Putra Bangka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Gita Pesona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CV JusTindo</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Makmur Jaya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CV Nurjanah</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Prima Timah Utama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CV Serumpun Sebalai</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United Smelting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 Vinto</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EMPERESA METALURGICA VINTO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Empresa Metalúrgica Vinto</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Estanho de Rondônia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Fenix Metals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Geiju Non-Ferrous Metal Processing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440"/>
          </w:cols>
          <w:pgMar w:left="240" w:top="714"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40"/>
          </w:cols>
          <w:pgMar w:left="240" w:top="714" w:right="21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Gejiu Kai Meng Industry and Trade LLC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Gejiu Zi-Li</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 Bell Group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Huichang Jinshunda Tin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Nanshan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Kai Unita Trade Limited Liability Company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Keeling &amp; Walker</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KUNDUR SMELTER</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Linwu Xianggui Smelter Co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Liuzhou China Tin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Melt Metais e Ligas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Minmetals Ganzhou Tin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Minsur 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Misue Tin Smelter and Refinery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PERU</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MSC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MUNTOK SMELTER</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Nanshan Tin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Nathan Trotter &amp; Co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Novosibirsk Integrated Tin Works</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O.M. Manufacturing Philippines, Inc.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OMSA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Operaciones Metalurgica 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Alam Lestari Kencana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Artha Cipta Langgeng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ATD Makmur Mandiri Jaya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Babel Inti Perkasa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Babel Surya Alam Lestari</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Bangka Kudai Tin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Bangka Putra Karya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Bangka Timah Utama Sejahtera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Bangka Tin Industry</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Belitung Industri Sejahtera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BilliTin Makmur Lestari</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Bukit Timah</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DS Jaya Abadi</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Eunindo Usaha Mandiri</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Fang Di MulTindo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HP Metals Indonesia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Inti Stania Prima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Karimun Mining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Koba Tin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Mitra Stania Prima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Panca Mega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Panca Mega Persada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Pelat Timah Nusantara Tbk</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Prima Timah Utama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bl>
    <w:p>
      <w:pPr>
        <w:spacing w:after="0" w:line="200" w:lineRule="exact"/>
        <w:rPr>
          <w:sz w:val="20"/>
          <w:szCs w:val="20"/>
          <w:color w:val="auto"/>
        </w:rPr>
      </w:pPr>
    </w:p>
    <w:p>
      <w:pPr>
        <w:sectPr>
          <w:pgSz w:w="11900" w:h="16838" w:orient="portrait"/>
          <w:cols w:equalWidth="0" w:num="1">
            <w:col w:w="11440"/>
          </w:cols>
          <w:pgMar w:left="240" w:top="714"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714" w:right="21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REFINED BANGKA TIN</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Sariwiguna Binasentosa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Seirama Tin investment</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Stanindo Inti Perkasa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Sumber Jaya Indah</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Supra Sukses Trinusa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Tambang Timah</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Timah</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Timah (Persero), Tbk</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Timah Nusantara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Timah TBK</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Tinindo Inter Nusa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Tommy Utama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PT Yinchendo Mining Industry</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Rohm &amp; Haas R&amp;H Europe Trading AP</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Rui Da Hung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Soft Metais, Ltda.</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Thailand Smelting and Refining Company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Thaisarco</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White Solder Metalurgia</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Wieland AG</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Yunnan Chengfeng Non-ferrous Metals Co.,Ltd.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Geiju Zili Metallurgy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Yunnan Tin Company Limited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ZHUZHOU SMELTER GROUP COMPANY LIMITED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Zijin Mining Group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Zijin Mining Group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Tin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Zijin Mining Group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ALMT</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Chaozhou Xianglu Tungsten Industry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Chenzhou Diamond Tungsten Products</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 Minmetals Nonferrous Metals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National Non-Ferrous &amp; Jiangxi corporation limited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Chongyi Zhangyuan Tungsten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Dayu Weiliang Tungsten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Fujian Jinxin Tungsten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Ganxian Shirui New Material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Ganzhou Grand Sea W &amp; Mo Group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Ganzhou Jiangwu Ferrotungsten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Non-ferrous Metals Smelting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Ganzhou Seadragon W &amp; Mo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Sinda W&amp;Mo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Global Tungsten &amp; Powders Corp</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H.C. Starck GmbH</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GmbH</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440"/>
          </w:cols>
          <w:pgMar w:left="240" w:top="714" w:right="21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40"/>
          </w:cols>
          <w:pgMar w:left="240" w:top="714" w:right="21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Metal</w:t>
            </w:r>
          </w:p>
        </w:tc>
        <w:tc>
          <w:tcPr>
            <w:tcW w:w="5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Name</w:t>
            </w:r>
          </w:p>
        </w:tc>
        <w:tc>
          <w:tcPr>
            <w:tcW w:w="3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Chun-Chang Nonferrous Smelting &amp; Concentrating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 New Metals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Gan Bei Tungsten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Rare Earth &amp; Rare Metals Tungsten Group Corp</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Richsea New Material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Tungsten Industry Group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Kennametal Fallon</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Huntsville</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Kennametal Inc.</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Nui Phao H.C. Starck Tungsten Chemicals Manufacturing LLC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Tejing (Vietnam) Tungsten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VIETNAM</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Wolfram Bergbau und Hütten AG</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Wolfram Company CJSC</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23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Xiamen Tungsten (H.C.) Co., Ltd.</w:t>
            </w:r>
          </w:p>
        </w:tc>
        <w:tc>
          <w:tcPr>
            <w:tcW w:w="3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Tungsten</w:t>
            </w:r>
          </w:p>
        </w:tc>
        <w:tc>
          <w:tcPr>
            <w:tcW w:w="5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Xinhai Rendan Shaoguan Tungsten Co., Ltd.</w:t>
            </w: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714" w:right="219" w:bottom="1440" w:gutter="0" w:footer="0" w:header="0"/>
        </w:sectPr>
      </w:pPr>
    </w:p>
    <w:bookmarkStart w:id="12" w:name="page13"/>
    <w:bookmarkEnd w:id="12"/>
    <w:tbl>
      <w:tblPr>
        <w:tblLayout w:type="fixed"/>
        <w:tblInd w:w="191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p>
        </w:tc>
        <w:tc>
          <w:tcPr>
            <w:tcW w:w="3680" w:type="dxa"/>
            <w:vAlign w:val="bottom"/>
            <w:gridSpan w:val="2"/>
          </w:tcPr>
          <w:p>
            <w:pPr>
              <w:jc w:val="center"/>
              <w:ind w:right="1539"/>
              <w:spacing w:after="0"/>
              <w:rPr>
                <w:sz w:val="20"/>
                <w:szCs w:val="20"/>
                <w:color w:val="auto"/>
              </w:rPr>
            </w:pPr>
            <w:r>
              <w:rPr>
                <w:rFonts w:ascii="Arial" w:cs="Arial" w:eastAsia="Arial" w:hAnsi="Arial"/>
                <w:sz w:val="18"/>
                <w:szCs w:val="18"/>
                <w:b w:val="1"/>
                <w:bCs w:val="1"/>
                <w:color w:val="auto"/>
                <w:w w:val="99"/>
              </w:rPr>
              <w:t>ANNEX II</w:t>
            </w:r>
          </w:p>
        </w:tc>
      </w:tr>
      <w:tr>
        <w:trPr>
          <w:trHeight w:val="135"/>
        </w:trPr>
        <w:tc>
          <w:tcPr>
            <w:tcW w:w="1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r>
      <w:tr>
        <w:trPr>
          <w:trHeight w:val="244"/>
        </w:trPr>
        <w:tc>
          <w:tcPr>
            <w:tcW w:w="1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1060" w:type="dxa"/>
            <w:vAlign w:val="bottom"/>
            <w:tcBorders>
              <w:bottom w:val="single" w:sz="8" w:color="auto"/>
              <w:right w:val="single" w:sz="8" w:color="auto"/>
            </w:tcBorders>
            <w:shd w:val="clear" w:color="auto" w:fill="CCEEFF"/>
          </w:tcPr>
          <w:p>
            <w:pPr>
              <w:spacing w:after="0"/>
              <w:rPr>
                <w:sz w:val="21"/>
                <w:szCs w:val="21"/>
                <w:color w:val="auto"/>
              </w:rPr>
            </w:pP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MOZAMBIQUE</w:t>
            </w:r>
          </w:p>
        </w:tc>
      </w:tr>
      <w:tr>
        <w:trPr>
          <w:trHeight w:val="250"/>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BELGIUM</w:t>
            </w:r>
          </w:p>
        </w:tc>
        <w:tc>
          <w:tcPr>
            <w:tcW w:w="10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NIGERIA</w:t>
            </w:r>
          </w:p>
        </w:tc>
      </w:tr>
      <w:tr>
        <w:trPr>
          <w:trHeight w:val="250"/>
        </w:trPr>
        <w:tc>
          <w:tcPr>
            <w:tcW w:w="1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BOLIVIA</w:t>
            </w:r>
          </w:p>
        </w:tc>
        <w:tc>
          <w:tcPr>
            <w:tcW w:w="1060" w:type="dxa"/>
            <w:vAlign w:val="bottom"/>
            <w:tcBorders>
              <w:bottom w:val="single" w:sz="8" w:color="auto"/>
              <w:right w:val="single" w:sz="8" w:color="auto"/>
            </w:tcBorders>
            <w:shd w:val="clear" w:color="auto" w:fill="CCEEFF"/>
          </w:tcPr>
          <w:p>
            <w:pPr>
              <w:spacing w:after="0"/>
              <w:rPr>
                <w:sz w:val="21"/>
                <w:szCs w:val="21"/>
                <w:color w:val="auto"/>
              </w:rPr>
            </w:pP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PERU</w:t>
            </w:r>
          </w:p>
        </w:tc>
      </w:tr>
      <w:tr>
        <w:trPr>
          <w:trHeight w:val="250"/>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BRAZIL</w:t>
            </w:r>
          </w:p>
        </w:tc>
        <w:tc>
          <w:tcPr>
            <w:tcW w:w="10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w:t>
            </w:r>
          </w:p>
        </w:tc>
      </w:tr>
      <w:tr>
        <w:trPr>
          <w:trHeight w:val="250"/>
        </w:trPr>
        <w:tc>
          <w:tcPr>
            <w:tcW w:w="1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1060" w:type="dxa"/>
            <w:vAlign w:val="bottom"/>
            <w:tcBorders>
              <w:bottom w:val="single" w:sz="8" w:color="auto"/>
              <w:right w:val="single" w:sz="8" w:color="auto"/>
            </w:tcBorders>
            <w:shd w:val="clear" w:color="auto" w:fill="CCEEFF"/>
          </w:tcPr>
          <w:p>
            <w:pPr>
              <w:spacing w:after="0"/>
              <w:rPr>
                <w:sz w:val="21"/>
                <w:szCs w:val="21"/>
                <w:color w:val="auto"/>
              </w:rPr>
            </w:pP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RWANDA</w:t>
            </w:r>
          </w:p>
        </w:tc>
      </w:tr>
      <w:tr>
        <w:trPr>
          <w:trHeight w:val="250"/>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COLUMBIA</w:t>
            </w:r>
          </w:p>
        </w:tc>
        <w:tc>
          <w:tcPr>
            <w:tcW w:w="10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50"/>
        </w:trPr>
        <w:tc>
          <w:tcPr>
            <w:tcW w:w="1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1060" w:type="dxa"/>
            <w:vAlign w:val="bottom"/>
            <w:tcBorders>
              <w:bottom w:val="single" w:sz="8" w:color="auto"/>
              <w:right w:val="single" w:sz="8" w:color="auto"/>
            </w:tcBorders>
            <w:shd w:val="clear" w:color="auto" w:fill="CCEEFF"/>
          </w:tcPr>
          <w:p>
            <w:pPr>
              <w:spacing w:after="0"/>
              <w:rPr>
                <w:sz w:val="21"/>
                <w:szCs w:val="21"/>
                <w:color w:val="auto"/>
              </w:rPr>
            </w:pP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r>
      <w:tr>
        <w:trPr>
          <w:trHeight w:val="250"/>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INDONESIA</w:t>
            </w:r>
          </w:p>
        </w:tc>
        <w:tc>
          <w:tcPr>
            <w:tcW w:w="10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r>
      <w:tr>
        <w:trPr>
          <w:trHeight w:val="250"/>
        </w:trPr>
        <w:tc>
          <w:tcPr>
            <w:tcW w:w="1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MEXICO</w:t>
            </w:r>
          </w:p>
        </w:tc>
        <w:tc>
          <w:tcPr>
            <w:tcW w:w="1060" w:type="dxa"/>
            <w:vAlign w:val="bottom"/>
            <w:tcBorders>
              <w:bottom w:val="single" w:sz="8" w:color="auto"/>
              <w:right w:val="single" w:sz="8" w:color="auto"/>
            </w:tcBorders>
            <w:shd w:val="clear" w:color="auto" w:fill="CCEEFF"/>
          </w:tcPr>
          <w:p>
            <w:pPr>
              <w:spacing w:after="0"/>
              <w:rPr>
                <w:sz w:val="21"/>
                <w:szCs w:val="21"/>
                <w:color w:val="auto"/>
              </w:rPr>
            </w:pP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VIETNAM</w:t>
            </w:r>
          </w:p>
        </w:tc>
      </w:tr>
      <w:tr>
        <w:trPr>
          <w:trHeight w:val="675"/>
        </w:trPr>
        <w:tc>
          <w:tcPr>
            <w:tcW w:w="1580" w:type="dxa"/>
            <w:vAlign w:val="bottom"/>
          </w:tcPr>
          <w:p>
            <w:pPr>
              <w:spacing w:after="0"/>
              <w:rPr>
                <w:sz w:val="24"/>
                <w:szCs w:val="24"/>
                <w:color w:val="auto"/>
              </w:rPr>
            </w:pPr>
          </w:p>
        </w:tc>
        <w:tc>
          <w:tcPr>
            <w:tcW w:w="3680" w:type="dxa"/>
            <w:vAlign w:val="bottom"/>
            <w:gridSpan w:val="2"/>
          </w:tcPr>
          <w:p>
            <w:pPr>
              <w:jc w:val="right"/>
              <w:ind w:right="2459"/>
              <w:spacing w:after="0"/>
              <w:rPr>
                <w:sz w:val="20"/>
                <w:szCs w:val="20"/>
                <w:color w:val="auto"/>
              </w:rPr>
            </w:pPr>
            <w:r>
              <w:rPr>
                <w:rFonts w:ascii="Arial" w:cs="Arial" w:eastAsia="Arial" w:hAnsi="Arial"/>
                <w:sz w:val="18"/>
                <w:szCs w:val="18"/>
                <w:color w:val="auto"/>
              </w:rPr>
              <w:t>11</w:t>
            </w:r>
          </w:p>
        </w:tc>
      </w:tr>
    </w:tbl>
    <w:p>
      <w:pPr>
        <w:spacing w:after="0" w:line="1" w:lineRule="exact"/>
        <w:rPr>
          <w:sz w:val="20"/>
          <w:szCs w:val="20"/>
          <w:color w:val="auto"/>
        </w:rPr>
      </w:pPr>
    </w:p>
    <w:sectPr>
      <w:pgSz w:w="11900" w:h="16838" w:orient="portrait"/>
      <w:cols w:equalWidth="0" w:num="1">
        <w:col w:w="9019"/>
      </w:cols>
      <w:pgMar w:left="14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
    <w:nsid w:val="74B0DC5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2019-12-05T17:32:57Z</dcterms:created>
  <dcterms:modified xsi:type="dcterms:W3CDTF">2019-12-05T17:32:57Z</dcterms:modified>
</cp:coreProperties>
</file>