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212090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5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March 20,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227965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62"/>
        </w:trPr>
        <w:tc>
          <w:tcPr>
            <w:tcW w:w="3580" w:type="dxa"/>
            <w:vAlign w:val="bottom"/>
          </w:tcPr>
          <w:p>
            <w:pPr>
              <w:jc w:val="center"/>
              <w:ind w:right="622"/>
              <w:spacing w:after="0"/>
              <w:rPr>
                <w:sz w:val="20"/>
                <w:szCs w:val="20"/>
                <w:color w:val="auto"/>
              </w:rPr>
            </w:pPr>
            <w:r>
              <w:rPr>
                <w:rFonts w:ascii="Arial" w:cs="Arial" w:eastAsia="Arial" w:hAnsi="Arial"/>
                <w:sz w:val="22"/>
                <w:szCs w:val="22"/>
                <w:b w:val="1"/>
                <w:bCs w:val="1"/>
                <w:color w:val="auto"/>
                <w:w w:val="93"/>
              </w:rPr>
              <w:t>Iowa</w:t>
            </w:r>
          </w:p>
        </w:tc>
        <w:tc>
          <w:tcPr>
            <w:tcW w:w="3220" w:type="dxa"/>
            <w:vAlign w:val="bottom"/>
          </w:tcPr>
          <w:p>
            <w:pPr>
              <w:jc w:val="right"/>
              <w:ind w:right="982"/>
              <w:spacing w:after="0"/>
              <w:rPr>
                <w:sz w:val="20"/>
                <w:szCs w:val="20"/>
                <w:color w:val="auto"/>
              </w:rPr>
            </w:pPr>
            <w:r>
              <w:rPr>
                <w:rFonts w:ascii="Arial" w:cs="Arial" w:eastAsia="Arial" w:hAnsi="Arial"/>
                <w:sz w:val="22"/>
                <w:szCs w:val="22"/>
                <w:b w:val="1"/>
                <w:bCs w:val="1"/>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22"/>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19"/>
                <w:szCs w:val="19"/>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53"/>
        </w:trPr>
        <w:tc>
          <w:tcPr>
            <w:tcW w:w="3580" w:type="dxa"/>
            <w:vAlign w:val="bottom"/>
          </w:tcPr>
          <w:p>
            <w:pPr>
              <w:jc w:val="center"/>
              <w:ind w:right="602"/>
              <w:spacing w:after="0"/>
              <w:rPr>
                <w:sz w:val="20"/>
                <w:szCs w:val="20"/>
                <w:color w:val="auto"/>
              </w:rPr>
            </w:pPr>
            <w:r>
              <w:rPr>
                <w:rFonts w:ascii="Arial" w:cs="Arial" w:eastAsia="Arial" w:hAnsi="Arial"/>
                <w:sz w:val="22"/>
                <w:szCs w:val="22"/>
                <w:b w:val="1"/>
                <w:bCs w:val="1"/>
                <w:color w:val="auto"/>
                <w:w w:val="89"/>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498"/>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212" w:lineRule="exact"/>
        <w:rPr>
          <w:sz w:val="24"/>
          <w:szCs w:val="24"/>
          <w:color w:val="auto"/>
        </w:rPr>
      </w:pPr>
    </w:p>
    <w:p>
      <w:pPr>
        <w:ind w:left="2100"/>
        <w:spacing w:after="0"/>
        <w:rPr>
          <w:sz w:val="20"/>
          <w:szCs w:val="20"/>
          <w:color w:val="auto"/>
        </w:rPr>
      </w:pPr>
      <w:r>
        <w:rPr>
          <w:rFonts w:ascii="Arial" w:cs="Arial" w:eastAsia="Arial" w:hAnsi="Arial"/>
          <w:sz w:val="22"/>
          <w:szCs w:val="22"/>
          <w:color w:val="auto"/>
        </w:rPr>
        <w:t>___________________________________________________________________</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222885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00" w:lineRule="exact"/>
        <w:rPr>
          <w:sz w:val="24"/>
          <w:szCs w:val="24"/>
          <w:color w:val="auto"/>
        </w:rPr>
      </w:pPr>
    </w:p>
    <w:p>
      <w:pPr>
        <w:ind w:left="700" w:hanging="692"/>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700" w:hanging="692"/>
        <w:spacing w:after="0"/>
        <w:tabs>
          <w:tab w:leader="none" w:pos="7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1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Winnebago Industries, Inc. is filing herewith a press release issued on March 20, 2008, as Exhibit 99.1 which is included herein. The press release was issued to report earnings for the second quarter and first 27 weeks of fiscal year 2008 ended March 1, 2008.</w:t>
      </w:r>
    </w:p>
    <w:p>
      <w:pPr>
        <w:spacing w:after="0" w:line="99" w:lineRule="exact"/>
        <w:rPr>
          <w:sz w:val="24"/>
          <w:szCs w:val="24"/>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158" w:lineRule="exact"/>
        <w:rPr>
          <w:sz w:val="24"/>
          <w:szCs w:val="24"/>
          <w:color w:val="auto"/>
        </w:rPr>
      </w:pPr>
    </w:p>
    <w:p>
      <w:pPr>
        <w:ind w:left="360"/>
        <w:spacing w:after="0"/>
        <w:tabs>
          <w:tab w:leader="none" w:pos="70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219" w:lineRule="exact"/>
        <w:rPr>
          <w:sz w:val="24"/>
          <w:szCs w:val="24"/>
          <w:color w:val="auto"/>
        </w:rPr>
      </w:pPr>
    </w:p>
    <w:p>
      <w:pPr>
        <w:ind w:left="8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840"/>
        <w:spacing w:after="0"/>
        <w:tabs>
          <w:tab w:leader="none" w:pos="1700" w:val="left"/>
        </w:tabs>
        <w:rPr>
          <w:sz w:val="20"/>
          <w:szCs w:val="20"/>
          <w:color w:val="auto"/>
        </w:rPr>
      </w:pPr>
      <w:r>
        <w:rPr>
          <w:rFonts w:ascii="Arial" w:cs="Arial" w:eastAsia="Arial" w:hAnsi="Arial"/>
          <w:sz w:val="18"/>
          <w:szCs w:val="18"/>
          <w:b w:val="1"/>
          <w:bCs w:val="1"/>
          <w:color w:val="auto"/>
        </w:rPr>
        <w:t>Number</w:t>
        <w:tab/>
        <w:t>Description</w:t>
      </w:r>
    </w:p>
    <w:p>
      <w:pPr>
        <w:spacing w:after="0" w:line="151" w:lineRule="exact"/>
        <w:rPr>
          <w:sz w:val="24"/>
          <w:szCs w:val="24"/>
          <w:color w:val="auto"/>
        </w:rPr>
      </w:pPr>
    </w:p>
    <w:p>
      <w:pPr>
        <w:ind w:left="1000"/>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20, 2008.</w:t>
      </w:r>
    </w:p>
    <w:p>
      <w:pPr>
        <w:spacing w:after="0" w:line="200" w:lineRule="exact"/>
        <w:rPr>
          <w:sz w:val="24"/>
          <w:szCs w:val="24"/>
          <w:color w:val="auto"/>
        </w:rPr>
      </w:pP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4" w:lineRule="exact"/>
        <w:rPr>
          <w:sz w:val="24"/>
          <w:szCs w:val="24"/>
          <w:color w:val="auto"/>
        </w:rPr>
      </w:pPr>
    </w:p>
    <w:p>
      <w:pPr>
        <w:spacing w:after="0"/>
        <w:tabs>
          <w:tab w:leader="none" w:pos="4800" w:val="left"/>
        </w:tabs>
        <w:rPr>
          <w:sz w:val="20"/>
          <w:szCs w:val="20"/>
          <w:color w:val="auto"/>
        </w:rPr>
      </w:pPr>
      <w:r>
        <w:rPr>
          <w:rFonts w:ascii="Arial" w:cs="Arial" w:eastAsia="Arial" w:hAnsi="Arial"/>
          <w:sz w:val="18"/>
          <w:szCs w:val="18"/>
          <w:color w:val="auto"/>
        </w:rPr>
        <w:t>Dated: March 20, 2008</w:t>
      </w:r>
      <w:r>
        <w:rPr>
          <w:sz w:val="20"/>
          <w:szCs w:val="20"/>
          <w:color w:val="auto"/>
        </w:rPr>
        <w:tab/>
      </w:r>
      <w:r>
        <w:rPr>
          <w:rFonts w:ascii="Arial" w:cs="Arial" w:eastAsia="Arial" w:hAnsi="Arial"/>
          <w:sz w:val="22"/>
          <w:szCs w:val="22"/>
          <w:color w:val="auto"/>
        </w:rPr>
        <w:t>W</w:t>
      </w:r>
      <w:r>
        <w:rPr>
          <w:rFonts w:ascii="Arial" w:cs="Arial" w:eastAsia="Arial" w:hAnsi="Arial"/>
          <w:sz w:val="13"/>
          <w:szCs w:val="13"/>
          <w:color w:val="auto"/>
        </w:rPr>
        <w:t>INNEBAGO</w:t>
      </w:r>
      <w:r>
        <w:rPr>
          <w:rFonts w:ascii="Arial" w:cs="Arial" w:eastAsia="Arial" w:hAnsi="Arial"/>
          <w:sz w:val="22"/>
          <w:szCs w:val="22"/>
          <w:color w:val="auto"/>
        </w:rPr>
        <w:t xml:space="preserve"> I</w:t>
      </w:r>
      <w:r>
        <w:rPr>
          <w:rFonts w:ascii="Arial" w:cs="Arial" w:eastAsia="Arial" w:hAnsi="Arial"/>
          <w:sz w:val="13"/>
          <w:szCs w:val="13"/>
          <w:color w:val="auto"/>
        </w:rPr>
        <w:t>NDUSTRIES,</w:t>
      </w:r>
      <w:r>
        <w:rPr>
          <w:rFonts w:ascii="Arial" w:cs="Arial" w:eastAsia="Arial" w:hAnsi="Arial"/>
          <w:sz w:val="22"/>
          <w:szCs w:val="22"/>
          <w:color w:val="auto"/>
        </w:rPr>
        <w:t xml:space="preserve"> I</w:t>
      </w:r>
      <w:r>
        <w:rPr>
          <w:rFonts w:ascii="Arial" w:cs="Arial" w:eastAsia="Arial" w:hAnsi="Arial"/>
          <w:sz w:val="13"/>
          <w:szCs w:val="13"/>
          <w:color w:val="auto"/>
        </w:rPr>
        <w:t>NC.</w:t>
      </w:r>
    </w:p>
    <w:p>
      <w:pPr>
        <w:sectPr>
          <w:pgSz w:w="11900" w:h="16838" w:orient="portrait"/>
          <w:cols w:equalWidth="0" w:num="1">
            <w:col w:w="11260"/>
          </w:cols>
          <w:pgMar w:left="240" w:top="787" w:right="399" w:bottom="0" w:gutter="0" w:footer="0" w:header="0"/>
        </w:sectPr>
      </w:pPr>
    </w:p>
    <w:bookmarkStart w:id="1" w:name="page2"/>
    <w:bookmarkEnd w:id="1"/>
    <w:tbl>
      <w:tblPr>
        <w:tblLayout w:type="fixed"/>
        <w:tblInd w:w="398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17"/>
                <w:szCs w:val="17"/>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48"/>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438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382"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EXHIBIT INDEX</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Number</w:t>
        <w:tab/>
        <w:t>Description</w:t>
      </w:r>
    </w:p>
    <w:p>
      <w:pPr>
        <w:spacing w:after="0" w:line="151" w:lineRule="exact"/>
        <w:rPr>
          <w:sz w:val="20"/>
          <w:szCs w:val="20"/>
          <w:color w:val="auto"/>
        </w:rPr>
      </w:pPr>
    </w:p>
    <w:p>
      <w:pPr>
        <w:ind w:left="160"/>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March 20,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386080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379"/>
          </w:cols>
          <w:pgMar w:left="1080" w:top="338" w:right="1440" w:bottom="1440" w:gutter="0" w:footer="0" w:header="0"/>
        </w:sectPr>
      </w:pPr>
    </w:p>
    <w:bookmarkStart w:id="2" w:name="page3"/>
    <w:bookmarkEnd w:id="2"/>
    <w:p>
      <w:pPr>
        <w:spacing w:after="0" w:line="4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06" w:lineRule="exact"/>
        <w:rPr>
          <w:sz w:val="20"/>
          <w:szCs w:val="20"/>
          <w:color w:val="auto"/>
        </w:rPr>
      </w:pPr>
    </w:p>
    <w:p>
      <w:pPr>
        <w:jc w:val="center"/>
        <w:ind w:left="260" w:right="1720"/>
        <w:spacing w:after="0" w:line="243" w:lineRule="auto"/>
        <w:rPr>
          <w:sz w:val="20"/>
          <w:szCs w:val="20"/>
          <w:color w:val="auto"/>
        </w:rPr>
      </w:pPr>
      <w:r>
        <w:rPr>
          <w:rFonts w:ascii="Arial" w:cs="Arial" w:eastAsia="Arial" w:hAnsi="Arial"/>
          <w:sz w:val="22"/>
          <w:szCs w:val="22"/>
          <w:b w:val="1"/>
          <w:bCs w:val="1"/>
          <w:color w:val="auto"/>
        </w:rPr>
        <w:t>WINNEBAGO INDUSTRIES REPORTS RESULTS FOR SECOND QUARTER AND FIRST 27 WEEKS OF FISCAL YEAR 2008 – Production of new ERA Motor Home Begins –</w:t>
      </w:r>
    </w:p>
    <w:p>
      <w:pPr>
        <w:spacing w:after="0" w:line="1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FOREST CITY, IOWA, March 20, 2008 – Winnebago Industries, Inc. (NYSE:WGO), a leading United States motor home manufacturer, today reported financial results for the Company’s second quarter and first six months of fiscal year 2008 ended March 1, 2008.</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Revenues for the quarter were $164.2 million, a decrease of 17.5 percent, compared to revenues of $199.0 million for the second quarter last fiscal year. Net income for the second quarter was $2.5 million, a decrease of 66.6 percent compared to net income of $7.5 million for the second quarter of fiscal 2007. On a diluted per share basis, the Company earned nine cents a share for the second quarter of fiscal 2008, compared to 24 cents per diluted share for the second quarter last fiscal year.</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Revenues for the first 27 weeks of fiscal 2008 were $379.3 million, a decrease of 5.3 percent, compared to revenues of $400.8 million for the first 26 weeks of fiscal 2007. Net income for the same period was $12.5 million, a decrease of 19.3 percent compared to net income of $15.5 million for the first 26 weeks of fiscal 2007. On a diluted per share basis, the Company earned 43 cents a share for the first 27 weeks of fiscal 2008, compared to 49 cents per diluted share for the first 26 weeks last fiscal year.</w:t>
      </w:r>
    </w:p>
    <w:p>
      <w:pPr>
        <w:spacing w:after="0" w:line="1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“Winnebago Industries remained profitable during our seasonally slowest quarter, despite extremely difficult market conditions,” said Winnebago Industries’ Chairman and CEO Bruce Hertzke</w:t>
      </w:r>
      <w:r>
        <w:rPr>
          <w:rFonts w:ascii="Arial" w:cs="Arial" w:eastAsia="Arial" w:hAnsi="Arial"/>
          <w:sz w:val="18"/>
          <w:szCs w:val="18"/>
          <w:b w:val="1"/>
          <w:bCs w:val="1"/>
          <w:color w:val="auto"/>
        </w:rPr>
        <w:t>.</w:t>
      </w:r>
      <w:r>
        <w:rPr>
          <w:rFonts w:ascii="Arial" w:cs="Arial" w:eastAsia="Arial" w:hAnsi="Arial"/>
          <w:sz w:val="18"/>
          <w:szCs w:val="18"/>
          <w:color w:val="auto"/>
        </w:rPr>
        <w:t xml:space="preserve"> “Revenue and net income were negatively impacted by fewer motor home deliveries, reduced plant efficiencies due to fewer production days, a switch in mix to more Class C motor homes delivered and increased promotional programs, while the Company benefited from an increase in the average selling price for our products in all product categories.”</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“Challenging market conditions have continued to negatively affect the motor home market, with retail sales of Class A and C motor homes for the industry down double digits each of the last three months as reported by Statistical Surveys, Inc. of Grand Rapids, Mich., the retail reporting service for the RV industry,” said Winnebago Industries’ President Bob Olson. “While the Federal Reserve’s interest rate cuts should have a positive impact long-term, the reductions in interest rates have not yet reached the retail customer which may lead potential buyers to delay their purchases. Many economic factors are negatively affecting consumer confidence, resulting in a very soft retail motor home market and reduced demand from our dealers. As a result, we reduced our production levels during the second quarter to more closely match demand. Additionally, our overall employment level was reduced by approximately 300 people, or 9 percent, through layoffs and attrition. These measures were taken to help us achieve our primary objective, which is to build quality motor homes while remaining profitable.” One time severance-related costs of approximately $500,000 were recorded during the quarter within general and administrative expenses.</w:t>
      </w:r>
    </w:p>
    <w:p>
      <w:pPr>
        <w:spacing w:after="0" w:line="17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Olson continued, “On a positive note, we were pleased to deliver our first ERA Class B motor home during the second quarter. This new product was well received when introduced at the National RV Trade Show in Louisville, Kentucky last November and we began production near the end of the second quarter. We have had a tremendous amount of interest in the new ERA from dealers wishing to include it in their product lines and currently have approximately 50 dealers signed on to carry this new product. We will continue to add dealers as we are able to increase production of this new product throughout the second half of fiscal 2008. We are looking forward to the opportunities that this incremental new product will provide us.”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of March 1, 2008, the Company held $54.2 million of investments in highly-rated (94% AAA/Aaa rated &amp; the remaining 6% A rated) tax-exempt auction rate securities, with the vast majority collateralized by student loans guaranteed by the U.S. government under the Federal Family Education Loan Program with the remaining securities backed by monoline insurance companies. Up until February 2008, the tax-exempt auction rate securities market was highly liquid, therefore we have historically classified these as short-term investments. During the week of February 11, 2008, a substantial number of auctions “failed,” meaning that there was not enough demand to sell the entire issue at auction. The immediate effect of a failed auction is that holders cannot sell the securities and the interest rate on the security generally resets to a “penalty” rate. In the case of a failed auction, the auction rate security is deemed not currently liquid and in the event there is a need to access these funds, the Company may not be able to do so without a loss of principal, unless a future auction on these investments is successful or the issuer calls the security. The securities for which auctions have failed will continue to accrue interest at the contractual rate and be auctioned generally every 7 to 35 days until the auction succeeds, the issuer calls the securities or they mature.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40"/>
        <w:spacing w:after="0" w:line="302" w:lineRule="auto"/>
        <w:rPr>
          <w:sz w:val="20"/>
          <w:szCs w:val="20"/>
          <w:color w:val="auto"/>
        </w:rPr>
      </w:pPr>
      <w:r>
        <w:rPr>
          <w:rFonts w:ascii="Arial" w:cs="Arial" w:eastAsia="Arial" w:hAnsi="Arial"/>
          <w:sz w:val="15"/>
          <w:szCs w:val="15"/>
          <w:color w:val="auto"/>
        </w:rPr>
        <w:t>These investments have been reclassified as long-term investments in the unaudited consolidated condensed balance sheet as of March 1, 2008 and are recorded at par value. The Company believes that long term classification is appropriate due to the uncertainty of when there will be the ability to sell these securities. The Company is currently evaluating if these investments are appropriately valued at par value and will resolve this upon filing the 10-Q for the second fiscal quarter which will be no later than April 10, 2008. If these long-term investments are deemed to be temporarily impaired, the valuation will be adjusted and the offsetting entry will be made to stockholder’s equity. The Company continues to believe that it will ultimately recover all amounts invested in these auction rate securities.</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Management does not believe that the current illiquidity of these securities will have a material impact on the Company’s ability to execute the current business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March 1, 2008, $60 million remains available under the December 19, 2007 Board of Directors common stock repurchase authorization.</w:t>
      </w:r>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Thursday, March 20, 2008.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color w:val="auto"/>
        </w:rPr>
        <w:t>Winnebago Industries, Inc. is a leading U.S. manufacturer of motor homes which are self-contained recreation vehicles used primarily in leisure travel and outdoor recreation activities. The Company builds quality motor homes under the Winnebago and Itasca brand names with state-of-the-art computer-aided design</w:t>
      </w:r>
    </w:p>
    <w:p>
      <w:pPr>
        <w:sectPr>
          <w:pgSz w:w="11900" w:h="16888" w:orient="portrait"/>
          <w:cols w:equalWidth="0" w:num="1">
            <w:col w:w="11420"/>
          </w:cols>
          <w:pgMar w:left="240" w:top="814" w:right="239" w:bottom="0" w:gutter="0" w:footer="0" w:header="0"/>
        </w:sectPr>
      </w:pPr>
    </w:p>
    <w:bookmarkStart w:id="3" w:name="page4"/>
    <w:bookmarkEnd w:id="3"/>
    <w:p>
      <w:pPr>
        <w:ind w:right="320"/>
        <w:spacing w:after="0" w:line="298" w:lineRule="auto"/>
        <w:rPr>
          <w:sz w:val="20"/>
          <w:szCs w:val="20"/>
          <w:color w:val="auto"/>
        </w:rPr>
      </w:pPr>
      <w:r>
        <w:rPr>
          <w:rFonts w:ascii="Arial" w:cs="Arial" w:eastAsia="Arial" w:hAnsi="Arial"/>
          <w:sz w:val="16"/>
          <w:szCs w:val="16"/>
          <w:color w:val="auto"/>
        </w:rPr>
        <w:t xml:space="preserve">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6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the effect of global tensions, declines in consumer confidence, the availability and price of fuel, a significant increase in interest rates, a slowdown in the economy, availability of chassis or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ind w:left="502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w w:val="99"/>
              </w:rPr>
              <w:t>Thirteen Weeks Ended</w:t>
            </w: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114"/>
              <w:spacing w:after="0"/>
              <w:rPr>
                <w:sz w:val="20"/>
                <w:szCs w:val="20"/>
                <w:color w:val="auto"/>
              </w:rPr>
            </w:pPr>
            <w:r>
              <w:rPr>
                <w:rFonts w:ascii="Arial" w:cs="Arial" w:eastAsia="Arial" w:hAnsi="Arial"/>
                <w:sz w:val="14"/>
                <w:szCs w:val="14"/>
                <w:b w:val="1"/>
                <w:bCs w:val="1"/>
                <w:color w:val="auto"/>
                <w:w w:val="89"/>
              </w:rPr>
              <w:t>March 1, 2008</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February 24, 2007</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31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480" w:type="dxa"/>
            <w:vAlign w:val="bottom"/>
            <w:shd w:val="clear" w:color="auto" w:fill="D6F3E8"/>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164,203</w:t>
            </w:r>
          </w:p>
        </w:tc>
        <w:tc>
          <w:tcPr>
            <w:tcW w:w="34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D6F3E8"/>
          </w:tcPr>
          <w:p>
            <w:pPr>
              <w:spacing w:after="0"/>
              <w:rPr>
                <w:sz w:val="19"/>
                <w:szCs w:val="19"/>
                <w:color w:val="auto"/>
              </w:rPr>
            </w:pPr>
          </w:p>
        </w:tc>
        <w:tc>
          <w:tcPr>
            <w:tcW w:w="680" w:type="dxa"/>
            <w:vAlign w:val="bottom"/>
            <w:shd w:val="clear" w:color="auto" w:fill="D6F3E8"/>
          </w:tcPr>
          <w:p>
            <w:pPr>
              <w:jc w:val="right"/>
              <w:ind w:right="4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199,014</w:t>
            </w:r>
          </w:p>
        </w:tc>
        <w:tc>
          <w:tcPr>
            <w:tcW w:w="220" w:type="dxa"/>
            <w:vAlign w:val="bottom"/>
            <w:shd w:val="clear" w:color="auto" w:fill="D6F3E8"/>
          </w:tcPr>
          <w:p>
            <w:pPr>
              <w:spacing w:after="0"/>
              <w:rPr>
                <w:sz w:val="19"/>
                <w:szCs w:val="19"/>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0"/>
                <w:szCs w:val="20"/>
                <w:color w:val="auto"/>
              </w:rPr>
            </w:pPr>
            <w:r>
              <w:rPr>
                <w:rFonts w:ascii="Arial" w:cs="Arial" w:eastAsia="Arial" w:hAnsi="Arial"/>
                <w:sz w:val="18"/>
                <w:szCs w:val="18"/>
                <w:color w:val="auto"/>
              </w:rPr>
              <w:t>Cost of goods sold</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152,034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92.6</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180,049</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D6F3E8"/>
          </w:tcPr>
          <w:p>
            <w:pPr>
              <w:ind w:left="32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vMerge w:val="continue"/>
            <w:shd w:val="clear" w:color="auto" w:fill="D6F3E8"/>
          </w:tcPr>
          <w:p>
            <w:pPr>
              <w:spacing w:after="0"/>
              <w:rPr>
                <w:sz w:val="19"/>
                <w:szCs w:val="19"/>
                <w:color w:val="auto"/>
              </w:rPr>
            </w:pPr>
          </w:p>
        </w:tc>
        <w:tc>
          <w:tcPr>
            <w:tcW w:w="480" w:type="dxa"/>
            <w:vAlign w:val="bottom"/>
            <w:shd w:val="clear" w:color="auto" w:fill="D6F3E8"/>
          </w:tcPr>
          <w:p>
            <w:pPr>
              <w:spacing w:after="0"/>
              <w:rPr>
                <w:sz w:val="19"/>
                <w:szCs w:val="19"/>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12,169</w:t>
            </w:r>
          </w:p>
        </w:tc>
        <w:tc>
          <w:tcPr>
            <w:tcW w:w="34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D6F3E8"/>
          </w:tcPr>
          <w:p>
            <w:pPr>
              <w:spacing w:after="0"/>
              <w:rPr>
                <w:sz w:val="19"/>
                <w:szCs w:val="19"/>
                <w:color w:val="auto"/>
              </w:rPr>
            </w:pPr>
          </w:p>
        </w:tc>
        <w:tc>
          <w:tcPr>
            <w:tcW w:w="680" w:type="dxa"/>
            <w:vAlign w:val="bottom"/>
            <w:shd w:val="clear" w:color="auto" w:fill="D6F3E8"/>
          </w:tcPr>
          <w:p>
            <w:pPr>
              <w:spacing w:after="0"/>
              <w:rPr>
                <w:sz w:val="19"/>
                <w:szCs w:val="19"/>
                <w:color w:val="auto"/>
              </w:rPr>
            </w:pP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18,965</w:t>
            </w:r>
          </w:p>
        </w:tc>
        <w:tc>
          <w:tcPr>
            <w:tcW w:w="220" w:type="dxa"/>
            <w:vAlign w:val="bottom"/>
            <w:shd w:val="clear" w:color="auto" w:fill="D6F3E8"/>
          </w:tcPr>
          <w:p>
            <w:pPr>
              <w:spacing w:after="0"/>
              <w:rPr>
                <w:sz w:val="19"/>
                <w:szCs w:val="19"/>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4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320"/>
              <w:spacing w:after="0"/>
              <w:rPr>
                <w:sz w:val="20"/>
                <w:szCs w:val="20"/>
                <w:color w:val="auto"/>
              </w:rPr>
            </w:pPr>
            <w:r>
              <w:rPr>
                <w:rFonts w:ascii="Arial" w:cs="Arial" w:eastAsia="Arial" w:hAnsi="Arial"/>
                <w:sz w:val="18"/>
                <w:szCs w:val="18"/>
                <w:color w:val="auto"/>
              </w:rPr>
              <w:t>Selling</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4,315</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D6F3E8"/>
          </w:tcPr>
          <w:p>
            <w:pPr>
              <w:spacing w:after="0"/>
              <w:rPr>
                <w:sz w:val="21"/>
                <w:szCs w:val="21"/>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5,457</w:t>
            </w:r>
          </w:p>
        </w:tc>
        <w:tc>
          <w:tcPr>
            <w:tcW w:w="34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D6F3E8"/>
          </w:tcPr>
          <w:p>
            <w:pPr>
              <w:spacing w:after="0"/>
              <w:rPr>
                <w:sz w:val="21"/>
                <w:szCs w:val="21"/>
                <w:color w:val="auto"/>
              </w:rPr>
            </w:pPr>
          </w:p>
        </w:tc>
        <w:tc>
          <w:tcPr>
            <w:tcW w:w="680" w:type="dxa"/>
            <w:vAlign w:val="bottom"/>
            <w:shd w:val="clear" w:color="auto" w:fill="D6F3E8"/>
          </w:tcPr>
          <w:p>
            <w:pPr>
              <w:spacing w:after="0"/>
              <w:rPr>
                <w:sz w:val="21"/>
                <w:szCs w:val="21"/>
                <w:color w:val="auto"/>
              </w:rPr>
            </w:pP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5,290</w:t>
            </w:r>
          </w:p>
        </w:tc>
        <w:tc>
          <w:tcPr>
            <w:tcW w:w="22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32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9,715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9,605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4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Operating income</w:t>
            </w:r>
          </w:p>
        </w:tc>
        <w:tc>
          <w:tcPr>
            <w:tcW w:w="48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2,454</w:t>
            </w:r>
          </w:p>
        </w:tc>
        <w:tc>
          <w:tcPr>
            <w:tcW w:w="34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9,360</w:t>
            </w:r>
          </w:p>
        </w:tc>
        <w:tc>
          <w:tcPr>
            <w:tcW w:w="34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r>
              <w:rPr>
                <w:rFonts w:ascii="Arial" w:cs="Arial" w:eastAsia="Arial" w:hAnsi="Arial"/>
                <w:sz w:val="18"/>
                <w:szCs w:val="18"/>
                <w:color w:val="auto"/>
              </w:rPr>
              <w:t>Financial income</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1,602</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44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3,690</w:t>
            </w:r>
          </w:p>
        </w:tc>
        <w:tc>
          <w:tcPr>
            <w:tcW w:w="34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10,962</w:t>
            </w:r>
          </w:p>
        </w:tc>
        <w:tc>
          <w:tcPr>
            <w:tcW w:w="34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0"/>
                <w:szCs w:val="20"/>
                <w:color w:val="auto"/>
              </w:rPr>
            </w:pPr>
            <w:r>
              <w:rPr>
                <w:rFonts w:ascii="Arial" w:cs="Arial" w:eastAsia="Arial" w:hAnsi="Arial"/>
                <w:sz w:val="18"/>
                <w:szCs w:val="18"/>
                <w:color w:val="auto"/>
              </w:rPr>
              <w:t>Provision for taxes</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3,430</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shd w:val="clear" w:color="auto" w:fill="D6F3E8"/>
          </w:tcPr>
          <w:p>
            <w:pPr>
              <w:spacing w:after="0"/>
              <w:rPr>
                <w:sz w:val="19"/>
                <w:szCs w:val="19"/>
                <w:color w:val="auto"/>
              </w:rPr>
            </w:pPr>
          </w:p>
        </w:tc>
        <w:tc>
          <w:tcPr>
            <w:tcW w:w="480" w:type="dxa"/>
            <w:vAlign w:val="bottom"/>
            <w:shd w:val="clear" w:color="auto" w:fill="D6F3E8"/>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2,517</w:t>
            </w:r>
          </w:p>
        </w:tc>
        <w:tc>
          <w:tcPr>
            <w:tcW w:w="34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D6F3E8"/>
          </w:tcPr>
          <w:p>
            <w:pPr>
              <w:spacing w:after="0"/>
              <w:rPr>
                <w:sz w:val="19"/>
                <w:szCs w:val="19"/>
                <w:color w:val="auto"/>
              </w:rPr>
            </w:pPr>
          </w:p>
        </w:tc>
        <w:tc>
          <w:tcPr>
            <w:tcW w:w="680" w:type="dxa"/>
            <w:vAlign w:val="bottom"/>
            <w:shd w:val="clear" w:color="auto" w:fill="D6F3E8"/>
          </w:tcPr>
          <w:p>
            <w:pPr>
              <w:jc w:val="right"/>
              <w:ind w:right="4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7,532</w:t>
            </w:r>
          </w:p>
        </w:tc>
        <w:tc>
          <w:tcPr>
            <w:tcW w:w="220" w:type="dxa"/>
            <w:vAlign w:val="bottom"/>
            <w:shd w:val="clear" w:color="auto" w:fill="D6F3E8"/>
          </w:tcPr>
          <w:p>
            <w:pPr>
              <w:spacing w:after="0"/>
              <w:rPr>
                <w:sz w:val="19"/>
                <w:szCs w:val="19"/>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Income per common share: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320"/>
              <w:spacing w:after="0"/>
              <w:rPr>
                <w:sz w:val="20"/>
                <w:szCs w:val="20"/>
                <w:color w:val="auto"/>
              </w:rPr>
            </w:pPr>
            <w:r>
              <w:rPr>
                <w:rFonts w:ascii="Arial" w:cs="Arial" w:eastAsia="Arial" w:hAnsi="Arial"/>
                <w:sz w:val="18"/>
                <w:szCs w:val="18"/>
                <w:color w:val="auto"/>
              </w:rPr>
              <w:t>Basic</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49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D6F3E8"/>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700" w:type="dxa"/>
            <w:vAlign w:val="bottom"/>
            <w:shd w:val="clear" w:color="auto" w:fill="D6F3E8"/>
          </w:tcPr>
          <w:p>
            <w:pPr>
              <w:spacing w:after="0"/>
              <w:rPr>
                <w:sz w:val="20"/>
                <w:szCs w:val="20"/>
                <w:color w:val="auto"/>
              </w:rPr>
            </w:pPr>
          </w:p>
        </w:tc>
        <w:tc>
          <w:tcPr>
            <w:tcW w:w="320" w:type="dxa"/>
            <w:vAlign w:val="bottom"/>
            <w:shd w:val="clear" w:color="auto" w:fill="D6F3E8"/>
          </w:tcPr>
          <w:p>
            <w:pPr>
              <w:spacing w:after="0"/>
              <w:rPr>
                <w:sz w:val="20"/>
                <w:szCs w:val="20"/>
                <w:color w:val="auto"/>
              </w:rPr>
            </w:pPr>
          </w:p>
        </w:tc>
        <w:tc>
          <w:tcPr>
            <w:tcW w:w="680" w:type="dxa"/>
            <w:vAlign w:val="bottom"/>
            <w:shd w:val="clear" w:color="auto" w:fill="D6F3E8"/>
          </w:tcPr>
          <w:p>
            <w:pPr>
              <w:jc w:val="right"/>
              <w:ind w:right="4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D6F3E8"/>
          </w:tcPr>
          <w:p>
            <w:pPr>
              <w:spacing w:after="0"/>
              <w:rPr>
                <w:sz w:val="20"/>
                <w:szCs w:val="20"/>
                <w:color w:val="auto"/>
              </w:rPr>
            </w:pPr>
          </w:p>
        </w:tc>
        <w:tc>
          <w:tcPr>
            <w:tcW w:w="68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32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28,964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31,459</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D6F3E8"/>
          </w:tcPr>
          <w:p>
            <w:pPr>
              <w:spacing w:after="0"/>
              <w:rPr>
                <w:sz w:val="20"/>
                <w:szCs w:val="20"/>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29,034</w:t>
            </w:r>
          </w:p>
        </w:tc>
        <w:tc>
          <w:tcPr>
            <w:tcW w:w="34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700" w:type="dxa"/>
            <w:vAlign w:val="bottom"/>
            <w:shd w:val="clear" w:color="auto" w:fill="D6F3E8"/>
          </w:tcPr>
          <w:p>
            <w:pPr>
              <w:spacing w:after="0"/>
              <w:rPr>
                <w:sz w:val="20"/>
                <w:szCs w:val="20"/>
                <w:color w:val="auto"/>
              </w:rPr>
            </w:pPr>
          </w:p>
        </w:tc>
        <w:tc>
          <w:tcPr>
            <w:tcW w:w="320" w:type="dxa"/>
            <w:vAlign w:val="bottom"/>
            <w:shd w:val="clear" w:color="auto" w:fill="D6F3E8"/>
          </w:tcPr>
          <w:p>
            <w:pPr>
              <w:spacing w:after="0"/>
              <w:rPr>
                <w:sz w:val="20"/>
                <w:szCs w:val="20"/>
                <w:color w:val="auto"/>
              </w:rPr>
            </w:pPr>
          </w:p>
        </w:tc>
        <w:tc>
          <w:tcPr>
            <w:tcW w:w="680" w:type="dxa"/>
            <w:vAlign w:val="bottom"/>
            <w:shd w:val="clear" w:color="auto" w:fill="D6F3E8"/>
          </w:tcPr>
          <w:p>
            <w:pPr>
              <w:spacing w:after="0"/>
              <w:rPr>
                <w:sz w:val="20"/>
                <w:szCs w:val="20"/>
                <w:color w:val="auto"/>
              </w:rPr>
            </w:pP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31,764</w:t>
            </w:r>
          </w:p>
        </w:tc>
        <w:tc>
          <w:tcPr>
            <w:tcW w:w="220" w:type="dxa"/>
            <w:vAlign w:val="bottom"/>
            <w:shd w:val="clear" w:color="auto" w:fill="D6F3E8"/>
          </w:tcPr>
          <w:p>
            <w:pPr>
              <w:spacing w:after="0"/>
              <w:rPr>
                <w:sz w:val="20"/>
                <w:szCs w:val="20"/>
                <w:color w:val="auto"/>
              </w:rPr>
            </w:pPr>
          </w:p>
        </w:tc>
        <w:tc>
          <w:tcPr>
            <w:tcW w:w="68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86"/>
              </w:rPr>
              <w:t>27 Weeks Ended</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26 Weeks Ended</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154"/>
              <w:spacing w:after="0"/>
              <w:rPr>
                <w:sz w:val="20"/>
                <w:szCs w:val="20"/>
                <w:color w:val="auto"/>
              </w:rPr>
            </w:pPr>
            <w:r>
              <w:rPr>
                <w:rFonts w:ascii="Arial" w:cs="Arial" w:eastAsia="Arial" w:hAnsi="Arial"/>
                <w:sz w:val="14"/>
                <w:szCs w:val="14"/>
                <w:b w:val="1"/>
                <w:bCs w:val="1"/>
                <w:color w:val="auto"/>
                <w:w w:val="89"/>
              </w:rPr>
              <w:t>March 1, 2008</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February 24, 2007</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315"/>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9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480" w:type="dxa"/>
            <w:vAlign w:val="bottom"/>
            <w:shd w:val="clear" w:color="auto" w:fill="D6F3E8"/>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379,345</w:t>
            </w:r>
          </w:p>
        </w:tc>
        <w:tc>
          <w:tcPr>
            <w:tcW w:w="34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D6F3E8"/>
          </w:tcPr>
          <w:p>
            <w:pPr>
              <w:spacing w:after="0"/>
              <w:rPr>
                <w:sz w:val="19"/>
                <w:szCs w:val="19"/>
                <w:color w:val="auto"/>
              </w:rPr>
            </w:pPr>
          </w:p>
        </w:tc>
        <w:tc>
          <w:tcPr>
            <w:tcW w:w="680" w:type="dxa"/>
            <w:vAlign w:val="bottom"/>
            <w:shd w:val="clear" w:color="auto" w:fill="D6F3E8"/>
          </w:tcPr>
          <w:p>
            <w:pPr>
              <w:jc w:val="right"/>
              <w:ind w:right="4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400,779</w:t>
            </w:r>
          </w:p>
        </w:tc>
        <w:tc>
          <w:tcPr>
            <w:tcW w:w="220" w:type="dxa"/>
            <w:vAlign w:val="bottom"/>
            <w:shd w:val="clear" w:color="auto" w:fill="D6F3E8"/>
          </w:tcPr>
          <w:p>
            <w:pPr>
              <w:spacing w:after="0"/>
              <w:rPr>
                <w:sz w:val="19"/>
                <w:szCs w:val="19"/>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0"/>
                <w:szCs w:val="20"/>
                <w:color w:val="auto"/>
              </w:rPr>
            </w:pPr>
            <w:r>
              <w:rPr>
                <w:rFonts w:ascii="Arial" w:cs="Arial" w:eastAsia="Arial" w:hAnsi="Arial"/>
                <w:sz w:val="18"/>
                <w:szCs w:val="18"/>
                <w:color w:val="auto"/>
              </w:rPr>
              <w:t>Cost of goods sold</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341,536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360,430</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D6F3E8"/>
          </w:tcPr>
          <w:p>
            <w:pPr>
              <w:ind w:left="320"/>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40" w:type="dxa"/>
            <w:vAlign w:val="bottom"/>
            <w:vMerge w:val="continue"/>
            <w:shd w:val="clear" w:color="auto" w:fill="D6F3E8"/>
          </w:tcPr>
          <w:p>
            <w:pPr>
              <w:spacing w:after="0"/>
              <w:rPr>
                <w:sz w:val="19"/>
                <w:szCs w:val="19"/>
                <w:color w:val="auto"/>
              </w:rPr>
            </w:pPr>
          </w:p>
        </w:tc>
        <w:tc>
          <w:tcPr>
            <w:tcW w:w="480" w:type="dxa"/>
            <w:vAlign w:val="bottom"/>
            <w:shd w:val="clear" w:color="auto" w:fill="D6F3E8"/>
          </w:tcPr>
          <w:p>
            <w:pPr>
              <w:spacing w:after="0"/>
              <w:rPr>
                <w:sz w:val="19"/>
                <w:szCs w:val="19"/>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37,809</w:t>
            </w:r>
          </w:p>
        </w:tc>
        <w:tc>
          <w:tcPr>
            <w:tcW w:w="34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D6F3E8"/>
          </w:tcPr>
          <w:p>
            <w:pPr>
              <w:spacing w:after="0"/>
              <w:rPr>
                <w:sz w:val="19"/>
                <w:szCs w:val="19"/>
                <w:color w:val="auto"/>
              </w:rPr>
            </w:pPr>
          </w:p>
        </w:tc>
        <w:tc>
          <w:tcPr>
            <w:tcW w:w="680" w:type="dxa"/>
            <w:vAlign w:val="bottom"/>
            <w:shd w:val="clear" w:color="auto" w:fill="D6F3E8"/>
          </w:tcPr>
          <w:p>
            <w:pPr>
              <w:spacing w:after="0"/>
              <w:rPr>
                <w:sz w:val="19"/>
                <w:szCs w:val="19"/>
                <w:color w:val="auto"/>
              </w:rPr>
            </w:pP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40,349</w:t>
            </w:r>
          </w:p>
        </w:tc>
        <w:tc>
          <w:tcPr>
            <w:tcW w:w="220" w:type="dxa"/>
            <w:vAlign w:val="bottom"/>
            <w:shd w:val="clear" w:color="auto" w:fill="D6F3E8"/>
          </w:tcPr>
          <w:p>
            <w:pPr>
              <w:spacing w:after="0"/>
              <w:rPr>
                <w:sz w:val="19"/>
                <w:szCs w:val="19"/>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4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320"/>
              <w:spacing w:after="0"/>
              <w:rPr>
                <w:sz w:val="20"/>
                <w:szCs w:val="20"/>
                <w:color w:val="auto"/>
              </w:rPr>
            </w:pPr>
            <w:r>
              <w:rPr>
                <w:rFonts w:ascii="Arial" w:cs="Arial" w:eastAsia="Arial" w:hAnsi="Arial"/>
                <w:sz w:val="18"/>
                <w:szCs w:val="18"/>
                <w:color w:val="auto"/>
              </w:rPr>
              <w:t>Selling</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9,863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9,042</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D6F3E8"/>
          </w:tcPr>
          <w:p>
            <w:pPr>
              <w:spacing w:after="0"/>
              <w:rPr>
                <w:sz w:val="21"/>
                <w:szCs w:val="21"/>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11,908</w:t>
            </w:r>
          </w:p>
        </w:tc>
        <w:tc>
          <w:tcPr>
            <w:tcW w:w="34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D6F3E8"/>
          </w:tcPr>
          <w:p>
            <w:pPr>
              <w:spacing w:after="0"/>
              <w:rPr>
                <w:sz w:val="21"/>
                <w:szCs w:val="21"/>
                <w:color w:val="auto"/>
              </w:rPr>
            </w:pPr>
          </w:p>
        </w:tc>
        <w:tc>
          <w:tcPr>
            <w:tcW w:w="680" w:type="dxa"/>
            <w:vAlign w:val="bottom"/>
            <w:shd w:val="clear" w:color="auto" w:fill="D6F3E8"/>
          </w:tcPr>
          <w:p>
            <w:pPr>
              <w:spacing w:after="0"/>
              <w:rPr>
                <w:sz w:val="21"/>
                <w:szCs w:val="21"/>
                <w:color w:val="auto"/>
              </w:rPr>
            </w:pP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11,807</w:t>
            </w:r>
          </w:p>
        </w:tc>
        <w:tc>
          <w:tcPr>
            <w:tcW w:w="22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320"/>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21,771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20,849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4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Operating income</w:t>
            </w:r>
          </w:p>
        </w:tc>
        <w:tc>
          <w:tcPr>
            <w:tcW w:w="48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16,038</w:t>
            </w:r>
          </w:p>
        </w:tc>
        <w:tc>
          <w:tcPr>
            <w:tcW w:w="34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19,500</w:t>
            </w:r>
          </w:p>
        </w:tc>
        <w:tc>
          <w:tcPr>
            <w:tcW w:w="34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40" w:type="dxa"/>
            <w:vAlign w:val="bottom"/>
          </w:tcPr>
          <w:p>
            <w:pPr>
              <w:spacing w:after="0"/>
              <w:rPr>
                <w:sz w:val="20"/>
                <w:szCs w:val="20"/>
                <w:color w:val="auto"/>
              </w:rPr>
            </w:pPr>
            <w:r>
              <w:rPr>
                <w:rFonts w:ascii="Arial" w:cs="Arial" w:eastAsia="Arial" w:hAnsi="Arial"/>
                <w:sz w:val="18"/>
                <w:szCs w:val="18"/>
                <w:color w:val="auto"/>
              </w:rPr>
              <w:t>Financial income</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3,165</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440" w:type="dxa"/>
            <w:vAlign w:val="bottom"/>
            <w:tcBorders>
              <w:top w:val="single" w:sz="8" w:color="D6F3E8"/>
            </w:tcBorders>
            <w:shd w:val="clear" w:color="auto" w:fill="D6F3E8"/>
          </w:tcPr>
          <w:p>
            <w:pPr>
              <w:spacing w:after="0" w:line="205" w:lineRule="exact"/>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shd w:val="clear" w:color="auto" w:fill="D6F3E8"/>
          </w:tcPr>
          <w:p>
            <w:pPr>
              <w:spacing w:after="0"/>
              <w:rPr>
                <w:sz w:val="18"/>
                <w:szCs w:val="18"/>
                <w:color w:val="auto"/>
              </w:rPr>
            </w:pP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18,514</w:t>
            </w:r>
          </w:p>
        </w:tc>
        <w:tc>
          <w:tcPr>
            <w:tcW w:w="34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320" w:type="dxa"/>
            <w:vAlign w:val="bottom"/>
            <w:tcBorders>
              <w:top w:val="single" w:sz="8" w:color="D6F3E8"/>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22,665</w:t>
            </w:r>
          </w:p>
        </w:tc>
        <w:tc>
          <w:tcPr>
            <w:tcW w:w="34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440" w:type="dxa"/>
            <w:vAlign w:val="bottom"/>
          </w:tcPr>
          <w:p>
            <w:pPr>
              <w:spacing w:after="0"/>
              <w:rPr>
                <w:sz w:val="20"/>
                <w:szCs w:val="20"/>
                <w:color w:val="auto"/>
              </w:rPr>
            </w:pPr>
            <w:r>
              <w:rPr>
                <w:rFonts w:ascii="Arial" w:cs="Arial" w:eastAsia="Arial" w:hAnsi="Arial"/>
                <w:sz w:val="18"/>
                <w:szCs w:val="18"/>
                <w:color w:val="auto"/>
              </w:rPr>
              <w:t>Provision for taxes</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6,035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7,197</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shd w:val="clear" w:color="auto" w:fill="D6F3E8"/>
          </w:tcPr>
          <w:p>
            <w:pPr>
              <w:spacing w:after="0"/>
              <w:rPr>
                <w:sz w:val="19"/>
                <w:szCs w:val="19"/>
                <w:color w:val="auto"/>
              </w:rPr>
            </w:pPr>
          </w:p>
        </w:tc>
        <w:tc>
          <w:tcPr>
            <w:tcW w:w="480" w:type="dxa"/>
            <w:vAlign w:val="bottom"/>
            <w:shd w:val="clear" w:color="auto" w:fill="D6F3E8"/>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12,479</w:t>
            </w:r>
          </w:p>
        </w:tc>
        <w:tc>
          <w:tcPr>
            <w:tcW w:w="34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D6F3E8"/>
          </w:tcPr>
          <w:p>
            <w:pPr>
              <w:spacing w:after="0"/>
              <w:rPr>
                <w:sz w:val="19"/>
                <w:szCs w:val="19"/>
                <w:color w:val="auto"/>
              </w:rPr>
            </w:pPr>
          </w:p>
        </w:tc>
        <w:tc>
          <w:tcPr>
            <w:tcW w:w="680" w:type="dxa"/>
            <w:vAlign w:val="bottom"/>
            <w:shd w:val="clear" w:color="auto" w:fill="D6F3E8"/>
          </w:tcPr>
          <w:p>
            <w:pPr>
              <w:jc w:val="right"/>
              <w:ind w:right="4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15,468</w:t>
            </w:r>
          </w:p>
        </w:tc>
        <w:tc>
          <w:tcPr>
            <w:tcW w:w="220" w:type="dxa"/>
            <w:vAlign w:val="bottom"/>
            <w:shd w:val="clear" w:color="auto" w:fill="D6F3E8"/>
          </w:tcPr>
          <w:p>
            <w:pPr>
              <w:spacing w:after="0"/>
              <w:rPr>
                <w:sz w:val="19"/>
                <w:szCs w:val="19"/>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Income per common share: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D6F3E8"/>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320"/>
              <w:spacing w:after="0"/>
              <w:rPr>
                <w:sz w:val="20"/>
                <w:szCs w:val="20"/>
                <w:color w:val="auto"/>
              </w:rPr>
            </w:pPr>
            <w:r>
              <w:rPr>
                <w:rFonts w:ascii="Arial" w:cs="Arial" w:eastAsia="Arial" w:hAnsi="Arial"/>
                <w:sz w:val="18"/>
                <w:szCs w:val="18"/>
                <w:color w:val="auto"/>
              </w:rPr>
              <w:t>Basic</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49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0.49</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D6F3E8"/>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0.43</w:t>
            </w:r>
          </w:p>
        </w:tc>
        <w:tc>
          <w:tcPr>
            <w:tcW w:w="34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700" w:type="dxa"/>
            <w:vAlign w:val="bottom"/>
            <w:shd w:val="clear" w:color="auto" w:fill="D6F3E8"/>
          </w:tcPr>
          <w:p>
            <w:pPr>
              <w:spacing w:after="0"/>
              <w:rPr>
                <w:sz w:val="20"/>
                <w:szCs w:val="20"/>
                <w:color w:val="auto"/>
              </w:rPr>
            </w:pPr>
          </w:p>
        </w:tc>
        <w:tc>
          <w:tcPr>
            <w:tcW w:w="320" w:type="dxa"/>
            <w:vAlign w:val="bottom"/>
            <w:shd w:val="clear" w:color="auto" w:fill="D6F3E8"/>
          </w:tcPr>
          <w:p>
            <w:pPr>
              <w:spacing w:after="0"/>
              <w:rPr>
                <w:sz w:val="20"/>
                <w:szCs w:val="20"/>
                <w:color w:val="auto"/>
              </w:rPr>
            </w:pPr>
          </w:p>
        </w:tc>
        <w:tc>
          <w:tcPr>
            <w:tcW w:w="680" w:type="dxa"/>
            <w:vAlign w:val="bottom"/>
            <w:shd w:val="clear" w:color="auto" w:fill="D6F3E8"/>
          </w:tcPr>
          <w:p>
            <w:pPr>
              <w:jc w:val="right"/>
              <w:ind w:right="49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D6F3E8"/>
          </w:tcPr>
          <w:p>
            <w:pPr>
              <w:spacing w:after="0"/>
              <w:rPr>
                <w:sz w:val="20"/>
                <w:szCs w:val="20"/>
                <w:color w:val="auto"/>
              </w:rPr>
            </w:pPr>
          </w:p>
        </w:tc>
        <w:tc>
          <w:tcPr>
            <w:tcW w:w="68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32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29,165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31,354</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44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D6F3E8"/>
          </w:tcPr>
          <w:p>
            <w:pPr>
              <w:spacing w:after="0"/>
              <w:rPr>
                <w:sz w:val="20"/>
                <w:szCs w:val="20"/>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29,245</w:t>
            </w:r>
          </w:p>
        </w:tc>
        <w:tc>
          <w:tcPr>
            <w:tcW w:w="34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700" w:type="dxa"/>
            <w:vAlign w:val="bottom"/>
            <w:shd w:val="clear" w:color="auto" w:fill="D6F3E8"/>
          </w:tcPr>
          <w:p>
            <w:pPr>
              <w:spacing w:after="0"/>
              <w:rPr>
                <w:sz w:val="20"/>
                <w:szCs w:val="20"/>
                <w:color w:val="auto"/>
              </w:rPr>
            </w:pPr>
          </w:p>
        </w:tc>
        <w:tc>
          <w:tcPr>
            <w:tcW w:w="320" w:type="dxa"/>
            <w:vAlign w:val="bottom"/>
            <w:shd w:val="clear" w:color="auto" w:fill="D6F3E8"/>
          </w:tcPr>
          <w:p>
            <w:pPr>
              <w:spacing w:after="0"/>
              <w:rPr>
                <w:sz w:val="20"/>
                <w:szCs w:val="20"/>
                <w:color w:val="auto"/>
              </w:rPr>
            </w:pPr>
          </w:p>
        </w:tc>
        <w:tc>
          <w:tcPr>
            <w:tcW w:w="680" w:type="dxa"/>
            <w:vAlign w:val="bottom"/>
            <w:shd w:val="clear" w:color="auto" w:fill="D6F3E8"/>
          </w:tcPr>
          <w:p>
            <w:pPr>
              <w:spacing w:after="0"/>
              <w:rPr>
                <w:sz w:val="20"/>
                <w:szCs w:val="20"/>
                <w:color w:val="auto"/>
              </w:rPr>
            </w:pP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31,666</w:t>
            </w:r>
          </w:p>
        </w:tc>
        <w:tc>
          <w:tcPr>
            <w:tcW w:w="220" w:type="dxa"/>
            <w:vAlign w:val="bottom"/>
            <w:shd w:val="clear" w:color="auto" w:fill="D6F3E8"/>
          </w:tcPr>
          <w:p>
            <w:pPr>
              <w:spacing w:after="0"/>
              <w:rPr>
                <w:sz w:val="20"/>
                <w:szCs w:val="20"/>
                <w:color w:val="auto"/>
              </w:rPr>
            </w:pPr>
          </w:p>
        </w:tc>
        <w:tc>
          <w:tcPr>
            <w:tcW w:w="68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4"/>
                <w:szCs w:val="14"/>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 1, 2008</w:t>
            </w:r>
          </w:p>
        </w:tc>
        <w:tc>
          <w:tcPr>
            <w:tcW w:w="18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Aug. 25, 2007</w:t>
            </w:r>
          </w:p>
        </w:tc>
        <w:tc>
          <w:tcPr>
            <w:tcW w:w="0" w:type="dxa"/>
            <w:vAlign w:val="bottom"/>
          </w:tcPr>
          <w:p>
            <w:pPr>
              <w:spacing w:after="0"/>
              <w:rPr>
                <w:sz w:val="1"/>
                <w:szCs w:val="1"/>
                <w:color w:val="auto"/>
              </w:rPr>
            </w:pPr>
          </w:p>
        </w:tc>
      </w:tr>
      <w:tr>
        <w:trPr>
          <w:trHeight w:val="194"/>
        </w:trPr>
        <w:tc>
          <w:tcPr>
            <w:tcW w:w="806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0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15,536</w:t>
            </w:r>
          </w:p>
        </w:tc>
        <w:tc>
          <w:tcPr>
            <w:tcW w:w="460" w:type="dxa"/>
            <w:vAlign w:val="bottom"/>
            <w:shd w:val="clear" w:color="auto" w:fill="D6F3E8"/>
          </w:tcPr>
          <w:p>
            <w:pPr>
              <w:spacing w:after="0"/>
              <w:rPr>
                <w:sz w:val="20"/>
                <w:szCs w:val="20"/>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6,889</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9"/>
                <w:szCs w:val="19"/>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102,650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0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Receivables, net</w:t>
            </w:r>
          </w:p>
        </w:tc>
        <w:tc>
          <w:tcPr>
            <w:tcW w:w="200" w:type="dxa"/>
            <w:vAlign w:val="bottom"/>
            <w:shd w:val="clear" w:color="auto" w:fill="D6F3E8"/>
          </w:tcPr>
          <w:p>
            <w:pPr>
              <w:spacing w:after="0"/>
              <w:rPr>
                <w:sz w:val="20"/>
                <w:szCs w:val="20"/>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31,941</w:t>
            </w:r>
          </w:p>
        </w:tc>
        <w:tc>
          <w:tcPr>
            <w:tcW w:w="46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30,285</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128,477</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0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Prepaid and other expenses</w:t>
            </w:r>
          </w:p>
        </w:tc>
        <w:tc>
          <w:tcPr>
            <w:tcW w:w="200" w:type="dxa"/>
            <w:vAlign w:val="bottom"/>
            <w:shd w:val="clear" w:color="auto" w:fill="D6F3E8"/>
          </w:tcPr>
          <w:p>
            <w:pPr>
              <w:spacing w:after="0"/>
              <w:rPr>
                <w:sz w:val="20"/>
                <w:szCs w:val="20"/>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3,870</w:t>
            </w:r>
          </w:p>
        </w:tc>
        <w:tc>
          <w:tcPr>
            <w:tcW w:w="46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3,981</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060" w:type="dxa"/>
            <w:vAlign w:val="bottom"/>
            <w:tcBorders>
              <w:bottom w:val="single" w:sz="8" w:color="D6F3E8"/>
            </w:tcBorders>
          </w:tcPr>
          <w:p>
            <w:pPr>
              <w:ind w:left="16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15,656</w:t>
            </w:r>
          </w:p>
        </w:tc>
        <w:tc>
          <w:tcPr>
            <w:tcW w:w="460" w:type="dxa"/>
            <w:vAlign w:val="bottom"/>
            <w:tcBorders>
              <w:bottom w:val="single" w:sz="8" w:color="D6F3E8"/>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12,687</w:t>
            </w:r>
          </w:p>
        </w:tc>
        <w:tc>
          <w:tcPr>
            <w:tcW w:w="22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D6F3E8"/>
          </w:tcPr>
          <w:p>
            <w:pPr>
              <w:ind w:left="260"/>
              <w:spacing w:after="0" w:line="203"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195,480</w:t>
            </w:r>
          </w:p>
        </w:tc>
        <w:tc>
          <w:tcPr>
            <w:tcW w:w="4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257,700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8060" w:type="dxa"/>
            <w:vAlign w:val="bottom"/>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54,200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806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D6F3E8"/>
          </w:tcPr>
          <w:p>
            <w:pPr>
              <w:spacing w:after="0"/>
              <w:rPr>
                <w:sz w:val="20"/>
                <w:szCs w:val="20"/>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48,433</w:t>
            </w:r>
          </w:p>
        </w:tc>
        <w:tc>
          <w:tcPr>
            <w:tcW w:w="46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51,389</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24,523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19,856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06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200" w:type="dxa"/>
            <w:vAlign w:val="bottom"/>
            <w:shd w:val="clear" w:color="auto" w:fill="D6F3E8"/>
          </w:tcPr>
          <w:p>
            <w:pPr>
              <w:spacing w:after="0"/>
              <w:rPr>
                <w:sz w:val="20"/>
                <w:szCs w:val="20"/>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19,925</w:t>
            </w:r>
          </w:p>
        </w:tc>
        <w:tc>
          <w:tcPr>
            <w:tcW w:w="46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20,015</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06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17,170</w:t>
            </w:r>
          </w:p>
        </w:tc>
        <w:tc>
          <w:tcPr>
            <w:tcW w:w="460" w:type="dxa"/>
            <w:vAlign w:val="bottom"/>
            <w:tcBorders>
              <w:bottom w:val="single" w:sz="8" w:color="D6F3E8"/>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17,550</w:t>
            </w:r>
          </w:p>
        </w:tc>
        <w:tc>
          <w:tcPr>
            <w:tcW w:w="22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D6F3E8"/>
            </w:tcBorders>
            <w:shd w:val="clear" w:color="auto" w:fill="D6F3E8"/>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359,731</w:t>
            </w:r>
          </w:p>
        </w:tc>
        <w:tc>
          <w:tcPr>
            <w:tcW w:w="460" w:type="dxa"/>
            <w:vAlign w:val="bottom"/>
            <w:tcBorders>
              <w:bottom w:val="single" w:sz="8" w:color="D6F3E8"/>
            </w:tcBorders>
            <w:shd w:val="clear" w:color="auto" w:fill="D6F3E8"/>
          </w:tcPr>
          <w:p>
            <w:pPr>
              <w:spacing w:after="0"/>
              <w:rPr>
                <w:sz w:val="19"/>
                <w:szCs w:val="19"/>
                <w:color w:val="auto"/>
              </w:rPr>
            </w:pPr>
          </w:p>
        </w:tc>
        <w:tc>
          <w:tcPr>
            <w:tcW w:w="180" w:type="dxa"/>
            <w:vAlign w:val="bottom"/>
            <w:tcBorders>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366,510</w:t>
            </w:r>
          </w:p>
        </w:tc>
        <w:tc>
          <w:tcPr>
            <w:tcW w:w="220" w:type="dxa"/>
            <w:vAlign w:val="bottom"/>
            <w:tcBorders>
              <w:bottom w:val="single" w:sz="8" w:color="D6F3E8"/>
            </w:tcBorders>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0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31,257</w:t>
            </w:r>
          </w:p>
        </w:tc>
        <w:tc>
          <w:tcPr>
            <w:tcW w:w="460" w:type="dxa"/>
            <w:vAlign w:val="bottom"/>
          </w:tcPr>
          <w:p>
            <w:pPr>
              <w:spacing w:after="0"/>
              <w:rPr>
                <w:sz w:val="21"/>
                <w:szCs w:val="21"/>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35,286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80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D6F3E8"/>
          </w:tcPr>
          <w:p>
            <w:pPr>
              <w:spacing w:after="0"/>
              <w:rPr>
                <w:sz w:val="20"/>
                <w:szCs w:val="20"/>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3,835</w:t>
            </w:r>
          </w:p>
        </w:tc>
        <w:tc>
          <w:tcPr>
            <w:tcW w:w="46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4,252</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060" w:type="dxa"/>
            <w:vAlign w:val="bottom"/>
            <w:tcBorders>
              <w:bottom w:val="single" w:sz="8" w:color="D6F3E8"/>
            </w:tcBorders>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56,921</w:t>
            </w:r>
          </w:p>
        </w:tc>
        <w:tc>
          <w:tcPr>
            <w:tcW w:w="460" w:type="dxa"/>
            <w:vAlign w:val="bottom"/>
            <w:tcBorders>
              <w:bottom w:val="single" w:sz="8" w:color="D6F3E8"/>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49,299</w:t>
            </w:r>
          </w:p>
        </w:tc>
        <w:tc>
          <w:tcPr>
            <w:tcW w:w="22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0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D6F3E8"/>
          </w:tcPr>
          <w:p>
            <w:pPr>
              <w:spacing w:after="0"/>
              <w:rPr>
                <w:sz w:val="19"/>
                <w:szCs w:val="19"/>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92,013</w:t>
            </w:r>
          </w:p>
        </w:tc>
        <w:tc>
          <w:tcPr>
            <w:tcW w:w="460" w:type="dxa"/>
            <w:vAlign w:val="bottom"/>
            <w:shd w:val="clear" w:color="auto" w:fill="D6F3E8"/>
          </w:tcPr>
          <w:p>
            <w:pPr>
              <w:spacing w:after="0"/>
              <w:rPr>
                <w:sz w:val="19"/>
                <w:szCs w:val="19"/>
                <w:color w:val="auto"/>
              </w:rPr>
            </w:pPr>
          </w:p>
        </w:tc>
        <w:tc>
          <w:tcPr>
            <w:tcW w:w="180" w:type="dxa"/>
            <w:vAlign w:val="bottom"/>
            <w:tcBorders>
              <w:bottom w:val="single" w:sz="8" w:color="auto"/>
            </w:tcBorders>
            <w:shd w:val="clear" w:color="auto" w:fill="D6F3E8"/>
          </w:tcPr>
          <w:p>
            <w:pPr>
              <w:spacing w:after="0"/>
              <w:rPr>
                <w:sz w:val="19"/>
                <w:szCs w:val="19"/>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88,837</w:t>
            </w: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060" w:type="dxa"/>
            <w:vAlign w:val="bottom"/>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060" w:type="dxa"/>
            <w:vAlign w:val="bottom"/>
          </w:tcPr>
          <w:p>
            <w:pPr>
              <w:ind w:left="160"/>
              <w:spacing w:after="0"/>
              <w:rPr>
                <w:sz w:val="20"/>
                <w:szCs w:val="20"/>
                <w:color w:val="auto"/>
              </w:rPr>
            </w:pPr>
            <w:r>
              <w:rPr>
                <w:rFonts w:ascii="Arial" w:cs="Arial" w:eastAsia="Arial" w:hAnsi="Arial"/>
                <w:sz w:val="18"/>
                <w:szCs w:val="18"/>
                <w:color w:val="auto"/>
              </w:rPr>
              <w:t>Unrecognized tax benefits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8,627</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80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200" w:type="dxa"/>
            <w:vAlign w:val="bottom"/>
            <w:tcBorders>
              <w:bottom w:val="single" w:sz="8" w:color="auto"/>
            </w:tcBorders>
            <w:shd w:val="clear" w:color="auto" w:fill="D6F3E8"/>
          </w:tcPr>
          <w:p>
            <w:pPr>
              <w:spacing w:after="0"/>
              <w:rPr>
                <w:sz w:val="21"/>
                <w:szCs w:val="21"/>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68,978</w:t>
            </w:r>
          </w:p>
        </w:tc>
        <w:tc>
          <w:tcPr>
            <w:tcW w:w="460" w:type="dxa"/>
            <w:vAlign w:val="bottom"/>
            <w:shd w:val="clear" w:color="auto" w:fill="D6F3E8"/>
          </w:tcPr>
          <w:p>
            <w:pPr>
              <w:spacing w:after="0"/>
              <w:rPr>
                <w:sz w:val="21"/>
                <w:szCs w:val="21"/>
                <w:color w:val="auto"/>
              </w:rPr>
            </w:pPr>
          </w:p>
        </w:tc>
        <w:tc>
          <w:tcPr>
            <w:tcW w:w="180" w:type="dxa"/>
            <w:vAlign w:val="bottom"/>
            <w:tcBorders>
              <w:bottom w:val="single" w:sz="8" w:color="auto"/>
            </w:tcBorders>
            <w:shd w:val="clear" w:color="auto" w:fill="D6F3E8"/>
          </w:tcPr>
          <w:p>
            <w:pPr>
              <w:spacing w:after="0"/>
              <w:rPr>
                <w:sz w:val="21"/>
                <w:szCs w:val="21"/>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69,319</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260"/>
              <w:spacing w:after="0" w:line="202" w:lineRule="exact"/>
              <w:rPr>
                <w:sz w:val="20"/>
                <w:szCs w:val="20"/>
                <w:color w:val="auto"/>
              </w:rPr>
            </w:pPr>
            <w:r>
              <w:rPr>
                <w:rFonts w:ascii="Arial" w:cs="Arial" w:eastAsia="Arial" w:hAnsi="Arial"/>
                <w:sz w:val="18"/>
                <w:szCs w:val="18"/>
                <w:color w:val="auto"/>
              </w:rPr>
              <w:t>Total long-term liabilities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77,605</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69,319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D6F3E8"/>
          </w:tcPr>
          <w:p>
            <w:pPr>
              <w:spacing w:after="0"/>
              <w:rPr>
                <w:sz w:val="21"/>
                <w:szCs w:val="21"/>
                <w:color w:val="auto"/>
              </w:rPr>
            </w:pPr>
          </w:p>
        </w:tc>
        <w:tc>
          <w:tcPr>
            <w:tcW w:w="1600" w:type="dxa"/>
            <w:vAlign w:val="bottom"/>
            <w:gridSpan w:val="2"/>
            <w:shd w:val="clear" w:color="auto" w:fill="D6F3E8"/>
          </w:tcPr>
          <w:p>
            <w:pPr>
              <w:jc w:val="right"/>
              <w:ind w:right="460"/>
              <w:spacing w:after="0"/>
              <w:rPr>
                <w:sz w:val="20"/>
                <w:szCs w:val="20"/>
                <w:color w:val="auto"/>
              </w:rPr>
            </w:pPr>
            <w:r>
              <w:rPr>
                <w:rFonts w:ascii="Arial" w:cs="Arial" w:eastAsia="Arial" w:hAnsi="Arial"/>
                <w:sz w:val="18"/>
                <w:szCs w:val="18"/>
                <w:color w:val="auto"/>
              </w:rPr>
              <w:t>190,113</w:t>
            </w:r>
          </w:p>
        </w:tc>
        <w:tc>
          <w:tcPr>
            <w:tcW w:w="180" w:type="dxa"/>
            <w:vAlign w:val="bottom"/>
            <w:shd w:val="clear" w:color="auto" w:fill="D6F3E8"/>
          </w:tcPr>
          <w:p>
            <w:pPr>
              <w:spacing w:after="0"/>
              <w:rPr>
                <w:sz w:val="21"/>
                <w:szCs w:val="21"/>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208,354</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8060" w:type="dxa"/>
            <w:vAlign w:val="bottom"/>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359,731</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27 Weeks Ended</w:t>
            </w:r>
          </w:p>
        </w:tc>
        <w:tc>
          <w:tcPr>
            <w:tcW w:w="14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26 Weeks Ended</w:t>
            </w:r>
          </w:p>
        </w:tc>
        <w:tc>
          <w:tcPr>
            <w:tcW w:w="0" w:type="dxa"/>
            <w:vAlign w:val="bottom"/>
          </w:tcPr>
          <w:p>
            <w:pPr>
              <w:spacing w:after="0"/>
              <w:rPr>
                <w:sz w:val="1"/>
                <w:szCs w:val="1"/>
                <w:color w:val="auto"/>
              </w:rPr>
            </w:pPr>
          </w:p>
        </w:tc>
      </w:tr>
      <w:tr>
        <w:trPr>
          <w:trHeight w:val="161"/>
        </w:trPr>
        <w:tc>
          <w:tcPr>
            <w:tcW w:w="806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Pr>
          <w:p>
            <w:pPr>
              <w:spacing w:after="0"/>
              <w:rPr>
                <w:sz w:val="14"/>
                <w:szCs w:val="14"/>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 1, 2008</w:t>
            </w:r>
          </w:p>
        </w:tc>
        <w:tc>
          <w:tcPr>
            <w:tcW w:w="14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Feb. 24, 2007</w:t>
            </w:r>
          </w:p>
        </w:tc>
        <w:tc>
          <w:tcPr>
            <w:tcW w:w="0" w:type="dxa"/>
            <w:vAlign w:val="bottom"/>
          </w:tcPr>
          <w:p>
            <w:pPr>
              <w:spacing w:after="0"/>
              <w:rPr>
                <w:sz w:val="1"/>
                <w:szCs w:val="1"/>
                <w:color w:val="auto"/>
              </w:rPr>
            </w:pPr>
          </w:p>
        </w:tc>
      </w:tr>
      <w:tr>
        <w:trPr>
          <w:trHeight w:val="202"/>
        </w:trPr>
        <w:tc>
          <w:tcPr>
            <w:tcW w:w="806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12,479</w:t>
            </w:r>
          </w:p>
        </w:tc>
        <w:tc>
          <w:tcPr>
            <w:tcW w:w="460" w:type="dxa"/>
            <w:vAlign w:val="bottom"/>
            <w:shd w:val="clear" w:color="auto" w:fill="D6F3E8"/>
          </w:tcPr>
          <w:p>
            <w:pPr>
              <w:spacing w:after="0"/>
              <w:rPr>
                <w:sz w:val="20"/>
                <w:szCs w:val="20"/>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15,468</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06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6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5,179</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0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2,910</w:t>
            </w:r>
          </w:p>
        </w:tc>
        <w:tc>
          <w:tcPr>
            <w:tcW w:w="46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3,609</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60"/>
              <w:spacing w:after="0"/>
              <w:rPr>
                <w:sz w:val="20"/>
                <w:szCs w:val="20"/>
                <w:color w:val="auto"/>
              </w:rPr>
            </w:pPr>
            <w:r>
              <w:rPr>
                <w:rFonts w:ascii="Arial" w:cs="Arial" w:eastAsia="Arial" w:hAnsi="Arial"/>
                <w:sz w:val="18"/>
                <w:szCs w:val="18"/>
                <w:color w:val="auto"/>
              </w:rPr>
              <w:t>Postretirement benefit income and deferred compensation expense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716</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0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D6F3E8"/>
          </w:tcPr>
          <w:p>
            <w:pPr>
              <w:spacing w:after="0"/>
              <w:rPr>
                <w:sz w:val="22"/>
                <w:szCs w:val="22"/>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w:t>
            </w:r>
          </w:p>
        </w:tc>
        <w:tc>
          <w:tcPr>
            <w:tcW w:w="46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56"/>
        </w:trPr>
        <w:tc>
          <w:tcPr>
            <w:tcW w:w="8060" w:type="dxa"/>
            <w:vAlign w:val="bottom"/>
          </w:tcPr>
          <w:p>
            <w:pPr>
              <w:ind w:left="260"/>
              <w:spacing w:after="0"/>
              <w:rPr>
                <w:sz w:val="20"/>
                <w:szCs w:val="20"/>
                <w:color w:val="auto"/>
              </w:rPr>
            </w:pPr>
            <w:r>
              <w:rPr>
                <w:rFonts w:ascii="Arial" w:cs="Arial" w:eastAsia="Arial" w:hAnsi="Arial"/>
                <w:sz w:val="18"/>
                <w:szCs w:val="18"/>
                <w:color w:val="auto"/>
              </w:rPr>
              <w:t>Increase in cash surrender value of life insurance policies</w:t>
            </w:r>
          </w:p>
        </w:tc>
        <w:tc>
          <w:tcPr>
            <w:tcW w:w="140" w:type="dxa"/>
            <w:vAlign w:val="bottom"/>
          </w:tcPr>
          <w:p>
            <w:pPr>
              <w:spacing w:after="0"/>
              <w:rPr>
                <w:sz w:val="22"/>
                <w:szCs w:val="22"/>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(459)</w:t>
            </w:r>
          </w:p>
        </w:tc>
        <w:tc>
          <w:tcPr>
            <w:tcW w:w="14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58"/>
        </w:trPr>
        <w:tc>
          <w:tcPr>
            <w:tcW w:w="80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Excess tax benefit of stock-based compensation</w:t>
            </w:r>
          </w:p>
        </w:tc>
        <w:tc>
          <w:tcPr>
            <w:tcW w:w="140" w:type="dxa"/>
            <w:vAlign w:val="bottom"/>
            <w:shd w:val="clear" w:color="auto" w:fill="D6F3E8"/>
          </w:tcPr>
          <w:p>
            <w:pPr>
              <w:spacing w:after="0"/>
              <w:rPr>
                <w:sz w:val="22"/>
                <w:szCs w:val="22"/>
                <w:color w:val="auto"/>
              </w:rPr>
            </w:pPr>
          </w:p>
        </w:tc>
        <w:tc>
          <w:tcPr>
            <w:tcW w:w="166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1"/>
        </w:trPr>
        <w:tc>
          <w:tcPr>
            <w:tcW w:w="8060" w:type="dxa"/>
            <w:vAlign w:val="bottom"/>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80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6F3E8"/>
          </w:tcPr>
          <w:p>
            <w:pPr>
              <w:spacing w:after="0"/>
              <w:rPr>
                <w:sz w:val="22"/>
                <w:szCs w:val="22"/>
                <w:color w:val="auto"/>
              </w:rPr>
            </w:pPr>
          </w:p>
        </w:tc>
        <w:tc>
          <w:tcPr>
            <w:tcW w:w="166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(27,269)</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(17,308)</w:t>
            </w:r>
          </w:p>
        </w:tc>
        <w:tc>
          <w:tcPr>
            <w:tcW w:w="0" w:type="dxa"/>
            <w:vAlign w:val="bottom"/>
          </w:tcPr>
          <w:p>
            <w:pPr>
              <w:spacing w:after="0"/>
              <w:rPr>
                <w:sz w:val="1"/>
                <w:szCs w:val="1"/>
                <w:color w:val="auto"/>
              </w:rPr>
            </w:pPr>
          </w:p>
        </w:tc>
      </w:tr>
      <w:tr>
        <w:trPr>
          <w:trHeight w:val="256"/>
        </w:trPr>
        <w:tc>
          <w:tcPr>
            <w:tcW w:w="8060" w:type="dxa"/>
            <w:vAlign w:val="bottom"/>
          </w:tcPr>
          <w:p>
            <w:pPr>
              <w:ind w:left="260"/>
              <w:spacing w:after="0"/>
              <w:rPr>
                <w:sz w:val="20"/>
                <w:szCs w:val="20"/>
                <w:color w:val="auto"/>
              </w:rPr>
            </w:pPr>
            <w:r>
              <w:rPr>
                <w:rFonts w:ascii="Arial" w:cs="Arial" w:eastAsia="Arial" w:hAnsi="Arial"/>
                <w:sz w:val="18"/>
                <w:szCs w:val="18"/>
                <w:color w:val="auto"/>
              </w:rPr>
              <w:t>Receivables and prepaid assets</w:t>
            </w:r>
          </w:p>
        </w:tc>
        <w:tc>
          <w:tcPr>
            <w:tcW w:w="140" w:type="dxa"/>
            <w:vAlign w:val="bottom"/>
          </w:tcPr>
          <w:p>
            <w:pPr>
              <w:spacing w:after="0"/>
              <w:rPr>
                <w:sz w:val="22"/>
                <w:szCs w:val="22"/>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(1,603)</w:t>
            </w:r>
          </w:p>
        </w:tc>
        <w:tc>
          <w:tcPr>
            <w:tcW w:w="14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58"/>
        </w:trPr>
        <w:tc>
          <w:tcPr>
            <w:tcW w:w="80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D6F3E8"/>
          </w:tcPr>
          <w:p>
            <w:pPr>
              <w:spacing w:after="0"/>
              <w:rPr>
                <w:sz w:val="22"/>
                <w:szCs w:val="22"/>
                <w:color w:val="auto"/>
              </w:rPr>
            </w:pPr>
          </w:p>
        </w:tc>
        <w:tc>
          <w:tcPr>
            <w:tcW w:w="166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(8,456)</w:t>
            </w:r>
          </w:p>
        </w:tc>
        <w:tc>
          <w:tcPr>
            <w:tcW w:w="140" w:type="dxa"/>
            <w:vAlign w:val="bottom"/>
            <w:shd w:val="clear" w:color="auto" w:fill="D6F3E8"/>
          </w:tcPr>
          <w:p>
            <w:pPr>
              <w:spacing w:after="0"/>
              <w:rPr>
                <w:sz w:val="22"/>
                <w:szCs w:val="22"/>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9,149</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60"/>
              <w:spacing w:after="0"/>
              <w:rPr>
                <w:sz w:val="20"/>
                <w:szCs w:val="20"/>
                <w:color w:val="auto"/>
              </w:rPr>
            </w:pPr>
            <w:r>
              <w:rPr>
                <w:rFonts w:ascii="Arial" w:cs="Arial" w:eastAsia="Arial" w:hAnsi="Arial"/>
                <w:sz w:val="18"/>
                <w:szCs w:val="18"/>
                <w:color w:val="auto"/>
              </w:rPr>
              <w:t>Income taxes payable and unrecognized tax benefits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4,451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0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Postretirement and deferred compensation benefits</w:t>
            </w:r>
          </w:p>
        </w:tc>
        <w:tc>
          <w:tcPr>
            <w:tcW w:w="140" w:type="dxa"/>
            <w:vAlign w:val="bottom"/>
            <w:shd w:val="clear" w:color="auto" w:fill="D6F3E8"/>
          </w:tcPr>
          <w:p>
            <w:pPr>
              <w:spacing w:after="0"/>
              <w:rPr>
                <w:sz w:val="22"/>
                <w:szCs w:val="22"/>
                <w:color w:val="auto"/>
              </w:rPr>
            </w:pPr>
          </w:p>
        </w:tc>
        <w:tc>
          <w:tcPr>
            <w:tcW w:w="166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140"/>
              <w:spacing w:after="0"/>
              <w:rPr>
                <w:sz w:val="20"/>
                <w:szCs w:val="20"/>
                <w:color w:val="auto"/>
              </w:rPr>
            </w:pPr>
            <w:r>
              <w:rPr>
                <w:rFonts w:ascii="Arial" w:cs="Arial" w:eastAsia="Arial" w:hAnsi="Arial"/>
                <w:sz w:val="18"/>
                <w:szCs w:val="18"/>
                <w:color w:val="auto"/>
              </w:rPr>
              <w:t>Net cash (used in) provided by operating activities</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(12,633)</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13,138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6"/>
        </w:trPr>
        <w:tc>
          <w:tcPr>
            <w:tcW w:w="80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Purchases of investments</w:t>
            </w:r>
          </w:p>
        </w:tc>
        <w:tc>
          <w:tcPr>
            <w:tcW w:w="140" w:type="dxa"/>
            <w:vAlign w:val="bottom"/>
            <w:shd w:val="clear" w:color="auto" w:fill="D6F3E8"/>
          </w:tcPr>
          <w:p>
            <w:pPr>
              <w:spacing w:after="0"/>
              <w:rPr>
                <w:sz w:val="22"/>
                <w:szCs w:val="22"/>
                <w:color w:val="auto"/>
              </w:rPr>
            </w:pPr>
          </w:p>
        </w:tc>
        <w:tc>
          <w:tcPr>
            <w:tcW w:w="166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(228,069)</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(170,399)</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Arial" w:cs="Arial" w:eastAsia="Arial" w:hAnsi="Arial"/>
                <w:sz w:val="18"/>
                <w:szCs w:val="18"/>
                <w:color w:val="auto"/>
              </w:rPr>
              <w:t>Proceeds from the sale or maturity of investments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276,519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145,800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80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D6F3E8"/>
          </w:tcPr>
          <w:p>
            <w:pPr>
              <w:spacing w:after="0"/>
              <w:rPr>
                <w:sz w:val="22"/>
                <w:szCs w:val="22"/>
                <w:color w:val="auto"/>
              </w:rPr>
            </w:pPr>
          </w:p>
        </w:tc>
        <w:tc>
          <w:tcPr>
            <w:tcW w:w="1660" w:type="dxa"/>
            <w:vAlign w:val="bottom"/>
            <w:gridSpan w:val="2"/>
            <w:shd w:val="clear" w:color="auto" w:fill="D6F3E8"/>
          </w:tcPr>
          <w:p>
            <w:pPr>
              <w:jc w:val="right"/>
              <w:ind w:right="400"/>
              <w:spacing w:after="0"/>
              <w:rPr>
                <w:sz w:val="20"/>
                <w:szCs w:val="20"/>
                <w:color w:val="auto"/>
              </w:rPr>
            </w:pPr>
            <w:r>
              <w:rPr>
                <w:rFonts w:ascii="Arial" w:cs="Arial" w:eastAsia="Arial" w:hAnsi="Arial"/>
                <w:sz w:val="18"/>
                <w:szCs w:val="18"/>
                <w:color w:val="auto"/>
              </w:rPr>
              <w:t>(2,469)</w:t>
            </w:r>
          </w:p>
        </w:tc>
        <w:tc>
          <w:tcPr>
            <w:tcW w:w="14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56"/>
        </w:trPr>
        <w:tc>
          <w:tcPr>
            <w:tcW w:w="806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2"/>
                <w:szCs w:val="22"/>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shd w:val="clear" w:color="auto" w:fill="D6F3E8"/>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060" w:type="dxa"/>
            <w:vAlign w:val="bottom"/>
            <w:vMerge w:val="continue"/>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45,359</w:t>
            </w:r>
          </w:p>
        </w:tc>
        <w:tc>
          <w:tcPr>
            <w:tcW w:w="46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397"/>
        </w:trPr>
        <w:tc>
          <w:tcPr>
            <w:tcW w:w="80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D6F3E8"/>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60" w:type="dxa"/>
            <w:vAlign w:val="bottom"/>
          </w:tcPr>
          <w:p>
            <w:pPr>
              <w:ind w:left="140"/>
              <w:spacing w:after="0"/>
              <w:rPr>
                <w:sz w:val="20"/>
                <w:szCs w:val="20"/>
                <w:color w:val="auto"/>
              </w:rPr>
            </w:pPr>
            <w:r>
              <w:rPr>
                <w:rFonts w:ascii="Arial" w:cs="Arial" w:eastAsia="Arial" w:hAnsi="Arial"/>
                <w:sz w:val="18"/>
                <w:szCs w:val="18"/>
                <w:color w:val="auto"/>
              </w:rPr>
              <w:t>Payments for purchase of common stock</w:t>
            </w:r>
          </w:p>
        </w:tc>
        <w:tc>
          <w:tcPr>
            <w:tcW w:w="140" w:type="dxa"/>
            <w:vAlign w:val="bottom"/>
          </w:tcPr>
          <w:p>
            <w:pPr>
              <w:spacing w:after="0"/>
              <w:rPr>
                <w:sz w:val="23"/>
                <w:szCs w:val="23"/>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(17,527)</w:t>
            </w: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-598170</wp:posOffset>
            </wp:positionV>
            <wp:extent cx="283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ectPr>
          <w:pgSz w:w="11900" w:h="16838" w:orient="portrait"/>
          <w:cols w:equalWidth="0" w:num="1">
            <w:col w:w="11420"/>
          </w:cols>
          <w:pgMar w:left="240" w:top="370"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6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Payments of cash dividends</w:t>
            </w:r>
          </w:p>
        </w:tc>
        <w:tc>
          <w:tcPr>
            <w:tcW w:w="440" w:type="dxa"/>
            <w:vAlign w:val="bottom"/>
            <w:tcBorders>
              <w:bottom w:val="single" w:sz="8" w:color="D6F3E8"/>
            </w:tcBorders>
            <w:shd w:val="clear" w:color="auto" w:fill="D6F3E8"/>
          </w:tcPr>
          <w:p>
            <w:pPr>
              <w:spacing w:after="0"/>
              <w:rPr>
                <w:sz w:val="21"/>
                <w:szCs w:val="21"/>
                <w:color w:val="auto"/>
              </w:rPr>
            </w:pPr>
          </w:p>
        </w:tc>
        <w:tc>
          <w:tcPr>
            <w:tcW w:w="440" w:type="dxa"/>
            <w:vAlign w:val="bottom"/>
            <w:shd w:val="clear" w:color="auto" w:fill="D6F3E8"/>
          </w:tcPr>
          <w:p>
            <w:pPr>
              <w:spacing w:after="0"/>
              <w:rPr>
                <w:sz w:val="21"/>
                <w:szCs w:val="21"/>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(7,024</w:t>
            </w:r>
          </w:p>
        </w:tc>
        <w:tc>
          <w:tcPr>
            <w:tcW w:w="460" w:type="dxa"/>
            <w:vAlign w:val="bottom"/>
            <w:tcBorders>
              <w:bottom w:val="single" w:sz="8" w:color="D6F3E8"/>
            </w:tcBorders>
            <w:shd w:val="clear" w:color="auto" w:fill="D6F3E8"/>
          </w:tcPr>
          <w:p>
            <w:pPr>
              <w:jc w:val="right"/>
              <w:ind w:right="318"/>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D6F3E8"/>
          </w:tcPr>
          <w:p>
            <w:pPr>
              <w:spacing w:after="0"/>
              <w:rPr>
                <w:sz w:val="21"/>
                <w:szCs w:val="21"/>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(6,254</w:t>
            </w:r>
          </w:p>
        </w:tc>
        <w:tc>
          <w:tcPr>
            <w:tcW w:w="220" w:type="dxa"/>
            <w:vAlign w:val="bottom"/>
            <w:tcBorders>
              <w:bottom w:val="single" w:sz="8" w:color="D6F3E8"/>
            </w:tcBorders>
            <w:shd w:val="clear" w:color="auto" w:fill="D6F3E8"/>
          </w:tcPr>
          <w:p>
            <w:pPr>
              <w:jc w:val="right"/>
              <w:ind w:right="7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0" w:type="dxa"/>
            <w:vAlign w:val="bottom"/>
          </w:tcPr>
          <w:p>
            <w:pPr>
              <w:ind w:left="120"/>
              <w:spacing w:after="0" w:line="182" w:lineRule="exact"/>
              <w:rPr>
                <w:sz w:val="20"/>
                <w:szCs w:val="20"/>
                <w:color w:val="auto"/>
              </w:rPr>
            </w:pPr>
            <w:r>
              <w:rPr>
                <w:rFonts w:ascii="Arial" w:cs="Arial" w:eastAsia="Arial" w:hAnsi="Arial"/>
                <w:sz w:val="18"/>
                <w:szCs w:val="18"/>
                <w:color w:val="auto"/>
              </w:rPr>
              <w:t>Proceeds from exercise of stock options</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7" w:lineRule="exact"/>
              <w:rPr>
                <w:sz w:val="20"/>
                <w:szCs w:val="20"/>
                <w:color w:val="auto"/>
              </w:rPr>
            </w:pPr>
            <w:r>
              <w:rPr>
                <w:rFonts w:ascii="Arial" w:cs="Arial" w:eastAsia="Arial" w:hAnsi="Arial"/>
                <w:sz w:val="18"/>
                <w:szCs w:val="18"/>
                <w:color w:val="auto"/>
              </w:rPr>
              <w:t>400</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line="187" w:lineRule="exact"/>
              <w:rPr>
                <w:sz w:val="20"/>
                <w:szCs w:val="20"/>
                <w:color w:val="auto"/>
              </w:rPr>
            </w:pPr>
            <w:r>
              <w:rPr>
                <w:rFonts w:ascii="Arial" w:cs="Arial" w:eastAsia="Arial" w:hAnsi="Arial"/>
                <w:sz w:val="18"/>
                <w:szCs w:val="18"/>
                <w:color w:val="auto"/>
              </w:rPr>
              <w:t>5,733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00" w:type="dxa"/>
            <w:vAlign w:val="bottom"/>
            <w:shd w:val="clear" w:color="auto" w:fill="D6F3E8"/>
          </w:tcPr>
          <w:p>
            <w:pPr>
              <w:ind w:left="120"/>
              <w:spacing w:after="0"/>
              <w:rPr>
                <w:sz w:val="20"/>
                <w:szCs w:val="20"/>
                <w:color w:val="auto"/>
              </w:rPr>
            </w:pPr>
            <w:r>
              <w:rPr>
                <w:rFonts w:ascii="Arial" w:cs="Arial" w:eastAsia="Arial" w:hAnsi="Arial"/>
                <w:sz w:val="18"/>
                <w:szCs w:val="18"/>
                <w:color w:val="auto"/>
              </w:rPr>
              <w:t>Excess tax benefit of stock-based compensation</w:t>
            </w:r>
          </w:p>
        </w:tc>
        <w:tc>
          <w:tcPr>
            <w:tcW w:w="440" w:type="dxa"/>
            <w:vAlign w:val="bottom"/>
            <w:shd w:val="clear" w:color="auto" w:fill="D6F3E8"/>
          </w:tcPr>
          <w:p>
            <w:pPr>
              <w:spacing w:after="0"/>
              <w:rPr>
                <w:sz w:val="21"/>
                <w:szCs w:val="21"/>
                <w:color w:val="auto"/>
              </w:rPr>
            </w:pPr>
          </w:p>
        </w:tc>
        <w:tc>
          <w:tcPr>
            <w:tcW w:w="440" w:type="dxa"/>
            <w:vAlign w:val="bottom"/>
            <w:tcBorders>
              <w:bottom w:val="single" w:sz="8" w:color="auto"/>
            </w:tcBorders>
            <w:shd w:val="clear" w:color="auto" w:fill="D6F3E8"/>
          </w:tcPr>
          <w:p>
            <w:pPr>
              <w:spacing w:after="0"/>
              <w:rPr>
                <w:sz w:val="21"/>
                <w:szCs w:val="21"/>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72</w:t>
            </w:r>
          </w:p>
        </w:tc>
        <w:tc>
          <w:tcPr>
            <w:tcW w:w="460" w:type="dxa"/>
            <w:vAlign w:val="bottom"/>
            <w:shd w:val="clear" w:color="auto" w:fill="D6F3E8"/>
          </w:tcPr>
          <w:p>
            <w:pPr>
              <w:spacing w:after="0"/>
              <w:rPr>
                <w:sz w:val="21"/>
                <w:szCs w:val="21"/>
                <w:color w:val="auto"/>
              </w:rPr>
            </w:pPr>
          </w:p>
        </w:tc>
        <w:tc>
          <w:tcPr>
            <w:tcW w:w="440" w:type="dxa"/>
            <w:vAlign w:val="bottom"/>
            <w:tcBorders>
              <w:bottom w:val="single" w:sz="8" w:color="auto"/>
            </w:tcBorders>
            <w:shd w:val="clear" w:color="auto" w:fill="D6F3E8"/>
          </w:tcPr>
          <w:p>
            <w:pPr>
              <w:spacing w:after="0"/>
              <w:rPr>
                <w:sz w:val="21"/>
                <w:szCs w:val="21"/>
                <w:color w:val="auto"/>
              </w:rPr>
            </w:pP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1,587</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20" w:type="dxa"/>
            <w:vAlign w:val="bottom"/>
            <w:gridSpan w:val="2"/>
          </w:tcPr>
          <w:p>
            <w:pPr>
              <w:spacing w:after="0"/>
              <w:rPr>
                <w:sz w:val="20"/>
                <w:szCs w:val="20"/>
                <w:color w:val="auto"/>
              </w:rPr>
            </w:pPr>
            <w:r>
              <w:rPr>
                <w:rFonts w:ascii="Arial" w:cs="Arial" w:eastAsia="Arial" w:hAnsi="Arial"/>
                <w:sz w:val="18"/>
                <w:szCs w:val="18"/>
                <w:color w:val="auto"/>
              </w:rPr>
              <w:t>Net cash (used in) provided by financing activities</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gridSpan w:val="2"/>
          </w:tcPr>
          <w:p>
            <w:pPr>
              <w:jc w:val="right"/>
              <w:ind w:right="318"/>
              <w:spacing w:after="0"/>
              <w:rPr>
                <w:sz w:val="20"/>
                <w:szCs w:val="20"/>
                <w:color w:val="auto"/>
              </w:rPr>
            </w:pPr>
            <w:r>
              <w:rPr>
                <w:rFonts w:ascii="Arial" w:cs="Arial" w:eastAsia="Arial" w:hAnsi="Arial"/>
                <w:sz w:val="18"/>
                <w:szCs w:val="18"/>
                <w:color w:val="auto"/>
              </w:rPr>
              <w:t>(24,079)</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7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00" w:type="dxa"/>
            <w:vAlign w:val="bottom"/>
            <w:shd w:val="clear" w:color="auto" w:fill="D6F3E8"/>
          </w:tcPr>
          <w:p>
            <w:pPr>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8,647</w:t>
            </w:r>
          </w:p>
        </w:tc>
        <w:tc>
          <w:tcPr>
            <w:tcW w:w="46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1120" w:type="dxa"/>
            <w:vAlign w:val="bottom"/>
            <w:gridSpan w:val="2"/>
            <w:shd w:val="clear" w:color="auto" w:fill="D6F3E8"/>
          </w:tcPr>
          <w:p>
            <w:pPr>
              <w:jc w:val="right"/>
              <w:ind w:right="78"/>
              <w:spacing w:after="0"/>
              <w:rPr>
                <w:sz w:val="20"/>
                <w:szCs w:val="20"/>
                <w:color w:val="auto"/>
              </w:rPr>
            </w:pPr>
            <w:r>
              <w:rPr>
                <w:rFonts w:ascii="Arial" w:cs="Arial" w:eastAsia="Arial" w:hAnsi="Arial"/>
                <w:sz w:val="18"/>
                <w:szCs w:val="18"/>
                <w:color w:val="auto"/>
              </w:rPr>
              <w:t>(12,488)</w:t>
            </w:r>
          </w:p>
        </w:tc>
        <w:tc>
          <w:tcPr>
            <w:tcW w:w="0" w:type="dxa"/>
            <w:vAlign w:val="bottom"/>
          </w:tcPr>
          <w:p>
            <w:pPr>
              <w:spacing w:after="0"/>
              <w:rPr>
                <w:sz w:val="1"/>
                <w:szCs w:val="1"/>
                <w:color w:val="auto"/>
              </w:rPr>
            </w:pPr>
          </w:p>
        </w:tc>
      </w:tr>
      <w:tr>
        <w:trPr>
          <w:trHeight w:val="431"/>
        </w:trPr>
        <w:tc>
          <w:tcPr>
            <w:tcW w:w="76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4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60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end of period</w:t>
            </w:r>
          </w:p>
        </w:tc>
        <w:tc>
          <w:tcPr>
            <w:tcW w:w="8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15,536</w:t>
            </w:r>
          </w:p>
        </w:tc>
        <w:tc>
          <w:tcPr>
            <w:tcW w:w="460" w:type="dxa"/>
            <w:vAlign w:val="bottom"/>
            <w:shd w:val="clear" w:color="auto" w:fill="D6F3E8"/>
          </w:tcPr>
          <w:p>
            <w:pPr>
              <w:spacing w:after="0"/>
              <w:rPr>
                <w:sz w:val="21"/>
                <w:szCs w:val="21"/>
                <w:color w:val="auto"/>
              </w:rPr>
            </w:pPr>
          </w:p>
        </w:tc>
        <w:tc>
          <w:tcPr>
            <w:tcW w:w="440" w:type="dxa"/>
            <w:vAlign w:val="bottom"/>
            <w:shd w:val="clear" w:color="auto" w:fill="D6F3E8"/>
          </w:tcPr>
          <w:p>
            <w:pPr>
              <w:jc w:val="right"/>
              <w:ind w:right="2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12,446</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-1328420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495300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center"/>
              <w:ind w:right="58"/>
              <w:spacing w:after="0"/>
              <w:rPr>
                <w:sz w:val="20"/>
                <w:szCs w:val="20"/>
                <w:color w:val="auto"/>
              </w:rPr>
            </w:pPr>
            <w:r>
              <w:rPr>
                <w:rFonts w:ascii="Arial" w:cs="Arial" w:eastAsia="Arial" w:hAnsi="Arial"/>
                <w:sz w:val="14"/>
                <w:szCs w:val="14"/>
                <w:b w:val="1"/>
                <w:bCs w:val="1"/>
                <w:color w:val="auto"/>
                <w:w w:val="86"/>
              </w:rPr>
              <w:t>13-Weeks Ended</w:t>
            </w:r>
          </w:p>
        </w:tc>
        <w:tc>
          <w:tcPr>
            <w:tcW w:w="34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vMerge w:val="restart"/>
          </w:tcPr>
          <w:p>
            <w:pPr>
              <w:spacing w:after="0"/>
              <w:rPr>
                <w:sz w:val="20"/>
                <w:szCs w:val="20"/>
                <w:color w:val="auto"/>
              </w:rPr>
            </w:pPr>
            <w:r>
              <w:rPr>
                <w:rFonts w:ascii="Arial" w:cs="Arial" w:eastAsia="Arial" w:hAnsi="Arial"/>
                <w:sz w:val="18"/>
                <w:szCs w:val="18"/>
                <w:color w:val="auto"/>
              </w:rPr>
              <w:t>Motor home unit deliveries</w:t>
            </w:r>
          </w:p>
        </w:tc>
        <w:tc>
          <w:tcPr>
            <w:tcW w:w="2720" w:type="dxa"/>
            <w:vAlign w:val="bottom"/>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Mar. 1, 2008</w:t>
            </w:r>
          </w:p>
        </w:tc>
        <w:tc>
          <w:tcPr>
            <w:tcW w:w="12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Feb. 24, 2007</w:t>
            </w:r>
          </w:p>
        </w:tc>
        <w:tc>
          <w:tcPr>
            <w:tcW w:w="180" w:type="dxa"/>
            <w:vAlign w:val="bottom"/>
          </w:tcPr>
          <w:p>
            <w:pPr>
              <w:spacing w:after="0"/>
              <w:rPr>
                <w:sz w:val="14"/>
                <w:szCs w:val="1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Units</w:t>
            </w:r>
          </w:p>
        </w:tc>
        <w:tc>
          <w:tcPr>
            <w:tcW w:w="68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6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86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Gas</w:t>
            </w:r>
          </w:p>
        </w:tc>
        <w:tc>
          <w:tcPr>
            <w:tcW w:w="36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D6F3E8"/>
          </w:tcPr>
          <w:p>
            <w:pPr>
              <w:spacing w:after="0"/>
              <w:rPr>
                <w:sz w:val="22"/>
                <w:szCs w:val="22"/>
                <w:color w:val="auto"/>
              </w:rPr>
            </w:pPr>
          </w:p>
        </w:tc>
        <w:tc>
          <w:tcPr>
            <w:tcW w:w="220" w:type="dxa"/>
            <w:vAlign w:val="bottom"/>
            <w:tcBorders>
              <w:right w:val="single" w:sz="8" w:color="D6F3E8"/>
            </w:tcBorders>
            <w:shd w:val="clear" w:color="auto" w:fill="D6F3E8"/>
          </w:tcPr>
          <w:p>
            <w:pPr>
              <w:spacing w:after="0"/>
              <w:rPr>
                <w:sz w:val="22"/>
                <w:szCs w:val="22"/>
                <w:color w:val="auto"/>
              </w:rPr>
            </w:pPr>
          </w:p>
        </w:tc>
        <w:tc>
          <w:tcPr>
            <w:tcW w:w="102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886</w:t>
            </w:r>
          </w:p>
        </w:tc>
        <w:tc>
          <w:tcPr>
            <w:tcW w:w="22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5"/>
        </w:trPr>
        <w:tc>
          <w:tcPr>
            <w:tcW w:w="386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27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
        </w:trPr>
        <w:tc>
          <w:tcPr>
            <w:tcW w:w="3860" w:type="dxa"/>
            <w:vAlign w:val="bottom"/>
            <w:shd w:val="clear" w:color="auto" w:fill="D6F3E8"/>
          </w:tcPr>
          <w:p>
            <w:pPr>
              <w:spacing w:after="0" w:line="20" w:lineRule="exact"/>
              <w:rPr>
                <w:sz w:val="1"/>
                <w:szCs w:val="1"/>
                <w:color w:val="auto"/>
              </w:rPr>
            </w:pPr>
          </w:p>
        </w:tc>
        <w:tc>
          <w:tcPr>
            <w:tcW w:w="272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20" w:type="dxa"/>
            <w:vAlign w:val="bottom"/>
            <w:tcBorders>
              <w:right w:val="single" w:sz="8" w:color="D6F3E8"/>
            </w:tcBorders>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Total Class A</w:t>
            </w:r>
          </w:p>
        </w:tc>
        <w:tc>
          <w:tcPr>
            <w:tcW w:w="2720" w:type="dxa"/>
            <w:vAlign w:val="bottom"/>
            <w:shd w:val="clear" w:color="auto" w:fill="D6F3E8"/>
          </w:tcPr>
          <w:p>
            <w:pPr>
              <w:spacing w:after="0"/>
              <w:rPr>
                <w:sz w:val="21"/>
                <w:szCs w:val="21"/>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838</w:t>
            </w:r>
          </w:p>
        </w:tc>
        <w:tc>
          <w:tcPr>
            <w:tcW w:w="120" w:type="dxa"/>
            <w:vAlign w:val="bottom"/>
            <w:shd w:val="clear" w:color="auto" w:fill="D6F3E8"/>
          </w:tcPr>
          <w:p>
            <w:pPr>
              <w:spacing w:after="0"/>
              <w:rPr>
                <w:sz w:val="21"/>
                <w:szCs w:val="21"/>
                <w:color w:val="auto"/>
              </w:rPr>
            </w:pPr>
          </w:p>
        </w:tc>
        <w:tc>
          <w:tcPr>
            <w:tcW w:w="220" w:type="dxa"/>
            <w:vAlign w:val="bottom"/>
            <w:tcBorders>
              <w:right w:val="single" w:sz="8" w:color="D6F3E8"/>
            </w:tcBorders>
            <w:shd w:val="clear" w:color="auto" w:fill="D6F3E8"/>
          </w:tcPr>
          <w:p>
            <w:pPr>
              <w:spacing w:after="0"/>
              <w:rPr>
                <w:sz w:val="21"/>
                <w:szCs w:val="21"/>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D6F3E8"/>
          </w:tcPr>
          <w:p>
            <w:pPr>
              <w:spacing w:after="0"/>
              <w:rPr>
                <w:sz w:val="21"/>
                <w:szCs w:val="21"/>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6"/>
        </w:trPr>
        <w:tc>
          <w:tcPr>
            <w:tcW w:w="3860" w:type="dxa"/>
            <w:vAlign w:val="bottom"/>
          </w:tcPr>
          <w:p>
            <w:pPr>
              <w:ind w:left="80"/>
              <w:spacing w:after="0"/>
              <w:rPr>
                <w:sz w:val="20"/>
                <w:szCs w:val="20"/>
                <w:color w:val="auto"/>
              </w:rPr>
            </w:pPr>
            <w:r>
              <w:rPr>
                <w:rFonts w:ascii="Arial" w:cs="Arial" w:eastAsia="Arial" w:hAnsi="Arial"/>
                <w:sz w:val="18"/>
                <w:szCs w:val="18"/>
                <w:color w:val="auto"/>
              </w:rPr>
              <w:t>Class B</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386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C</w:t>
            </w:r>
          </w:p>
        </w:tc>
        <w:tc>
          <w:tcPr>
            <w:tcW w:w="2720" w:type="dxa"/>
            <w:vAlign w:val="bottom"/>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D6F3E8"/>
          </w:tcPr>
          <w:p>
            <w:pPr>
              <w:spacing w:after="0"/>
              <w:rPr>
                <w:sz w:val="20"/>
                <w:szCs w:val="20"/>
                <w:color w:val="auto"/>
              </w:rPr>
            </w:pPr>
          </w:p>
        </w:tc>
        <w:tc>
          <w:tcPr>
            <w:tcW w:w="220" w:type="dxa"/>
            <w:vAlign w:val="bottom"/>
            <w:tcBorders>
              <w:right w:val="single" w:sz="8" w:color="D6F3E8"/>
            </w:tcBorders>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D6F3E8"/>
          </w:tcPr>
          <w:p>
            <w:pPr>
              <w:spacing w:after="0"/>
              <w:rPr>
                <w:sz w:val="20"/>
                <w:szCs w:val="20"/>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60" w:type="dxa"/>
            <w:vAlign w:val="bottom"/>
          </w:tcPr>
          <w:p>
            <w:pPr>
              <w:ind w:left="180"/>
              <w:spacing w:after="0"/>
              <w:rPr>
                <w:sz w:val="20"/>
                <w:szCs w:val="20"/>
                <w:color w:val="auto"/>
              </w:rPr>
            </w:pPr>
            <w:r>
              <w:rPr>
                <w:rFonts w:ascii="Arial" w:cs="Arial" w:eastAsia="Arial" w:hAnsi="Arial"/>
                <w:sz w:val="18"/>
                <w:szCs w:val="18"/>
                <w:color w:val="auto"/>
              </w:rPr>
              <w:t>Total deliveries</w:t>
            </w:r>
          </w:p>
        </w:tc>
        <w:tc>
          <w:tcPr>
            <w:tcW w:w="27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8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2"/>
              <w:spacing w:after="0"/>
              <w:rPr>
                <w:sz w:val="20"/>
                <w:szCs w:val="20"/>
                <w:color w:val="auto"/>
              </w:rPr>
            </w:pPr>
            <w:r>
              <w:rPr>
                <w:rFonts w:ascii="Arial" w:cs="Arial" w:eastAsia="Arial" w:hAnsi="Arial"/>
                <w:sz w:val="14"/>
                <w:szCs w:val="14"/>
                <w:b w:val="1"/>
                <w:bCs w:val="1"/>
                <w:color w:val="auto"/>
                <w:w w:val="84"/>
              </w:rPr>
              <w:t>27 Weeks</w:t>
            </w:r>
          </w:p>
        </w:tc>
        <w:tc>
          <w:tcPr>
            <w:tcW w:w="3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 Weeks</w:t>
            </w:r>
          </w:p>
        </w:tc>
        <w:tc>
          <w:tcPr>
            <w:tcW w:w="3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8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5"/>
                <w:szCs w:val="5"/>
                <w:color w:val="auto"/>
              </w:rPr>
            </w:pPr>
          </w:p>
        </w:tc>
        <w:tc>
          <w:tcPr>
            <w:tcW w:w="1120" w:type="dxa"/>
            <w:vAlign w:val="bottom"/>
            <w:gridSpan w:val="3"/>
            <w:vMerge w:val="restart"/>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3"/>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8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860" w:type="dxa"/>
            <w:vAlign w:val="bottom"/>
            <w:vMerge w:val="restart"/>
          </w:tcPr>
          <w:p>
            <w:pPr>
              <w:spacing w:after="0"/>
              <w:rPr>
                <w:sz w:val="20"/>
                <w:szCs w:val="20"/>
                <w:color w:val="auto"/>
              </w:rPr>
            </w:pPr>
            <w:r>
              <w:rPr>
                <w:rFonts w:ascii="Arial" w:cs="Arial" w:eastAsia="Arial" w:hAnsi="Arial"/>
                <w:sz w:val="18"/>
                <w:szCs w:val="18"/>
                <w:color w:val="auto"/>
              </w:rPr>
              <w:t>Motor home unit deliveries</w:t>
            </w: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Mar. 1, 2008</w:t>
            </w:r>
          </w:p>
        </w:tc>
        <w:tc>
          <w:tcPr>
            <w:tcW w:w="120" w:type="dxa"/>
            <w:vAlign w:val="bottom"/>
          </w:tcPr>
          <w:p>
            <w:pPr>
              <w:spacing w:after="0"/>
              <w:rPr>
                <w:sz w:val="14"/>
                <w:szCs w:val="1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Feb. 24, 2007</w:t>
            </w:r>
          </w:p>
        </w:tc>
        <w:tc>
          <w:tcPr>
            <w:tcW w:w="180" w:type="dxa"/>
            <w:vAlign w:val="bottom"/>
          </w:tcPr>
          <w:p>
            <w:pPr>
              <w:spacing w:after="0"/>
              <w:rPr>
                <w:sz w:val="14"/>
                <w:szCs w:val="1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Units</w:t>
            </w:r>
          </w:p>
        </w:tc>
        <w:tc>
          <w:tcPr>
            <w:tcW w:w="68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6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86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Gas</w:t>
            </w:r>
          </w:p>
        </w:tc>
        <w:tc>
          <w:tcPr>
            <w:tcW w:w="3960" w:type="dxa"/>
            <w:vAlign w:val="bottom"/>
            <w:tcBorders>
              <w:right w:val="single" w:sz="8" w:color="D6F3E8"/>
            </w:tcBorders>
            <w:gridSpan w:val="5"/>
            <w:shd w:val="clear" w:color="auto" w:fill="D6F3E8"/>
          </w:tcPr>
          <w:p>
            <w:pPr>
              <w:jc w:val="right"/>
              <w:ind w:right="220"/>
              <w:spacing w:after="0"/>
              <w:rPr>
                <w:sz w:val="20"/>
                <w:szCs w:val="20"/>
                <w:color w:val="auto"/>
              </w:rPr>
            </w:pPr>
            <w:r>
              <w:rPr>
                <w:rFonts w:ascii="Arial" w:cs="Arial" w:eastAsia="Arial" w:hAnsi="Arial"/>
                <w:sz w:val="18"/>
                <w:szCs w:val="18"/>
                <w:color w:val="auto"/>
              </w:rPr>
              <w:t>1,387</w:t>
            </w:r>
          </w:p>
        </w:tc>
        <w:tc>
          <w:tcPr>
            <w:tcW w:w="10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1,658</w:t>
            </w:r>
          </w:p>
        </w:tc>
        <w:tc>
          <w:tcPr>
            <w:tcW w:w="22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(271)</w:t>
            </w:r>
          </w:p>
        </w:tc>
        <w:tc>
          <w:tcPr>
            <w:tcW w:w="22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2"/>
        </w:trPr>
        <w:tc>
          <w:tcPr>
            <w:tcW w:w="386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2840" w:type="dxa"/>
            <w:vAlign w:val="bottom"/>
            <w:gridSpan w:val="2"/>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D6F3E8"/>
          </w:tcPr>
          <w:p>
            <w:pPr>
              <w:ind w:left="180"/>
              <w:spacing w:after="0"/>
              <w:rPr>
                <w:sz w:val="20"/>
                <w:szCs w:val="20"/>
                <w:color w:val="auto"/>
              </w:rPr>
            </w:pPr>
            <w:r>
              <w:rPr>
                <w:rFonts w:ascii="Arial" w:cs="Arial" w:eastAsia="Arial" w:hAnsi="Arial"/>
                <w:sz w:val="18"/>
                <w:szCs w:val="18"/>
                <w:color w:val="auto"/>
              </w:rPr>
              <w:t>Total Class A</w:t>
            </w:r>
          </w:p>
        </w:tc>
        <w:tc>
          <w:tcPr>
            <w:tcW w:w="2840" w:type="dxa"/>
            <w:vAlign w:val="bottom"/>
            <w:gridSpan w:val="2"/>
            <w:shd w:val="clear" w:color="auto" w:fill="D6F3E8"/>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D6F3E8"/>
            </w:tcBorders>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60" w:type="dxa"/>
            <w:vAlign w:val="bottom"/>
            <w:vMerge w:val="continue"/>
            <w:shd w:val="clear" w:color="auto" w:fill="D6F3E8"/>
          </w:tcPr>
          <w:p>
            <w:pPr>
              <w:spacing w:after="0"/>
              <w:rPr>
                <w:sz w:val="20"/>
                <w:szCs w:val="20"/>
                <w:color w:val="auto"/>
              </w:rPr>
            </w:pPr>
          </w:p>
        </w:tc>
        <w:tc>
          <w:tcPr>
            <w:tcW w:w="2840" w:type="dxa"/>
            <w:vAlign w:val="bottom"/>
            <w:gridSpan w:val="2"/>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2,037</w:t>
            </w:r>
          </w:p>
        </w:tc>
        <w:tc>
          <w:tcPr>
            <w:tcW w:w="220" w:type="dxa"/>
            <w:vAlign w:val="bottom"/>
            <w:tcBorders>
              <w:right w:val="single" w:sz="8" w:color="D6F3E8"/>
            </w:tcBorders>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2,429</w:t>
            </w:r>
          </w:p>
        </w:tc>
        <w:tc>
          <w:tcPr>
            <w:tcW w:w="22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D6F3E8"/>
          </w:tcPr>
          <w:p>
            <w:pPr>
              <w:spacing w:after="0"/>
              <w:rPr>
                <w:sz w:val="20"/>
                <w:szCs w:val="20"/>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9"/>
        </w:trPr>
        <w:tc>
          <w:tcPr>
            <w:tcW w:w="3860" w:type="dxa"/>
            <w:vAlign w:val="bottom"/>
          </w:tcPr>
          <w:p>
            <w:pPr>
              <w:ind w:left="80"/>
              <w:spacing w:after="0"/>
              <w:rPr>
                <w:sz w:val="20"/>
                <w:szCs w:val="20"/>
                <w:color w:val="auto"/>
              </w:rPr>
            </w:pPr>
            <w:r>
              <w:rPr>
                <w:rFonts w:ascii="Arial" w:cs="Arial" w:eastAsia="Arial" w:hAnsi="Arial"/>
                <w:sz w:val="18"/>
                <w:szCs w:val="18"/>
                <w:color w:val="auto"/>
              </w:rPr>
              <w:t>Class B</w:t>
            </w:r>
          </w:p>
        </w:tc>
        <w:tc>
          <w:tcPr>
            <w:tcW w:w="3960" w:type="dxa"/>
            <w:vAlign w:val="bottom"/>
            <w:gridSpan w:val="5"/>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386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C</w:t>
            </w:r>
          </w:p>
        </w:tc>
        <w:tc>
          <w:tcPr>
            <w:tcW w:w="2840" w:type="dxa"/>
            <w:vAlign w:val="bottom"/>
            <w:gridSpan w:val="2"/>
            <w:shd w:val="clear" w:color="auto" w:fill="D6F3E8"/>
          </w:tcPr>
          <w:p>
            <w:pPr>
              <w:spacing w:after="0"/>
              <w:rPr>
                <w:sz w:val="22"/>
                <w:szCs w:val="22"/>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1,814</w:t>
            </w:r>
          </w:p>
        </w:tc>
        <w:tc>
          <w:tcPr>
            <w:tcW w:w="220" w:type="dxa"/>
            <w:vAlign w:val="bottom"/>
            <w:tcBorders>
              <w:right w:val="single" w:sz="8" w:color="D6F3E8"/>
            </w:tcBorders>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(69)</w:t>
            </w:r>
          </w:p>
        </w:tc>
        <w:tc>
          <w:tcPr>
            <w:tcW w:w="22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3860" w:type="dxa"/>
            <w:vAlign w:val="bottom"/>
            <w:vMerge w:val="restart"/>
          </w:tcPr>
          <w:p>
            <w:pPr>
              <w:ind w:left="180"/>
              <w:spacing w:after="0"/>
              <w:rPr>
                <w:sz w:val="20"/>
                <w:szCs w:val="20"/>
                <w:color w:val="auto"/>
              </w:rPr>
            </w:pPr>
            <w:r>
              <w:rPr>
                <w:rFonts w:ascii="Arial" w:cs="Arial" w:eastAsia="Arial" w:hAnsi="Arial"/>
                <w:sz w:val="18"/>
                <w:szCs w:val="18"/>
                <w:color w:val="auto"/>
              </w:rPr>
              <w:t>Total deliveries</w:t>
            </w:r>
          </w:p>
        </w:tc>
        <w:tc>
          <w:tcPr>
            <w:tcW w:w="284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60" w:type="dxa"/>
            <w:vAlign w:val="bottom"/>
            <w:vMerge w:val="continue"/>
          </w:tcPr>
          <w:p>
            <w:pPr>
              <w:spacing w:after="0"/>
              <w:rPr>
                <w:sz w:val="21"/>
                <w:szCs w:val="21"/>
                <w:color w:val="auto"/>
              </w:rPr>
            </w:pPr>
          </w:p>
        </w:tc>
        <w:tc>
          <w:tcPr>
            <w:tcW w:w="2840" w:type="dxa"/>
            <w:vAlign w:val="bottom"/>
            <w:gridSpan w:val="2"/>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3,852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634"/>
        </w:trPr>
        <w:tc>
          <w:tcPr>
            <w:tcW w:w="3860" w:type="dxa"/>
            <w:vAlign w:val="bottom"/>
          </w:tcPr>
          <w:p>
            <w:pPr>
              <w:spacing w:after="0"/>
              <w:rPr>
                <w:sz w:val="24"/>
                <w:szCs w:val="24"/>
                <w:color w:val="auto"/>
              </w:rPr>
            </w:pPr>
          </w:p>
        </w:tc>
        <w:tc>
          <w:tcPr>
            <w:tcW w:w="2840" w:type="dxa"/>
            <w:vAlign w:val="bottom"/>
            <w:gridSpan w:val="2"/>
          </w:tcPr>
          <w:p>
            <w:pPr>
              <w:jc w:val="center"/>
              <w:ind w:left="772"/>
              <w:spacing w:after="0"/>
              <w:rPr>
                <w:sz w:val="20"/>
                <w:szCs w:val="20"/>
                <w:color w:val="auto"/>
              </w:rPr>
            </w:pPr>
            <w:r>
              <w:rPr>
                <w:rFonts w:ascii="Arial" w:cs="Arial" w:eastAsia="Arial" w:hAnsi="Arial"/>
                <w:sz w:val="18"/>
                <w:szCs w:val="18"/>
                <w:color w:val="auto"/>
                <w:w w:val="89"/>
              </w:rPr>
              <w:t>Winnebago Industries, Inc.</w:t>
            </w:r>
          </w:p>
        </w:tc>
        <w:tc>
          <w:tcPr>
            <w:tcW w:w="900" w:type="dxa"/>
            <w:vAlign w:val="bottom"/>
            <w:tcBorders>
              <w:top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96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Unaudited Backlog and Dealer Inventory</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3960" w:type="dxa"/>
            <w:vAlign w:val="bottom"/>
            <w:gridSpan w:val="5"/>
          </w:tcPr>
          <w:p>
            <w:pPr>
              <w:jc w:val="center"/>
              <w:ind w:right="260"/>
              <w:spacing w:after="0"/>
              <w:rPr>
                <w:sz w:val="20"/>
                <w:szCs w:val="20"/>
                <w:color w:val="auto"/>
              </w:rPr>
            </w:pPr>
            <w:r>
              <w:rPr>
                <w:rFonts w:ascii="Arial" w:cs="Arial" w:eastAsia="Arial" w:hAnsi="Arial"/>
                <w:sz w:val="18"/>
                <w:szCs w:val="18"/>
                <w:color w:val="auto"/>
                <w:w w:val="94"/>
              </w:rPr>
              <w:t>(Units)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38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60" w:type="dxa"/>
            <w:vAlign w:val="bottom"/>
            <w:vMerge w:val="restart"/>
          </w:tcPr>
          <w:p>
            <w:pPr>
              <w:spacing w:after="0"/>
              <w:rPr>
                <w:sz w:val="20"/>
                <w:szCs w:val="20"/>
                <w:color w:val="auto"/>
              </w:rPr>
            </w:pPr>
            <w:r>
              <w:rPr>
                <w:rFonts w:ascii="Arial" w:cs="Arial" w:eastAsia="Arial" w:hAnsi="Arial"/>
                <w:sz w:val="18"/>
                <w:szCs w:val="18"/>
                <w:color w:val="auto"/>
              </w:rPr>
              <w:t>Sales order backlog</w:t>
            </w:r>
          </w:p>
        </w:tc>
        <w:tc>
          <w:tcPr>
            <w:tcW w:w="2720" w:type="dxa"/>
            <w:vAlign w:val="bottom"/>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Mar. 1, 2008</w:t>
            </w:r>
          </w:p>
        </w:tc>
        <w:tc>
          <w:tcPr>
            <w:tcW w:w="12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Feb. 24, 2007</w:t>
            </w:r>
          </w:p>
        </w:tc>
        <w:tc>
          <w:tcPr>
            <w:tcW w:w="180" w:type="dxa"/>
            <w:vAlign w:val="bottom"/>
          </w:tcPr>
          <w:p>
            <w:pPr>
              <w:spacing w:after="0"/>
              <w:rPr>
                <w:sz w:val="14"/>
                <w:szCs w:val="1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Units</w:t>
            </w:r>
          </w:p>
        </w:tc>
        <w:tc>
          <w:tcPr>
            <w:tcW w:w="680" w:type="dxa"/>
            <w:vAlign w:val="bottom"/>
          </w:tcPr>
          <w:p>
            <w:pPr>
              <w:jc w:val="right"/>
              <w:ind w:right="29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6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86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Gas</w:t>
            </w:r>
          </w:p>
        </w:tc>
        <w:tc>
          <w:tcPr>
            <w:tcW w:w="36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D6F3E8"/>
          </w:tcPr>
          <w:p>
            <w:pPr>
              <w:spacing w:after="0"/>
              <w:rPr>
                <w:sz w:val="22"/>
                <w:szCs w:val="22"/>
                <w:color w:val="auto"/>
              </w:rPr>
            </w:pPr>
          </w:p>
        </w:tc>
        <w:tc>
          <w:tcPr>
            <w:tcW w:w="220" w:type="dxa"/>
            <w:vAlign w:val="bottom"/>
            <w:tcBorders>
              <w:right w:val="single" w:sz="8" w:color="D6F3E8"/>
            </w:tcBorders>
            <w:shd w:val="clear" w:color="auto" w:fill="D6F3E8"/>
          </w:tcPr>
          <w:p>
            <w:pPr>
              <w:spacing w:after="0"/>
              <w:rPr>
                <w:sz w:val="22"/>
                <w:szCs w:val="22"/>
                <w:color w:val="auto"/>
              </w:rPr>
            </w:pPr>
          </w:p>
        </w:tc>
        <w:tc>
          <w:tcPr>
            <w:tcW w:w="102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2"/>
        </w:trPr>
        <w:tc>
          <w:tcPr>
            <w:tcW w:w="386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27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D6F3E8"/>
          </w:tcPr>
          <w:p>
            <w:pPr>
              <w:ind w:left="180"/>
              <w:spacing w:after="0"/>
              <w:rPr>
                <w:sz w:val="20"/>
                <w:szCs w:val="20"/>
                <w:color w:val="auto"/>
              </w:rPr>
            </w:pPr>
            <w:r>
              <w:rPr>
                <w:rFonts w:ascii="Arial" w:cs="Arial" w:eastAsia="Arial" w:hAnsi="Arial"/>
                <w:sz w:val="18"/>
                <w:szCs w:val="18"/>
                <w:color w:val="auto"/>
              </w:rPr>
              <w:t>Total Class A</w:t>
            </w:r>
          </w:p>
        </w:tc>
        <w:tc>
          <w:tcPr>
            <w:tcW w:w="2720" w:type="dxa"/>
            <w:vAlign w:val="bottom"/>
            <w:shd w:val="clear" w:color="auto" w:fill="D6F3E8"/>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20" w:type="dxa"/>
            <w:vAlign w:val="bottom"/>
            <w:tcBorders>
              <w:right w:val="single" w:sz="8" w:color="D6F3E8"/>
            </w:tcBorders>
            <w:shd w:val="clear" w:color="auto" w:fill="D6F3E8"/>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60" w:type="dxa"/>
            <w:vAlign w:val="bottom"/>
            <w:vMerge w:val="continue"/>
            <w:shd w:val="clear" w:color="auto" w:fill="D6F3E8"/>
          </w:tcPr>
          <w:p>
            <w:pPr>
              <w:spacing w:after="0"/>
              <w:rPr>
                <w:sz w:val="20"/>
                <w:szCs w:val="20"/>
                <w:color w:val="auto"/>
              </w:rPr>
            </w:pPr>
          </w:p>
        </w:tc>
        <w:tc>
          <w:tcPr>
            <w:tcW w:w="2720" w:type="dxa"/>
            <w:vAlign w:val="bottom"/>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D6F3E8"/>
          </w:tcPr>
          <w:p>
            <w:pPr>
              <w:spacing w:after="0"/>
              <w:rPr>
                <w:sz w:val="20"/>
                <w:szCs w:val="20"/>
                <w:color w:val="auto"/>
              </w:rPr>
            </w:pPr>
          </w:p>
        </w:tc>
        <w:tc>
          <w:tcPr>
            <w:tcW w:w="220" w:type="dxa"/>
            <w:vAlign w:val="bottom"/>
            <w:tcBorders>
              <w:right w:val="single" w:sz="8" w:color="D6F3E8"/>
            </w:tcBorders>
            <w:shd w:val="clear" w:color="auto" w:fill="D6F3E8"/>
          </w:tcPr>
          <w:p>
            <w:pPr>
              <w:spacing w:after="0"/>
              <w:rPr>
                <w:sz w:val="20"/>
                <w:szCs w:val="20"/>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0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D6F3E8"/>
          </w:tcPr>
          <w:p>
            <w:pPr>
              <w:spacing w:after="0"/>
              <w:rPr>
                <w:sz w:val="20"/>
                <w:szCs w:val="20"/>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3860" w:type="dxa"/>
            <w:vAlign w:val="bottom"/>
          </w:tcPr>
          <w:p>
            <w:pPr>
              <w:ind w:left="80"/>
              <w:spacing w:after="0"/>
              <w:rPr>
                <w:sz w:val="20"/>
                <w:szCs w:val="20"/>
                <w:color w:val="auto"/>
              </w:rPr>
            </w:pPr>
            <w:r>
              <w:rPr>
                <w:rFonts w:ascii="Arial" w:cs="Arial" w:eastAsia="Arial" w:hAnsi="Arial"/>
                <w:sz w:val="18"/>
                <w:szCs w:val="18"/>
                <w:color w:val="auto"/>
              </w:rPr>
              <w:t>Class B</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C</w:t>
            </w:r>
          </w:p>
        </w:tc>
        <w:tc>
          <w:tcPr>
            <w:tcW w:w="2720" w:type="dxa"/>
            <w:vAlign w:val="bottom"/>
            <w:shd w:val="clear" w:color="auto" w:fill="D6F3E8"/>
          </w:tcPr>
          <w:p>
            <w:pPr>
              <w:spacing w:after="0"/>
              <w:rPr>
                <w:sz w:val="21"/>
                <w:szCs w:val="21"/>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D6F3E8"/>
          </w:tcPr>
          <w:p>
            <w:pPr>
              <w:spacing w:after="0"/>
              <w:rPr>
                <w:sz w:val="21"/>
                <w:szCs w:val="21"/>
                <w:color w:val="auto"/>
              </w:rPr>
            </w:pPr>
          </w:p>
        </w:tc>
        <w:tc>
          <w:tcPr>
            <w:tcW w:w="220" w:type="dxa"/>
            <w:vAlign w:val="bottom"/>
            <w:tcBorders>
              <w:right w:val="single" w:sz="8" w:color="D6F3E8"/>
            </w:tcBorders>
            <w:shd w:val="clear" w:color="auto" w:fill="D6F3E8"/>
          </w:tcPr>
          <w:p>
            <w:pPr>
              <w:spacing w:after="0"/>
              <w:rPr>
                <w:sz w:val="21"/>
                <w:szCs w:val="21"/>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D6F3E8"/>
          </w:tcPr>
          <w:p>
            <w:pPr>
              <w:spacing w:after="0"/>
              <w:rPr>
                <w:sz w:val="21"/>
                <w:szCs w:val="21"/>
                <w:color w:val="auto"/>
              </w:rPr>
            </w:pPr>
          </w:p>
        </w:tc>
        <w:tc>
          <w:tcPr>
            <w:tcW w:w="220" w:type="dxa"/>
            <w:vAlign w:val="bottom"/>
            <w:shd w:val="clear" w:color="auto" w:fill="D6F3E8"/>
          </w:tcPr>
          <w:p>
            <w:pPr>
              <w:spacing w:after="0"/>
              <w:rPr>
                <w:sz w:val="21"/>
                <w:szCs w:val="21"/>
                <w:color w:val="auto"/>
              </w:rPr>
            </w:pPr>
          </w:p>
        </w:tc>
        <w:tc>
          <w:tcPr>
            <w:tcW w:w="18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D6F3E8"/>
          </w:tcPr>
          <w:p>
            <w:pPr>
              <w:spacing w:after="0"/>
              <w:rPr>
                <w:sz w:val="21"/>
                <w:szCs w:val="21"/>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tcPr>
          <w:p>
            <w:pPr>
              <w:ind w:left="180"/>
              <w:spacing w:after="0"/>
              <w:rPr>
                <w:sz w:val="20"/>
                <w:szCs w:val="20"/>
                <w:color w:val="auto"/>
              </w:rPr>
            </w:pPr>
            <w:r>
              <w:rPr>
                <w:rFonts w:ascii="Arial" w:cs="Arial" w:eastAsia="Arial" w:hAnsi="Arial"/>
                <w:sz w:val="18"/>
                <w:szCs w:val="18"/>
                <w:color w:val="auto"/>
              </w:rPr>
              <w:t>Total backlog*</w:t>
            </w:r>
          </w:p>
        </w:tc>
        <w:tc>
          <w:tcPr>
            <w:tcW w:w="27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D6F3E8"/>
          </w:tcPr>
          <w:p>
            <w:pPr>
              <w:spacing w:after="0"/>
              <w:rPr>
                <w:sz w:val="20"/>
                <w:szCs w:val="20"/>
                <w:color w:val="auto"/>
              </w:rPr>
            </w:pPr>
            <w:r>
              <w:rPr>
                <w:rFonts w:ascii="Arial" w:cs="Arial" w:eastAsia="Arial" w:hAnsi="Arial"/>
                <w:sz w:val="18"/>
                <w:szCs w:val="18"/>
                <w:color w:val="auto"/>
                <w:w w:val="98"/>
              </w:rPr>
              <w:t>Total approximate revenue dollars (in thousands)</w:t>
            </w:r>
          </w:p>
        </w:tc>
        <w:tc>
          <w:tcPr>
            <w:tcW w:w="36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   123,137</w:t>
            </w:r>
          </w:p>
        </w:tc>
        <w:tc>
          <w:tcPr>
            <w:tcW w:w="120" w:type="dxa"/>
            <w:vAlign w:val="bottom"/>
            <w:shd w:val="clear" w:color="auto" w:fill="D6F3E8"/>
          </w:tcPr>
          <w:p>
            <w:pPr>
              <w:spacing w:after="0"/>
              <w:rPr>
                <w:sz w:val="22"/>
                <w:szCs w:val="22"/>
                <w:color w:val="auto"/>
              </w:rPr>
            </w:pPr>
          </w:p>
        </w:tc>
        <w:tc>
          <w:tcPr>
            <w:tcW w:w="220" w:type="dxa"/>
            <w:vAlign w:val="bottom"/>
            <w:tcBorders>
              <w:right w:val="single" w:sz="8" w:color="D6F3E8"/>
            </w:tcBorders>
            <w:shd w:val="clear" w:color="auto" w:fill="D6F3E8"/>
          </w:tcPr>
          <w:p>
            <w:pPr>
              <w:spacing w:after="0"/>
              <w:rPr>
                <w:sz w:val="22"/>
                <w:szCs w:val="22"/>
                <w:color w:val="auto"/>
              </w:rPr>
            </w:pPr>
          </w:p>
        </w:tc>
        <w:tc>
          <w:tcPr>
            <w:tcW w:w="1020" w:type="dxa"/>
            <w:vAlign w:val="bottom"/>
            <w:gridSpan w:val="3"/>
            <w:shd w:val="clear" w:color="auto" w:fill="D6F3E8"/>
          </w:tcPr>
          <w:p>
            <w:pPr>
              <w:jc w:val="right"/>
              <w:ind w:right="120"/>
              <w:spacing w:after="0"/>
              <w:rPr>
                <w:sz w:val="20"/>
                <w:szCs w:val="20"/>
                <w:color w:val="auto"/>
              </w:rPr>
            </w:pPr>
            <w:r>
              <w:rPr>
                <w:rFonts w:ascii="Arial" w:cs="Arial" w:eastAsia="Arial" w:hAnsi="Arial"/>
                <w:sz w:val="18"/>
                <w:szCs w:val="18"/>
                <w:color w:val="auto"/>
                <w:w w:val="97"/>
              </w:rPr>
              <w:t>$   165,300</w:t>
            </w:r>
          </w:p>
        </w:tc>
        <w:tc>
          <w:tcPr>
            <w:tcW w:w="220" w:type="dxa"/>
            <w:vAlign w:val="bottom"/>
            <w:shd w:val="clear" w:color="auto" w:fill="D6F3E8"/>
          </w:tcPr>
          <w:p>
            <w:pPr>
              <w:spacing w:after="0"/>
              <w:rPr>
                <w:sz w:val="22"/>
                <w:szCs w:val="22"/>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(42,163)</w:t>
            </w:r>
          </w:p>
        </w:tc>
        <w:tc>
          <w:tcPr>
            <w:tcW w:w="22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444"/>
        </w:trPr>
        <w:tc>
          <w:tcPr>
            <w:tcW w:w="3860" w:type="dxa"/>
            <w:vAlign w:val="bottom"/>
          </w:tcPr>
          <w:p>
            <w:pPr>
              <w:spacing w:after="0"/>
              <w:rPr>
                <w:sz w:val="20"/>
                <w:szCs w:val="20"/>
                <w:color w:val="auto"/>
              </w:rPr>
            </w:pPr>
            <w:r>
              <w:rPr>
                <w:rFonts w:ascii="Arial" w:cs="Arial" w:eastAsia="Arial" w:hAnsi="Arial"/>
                <w:sz w:val="18"/>
                <w:szCs w:val="18"/>
                <w:color w:val="auto"/>
              </w:rPr>
              <w:t>Dealer inventory</w:t>
            </w:r>
          </w:p>
        </w:tc>
        <w:tc>
          <w:tcPr>
            <w:tcW w:w="3620" w:type="dxa"/>
            <w:vAlign w:val="bottom"/>
            <w:gridSpan w:val="3"/>
          </w:tcPr>
          <w:p>
            <w:pPr>
              <w:jc w:val="right"/>
              <w:spacing w:after="0"/>
              <w:rPr>
                <w:sz w:val="20"/>
                <w:szCs w:val="20"/>
                <w:color w:val="auto"/>
              </w:rPr>
            </w:pPr>
            <w:r>
              <w:rPr>
                <w:rFonts w:ascii="Arial" w:cs="Arial" w:eastAsia="Arial" w:hAnsi="Arial"/>
                <w:sz w:val="18"/>
                <w:szCs w:val="18"/>
                <w:color w:val="auto"/>
              </w:rPr>
              <w:t>4,837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4,924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740" w:firstLine="8"/>
        <w:spacing w:after="0" w:line="370" w:lineRule="auto"/>
        <w:tabs>
          <w:tab w:leader="none" w:pos="132"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70" w:lineRule="exact"/>
        <w:rPr>
          <w:rFonts w:ascii="Arial" w:cs="Arial" w:eastAsia="Arial" w:hAnsi="Arial"/>
          <w:sz w:val="15"/>
          <w:szCs w:val="15"/>
          <w:color w:val="auto"/>
        </w:rPr>
      </w:pPr>
    </w:p>
    <w:p>
      <w:pPr>
        <w:ind w:left="5680" w:hanging="142"/>
        <w:spacing w:after="0"/>
        <w:tabs>
          <w:tab w:leader="none" w:pos="5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2019-12-11T14:47:08Z</dcterms:created>
  <dcterms:modified xsi:type="dcterms:W3CDTF">2019-12-11T14:47:08Z</dcterms:modified>
</cp:coreProperties>
</file>