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188595</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182880</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56" w:lineRule="exact"/>
        <w:rPr>
          <w:sz w:val="24"/>
          <w:szCs w:val="24"/>
          <w:color w:val="auto"/>
        </w:rPr>
      </w:pPr>
    </w:p>
    <w:p>
      <w:pPr>
        <w:jc w:val="center"/>
        <w:ind w:right="-59"/>
        <w:spacing w:after="0"/>
        <w:tabs>
          <w:tab w:leader="none" w:pos="20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9"/>
          <w:szCs w:val="19"/>
          <w:color w:val="auto"/>
        </w:rPr>
        <w:t>March 8,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142240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79"/>
        <w:spacing w:after="0"/>
        <w:rPr>
          <w:sz w:val="20"/>
          <w:szCs w:val="20"/>
          <w:color w:val="auto"/>
        </w:rPr>
      </w:pPr>
      <w:r>
        <w:rPr>
          <w:rFonts w:ascii="Arial" w:cs="Arial" w:eastAsia="Arial" w:hAnsi="Arial"/>
          <w:sz w:val="43"/>
          <w:szCs w:val="43"/>
          <w:color w:val="auto"/>
        </w:rPr>
        <w:t>Winnebago Industries, Inc.</w:t>
      </w:r>
    </w:p>
    <w:p>
      <w:pPr>
        <w:spacing w:after="0" w:line="4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198" w:lineRule="exact"/>
        <w:rPr>
          <w:sz w:val="24"/>
          <w:szCs w:val="24"/>
          <w:color w:val="auto"/>
        </w:rPr>
      </w:pPr>
    </w:p>
    <w:tbl>
      <w:tblPr>
        <w:tblLayout w:type="fixed"/>
        <w:tblInd w:w="520" w:type="dxa"/>
        <w:tblCellMar>
          <w:top w:w="0" w:type="dxa"/>
          <w:left w:w="0" w:type="dxa"/>
          <w:bottom w:w="0" w:type="dxa"/>
          <w:right w:w="0" w:type="dxa"/>
        </w:tblCellMar>
      </w:tblPr>
      <w:tr>
        <w:trPr>
          <w:trHeight w:val="256"/>
        </w:trPr>
        <w:tc>
          <w:tcPr>
            <w:tcW w:w="3580" w:type="dxa"/>
            <w:vAlign w:val="bottom"/>
          </w:tcPr>
          <w:p>
            <w:pPr>
              <w:jc w:val="center"/>
              <w:ind w:right="622"/>
              <w:spacing w:after="0"/>
              <w:rPr>
                <w:sz w:val="20"/>
                <w:szCs w:val="20"/>
                <w:color w:val="auto"/>
              </w:rPr>
            </w:pPr>
            <w:r>
              <w:rPr>
                <w:rFonts w:ascii="Arial" w:cs="Arial" w:eastAsia="Arial" w:hAnsi="Arial"/>
                <w:sz w:val="22"/>
                <w:szCs w:val="22"/>
                <w:color w:val="auto"/>
                <w:w w:val="90"/>
              </w:rPr>
              <w:t>Iowa</w:t>
            </w:r>
          </w:p>
        </w:tc>
        <w:tc>
          <w:tcPr>
            <w:tcW w:w="3220" w:type="dxa"/>
            <w:vAlign w:val="bottom"/>
          </w:tcPr>
          <w:p>
            <w:pPr>
              <w:jc w:val="right"/>
              <w:ind w:right="982"/>
              <w:spacing w:after="0"/>
              <w:rPr>
                <w:sz w:val="20"/>
                <w:szCs w:val="20"/>
                <w:color w:val="auto"/>
              </w:rPr>
            </w:pPr>
            <w:r>
              <w:rPr>
                <w:rFonts w:ascii="Arial" w:cs="Arial" w:eastAsia="Arial" w:hAnsi="Arial"/>
                <w:sz w:val="22"/>
                <w:szCs w:val="22"/>
                <w:color w:val="auto"/>
              </w:rPr>
              <w:t>001-06403</w:t>
            </w:r>
          </w:p>
        </w:tc>
        <w:tc>
          <w:tcPr>
            <w:tcW w:w="2880" w:type="dxa"/>
            <w:vAlign w:val="bottom"/>
          </w:tcPr>
          <w:p>
            <w:pPr>
              <w:jc w:val="right"/>
              <w:ind w:right="42"/>
              <w:spacing w:after="0"/>
              <w:rPr>
                <w:sz w:val="20"/>
                <w:szCs w:val="20"/>
                <w:color w:val="auto"/>
              </w:rPr>
            </w:pPr>
            <w:r>
              <w:rPr>
                <w:rFonts w:ascii="Arial" w:cs="Arial" w:eastAsia="Arial" w:hAnsi="Arial"/>
                <w:sz w:val="22"/>
                <w:szCs w:val="22"/>
                <w:color w:val="auto"/>
              </w:rPr>
              <w:t>42-0802678</w:t>
            </w:r>
          </w:p>
        </w:tc>
      </w:tr>
      <w:tr>
        <w:trPr>
          <w:trHeight w:val="222"/>
        </w:trPr>
        <w:tc>
          <w:tcPr>
            <w:tcW w:w="3580" w:type="dxa"/>
            <w:vAlign w:val="bottom"/>
          </w:tcPr>
          <w:p>
            <w:pPr>
              <w:jc w:val="center"/>
              <w:ind w:right="622"/>
              <w:spacing w:after="0"/>
              <w:rPr>
                <w:sz w:val="20"/>
                <w:szCs w:val="20"/>
                <w:color w:val="auto"/>
              </w:rPr>
            </w:pPr>
            <w:r>
              <w:rPr>
                <w:rFonts w:ascii="Arial" w:cs="Arial" w:eastAsia="Arial" w:hAnsi="Arial"/>
                <w:sz w:val="18"/>
                <w:szCs w:val="18"/>
                <w:color w:val="auto"/>
                <w:w w:val="88"/>
              </w:rPr>
              <w:t>(State or Other Jurisdiction</w:t>
            </w:r>
          </w:p>
        </w:tc>
        <w:tc>
          <w:tcPr>
            <w:tcW w:w="3220" w:type="dxa"/>
            <w:vAlign w:val="bottom"/>
          </w:tcPr>
          <w:p>
            <w:pPr>
              <w:jc w:val="center"/>
              <w:ind w:left="62"/>
              <w:spacing w:after="0"/>
              <w:rPr>
                <w:sz w:val="20"/>
                <w:szCs w:val="20"/>
                <w:color w:val="auto"/>
              </w:rPr>
            </w:pPr>
            <w:r>
              <w:rPr>
                <w:rFonts w:ascii="Arial" w:cs="Arial" w:eastAsia="Arial" w:hAnsi="Arial"/>
                <w:sz w:val="18"/>
                <w:szCs w:val="18"/>
                <w:color w:val="auto"/>
                <w:w w:val="90"/>
              </w:rPr>
              <w:t>(Commission File Number)</w:t>
            </w:r>
          </w:p>
        </w:tc>
        <w:tc>
          <w:tcPr>
            <w:tcW w:w="2880" w:type="dxa"/>
            <w:vAlign w:val="bottom"/>
          </w:tcPr>
          <w:p>
            <w:pPr>
              <w:jc w:val="center"/>
              <w:ind w:left="1462"/>
              <w:spacing w:after="0"/>
              <w:rPr>
                <w:sz w:val="20"/>
                <w:szCs w:val="20"/>
                <w:color w:val="auto"/>
              </w:rPr>
            </w:pPr>
            <w:r>
              <w:rPr>
                <w:rFonts w:ascii="Arial" w:cs="Arial" w:eastAsia="Arial" w:hAnsi="Arial"/>
                <w:sz w:val="18"/>
                <w:szCs w:val="18"/>
                <w:color w:val="auto"/>
                <w:w w:val="92"/>
              </w:rPr>
              <w:t>(IRS Employer</w:t>
            </w:r>
          </w:p>
        </w:tc>
      </w:tr>
      <w:tr>
        <w:trPr>
          <w:trHeight w:val="243"/>
        </w:trPr>
        <w:tc>
          <w:tcPr>
            <w:tcW w:w="3580" w:type="dxa"/>
            <w:vAlign w:val="bottom"/>
          </w:tcPr>
          <w:p>
            <w:pPr>
              <w:jc w:val="center"/>
              <w:ind w:right="602"/>
              <w:spacing w:after="0"/>
              <w:rPr>
                <w:sz w:val="20"/>
                <w:szCs w:val="20"/>
                <w:color w:val="auto"/>
              </w:rPr>
            </w:pPr>
            <w:r>
              <w:rPr>
                <w:rFonts w:ascii="Arial" w:cs="Arial" w:eastAsia="Arial" w:hAnsi="Arial"/>
                <w:sz w:val="18"/>
                <w:szCs w:val="18"/>
                <w:color w:val="auto"/>
                <w:w w:val="91"/>
              </w:rPr>
              <w:t>of Incorporation)</w:t>
            </w:r>
          </w:p>
        </w:tc>
        <w:tc>
          <w:tcPr>
            <w:tcW w:w="3220" w:type="dxa"/>
            <w:vAlign w:val="bottom"/>
          </w:tcPr>
          <w:p>
            <w:pPr>
              <w:spacing w:after="0"/>
              <w:rPr>
                <w:sz w:val="21"/>
                <w:szCs w:val="21"/>
                <w:color w:val="auto"/>
              </w:rPr>
            </w:pPr>
          </w:p>
        </w:tc>
        <w:tc>
          <w:tcPr>
            <w:tcW w:w="2880" w:type="dxa"/>
            <w:vAlign w:val="bottom"/>
          </w:tcPr>
          <w:p>
            <w:pPr>
              <w:jc w:val="center"/>
              <w:ind w:left="1462"/>
              <w:spacing w:after="0"/>
              <w:rPr>
                <w:sz w:val="20"/>
                <w:szCs w:val="20"/>
                <w:color w:val="auto"/>
              </w:rPr>
            </w:pPr>
            <w:r>
              <w:rPr>
                <w:rFonts w:ascii="Arial" w:cs="Arial" w:eastAsia="Arial" w:hAnsi="Arial"/>
                <w:sz w:val="18"/>
                <w:szCs w:val="18"/>
                <w:color w:val="auto"/>
                <w:w w:val="94"/>
              </w:rPr>
              <w:t>Identification No.)</w:t>
            </w:r>
          </w:p>
        </w:tc>
      </w:tr>
      <w:tr>
        <w:trPr>
          <w:trHeight w:val="480"/>
        </w:trPr>
        <w:tc>
          <w:tcPr>
            <w:tcW w:w="3580" w:type="dxa"/>
            <w:vAlign w:val="bottom"/>
          </w:tcPr>
          <w:p>
            <w:pPr>
              <w:jc w:val="center"/>
              <w:ind w:right="622"/>
              <w:spacing w:after="0"/>
              <w:rPr>
                <w:sz w:val="20"/>
                <w:szCs w:val="20"/>
                <w:color w:val="auto"/>
              </w:rPr>
            </w:pPr>
            <w:r>
              <w:rPr>
                <w:rFonts w:ascii="Arial" w:cs="Arial" w:eastAsia="Arial" w:hAnsi="Arial"/>
                <w:sz w:val="22"/>
                <w:szCs w:val="22"/>
                <w:color w:val="auto"/>
                <w:w w:val="88"/>
              </w:rPr>
              <w:t>P.O. Box 152, Forest City, Iowa</w:t>
            </w:r>
          </w:p>
        </w:tc>
        <w:tc>
          <w:tcPr>
            <w:tcW w:w="3220" w:type="dxa"/>
            <w:vAlign w:val="bottom"/>
          </w:tcPr>
          <w:p>
            <w:pPr>
              <w:spacing w:after="0"/>
              <w:rPr>
                <w:sz w:val="24"/>
                <w:szCs w:val="24"/>
                <w:color w:val="auto"/>
              </w:rPr>
            </w:pPr>
          </w:p>
        </w:tc>
        <w:tc>
          <w:tcPr>
            <w:tcW w:w="2880" w:type="dxa"/>
            <w:vAlign w:val="bottom"/>
          </w:tcPr>
          <w:p>
            <w:pPr>
              <w:jc w:val="right"/>
              <w:ind w:right="282"/>
              <w:spacing w:after="0"/>
              <w:rPr>
                <w:sz w:val="20"/>
                <w:szCs w:val="20"/>
                <w:color w:val="auto"/>
              </w:rPr>
            </w:pPr>
            <w:r>
              <w:rPr>
                <w:rFonts w:ascii="Arial" w:cs="Arial" w:eastAsia="Arial" w:hAnsi="Arial"/>
                <w:sz w:val="22"/>
                <w:szCs w:val="22"/>
                <w:color w:val="auto"/>
              </w:rPr>
              <w:t>50436</w:t>
            </w:r>
          </w:p>
        </w:tc>
      </w:tr>
      <w:tr>
        <w:trPr>
          <w:trHeight w:val="222"/>
        </w:trPr>
        <w:tc>
          <w:tcPr>
            <w:tcW w:w="3580" w:type="dxa"/>
            <w:vAlign w:val="bottom"/>
          </w:tcPr>
          <w:p>
            <w:pPr>
              <w:jc w:val="center"/>
              <w:ind w:right="622"/>
              <w:spacing w:after="0"/>
              <w:rPr>
                <w:sz w:val="20"/>
                <w:szCs w:val="20"/>
                <w:color w:val="auto"/>
              </w:rPr>
            </w:pPr>
            <w:r>
              <w:rPr>
                <w:rFonts w:ascii="Arial" w:cs="Arial" w:eastAsia="Arial" w:hAnsi="Arial"/>
                <w:sz w:val="18"/>
                <w:szCs w:val="18"/>
                <w:color w:val="auto"/>
                <w:w w:val="90"/>
              </w:rPr>
              <w:t>(Address of Principal Executive Offices)</w:t>
            </w:r>
          </w:p>
        </w:tc>
        <w:tc>
          <w:tcPr>
            <w:tcW w:w="3220" w:type="dxa"/>
            <w:vAlign w:val="bottom"/>
          </w:tcPr>
          <w:p>
            <w:pPr>
              <w:spacing w:after="0"/>
              <w:rPr>
                <w:sz w:val="19"/>
                <w:szCs w:val="19"/>
                <w:color w:val="auto"/>
              </w:rPr>
            </w:pPr>
          </w:p>
        </w:tc>
        <w:tc>
          <w:tcPr>
            <w:tcW w:w="2880" w:type="dxa"/>
            <w:vAlign w:val="bottom"/>
          </w:tcPr>
          <w:p>
            <w:pPr>
              <w:jc w:val="center"/>
              <w:ind w:left="1482"/>
              <w:spacing w:after="0"/>
              <w:rPr>
                <w:sz w:val="20"/>
                <w:szCs w:val="20"/>
                <w:color w:val="auto"/>
              </w:rPr>
            </w:pPr>
            <w:r>
              <w:rPr>
                <w:rFonts w:ascii="Arial" w:cs="Arial" w:eastAsia="Arial" w:hAnsi="Arial"/>
                <w:sz w:val="18"/>
                <w:szCs w:val="18"/>
                <w:color w:val="auto"/>
                <w:w w:val="91"/>
              </w:rPr>
              <w:t>(Zip Code)</w:t>
            </w:r>
          </w:p>
        </w:tc>
      </w:tr>
      <w:tr>
        <w:trPr>
          <w:trHeight w:val="714"/>
        </w:trPr>
        <w:tc>
          <w:tcPr>
            <w:tcW w:w="6800" w:type="dxa"/>
            <w:vAlign w:val="bottom"/>
            <w:gridSpan w:val="2"/>
          </w:tcPr>
          <w:p>
            <w:pPr>
              <w:ind w:left="2260"/>
              <w:spacing w:after="0"/>
              <w:rPr>
                <w:sz w:val="20"/>
                <w:szCs w:val="20"/>
                <w:color w:val="auto"/>
              </w:rPr>
            </w:pPr>
            <w:r>
              <w:rPr>
                <w:rFonts w:ascii="Arial" w:cs="Arial" w:eastAsia="Arial" w:hAnsi="Arial"/>
                <w:sz w:val="22"/>
                <w:szCs w:val="22"/>
                <w:color w:val="auto"/>
                <w:w w:val="89"/>
              </w:rPr>
              <w:t>Registrant’s telephone number, including area code</w:t>
            </w:r>
          </w:p>
        </w:tc>
        <w:tc>
          <w:tcPr>
            <w:tcW w:w="2880" w:type="dxa"/>
            <w:vAlign w:val="bottom"/>
          </w:tcPr>
          <w:p>
            <w:pPr>
              <w:jc w:val="right"/>
              <w:ind w:right="1442"/>
              <w:spacing w:after="0"/>
              <w:rPr>
                <w:sz w:val="20"/>
                <w:szCs w:val="20"/>
                <w:color w:val="auto"/>
              </w:rPr>
            </w:pPr>
            <w:r>
              <w:rPr>
                <w:rFonts w:ascii="Arial" w:cs="Arial" w:eastAsia="Arial" w:hAnsi="Arial"/>
                <w:sz w:val="22"/>
                <w:szCs w:val="22"/>
                <w:color w:val="auto"/>
                <w:w w:val="96"/>
              </w:rPr>
              <w:t>641-585-3535</w:t>
            </w:r>
          </w:p>
        </w:tc>
      </w:tr>
    </w:tbl>
    <w:p>
      <w:pPr>
        <w:spacing w:after="0" w:line="198" w:lineRule="exact"/>
        <w:rPr>
          <w:sz w:val="24"/>
          <w:szCs w:val="24"/>
          <w:color w:val="auto"/>
        </w:rPr>
      </w:pPr>
    </w:p>
    <w:p>
      <w:pPr>
        <w:ind w:left="2780"/>
        <w:spacing w:after="0"/>
        <w:rPr>
          <w:sz w:val="20"/>
          <w:szCs w:val="20"/>
          <w:color w:val="auto"/>
        </w:rPr>
      </w:pPr>
      <w:r>
        <w:rPr>
          <w:rFonts w:ascii="Arial" w:cs="Arial" w:eastAsia="Arial" w:hAnsi="Arial"/>
          <w:sz w:val="18"/>
          <w:szCs w:val="18"/>
          <w:color w:val="auto"/>
        </w:rPr>
        <w:t>___________________________________________________________________</w:t>
      </w:r>
    </w:p>
    <w:p>
      <w:pPr>
        <w:spacing w:after="0" w:line="1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142240</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ind w:right="16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620" w:hanging="612"/>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44" w:lineRule="exact"/>
        <w:rPr>
          <w:rFonts w:ascii="Arial" w:cs="Arial" w:eastAsia="Arial" w:hAnsi="Arial"/>
          <w:sz w:val="21"/>
          <w:szCs w:val="21"/>
          <w:color w:val="auto"/>
        </w:rPr>
      </w:pPr>
    </w:p>
    <w:p>
      <w:pPr>
        <w:ind w:left="620" w:hanging="612"/>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707390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25" w:lineRule="exact"/>
        <w:rPr>
          <w:sz w:val="24"/>
          <w:szCs w:val="24"/>
          <w:color w:val="auto"/>
        </w:rPr>
      </w:pPr>
    </w:p>
    <w:p>
      <w:pPr>
        <w:jc w:val="both"/>
        <w:spacing w:after="0" w:line="298" w:lineRule="auto"/>
        <w:rPr>
          <w:sz w:val="20"/>
          <w:szCs w:val="20"/>
          <w:color w:val="auto"/>
        </w:rPr>
      </w:pPr>
      <w:r>
        <w:rPr>
          <w:rFonts w:ascii="Arial" w:cs="Arial" w:eastAsia="Arial" w:hAnsi="Arial"/>
          <w:sz w:val="16"/>
          <w:szCs w:val="16"/>
          <w:color w:val="auto"/>
        </w:rPr>
        <w:t>Winnebago Industries, Inc. (Winnebago Industries) is filing herewith a press release issued on March 8, 2007, as Exhibit 99.1 which is included herein. The press release was issued to report that on March 15, 2007, Winnebago Industries anticipates announcing its financial results for the second quarter of fiscal 2007 ended February 24, 2007. In connection with the announcement, Winnebago Industries will host a conference call on March 15, 2007 at 9:00 a.m. Central time. Details regarding the conference call are contained in the press release included herein.</w:t>
      </w:r>
    </w:p>
    <w:p>
      <w:pPr>
        <w:spacing w:after="0" w:line="148"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25" w:lineRule="exact"/>
        <w:rPr>
          <w:sz w:val="24"/>
          <w:szCs w:val="24"/>
          <w:color w:val="auto"/>
        </w:rPr>
      </w:pPr>
    </w:p>
    <w:p>
      <w:pPr>
        <w:ind w:left="1180" w:hanging="618"/>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73"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4"/>
          <w:szCs w:val="24"/>
          <w:color w:val="auto"/>
        </w:rPr>
      </w:pPr>
    </w:p>
    <w:p>
      <w:pPr>
        <w:ind w:left="1300"/>
        <w:spacing w:after="0"/>
        <w:tabs>
          <w:tab w:leader="none" w:pos="272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u w:val="single" w:color="auto"/>
          <w:color w:val="auto"/>
        </w:rPr>
        <w:t>Description</w:t>
      </w:r>
    </w:p>
    <w:p>
      <w:pPr>
        <w:sectPr>
          <w:pgSz w:w="11900" w:h="16873" w:orient="portrait"/>
          <w:cols w:equalWidth="0" w:num="1">
            <w:col w:w="11360"/>
          </w:cols>
          <w:pgMar w:left="240" w:top="1314" w:right="299" w:bottom="0" w:gutter="0" w:footer="0" w:header="0"/>
        </w:sectPr>
      </w:pPr>
    </w:p>
    <w:bookmarkStart w:id="1" w:name="page2"/>
    <w:bookmarkEnd w:id="1"/>
    <w:p>
      <w:pPr>
        <w:ind w:left="1480"/>
        <w:spacing w:after="0"/>
        <w:tabs>
          <w:tab w:leader="none" w:pos="27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March 8, 2007.</w:t>
      </w:r>
    </w:p>
    <w:p>
      <w:pPr>
        <w:spacing w:after="0" w:line="200" w:lineRule="exact"/>
        <w:rPr>
          <w:sz w:val="20"/>
          <w:szCs w:val="20"/>
          <w:color w:val="auto"/>
        </w:rPr>
      </w:pPr>
    </w:p>
    <w:p>
      <w:pPr>
        <w:spacing w:after="0" w:line="357"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Dated: March 8, 2007</w:t>
      </w:r>
      <w:r>
        <w:rPr>
          <w:sz w:val="20"/>
          <w:szCs w:val="20"/>
          <w:color w:val="auto"/>
        </w:rPr>
        <w:tab/>
      </w:r>
      <w:r>
        <w:rPr>
          <w:rFonts w:ascii="Arial" w:cs="Arial" w:eastAsia="Arial" w:hAnsi="Arial"/>
          <w:sz w:val="25"/>
          <w:szCs w:val="25"/>
          <w:color w:val="auto"/>
        </w:rPr>
        <w:t>W</w:t>
      </w:r>
      <w:r>
        <w:rPr>
          <w:rFonts w:ascii="Arial" w:cs="Arial" w:eastAsia="Arial" w:hAnsi="Arial"/>
          <w:sz w:val="16"/>
          <w:szCs w:val="16"/>
          <w:color w:val="auto"/>
        </w:rPr>
        <w:t>INNEBAGO</w:t>
      </w:r>
      <w:r>
        <w:rPr>
          <w:rFonts w:ascii="Arial" w:cs="Arial" w:eastAsia="Arial" w:hAnsi="Arial"/>
          <w:sz w:val="25"/>
          <w:szCs w:val="25"/>
          <w:color w:val="auto"/>
        </w:rPr>
        <w:t xml:space="preserve"> I</w:t>
      </w:r>
      <w:r>
        <w:rPr>
          <w:rFonts w:ascii="Arial" w:cs="Arial" w:eastAsia="Arial" w:hAnsi="Arial"/>
          <w:sz w:val="16"/>
          <w:szCs w:val="16"/>
          <w:color w:val="auto"/>
        </w:rPr>
        <w:t>NDUSTRIES,</w:t>
      </w:r>
      <w:r>
        <w:rPr>
          <w:rFonts w:ascii="Arial" w:cs="Arial" w:eastAsia="Arial" w:hAnsi="Arial"/>
          <w:sz w:val="25"/>
          <w:szCs w:val="25"/>
          <w:color w:val="auto"/>
        </w:rPr>
        <w:t xml:space="preserve"> I</w:t>
      </w:r>
      <w:r>
        <w:rPr>
          <w:rFonts w:ascii="Arial" w:cs="Arial" w:eastAsia="Arial" w:hAnsi="Arial"/>
          <w:sz w:val="16"/>
          <w:szCs w:val="16"/>
          <w:color w:val="auto"/>
        </w:rPr>
        <w:t>NC.</w:t>
      </w:r>
    </w:p>
    <w:p>
      <w:pPr>
        <w:spacing w:after="0" w:line="29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/s/ Bruce D. Hertzke</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Bruce D. Hertzke</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EXHIBIT INDEX</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30" w:lineRule="exact"/>
        <w:rPr>
          <w:sz w:val="20"/>
          <w:szCs w:val="20"/>
          <w:color w:val="auto"/>
        </w:rPr>
      </w:pPr>
    </w:p>
    <w:p>
      <w:pPr>
        <w:ind w:left="180"/>
        <w:spacing w:after="0"/>
        <w:tabs>
          <w:tab w:leader="none" w:pos="16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March 8,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695325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40"/>
          </w:cols>
          <w:pgMar w:left="240" w:top="131" w:right="71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For further information:</w:t>
      </w:r>
      <w:r>
        <w:rPr>
          <w:sz w:val="20"/>
          <w:szCs w:val="20"/>
          <w:color w:val="auto"/>
        </w:rPr>
        <w:tab/>
      </w:r>
      <w:r>
        <w:rPr>
          <w:rFonts w:ascii="Arial" w:cs="Arial" w:eastAsia="Arial" w:hAnsi="Arial"/>
          <w:sz w:val="16"/>
          <w:szCs w:val="16"/>
          <w:color w:val="auto"/>
        </w:rPr>
        <w:t>Sheila Davis, PR/IR Manager - 641-585-6803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WINNEBAGO INDUSTRIES ANNOUNCES SECOND QUARTER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FISCAL 2007 FINANCIAL RESULTS CONFERENCE CALL TO BE HELD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 MARCH 15, 2007</w:t>
      </w:r>
    </w:p>
    <w:p>
      <w:pPr>
        <w:spacing w:after="0" w:line="219"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FOREST CITY, IOWA, March 8, 2007 – Winnebago Industries, Inc. (NYSE: WGO), a leading United States motor home manufacturer, will host a conference call on Thursday, March 15, 2007 at 9 a.m. Central Time (CT) to discuss the financial results for its second quarter of fiscal 2007 ended February 24, 2007. The Company will release its financial results on March 15, 2007 at 6:00 a.m. CT.</w:t>
      </w:r>
    </w:p>
    <w:p>
      <w:pPr>
        <w:spacing w:after="0" w:line="194" w:lineRule="exact"/>
        <w:rPr>
          <w:sz w:val="20"/>
          <w:szCs w:val="20"/>
          <w:color w:val="auto"/>
        </w:rPr>
      </w:pPr>
    </w:p>
    <w:p>
      <w:pPr>
        <w:ind w:right="600" w:firstLine="324"/>
        <w:spacing w:after="0" w:line="332" w:lineRule="auto"/>
        <w:rPr>
          <w:sz w:val="20"/>
          <w:szCs w:val="20"/>
          <w:color w:val="auto"/>
        </w:rPr>
      </w:pPr>
      <w:r>
        <w:rPr>
          <w:rFonts w:ascii="Arial" w:cs="Arial" w:eastAsia="Arial" w:hAnsi="Arial"/>
          <w:sz w:val="16"/>
          <w:szCs w:val="16"/>
          <w:color w:val="auto"/>
        </w:rPr>
        <w:t xml:space="preserve">Winnebago Industries’ conference call may be heard live via the Company’s website,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 xml:space="preserve">. The event will be archived and available for replay for the next 90 days. To access the replay, click on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Minimum requirements to listen to the Web cast: either Windows Media Player or RealPlayer and at least a 28.8 Kbps connection to the Internet. The Windows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Media Player software is downloadable free at: www.microsoft.com/windows/windowsmedia/download/default.asp, and the RealPlayer software is downloadable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free at: </w:t>
      </w:r>
      <w:r>
        <w:rPr>
          <w:rFonts w:ascii="Arial" w:cs="Arial" w:eastAsia="Arial" w:hAnsi="Arial"/>
          <w:sz w:val="18"/>
          <w:szCs w:val="18"/>
          <w:u w:val="single" w:color="auto"/>
          <w:color w:val="auto"/>
        </w:rPr>
        <w:t>www.real.com/products/player/index.html</w:t>
      </w:r>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1"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 xml:space="preserve">Winnebago Industries, Inc. is a leading United States manufacturer of motor homes, self-contained recreation vehicles used primarily in leisure travel and outdoor recreation activities. The Company builds quality motor homes under the Winnebago and Itasca brand names with state-of-the-art computer-aided design and manufacturing systems on automotive-styled assembly lines. The Company’s common stock is listed on the New York and Chicago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t>
      </w:r>
      <w:r>
        <w:rPr>
          <w:rFonts w:ascii="Arial" w:cs="Arial" w:eastAsia="Arial" w:hAnsi="Arial"/>
          <w:sz w:val="16"/>
          <w:szCs w:val="16"/>
          <w:u w:val="single" w:color="auto"/>
          <w:color w:val="auto"/>
        </w:rPr>
        <w:t>http://www.winnebagoind.com/html/company/investorRelations.html</w:t>
      </w:r>
      <w:r>
        <w:rPr>
          <w:rFonts w:ascii="Arial" w:cs="Arial" w:eastAsia="Arial" w:hAnsi="Arial"/>
          <w:sz w:val="16"/>
          <w:szCs w:val="16"/>
          <w:color w:val="auto"/>
        </w:rPr>
        <w: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2019-12-13T08:29:59Z</dcterms:created>
  <dcterms:modified xsi:type="dcterms:W3CDTF">2019-12-13T08:29:59Z</dcterms:modified>
</cp:coreProperties>
</file>