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No. 2)</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January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902335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241935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Explanatory Note</w:t>
      </w:r>
    </w:p>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November 14, 2016 Winnebago Industries, Inc. filed a Current Report on Form 8-K (including amendment No. 1 collectively the “Form 8-K”) to report the consummation of the previously announced acquisition of Grand Design RV, LLC (“Grand Design”) an Indiana limited liability company, pursuant to the terms of the Securities Purchase Agreement (the “Purchase Agreement”) by and among Winnebago, Grand Design, Octavius Corporation (Winnebago's wholly-owned subsidiary), Summit Partners Growth Equity Fund VIII-A, L.P., Summit Partners Growth Equity Fund VIII-B, L.P., Summit Partners Entrepreneur Advisors Fund I, L.P., Summit Investors I, LLC, Summit Investors I (UK), L.P., SP GE VIII-B GD RV Holdings, L.P., RDB III, Inc., and each of the shareholders of RDB III, Inc., Donald Clark, Ronald Fenech and William Fenech. This Amendment No. 2 to the Form 8-K amends and supplements Item 9.01 to include the financial information described in Item 9.01 below. Except as stated in this Explanatory Note, no other information contained in the Form 8-K is changed.</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Financial Statements of Business Acquired</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required financial statements of Grand Design required by Item 9.01(a) of Form 8-K are attached hereto as Exhibits 99.1 and 99.2 to this Amendment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 to Form 8-K and are incorporated herein by reference.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 Pro Forma Financial Information</w:t>
      </w:r>
    </w:p>
    <w:p>
      <w:pPr>
        <w:spacing w:after="0" w:line="251"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pro forma financial information required by Item 9.01 (b) of Form 8-K is attached hereto as Exhibit 99.3 to this Amendment No. 2 to Form 8-K and is incorporated herein by reference.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00" w:type="dxa"/>
            <w:vAlign w:val="bottom"/>
            <w:gridSpan w:val="2"/>
          </w:tcPr>
          <w:p>
            <w:pPr>
              <w:spacing w:after="0"/>
              <w:rPr>
                <w:sz w:val="20"/>
                <w:szCs w:val="20"/>
                <w:color w:val="auto"/>
              </w:rPr>
            </w:pPr>
            <w:r>
              <w:rPr>
                <w:rFonts w:ascii="Arial" w:cs="Arial" w:eastAsia="Arial" w:hAnsi="Arial"/>
                <w:sz w:val="16"/>
                <w:szCs w:val="16"/>
                <w:i w:val="1"/>
                <w:iCs w:val="1"/>
                <w:color w:val="auto"/>
              </w:rPr>
              <w:t>(d) Exhibits</w:t>
            </w:r>
          </w:p>
        </w:tc>
        <w:tc>
          <w:tcPr>
            <w:tcW w:w="10220" w:type="dxa"/>
            <w:vAlign w:val="bottom"/>
          </w:tcPr>
          <w:p>
            <w:pPr>
              <w:spacing w:after="0"/>
              <w:rPr>
                <w:sz w:val="18"/>
                <w:szCs w:val="18"/>
                <w:color w:val="auto"/>
              </w:rPr>
            </w:pPr>
          </w:p>
        </w:tc>
      </w:tr>
      <w:tr>
        <w:trPr>
          <w:trHeight w:val="339"/>
        </w:trPr>
        <w:tc>
          <w:tcPr>
            <w:tcW w:w="3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220" w:type="dxa"/>
            <w:vAlign w:val="bottom"/>
          </w:tcPr>
          <w:p>
            <w:pPr>
              <w:spacing w:after="0"/>
              <w:rPr>
                <w:sz w:val="24"/>
                <w:szCs w:val="24"/>
                <w:color w:val="auto"/>
              </w:rPr>
            </w:pPr>
          </w:p>
        </w:tc>
      </w:tr>
      <w:tr>
        <w:trPr>
          <w:trHeight w:val="228"/>
        </w:trPr>
        <w:tc>
          <w:tcPr>
            <w:tcW w:w="360" w:type="dxa"/>
            <w:vAlign w:val="bottom"/>
          </w:tcPr>
          <w:p>
            <w:pPr>
              <w:spacing w:after="0"/>
              <w:rPr>
                <w:sz w:val="19"/>
                <w:szCs w:val="19"/>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2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224"/>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23.1</w:t>
            </w:r>
          </w:p>
        </w:tc>
        <w:tc>
          <w:tcPr>
            <w:tcW w:w="10220" w:type="dxa"/>
            <w:vAlign w:val="bottom"/>
          </w:tcPr>
          <w:p>
            <w:pPr>
              <w:ind w:left="220"/>
              <w:spacing w:after="0"/>
              <w:rPr>
                <w:sz w:val="20"/>
                <w:szCs w:val="20"/>
                <w:color w:val="auto"/>
              </w:rPr>
            </w:pPr>
            <w:r>
              <w:rPr>
                <w:rFonts w:ascii="Arial" w:cs="Arial" w:eastAsia="Arial" w:hAnsi="Arial"/>
                <w:sz w:val="16"/>
                <w:szCs w:val="16"/>
                <w:color w:val="auto"/>
              </w:rPr>
              <w:t>Consent of Crowe Horwath LLP.</w:t>
            </w:r>
          </w:p>
        </w:tc>
      </w:tr>
      <w:tr>
        <w:trPr>
          <w:trHeight w:val="251"/>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99.1</w:t>
            </w:r>
          </w:p>
        </w:tc>
        <w:tc>
          <w:tcPr>
            <w:tcW w:w="10220" w:type="dxa"/>
            <w:vAlign w:val="bottom"/>
          </w:tcPr>
          <w:p>
            <w:pPr>
              <w:ind w:left="220"/>
              <w:spacing w:after="0"/>
              <w:rPr>
                <w:sz w:val="20"/>
                <w:szCs w:val="20"/>
                <w:color w:val="auto"/>
              </w:rPr>
            </w:pPr>
            <w:r>
              <w:rPr>
                <w:rFonts w:ascii="Arial" w:cs="Arial" w:eastAsia="Arial" w:hAnsi="Arial"/>
                <w:sz w:val="16"/>
                <w:szCs w:val="16"/>
                <w:color w:val="auto"/>
              </w:rPr>
              <w:t>Unaudited balance sheet of Grand Design RV, LLC as of September 30, 2016 and the related statements of income and members' equity</w:t>
            </w:r>
          </w:p>
        </w:tc>
      </w:tr>
      <w:tr>
        <w:trPr>
          <w:trHeight w:val="195"/>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(deficit), and cash flows for the nine months ended September 30, 2016 and 2015, and the related notes thereto.</w:t>
            </w:r>
          </w:p>
        </w:tc>
      </w:tr>
      <w:tr>
        <w:trPr>
          <w:trHeight w:val="238"/>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99.2</w:t>
            </w:r>
          </w:p>
        </w:tc>
        <w:tc>
          <w:tcPr>
            <w:tcW w:w="10220" w:type="dxa"/>
            <w:vAlign w:val="bottom"/>
          </w:tcPr>
          <w:p>
            <w:pPr>
              <w:ind w:left="220"/>
              <w:spacing w:after="0"/>
              <w:rPr>
                <w:sz w:val="20"/>
                <w:szCs w:val="20"/>
                <w:color w:val="auto"/>
              </w:rPr>
            </w:pPr>
            <w:r>
              <w:rPr>
                <w:rFonts w:ascii="Arial" w:cs="Arial" w:eastAsia="Arial" w:hAnsi="Arial"/>
                <w:sz w:val="16"/>
                <w:szCs w:val="16"/>
                <w:color w:val="auto"/>
              </w:rPr>
              <w:t>Audited balance sheets of Grand Design RV, LLC as of December 31, 2015, 2014 and 2013 and the related statements of income and</w:t>
            </w:r>
          </w:p>
        </w:tc>
      </w:tr>
      <w:tr>
        <w:trPr>
          <w:trHeight w:val="195"/>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members' equity (deficit), and cash flows for the years then ended, and the related notes thereto.</w:t>
            </w:r>
          </w:p>
        </w:tc>
      </w:tr>
      <w:tr>
        <w:trPr>
          <w:trHeight w:val="243"/>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99.3</w:t>
            </w:r>
          </w:p>
        </w:tc>
        <w:tc>
          <w:tcPr>
            <w:tcW w:w="10220" w:type="dxa"/>
            <w:vAlign w:val="bottom"/>
          </w:tcPr>
          <w:p>
            <w:pPr>
              <w:ind w:left="220"/>
              <w:spacing w:after="0"/>
              <w:rPr>
                <w:sz w:val="20"/>
                <w:szCs w:val="20"/>
                <w:color w:val="auto"/>
              </w:rPr>
            </w:pPr>
            <w:r>
              <w:rPr>
                <w:rFonts w:ascii="Arial" w:cs="Arial" w:eastAsia="Arial" w:hAnsi="Arial"/>
                <w:sz w:val="16"/>
                <w:szCs w:val="16"/>
                <w:color w:val="auto"/>
              </w:rPr>
              <w:t>Unaudited Pro Forma Condensed Combined Financial Information.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7620" w:type="dxa"/>
            <w:vAlign w:val="bottom"/>
            <w:gridSpan w:val="2"/>
          </w:tcPr>
          <w:p>
            <w:pPr>
              <w:ind w:left="11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00" w:type="dxa"/>
            <w:vAlign w:val="bottom"/>
          </w:tcPr>
          <w:p>
            <w:pPr>
              <w:ind w:left="200"/>
              <w:spacing w:after="0"/>
              <w:rPr>
                <w:sz w:val="20"/>
                <w:szCs w:val="20"/>
                <w:color w:val="auto"/>
              </w:rPr>
            </w:pPr>
            <w:r>
              <w:rPr>
                <w:rFonts w:ascii="Arial" w:cs="Arial" w:eastAsia="Arial" w:hAnsi="Arial"/>
                <w:sz w:val="16"/>
                <w:szCs w:val="16"/>
                <w:color w:val="auto"/>
              </w:rPr>
              <w:t>January 20, 2017</w:t>
            </w:r>
          </w:p>
        </w:tc>
        <w:tc>
          <w:tcPr>
            <w:tcW w:w="1920" w:type="dxa"/>
            <w:vAlign w:val="bottom"/>
          </w:tcPr>
          <w:p>
            <w:pPr>
              <w:ind w:left="1140"/>
              <w:spacing w:after="0"/>
              <w:rPr>
                <w:sz w:val="20"/>
                <w:szCs w:val="20"/>
                <w:color w:val="auto"/>
              </w:rPr>
            </w:pPr>
            <w:r>
              <w:rPr>
                <w:rFonts w:ascii="Arial" w:cs="Arial" w:eastAsia="Arial" w:hAnsi="Arial"/>
                <w:sz w:val="16"/>
                <w:szCs w:val="16"/>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Name:</w:t>
            </w:r>
          </w:p>
        </w:tc>
        <w:tc>
          <w:tcPr>
            <w:tcW w:w="570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Title:</w:t>
            </w:r>
          </w:p>
        </w:tc>
        <w:tc>
          <w:tcPr>
            <w:tcW w:w="5700" w:type="dxa"/>
            <w:vAlign w:val="bottom"/>
          </w:tcPr>
          <w:p>
            <w:pPr>
              <w:ind w:left="20"/>
              <w:spacing w:after="0"/>
              <w:rPr>
                <w:sz w:val="20"/>
                <w:szCs w:val="20"/>
                <w:color w:val="auto"/>
              </w:rPr>
            </w:pPr>
            <w:r>
              <w:rPr>
                <w:rFonts w:ascii="Arial" w:cs="Arial" w:eastAsia="Arial" w:hAnsi="Arial"/>
                <w:sz w:val="16"/>
                <w:szCs w:val="16"/>
                <w:color w:val="auto"/>
              </w:rPr>
              <w:t>Vice President, General Counsel &amp; Secretary</w:t>
            </w:r>
          </w:p>
        </w:tc>
      </w:tr>
    </w:tbl>
    <w:p>
      <w:pPr>
        <w:sectPr>
          <w:pgSz w:w="11900" w:h="16838" w:orient="portrait"/>
          <w:cols w:equalWidth="0" w:num="1">
            <w:col w:w="11420"/>
          </w:cols>
          <w:pgMar w:left="240" w:top="544"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6"/>
          <w:szCs w:val="16"/>
          <w:color w:val="auto"/>
        </w:rPr>
        <w:t>Exhibit Index</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Number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color w:val="auto"/>
        </w:rPr>
        <w:t>Consent of Crowe Horwath LLP.</w:t>
      </w:r>
    </w:p>
    <w:p>
      <w:pPr>
        <w:spacing w:after="0" w:line="59" w:lineRule="exact"/>
        <w:rPr>
          <w:sz w:val="20"/>
          <w:szCs w:val="20"/>
          <w:color w:val="auto"/>
        </w:rPr>
      </w:pPr>
    </w:p>
    <w:p>
      <w:pPr>
        <w:ind w:left="1320" w:hanging="872"/>
        <w:spacing w:after="0" w:line="260" w:lineRule="auto"/>
        <w:tabs>
          <w:tab w:leader="none" w:pos="13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Unaudited balance sheet of Grand Design RV, LLC as of September 30, 2016 and the related statements of income and members' equity (deficit), and cash flows for the nine months ended September 30, 2016 and 2015, and the related notes thereto.</w:t>
      </w:r>
    </w:p>
    <w:p>
      <w:pPr>
        <w:spacing w:after="0" w:line="34" w:lineRule="exact"/>
        <w:rPr>
          <w:sz w:val="20"/>
          <w:szCs w:val="20"/>
          <w:color w:val="auto"/>
        </w:rPr>
      </w:pPr>
    </w:p>
    <w:p>
      <w:pPr>
        <w:ind w:left="1320" w:right="220" w:hanging="872"/>
        <w:spacing w:after="0" w:line="260" w:lineRule="auto"/>
        <w:tabs>
          <w:tab w:leader="none" w:pos="130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6"/>
          <w:szCs w:val="16"/>
          <w:color w:val="auto"/>
        </w:rPr>
        <w:t>Audited balance sheets of Grand Design RV, LLC as of December 31, 2015, 2014 and 2013 and the related statements of income and members' equity (deficit), and cash flows for the years then ended, and the related notes thereto.</w:t>
      </w:r>
    </w:p>
    <w:p>
      <w:pPr>
        <w:spacing w:after="0" w:line="34"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6"/>
          <w:szCs w:val="16"/>
          <w:color w:val="auto"/>
        </w:rPr>
        <w:t>99.3</w:t>
      </w:r>
      <w:r>
        <w:rPr>
          <w:sz w:val="20"/>
          <w:szCs w:val="20"/>
          <w:color w:val="auto"/>
        </w:rPr>
        <w:tab/>
      </w:r>
      <w:r>
        <w:rPr>
          <w:rFonts w:ascii="Arial" w:cs="Arial" w:eastAsia="Arial" w:hAnsi="Arial"/>
          <w:sz w:val="16"/>
          <w:szCs w:val="16"/>
          <w:color w:val="auto"/>
        </w:rPr>
        <w:t>Unaudited Pro Forma Condensed Combined Financial Information.</w:t>
      </w:r>
    </w:p>
    <w:p>
      <w:pPr>
        <w:sectPr>
          <w:pgSz w:w="11900" w:h="16838" w:orient="portrait"/>
          <w:cols w:equalWidth="0" w:num="1">
            <w:col w:w="11140"/>
          </w:cols>
          <w:pgMar w:left="340" w:top="763"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AUDITOR</w:t>
      </w:r>
    </w:p>
    <w:p>
      <w:pPr>
        <w:spacing w:after="0" w:line="200" w:lineRule="exact"/>
        <w:rPr>
          <w:sz w:val="20"/>
          <w:szCs w:val="20"/>
          <w:color w:val="auto"/>
        </w:rPr>
      </w:pPr>
    </w:p>
    <w:p>
      <w:pPr>
        <w:spacing w:after="0" w:line="203"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We consent to the use in this Current Report on Form 8-K (8-K/A) of Winnebago Industries, Inc. of our report dated January 13, 2017 on the financial statements of Grand Design RV, LLC as of December 31, 2015, 2014 and 2013 and for the years then ended.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 Crowe Horwath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South Bend, Indiana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20, 2017</w:t>
      </w:r>
    </w:p>
    <w:p>
      <w:pPr>
        <w:sectPr>
          <w:pgSz w:w="11900" w:h="16838" w:orient="portrait"/>
          <w:cols w:equalWidth="0" w:num="1">
            <w:col w:w="11420"/>
          </w:cols>
          <w:pgMar w:left="240" w:top="57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GRAND DESIGN RV, LLC</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FINANCIAL STATEMENTS (unaudited)</w:t>
      </w:r>
    </w:p>
    <w:p>
      <w:pPr>
        <w:spacing w:after="0" w:line="38"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September 30, 2016</w:t>
      </w:r>
    </w:p>
    <w:p>
      <w:pPr>
        <w:sectPr>
          <w:pgSz w:w="11900" w:h="16838" w:orient="portrait"/>
          <w:cols w:equalWidth="0" w:num="1">
            <w:col w:w="10220"/>
          </w:cols>
          <w:pgMar w:left="1440" w:top="554" w:right="2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Middlebury, Indiana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September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FINANCIAL STATEMENTS (UNAUDITED)</w:t>
            </w:r>
          </w:p>
        </w:tc>
        <w:tc>
          <w:tcPr>
            <w:tcW w:w="2840" w:type="dxa"/>
            <w:vAlign w:val="bottom"/>
          </w:tcPr>
          <w:p>
            <w:pPr>
              <w:spacing w:after="0"/>
              <w:rPr>
                <w:sz w:val="18"/>
                <w:szCs w:val="18"/>
                <w:color w:val="auto"/>
              </w:rPr>
            </w:pPr>
          </w:p>
        </w:tc>
      </w:tr>
      <w:tr>
        <w:trPr>
          <w:trHeight w:val="257"/>
        </w:trPr>
        <w:tc>
          <w:tcPr>
            <w:tcW w:w="8360" w:type="dxa"/>
            <w:vAlign w:val="bottom"/>
          </w:tcPr>
          <w:p>
            <w:pPr>
              <w:ind w:left="340"/>
              <w:spacing w:after="0"/>
              <w:rPr>
                <w:sz w:val="20"/>
                <w:szCs w:val="20"/>
                <w:color w:val="auto"/>
              </w:rPr>
            </w:pPr>
            <w:r>
              <w:rPr>
                <w:rFonts w:ascii="Arial" w:cs="Arial" w:eastAsia="Arial" w:hAnsi="Arial"/>
                <w:sz w:val="18"/>
                <w:szCs w:val="18"/>
                <w:color w:val="auto"/>
              </w:rPr>
              <w:t>BALANCE SHEETS</w:t>
            </w:r>
          </w:p>
        </w:tc>
        <w:tc>
          <w:tcPr>
            <w:tcW w:w="2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360" w:type="dxa"/>
            <w:vAlign w:val="bottom"/>
          </w:tcPr>
          <w:p>
            <w:pPr>
              <w:ind w:left="340"/>
              <w:spacing w:after="0"/>
              <w:rPr>
                <w:sz w:val="20"/>
                <w:szCs w:val="20"/>
                <w:color w:val="auto"/>
              </w:rPr>
            </w:pPr>
            <w:r>
              <w:rPr>
                <w:rFonts w:ascii="Arial" w:cs="Arial" w:eastAsia="Arial" w:hAnsi="Arial"/>
                <w:sz w:val="18"/>
                <w:szCs w:val="18"/>
                <w:color w:val="auto"/>
              </w:rPr>
              <w:t>STATEMENTS OF INCOME AND MEMBERS' EQUITY (DEFICIT)</w:t>
            </w:r>
          </w:p>
        </w:tc>
        <w:tc>
          <w:tcPr>
            <w:tcW w:w="2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360" w:type="dxa"/>
            <w:vAlign w:val="bottom"/>
          </w:tcPr>
          <w:p>
            <w:pPr>
              <w:ind w:left="340"/>
              <w:spacing w:after="0"/>
              <w:rPr>
                <w:sz w:val="20"/>
                <w:szCs w:val="20"/>
                <w:color w:val="auto"/>
              </w:rPr>
            </w:pPr>
            <w:r>
              <w:rPr>
                <w:rFonts w:ascii="Arial" w:cs="Arial" w:eastAsia="Arial" w:hAnsi="Arial"/>
                <w:sz w:val="18"/>
                <w:szCs w:val="18"/>
                <w:color w:val="auto"/>
              </w:rPr>
              <w:t>STATEMENTS OF CASH FLOWS</w:t>
            </w:r>
          </w:p>
        </w:tc>
        <w:tc>
          <w:tcPr>
            <w:tcW w:w="2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8360" w:type="dxa"/>
            <w:vAlign w:val="bottom"/>
          </w:tcPr>
          <w:p>
            <w:pPr>
              <w:ind w:left="340"/>
              <w:spacing w:after="0"/>
              <w:rPr>
                <w:sz w:val="20"/>
                <w:szCs w:val="20"/>
                <w:color w:val="auto"/>
              </w:rPr>
            </w:pPr>
            <w:r>
              <w:rPr>
                <w:rFonts w:ascii="Arial" w:cs="Arial" w:eastAsia="Arial" w:hAnsi="Arial"/>
                <w:sz w:val="18"/>
                <w:szCs w:val="18"/>
                <w:color w:val="auto"/>
              </w:rPr>
              <w:t>NOTES TO FINANCIAL STATEMENTS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00"/>
          </w:cols>
          <w:pgMar w:left="280" w:top="571" w:right="41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5840" w:type="dxa"/>
            <w:vAlign w:val="bottom"/>
            <w:gridSpan w:val="2"/>
          </w:tcPr>
          <w:p>
            <w:pPr>
              <w:jc w:val="center"/>
              <w:ind w:right="2820"/>
              <w:spacing w:after="0"/>
              <w:rPr>
                <w:sz w:val="20"/>
                <w:szCs w:val="20"/>
                <w:color w:val="auto"/>
              </w:rPr>
            </w:pPr>
            <w:r>
              <w:rPr>
                <w:rFonts w:ascii="Arial" w:cs="Arial" w:eastAsia="Arial" w:hAnsi="Arial"/>
                <w:sz w:val="18"/>
                <w:szCs w:val="18"/>
                <w:color w:val="auto"/>
                <w:w w:val="99"/>
              </w:rPr>
              <w:t>GRAND DESIGN RV, LLC</w:t>
            </w:r>
          </w:p>
        </w:tc>
        <w:tc>
          <w:tcPr>
            <w:tcW w:w="13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5840" w:type="dxa"/>
            <w:vAlign w:val="bottom"/>
            <w:gridSpan w:val="2"/>
          </w:tcPr>
          <w:p>
            <w:pPr>
              <w:jc w:val="center"/>
              <w:ind w:right="2820"/>
              <w:spacing w:after="0"/>
              <w:rPr>
                <w:sz w:val="20"/>
                <w:szCs w:val="20"/>
                <w:color w:val="auto"/>
              </w:rPr>
            </w:pPr>
            <w:r>
              <w:rPr>
                <w:rFonts w:ascii="Arial" w:cs="Arial" w:eastAsia="Arial" w:hAnsi="Arial"/>
                <w:sz w:val="18"/>
                <w:szCs w:val="18"/>
                <w:color w:val="auto"/>
                <w:w w:val="99"/>
              </w:rPr>
              <w:t>BALANCE SHEETS (UNAUDITED)</w:t>
            </w:r>
          </w:p>
        </w:tc>
        <w:tc>
          <w:tcPr>
            <w:tcW w:w="1380" w:type="dxa"/>
            <w:vAlign w:val="bottom"/>
          </w:tcPr>
          <w:p>
            <w:pPr>
              <w:spacing w:after="0"/>
              <w:rPr>
                <w:sz w:val="18"/>
                <w:szCs w:val="18"/>
                <w:color w:val="auto"/>
              </w:rPr>
            </w:pPr>
          </w:p>
        </w:tc>
      </w:tr>
      <w:tr>
        <w:trPr>
          <w:trHeight w:val="217"/>
        </w:trPr>
        <w:tc>
          <w:tcPr>
            <w:tcW w:w="4200" w:type="dxa"/>
            <w:vAlign w:val="bottom"/>
          </w:tcPr>
          <w:p>
            <w:pPr>
              <w:spacing w:after="0"/>
              <w:rPr>
                <w:sz w:val="18"/>
                <w:szCs w:val="18"/>
                <w:color w:val="auto"/>
              </w:rPr>
            </w:pPr>
          </w:p>
        </w:tc>
        <w:tc>
          <w:tcPr>
            <w:tcW w:w="5840" w:type="dxa"/>
            <w:vAlign w:val="bottom"/>
            <w:gridSpan w:val="2"/>
          </w:tcPr>
          <w:p>
            <w:pPr>
              <w:jc w:val="center"/>
              <w:ind w:right="2820"/>
              <w:spacing w:after="0"/>
              <w:rPr>
                <w:sz w:val="20"/>
                <w:szCs w:val="20"/>
                <w:color w:val="auto"/>
              </w:rPr>
            </w:pPr>
            <w:r>
              <w:rPr>
                <w:rFonts w:ascii="Arial" w:cs="Arial" w:eastAsia="Arial" w:hAnsi="Arial"/>
                <w:sz w:val="18"/>
                <w:szCs w:val="18"/>
                <w:color w:val="auto"/>
                <w:w w:val="99"/>
              </w:rPr>
              <w:t>September 30, 2016</w:t>
            </w:r>
          </w:p>
        </w:tc>
        <w:tc>
          <w:tcPr>
            <w:tcW w:w="1380" w:type="dxa"/>
            <w:vAlign w:val="bottom"/>
          </w:tcPr>
          <w:p>
            <w:pPr>
              <w:spacing w:after="0"/>
              <w:rPr>
                <w:sz w:val="18"/>
                <w:szCs w:val="18"/>
                <w:color w:val="auto"/>
              </w:rPr>
            </w:pPr>
          </w:p>
        </w:tc>
      </w:tr>
      <w:tr>
        <w:trPr>
          <w:trHeight w:val="777"/>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3"/>
        </w:trPr>
        <w:tc>
          <w:tcPr>
            <w:tcW w:w="4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5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19,659,679</w:t>
            </w:r>
          </w:p>
        </w:tc>
      </w:tr>
      <w:tr>
        <w:trPr>
          <w:trHeight w:val="277"/>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25,991,789</w:t>
            </w:r>
          </w:p>
        </w:tc>
      </w:tr>
      <w:tr>
        <w:trPr>
          <w:trHeight w:val="263"/>
        </w:trPr>
        <w:tc>
          <w:tcPr>
            <w:tcW w:w="4200" w:type="dxa"/>
            <w:vAlign w:val="bottom"/>
          </w:tcPr>
          <w:p>
            <w:pPr>
              <w:ind w:left="280"/>
              <w:spacing w:after="0"/>
              <w:rPr>
                <w:sz w:val="20"/>
                <w:szCs w:val="20"/>
                <w:color w:val="auto"/>
              </w:rPr>
            </w:pPr>
            <w:r>
              <w:rPr>
                <w:rFonts w:ascii="Arial" w:cs="Arial" w:eastAsia="Arial" w:hAnsi="Arial"/>
                <w:sz w:val="18"/>
                <w:szCs w:val="18"/>
                <w:color w:val="auto"/>
              </w:rPr>
              <w:t>Vendor rebates receivable</w:t>
            </w: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1,836,200</w:t>
            </w:r>
          </w:p>
        </w:tc>
      </w:tr>
      <w:tr>
        <w:trPr>
          <w:trHeight w:val="277"/>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14,666,574</w:t>
            </w:r>
          </w:p>
        </w:tc>
      </w:tr>
      <w:tr>
        <w:trPr>
          <w:trHeight w:val="264"/>
        </w:trPr>
        <w:tc>
          <w:tcPr>
            <w:tcW w:w="4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53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1,822,154</w:t>
            </w:r>
          </w:p>
        </w:tc>
      </w:tr>
      <w:tr>
        <w:trPr>
          <w:trHeight w:val="257"/>
        </w:trPr>
        <w:tc>
          <w:tcPr>
            <w:tcW w:w="4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53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63,976,396</w:t>
            </w:r>
          </w:p>
        </w:tc>
      </w:tr>
      <w:tr>
        <w:trPr>
          <w:trHeight w:val="297"/>
        </w:trPr>
        <w:tc>
          <w:tcPr>
            <w:tcW w:w="42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53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4200" w:type="dxa"/>
            <w:vAlign w:val="bottom"/>
          </w:tcPr>
          <w:p>
            <w:pPr>
              <w:ind w:left="280"/>
              <w:spacing w:after="0"/>
              <w:rPr>
                <w:sz w:val="20"/>
                <w:szCs w:val="20"/>
                <w:color w:val="auto"/>
              </w:rPr>
            </w:pPr>
            <w:r>
              <w:rPr>
                <w:rFonts w:ascii="Arial" w:cs="Arial" w:eastAsia="Arial" w:hAnsi="Arial"/>
                <w:sz w:val="18"/>
                <w:szCs w:val="18"/>
                <w:color w:val="auto"/>
              </w:rPr>
              <w:t>Land improvements</w:t>
            </w: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219,406</w:t>
            </w:r>
          </w:p>
        </w:tc>
      </w:tr>
      <w:tr>
        <w:trPr>
          <w:trHeight w:val="277"/>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Buildings and improvements</w:t>
            </w:r>
          </w:p>
        </w:tc>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4,876,430</w:t>
            </w:r>
          </w:p>
        </w:tc>
      </w:tr>
      <w:tr>
        <w:trPr>
          <w:trHeight w:val="263"/>
        </w:trPr>
        <w:tc>
          <w:tcPr>
            <w:tcW w:w="420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2,791,505</w:t>
            </w:r>
          </w:p>
        </w:tc>
      </w:tr>
      <w:tr>
        <w:trPr>
          <w:trHeight w:val="277"/>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Vehicles</w:t>
            </w:r>
          </w:p>
        </w:tc>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272,756</w:t>
            </w:r>
          </w:p>
        </w:tc>
      </w:tr>
      <w:tr>
        <w:trPr>
          <w:trHeight w:val="263"/>
        </w:trPr>
        <w:tc>
          <w:tcPr>
            <w:tcW w:w="4200" w:type="dxa"/>
            <w:vAlign w:val="bottom"/>
          </w:tcPr>
          <w:p>
            <w:pPr>
              <w:ind w:left="280"/>
              <w:spacing w:after="0"/>
              <w:rPr>
                <w:sz w:val="20"/>
                <w:szCs w:val="20"/>
                <w:color w:val="auto"/>
              </w:rPr>
            </w:pPr>
            <w:r>
              <w:rPr>
                <w:rFonts w:ascii="Arial" w:cs="Arial" w:eastAsia="Arial" w:hAnsi="Arial"/>
                <w:sz w:val="18"/>
                <w:szCs w:val="18"/>
                <w:color w:val="auto"/>
              </w:rPr>
              <w:t>Office equipment</w:t>
            </w: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580,124</w:t>
            </w:r>
          </w:p>
        </w:tc>
      </w:tr>
      <w:tr>
        <w:trPr>
          <w:trHeight w:val="270"/>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Construction in progress</w:t>
            </w:r>
          </w:p>
        </w:tc>
        <w:tc>
          <w:tcPr>
            <w:tcW w:w="53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1,539,701</w:t>
            </w:r>
          </w:p>
        </w:tc>
      </w:tr>
      <w:tr>
        <w:trPr>
          <w:trHeight w:val="250"/>
        </w:trPr>
        <w:tc>
          <w:tcPr>
            <w:tcW w:w="420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10,279,922</w:t>
            </w:r>
          </w:p>
        </w:tc>
      </w:tr>
      <w:tr>
        <w:trPr>
          <w:trHeight w:val="270"/>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accumulated depreciation</w:t>
            </w:r>
          </w:p>
        </w:tc>
        <w:tc>
          <w:tcPr>
            <w:tcW w:w="53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(1,800,798)</w:t>
            </w:r>
          </w:p>
        </w:tc>
      </w:tr>
      <w:tr>
        <w:trPr>
          <w:trHeight w:val="250"/>
        </w:trPr>
        <w:tc>
          <w:tcPr>
            <w:tcW w:w="4200" w:type="dxa"/>
            <w:vAlign w:val="bottom"/>
            <w:tcBorders>
              <w:bottom w:val="single" w:sz="8" w:color="CCEEFF"/>
            </w:tcBorders>
          </w:tcPr>
          <w:p>
            <w:pPr>
              <w:spacing w:after="0"/>
              <w:rPr>
                <w:sz w:val="21"/>
                <w:szCs w:val="21"/>
                <w:color w:val="auto"/>
              </w:rPr>
            </w:pPr>
          </w:p>
        </w:tc>
        <w:tc>
          <w:tcPr>
            <w:tcW w:w="53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8,479,124</w:t>
            </w:r>
          </w:p>
        </w:tc>
      </w:tr>
      <w:tr>
        <w:trPr>
          <w:trHeight w:val="297"/>
        </w:trPr>
        <w:tc>
          <w:tcPr>
            <w:tcW w:w="4200" w:type="dxa"/>
            <w:vAlign w:val="bottom"/>
            <w:shd w:val="clear" w:color="auto" w:fill="CCEEFF"/>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90"/>
        </w:trPr>
        <w:tc>
          <w:tcPr>
            <w:tcW w:w="4200" w:type="dxa"/>
            <w:vAlign w:val="bottom"/>
          </w:tcPr>
          <w:p>
            <w:pPr>
              <w:spacing w:after="0"/>
              <w:rPr>
                <w:sz w:val="24"/>
                <w:szCs w:val="24"/>
                <w:color w:val="auto"/>
              </w:rPr>
            </w:pPr>
          </w:p>
        </w:tc>
        <w:tc>
          <w:tcPr>
            <w:tcW w:w="5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72,455,520</w:t>
            </w:r>
          </w:p>
        </w:tc>
      </w:tr>
      <w:tr>
        <w:trPr>
          <w:trHeight w:val="284"/>
        </w:trPr>
        <w:tc>
          <w:tcPr>
            <w:tcW w:w="4200" w:type="dxa"/>
            <w:vAlign w:val="bottom"/>
            <w:tcBorders>
              <w:top w:val="single" w:sz="8" w:color="CCEEFF"/>
            </w:tcBorders>
            <w:shd w:val="clear" w:color="auto" w:fill="CCEEFF"/>
          </w:tcPr>
          <w:p>
            <w:pPr>
              <w:spacing w:after="0"/>
              <w:rPr>
                <w:sz w:val="24"/>
                <w:szCs w:val="24"/>
                <w:color w:val="auto"/>
              </w:rPr>
            </w:pPr>
          </w:p>
        </w:tc>
        <w:tc>
          <w:tcPr>
            <w:tcW w:w="538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r>
      <w:tr>
        <w:trPr>
          <w:trHeight w:val="263"/>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LIABILITIES AND MEMBERS’ EQUITY (DEFICIT)</w:t>
            </w: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3"/>
        </w:trPr>
        <w:tc>
          <w:tcPr>
            <w:tcW w:w="4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5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11,938,160</w:t>
            </w:r>
          </w:p>
        </w:tc>
      </w:tr>
      <w:tr>
        <w:trPr>
          <w:trHeight w:val="277"/>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payroll and related benefits</w:t>
            </w:r>
          </w:p>
        </w:tc>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5,576,220</w:t>
            </w:r>
          </w:p>
        </w:tc>
      </w:tr>
      <w:tr>
        <w:trPr>
          <w:trHeight w:val="263"/>
        </w:trPr>
        <w:tc>
          <w:tcPr>
            <w:tcW w:w="4200" w:type="dxa"/>
            <w:vAlign w:val="bottom"/>
          </w:tcPr>
          <w:p>
            <w:pPr>
              <w:ind w:left="280"/>
              <w:spacing w:after="0"/>
              <w:rPr>
                <w:sz w:val="20"/>
                <w:szCs w:val="20"/>
                <w:color w:val="auto"/>
              </w:rPr>
            </w:pPr>
            <w:r>
              <w:rPr>
                <w:rFonts w:ascii="Arial" w:cs="Arial" w:eastAsia="Arial" w:hAnsi="Arial"/>
                <w:sz w:val="18"/>
                <w:szCs w:val="18"/>
                <w:color w:val="auto"/>
              </w:rPr>
              <w:t>Accrued dealer incentives</w:t>
            </w: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1,907,763</w:t>
            </w:r>
          </w:p>
        </w:tc>
      </w:tr>
      <w:tr>
        <w:trPr>
          <w:trHeight w:val="277"/>
        </w:trPr>
        <w:tc>
          <w:tcPr>
            <w:tcW w:w="4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warranty</w:t>
            </w:r>
          </w:p>
        </w:tc>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12,712,759</w:t>
            </w:r>
          </w:p>
        </w:tc>
      </w:tr>
      <w:tr>
        <w:trPr>
          <w:trHeight w:val="264"/>
        </w:trPr>
        <w:tc>
          <w:tcPr>
            <w:tcW w:w="4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current liabilities</w:t>
            </w:r>
          </w:p>
        </w:tc>
        <w:tc>
          <w:tcPr>
            <w:tcW w:w="53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1,553,737</w:t>
            </w:r>
          </w:p>
        </w:tc>
      </w:tr>
      <w:tr>
        <w:trPr>
          <w:trHeight w:val="257"/>
        </w:trPr>
        <w:tc>
          <w:tcPr>
            <w:tcW w:w="4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53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33,688,639</w:t>
            </w:r>
          </w:p>
        </w:tc>
      </w:tr>
      <w:tr>
        <w:trPr>
          <w:trHeight w:val="297"/>
        </w:trPr>
        <w:tc>
          <w:tcPr>
            <w:tcW w:w="42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member units</w:t>
            </w:r>
          </w:p>
        </w:tc>
        <w:tc>
          <w:tcPr>
            <w:tcW w:w="53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80,000,000</w:t>
            </w:r>
          </w:p>
        </w:tc>
      </w:tr>
      <w:tr>
        <w:trPr>
          <w:trHeight w:val="297"/>
        </w:trPr>
        <w:tc>
          <w:tcPr>
            <w:tcW w:w="42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4"/>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Members' deficit</w:t>
            </w:r>
          </w:p>
        </w:tc>
        <w:tc>
          <w:tcPr>
            <w:tcW w:w="53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(41,233,119)</w:t>
            </w:r>
          </w:p>
        </w:tc>
      </w:tr>
      <w:tr>
        <w:trPr>
          <w:trHeight w:val="297"/>
        </w:trPr>
        <w:tc>
          <w:tcPr>
            <w:tcW w:w="42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4200" w:type="dxa"/>
            <w:vAlign w:val="bottom"/>
            <w:shd w:val="clear" w:color="auto" w:fill="CCEEFF"/>
          </w:tcPr>
          <w:p>
            <w:pPr>
              <w:spacing w:after="0"/>
              <w:rPr>
                <w:sz w:val="21"/>
                <w:szCs w:val="21"/>
                <w:color w:val="auto"/>
              </w:rPr>
            </w:pPr>
          </w:p>
        </w:tc>
        <w:tc>
          <w:tcPr>
            <w:tcW w:w="5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72,455,520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420"/>
          </w:cols>
          <w:pgMar w:left="240" w:top="571" w:right="239" w:bottom="1440" w:gutter="0" w:footer="0" w:header="0"/>
        </w:sectPr>
      </w:pPr>
    </w:p>
    <w:p>
      <w:pPr>
        <w:spacing w:after="0" w:line="255"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7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INCOME AND MEMBERS' EQUITY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2016 and 2015</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r>
      <w:tr>
        <w:trPr>
          <w:trHeight w:val="25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360,672,651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246,810,152</w:t>
            </w:r>
          </w:p>
        </w:tc>
      </w:tr>
      <w:tr>
        <w:trPr>
          <w:trHeight w:val="297"/>
        </w:trPr>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4"/>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287,185,442</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204,423,042</w:t>
            </w:r>
          </w:p>
        </w:tc>
      </w:tr>
      <w:tr>
        <w:trPr>
          <w:trHeight w:val="297"/>
        </w:trPr>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73,487,209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42,387,110</w:t>
            </w:r>
          </w:p>
        </w:tc>
      </w:tr>
      <w:tr>
        <w:trPr>
          <w:trHeight w:val="297"/>
        </w:trPr>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10,653,847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7,001,532</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11,858,077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6,805,288</w:t>
            </w:r>
          </w:p>
        </w:tc>
      </w:tr>
      <w:tr>
        <w:trPr>
          <w:trHeight w:val="250"/>
        </w:trPr>
        <w:tc>
          <w:tcPr>
            <w:tcW w:w="74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22,511,924</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13,806,820</w:t>
            </w:r>
          </w:p>
        </w:tc>
      </w:tr>
      <w:tr>
        <w:trPr>
          <w:trHeight w:val="297"/>
        </w:trPr>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other expenses (income)</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50,975,285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28,580,290</w:t>
            </w:r>
          </w:p>
        </w:tc>
      </w:tr>
      <w:tr>
        <w:trPr>
          <w:trHeight w:val="297"/>
        </w:trPr>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4"/>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4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158,266</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(3,640)</w:t>
            </w:r>
          </w:p>
        </w:tc>
      </w:tr>
      <w:tr>
        <w:trPr>
          <w:trHeight w:val="297"/>
        </w:trPr>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50,817,019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28,583,930</w:t>
            </w:r>
          </w:p>
        </w:tc>
      </w:tr>
      <w:tr>
        <w:trPr>
          <w:trHeight w:val="297"/>
        </w:trPr>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Members' deficit at beginning of year</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(44,925,138)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(65,964,406)</w:t>
            </w:r>
          </w:p>
        </w:tc>
      </w:tr>
      <w:tr>
        <w:trPr>
          <w:trHeight w:val="297"/>
        </w:trPr>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members' distributions</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(47,125,000)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(13,700,400)</w:t>
            </w:r>
          </w:p>
        </w:tc>
      </w:tr>
      <w:tr>
        <w:trPr>
          <w:trHeight w:val="297"/>
        </w:trPr>
        <w:tc>
          <w:tcPr>
            <w:tcW w:w="74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Members' deficit at end of year</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(41,233,119)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(51,080,876)</w:t>
            </w:r>
          </w:p>
        </w:tc>
      </w:tr>
      <w:tr>
        <w:trPr>
          <w:trHeight w:val="20"/>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420"/>
          </w:cols>
          <w:pgMar w:left="240" w:top="571" w:right="239" w:bottom="1440" w:gutter="0" w:footer="0" w:header="0"/>
        </w:sectPr>
      </w:pPr>
    </w:p>
    <w:p>
      <w:pPr>
        <w:spacing w:after="0" w:line="255"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7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2016 and 2015</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2015</w:t>
            </w:r>
          </w:p>
        </w:tc>
      </w:tr>
      <w:tr>
        <w:trPr>
          <w:trHeight w:val="270"/>
        </w:trPr>
        <w:tc>
          <w:tcPr>
            <w:tcW w:w="74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74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50,817,019</w:t>
            </w:r>
          </w:p>
        </w:tc>
        <w:tc>
          <w:tcPr>
            <w:tcW w:w="10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28,583,930</w:t>
            </w:r>
          </w:p>
        </w:tc>
      </w:tr>
      <w:tr>
        <w:trPr>
          <w:trHeight w:val="280"/>
        </w:trPr>
        <w:tc>
          <w:tcPr>
            <w:tcW w:w="7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 to reconcile net income to net cash from operating activities</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7480" w:type="dxa"/>
            <w:vAlign w:val="bottom"/>
          </w:tcPr>
          <w:p>
            <w:pPr>
              <w:ind w:left="500"/>
              <w:spacing w:after="0"/>
              <w:rPr>
                <w:sz w:val="20"/>
                <w:szCs w:val="20"/>
                <w:color w:val="auto"/>
              </w:rPr>
            </w:pPr>
            <w:r>
              <w:rPr>
                <w:rFonts w:ascii="Arial" w:cs="Arial" w:eastAsia="Arial" w:hAnsi="Arial"/>
                <w:sz w:val="16"/>
                <w:szCs w:val="16"/>
                <w:color w:val="auto"/>
              </w:rPr>
              <w:t>Depreciation</w:t>
            </w:r>
          </w:p>
        </w:tc>
        <w:tc>
          <w:tcPr>
            <w:tcW w:w="440" w:type="dxa"/>
            <w:vAlign w:val="bottom"/>
          </w:tcPr>
          <w:p>
            <w:pPr>
              <w:spacing w:after="0"/>
              <w:rPr>
                <w:sz w:val="22"/>
                <w:szCs w:val="22"/>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638,608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433,504</w:t>
            </w:r>
          </w:p>
        </w:tc>
      </w:tr>
      <w:tr>
        <w:trPr>
          <w:trHeight w:val="280"/>
        </w:trPr>
        <w:tc>
          <w:tcPr>
            <w:tcW w:w="7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Provision for bad debts</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18,000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18,000</w:t>
            </w:r>
          </w:p>
        </w:tc>
      </w:tr>
      <w:tr>
        <w:trPr>
          <w:trHeight w:val="260"/>
        </w:trPr>
        <w:tc>
          <w:tcPr>
            <w:tcW w:w="7480" w:type="dxa"/>
            <w:vAlign w:val="bottom"/>
          </w:tcPr>
          <w:p>
            <w:pPr>
              <w:ind w:left="500"/>
              <w:spacing w:after="0"/>
              <w:rPr>
                <w:sz w:val="20"/>
                <w:szCs w:val="20"/>
                <w:color w:val="auto"/>
              </w:rPr>
            </w:pPr>
            <w:r>
              <w:rPr>
                <w:rFonts w:ascii="Arial" w:cs="Arial" w:eastAsia="Arial" w:hAnsi="Arial"/>
                <w:sz w:val="16"/>
                <w:szCs w:val="16"/>
                <w:color w:val="auto"/>
              </w:rPr>
              <w:t>Provision for repurchase obligations</w:t>
            </w:r>
          </w:p>
        </w:tc>
        <w:tc>
          <w:tcPr>
            <w:tcW w:w="440" w:type="dxa"/>
            <w:vAlign w:val="bottom"/>
          </w:tcPr>
          <w:p>
            <w:pPr>
              <w:spacing w:after="0"/>
              <w:rPr>
                <w:sz w:val="22"/>
                <w:szCs w:val="22"/>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174,452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118,404</w:t>
            </w:r>
          </w:p>
        </w:tc>
      </w:tr>
      <w:tr>
        <w:trPr>
          <w:trHeight w:val="280"/>
        </w:trPr>
        <w:tc>
          <w:tcPr>
            <w:tcW w:w="7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748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440" w:type="dxa"/>
            <w:vAlign w:val="bottom"/>
          </w:tcPr>
          <w:p>
            <w:pPr>
              <w:spacing w:after="0"/>
              <w:rPr>
                <w:sz w:val="22"/>
                <w:szCs w:val="22"/>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(8,863,758)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124,415</w:t>
            </w:r>
          </w:p>
        </w:tc>
      </w:tr>
      <w:tr>
        <w:trPr>
          <w:trHeight w:val="280"/>
        </w:trPr>
        <w:tc>
          <w:tcPr>
            <w:tcW w:w="74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Vendor rebates receivable</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(677,505)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(115,617)</w:t>
            </w:r>
          </w:p>
        </w:tc>
      </w:tr>
      <w:tr>
        <w:trPr>
          <w:trHeight w:val="260"/>
        </w:trPr>
        <w:tc>
          <w:tcPr>
            <w:tcW w:w="7480" w:type="dxa"/>
            <w:vAlign w:val="bottom"/>
          </w:tcPr>
          <w:p>
            <w:pPr>
              <w:ind w:left="72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22"/>
                <w:szCs w:val="22"/>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(4,845,015)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(7,448,938)</w:t>
            </w:r>
          </w:p>
        </w:tc>
      </w:tr>
      <w:tr>
        <w:trPr>
          <w:trHeight w:val="280"/>
        </w:trPr>
        <w:tc>
          <w:tcPr>
            <w:tcW w:w="74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Prepaids expenses and other current assets</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(392,409)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1,015,672</w:t>
            </w:r>
          </w:p>
        </w:tc>
      </w:tr>
      <w:tr>
        <w:trPr>
          <w:trHeight w:val="260"/>
        </w:trPr>
        <w:tc>
          <w:tcPr>
            <w:tcW w:w="7480" w:type="dxa"/>
            <w:vAlign w:val="bottom"/>
          </w:tcPr>
          <w:p>
            <w:pPr>
              <w:ind w:left="720"/>
              <w:spacing w:after="0"/>
              <w:rPr>
                <w:sz w:val="20"/>
                <w:szCs w:val="20"/>
                <w:color w:val="auto"/>
              </w:rPr>
            </w:pPr>
            <w:r>
              <w:rPr>
                <w:rFonts w:ascii="Arial" w:cs="Arial" w:eastAsia="Arial" w:hAnsi="Arial"/>
                <w:sz w:val="16"/>
                <w:szCs w:val="16"/>
                <w:color w:val="auto"/>
              </w:rPr>
              <w:t>Checks in excess of bank balance</w:t>
            </w:r>
          </w:p>
        </w:tc>
        <w:tc>
          <w:tcPr>
            <w:tcW w:w="440" w:type="dxa"/>
            <w:vAlign w:val="bottom"/>
          </w:tcPr>
          <w:p>
            <w:pPr>
              <w:spacing w:after="0"/>
              <w:rPr>
                <w:sz w:val="22"/>
                <w:szCs w:val="22"/>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(3,286,260)</w:t>
            </w:r>
          </w:p>
        </w:tc>
      </w:tr>
      <w:tr>
        <w:trPr>
          <w:trHeight w:val="280"/>
        </w:trPr>
        <w:tc>
          <w:tcPr>
            <w:tcW w:w="74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10,152,648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7,451,622</w:t>
            </w:r>
          </w:p>
        </w:tc>
      </w:tr>
      <w:tr>
        <w:trPr>
          <w:trHeight w:val="260"/>
        </w:trPr>
        <w:tc>
          <w:tcPr>
            <w:tcW w:w="7480" w:type="dxa"/>
            <w:vAlign w:val="bottom"/>
          </w:tcPr>
          <w:p>
            <w:pPr>
              <w:ind w:left="720"/>
              <w:spacing w:after="0"/>
              <w:rPr>
                <w:sz w:val="20"/>
                <w:szCs w:val="20"/>
                <w:color w:val="auto"/>
              </w:rPr>
            </w:pPr>
            <w:r>
              <w:rPr>
                <w:rFonts w:ascii="Arial" w:cs="Arial" w:eastAsia="Arial" w:hAnsi="Arial"/>
                <w:sz w:val="16"/>
                <w:szCs w:val="16"/>
                <w:color w:val="auto"/>
              </w:rPr>
              <w:t>Accrued payroll and related benefits</w:t>
            </w:r>
          </w:p>
        </w:tc>
        <w:tc>
          <w:tcPr>
            <w:tcW w:w="440" w:type="dxa"/>
            <w:vAlign w:val="bottom"/>
          </w:tcPr>
          <w:p>
            <w:pPr>
              <w:spacing w:after="0"/>
              <w:rPr>
                <w:sz w:val="22"/>
                <w:szCs w:val="22"/>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2,689,772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2,692,131</w:t>
            </w:r>
          </w:p>
        </w:tc>
      </w:tr>
      <w:tr>
        <w:trPr>
          <w:trHeight w:val="280"/>
        </w:trPr>
        <w:tc>
          <w:tcPr>
            <w:tcW w:w="74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Accrued dealer incentives</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(1,499,551)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(14,748)</w:t>
            </w:r>
          </w:p>
        </w:tc>
      </w:tr>
      <w:tr>
        <w:trPr>
          <w:trHeight w:val="260"/>
        </w:trPr>
        <w:tc>
          <w:tcPr>
            <w:tcW w:w="7480" w:type="dxa"/>
            <w:vAlign w:val="bottom"/>
          </w:tcPr>
          <w:p>
            <w:pPr>
              <w:ind w:left="720"/>
              <w:spacing w:after="0"/>
              <w:rPr>
                <w:sz w:val="20"/>
                <w:szCs w:val="20"/>
                <w:color w:val="auto"/>
              </w:rPr>
            </w:pPr>
            <w:r>
              <w:rPr>
                <w:rFonts w:ascii="Arial" w:cs="Arial" w:eastAsia="Arial" w:hAnsi="Arial"/>
                <w:sz w:val="16"/>
                <w:szCs w:val="16"/>
                <w:color w:val="auto"/>
              </w:rPr>
              <w:t>Accrued warranty</w:t>
            </w:r>
          </w:p>
        </w:tc>
        <w:tc>
          <w:tcPr>
            <w:tcW w:w="440" w:type="dxa"/>
            <w:vAlign w:val="bottom"/>
          </w:tcPr>
          <w:p>
            <w:pPr>
              <w:spacing w:after="0"/>
              <w:rPr>
                <w:sz w:val="22"/>
                <w:szCs w:val="22"/>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3,704,541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2,971,973</w:t>
            </w:r>
          </w:p>
        </w:tc>
      </w:tr>
      <w:tr>
        <w:trPr>
          <w:trHeight w:val="273"/>
        </w:trPr>
        <w:tc>
          <w:tcPr>
            <w:tcW w:w="74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 current liabilities</w:t>
            </w:r>
          </w:p>
        </w:tc>
        <w:tc>
          <w:tcPr>
            <w:tcW w:w="4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624,112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401,475</w:t>
            </w:r>
          </w:p>
        </w:tc>
      </w:tr>
      <w:tr>
        <w:trPr>
          <w:trHeight w:val="247"/>
        </w:trPr>
        <w:tc>
          <w:tcPr>
            <w:tcW w:w="7480" w:type="dxa"/>
            <w:vAlign w:val="bottom"/>
          </w:tcPr>
          <w:p>
            <w:pPr>
              <w:ind w:left="920"/>
              <w:spacing w:after="0"/>
              <w:rPr>
                <w:sz w:val="20"/>
                <w:szCs w:val="20"/>
                <w:color w:val="auto"/>
              </w:rPr>
            </w:pPr>
            <w:r>
              <w:rPr>
                <w:rFonts w:ascii="Arial" w:cs="Arial" w:eastAsia="Arial" w:hAnsi="Arial"/>
                <w:sz w:val="16"/>
                <w:szCs w:val="16"/>
                <w:color w:val="auto"/>
              </w:rPr>
              <w:t>Net cash from operating activities</w:t>
            </w:r>
          </w:p>
        </w:tc>
        <w:tc>
          <w:tcPr>
            <w:tcW w:w="440" w:type="dxa"/>
            <w:vAlign w:val="bottom"/>
          </w:tcPr>
          <w:p>
            <w:pPr>
              <w:spacing w:after="0"/>
              <w:rPr>
                <w:sz w:val="21"/>
                <w:szCs w:val="21"/>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52,540,914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32,945,563</w:t>
            </w:r>
          </w:p>
        </w:tc>
      </w:tr>
      <w:tr>
        <w:trPr>
          <w:trHeight w:val="307"/>
        </w:trPr>
        <w:tc>
          <w:tcPr>
            <w:tcW w:w="74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97"/>
        </w:trPr>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4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7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Purchase of property, plant and equipment</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(2,220,654)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(2,456,950)</w:t>
            </w:r>
          </w:p>
        </w:tc>
      </w:tr>
      <w:tr>
        <w:trPr>
          <w:trHeight w:val="257"/>
        </w:trPr>
        <w:tc>
          <w:tcPr>
            <w:tcW w:w="7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from investing activities</w:t>
            </w:r>
          </w:p>
        </w:tc>
        <w:tc>
          <w:tcPr>
            <w:tcW w:w="4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(2,220,654)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(2,456,950)</w:t>
            </w:r>
          </w:p>
        </w:tc>
      </w:tr>
      <w:tr>
        <w:trPr>
          <w:trHeight w:val="297"/>
        </w:trPr>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4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7480" w:type="dxa"/>
            <w:vAlign w:val="bottom"/>
          </w:tcPr>
          <w:p>
            <w:pPr>
              <w:ind w:left="280"/>
              <w:spacing w:after="0"/>
              <w:rPr>
                <w:sz w:val="20"/>
                <w:szCs w:val="20"/>
                <w:color w:val="auto"/>
              </w:rPr>
            </w:pPr>
            <w:r>
              <w:rPr>
                <w:rFonts w:ascii="Arial" w:cs="Arial" w:eastAsia="Arial" w:hAnsi="Arial"/>
                <w:sz w:val="16"/>
                <w:szCs w:val="16"/>
                <w:color w:val="auto"/>
              </w:rPr>
              <w:t>Net proceeds from revolving line of credit</w:t>
            </w:r>
          </w:p>
        </w:tc>
        <w:tc>
          <w:tcPr>
            <w:tcW w:w="440" w:type="dxa"/>
            <w:vAlign w:val="bottom"/>
          </w:tcPr>
          <w:p>
            <w:pPr>
              <w:spacing w:after="0"/>
              <w:rPr>
                <w:sz w:val="22"/>
                <w:szCs w:val="22"/>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(80,145)</w:t>
            </w:r>
          </w:p>
        </w:tc>
      </w:tr>
      <w:tr>
        <w:trPr>
          <w:trHeight w:val="273"/>
        </w:trPr>
        <w:tc>
          <w:tcPr>
            <w:tcW w:w="7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Members’ distributions</w:t>
            </w:r>
          </w:p>
        </w:tc>
        <w:tc>
          <w:tcPr>
            <w:tcW w:w="4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(47,125,000)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(13,700,400)</w:t>
            </w:r>
          </w:p>
        </w:tc>
      </w:tr>
      <w:tr>
        <w:trPr>
          <w:trHeight w:val="250"/>
        </w:trPr>
        <w:tc>
          <w:tcPr>
            <w:tcW w:w="74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from financing activities</w:t>
            </w: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(47,125,000)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(13,780,545)</w:t>
            </w:r>
          </w:p>
        </w:tc>
      </w:tr>
      <w:tr>
        <w:trPr>
          <w:trHeight w:val="297"/>
        </w:trPr>
        <w:tc>
          <w:tcPr>
            <w:tcW w:w="74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97"/>
        </w:trPr>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3,195,260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16,708,068</w:t>
            </w:r>
          </w:p>
        </w:tc>
      </w:tr>
      <w:tr>
        <w:trPr>
          <w:trHeight w:val="297"/>
        </w:trPr>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4"/>
        </w:trPr>
        <w:tc>
          <w:tcPr>
            <w:tcW w:w="7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16,464,419</w:t>
            </w:r>
          </w:p>
        </w:tc>
        <w:tc>
          <w:tcPr>
            <w:tcW w:w="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97"/>
        </w:trPr>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19,659,679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16,708,068</w:t>
            </w:r>
          </w:p>
        </w:tc>
      </w:tr>
      <w:tr>
        <w:trPr>
          <w:trHeight w:val="20"/>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81"/>
        </w:trPr>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51"/>
        </w:trPr>
        <w:tc>
          <w:tcPr>
            <w:tcW w:w="7480" w:type="dxa"/>
            <w:vAlign w:val="bottom"/>
          </w:tcPr>
          <w:p>
            <w:pPr>
              <w:ind w:left="280"/>
              <w:spacing w:after="0"/>
              <w:rPr>
                <w:sz w:val="20"/>
                <w:szCs w:val="20"/>
                <w:color w:val="auto"/>
              </w:rPr>
            </w:pPr>
            <w:r>
              <w:rPr>
                <w:rFonts w:ascii="Arial" w:cs="Arial" w:eastAsia="Arial" w:hAnsi="Arial"/>
                <w:sz w:val="16"/>
                <w:szCs w:val="16"/>
                <w:color w:val="auto"/>
              </w:rPr>
              <w:t>Cash paid during the year for interest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420"/>
          </w:cols>
          <w:pgMar w:left="240" w:top="571" w:right="239" w:bottom="1440" w:gutter="0" w:footer="0" w:header="0"/>
        </w:sectPr>
      </w:pPr>
    </w:p>
    <w:p>
      <w:pPr>
        <w:spacing w:after="0" w:line="255"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7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2016 and 2015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SUMMARY OF SIGNIFICANT ACCOUNTING POLICIES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Nature of Operations</w:t>
      </w:r>
      <w:r>
        <w:rPr>
          <w:rFonts w:ascii="Arial" w:cs="Arial" w:eastAsia="Arial" w:hAnsi="Arial"/>
          <w:sz w:val="18"/>
          <w:szCs w:val="18"/>
          <w:color w:val="auto"/>
        </w:rPr>
        <w:t>: Grand Design RV, LLC (the “Company”) is a manufacturer of towable recreational vehicles. The Company has manufacturing facilities in Middlebury, Indiana and sells its units in the United States and Canada through an independent dealer network.</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Use of Estimates in Preparation of Financial Statements</w:t>
      </w:r>
      <w:r>
        <w:rPr>
          <w:rFonts w:ascii="Arial" w:cs="Arial" w:eastAsia="Arial" w:hAnsi="Arial"/>
          <w:sz w:val="18"/>
          <w:szCs w:val="18"/>
          <w:color w:val="auto"/>
        </w:rPr>
        <w:t>: The preparation of the financial statements in conformity with accounting principles generally accepted in the United States of America requires management to make estimates and assumptions that affect the reported amount of assets and liabilities at the date of the financial statements and the reported amount of revenues and expenses during the period. Significant estimates in the accompanying financial statements include: allowance for doubtful accounts, valuation of inventories, accrued warranty and reserves for contingent liabilities under repurchase agreements. Actual results may differ from the estimates. In our opinion, the accompanying unaudited financial statements contain all adjustments, consisting of normal recurring accruals, necessary to present fairly our financial position as of September 30, 2016 and the statements of income and members’ equity (deficit) and cash flows for the nine months ended September 30, 2016 and 2015.</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The Company maintains its cash primarily at one financial institution, which at times may exceed federally insured limits. All investments, with an original maturity date of three months or less are included in cash and cash equivalents.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 The Company accounts for trade receivables based on the amounts billed to customers. Past due receivables are determined based on due date. The Company does not charge interest on its trade receivables.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Allowance for Doubtful Accounts</w:t>
      </w:r>
      <w:r>
        <w:rPr>
          <w:rFonts w:ascii="Arial" w:cs="Arial" w:eastAsia="Arial" w:hAnsi="Arial"/>
          <w:sz w:val="18"/>
          <w:szCs w:val="18"/>
          <w:color w:val="auto"/>
        </w:rPr>
        <w:t>: The allowance for doubtful accounts is determined by management based on the Company's historical losses, specific customer circumstances and general economic conditions. Periodically, management reviews accounts receivable and records an allowance for specific customers based on customer circumstances, with the receivable to be charged off against the allowance when all attempts to collect the receivable have failed. Management determined the allowance for doubtful accounts at September 30, 2016 was $66,000.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Inventories are stated at the lower of cost (first-in, first-out method) or market.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Property, Plant and Equipment</w:t>
      </w:r>
      <w:r>
        <w:rPr>
          <w:rFonts w:ascii="Arial" w:cs="Arial" w:eastAsia="Arial" w:hAnsi="Arial"/>
          <w:sz w:val="18"/>
          <w:szCs w:val="18"/>
          <w:color w:val="auto"/>
        </w:rPr>
        <w:t>: Property, plant and equipment are stated at cost less accumulated depreciation. Repairs and maintenance are expensed as incurred. Depreciation is provided using the straight-line method over their estimated useful lives as follows:</w:t>
      </w:r>
    </w:p>
    <w:p>
      <w:pPr>
        <w:sectPr>
          <w:pgSz w:w="11900" w:h="16838" w:orient="portrait"/>
          <w:cols w:equalWidth="0" w:num="1">
            <w:col w:w="11420"/>
          </w:cols>
          <w:pgMar w:left="240" w:top="571" w:right="239" w:bottom="1440" w:gutter="0" w:footer="0" w:header="0"/>
        </w:sectPr>
      </w:pPr>
    </w:p>
    <w:p>
      <w:pPr>
        <w:spacing w:after="0" w:line="345"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Buildings and improvements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ind w:right="3360"/>
        <w:spacing w:after="0"/>
        <w:rPr>
          <w:sz w:val="20"/>
          <w:szCs w:val="20"/>
          <w:color w:val="auto"/>
        </w:rPr>
      </w:pPr>
      <w:r>
        <w:rPr>
          <w:rFonts w:ascii="Arial" w:cs="Arial" w:eastAsia="Arial" w:hAnsi="Arial"/>
          <w:sz w:val="17"/>
          <w:szCs w:val="17"/>
          <w:color w:val="auto"/>
        </w:rPr>
        <w:t>3 to 15 years</w:t>
      </w:r>
    </w:p>
    <w:p>
      <w:pPr>
        <w:spacing w:after="0" w:line="75" w:lineRule="exact"/>
        <w:rPr>
          <w:sz w:val="20"/>
          <w:szCs w:val="20"/>
          <w:color w:val="auto"/>
        </w:rPr>
      </w:pPr>
    </w:p>
    <w:p>
      <w:pPr>
        <w:sectPr>
          <w:pgSz w:w="11900" w:h="16838" w:orient="portrait"/>
          <w:cols w:equalWidth="0" w:num="2">
            <w:col w:w="6300" w:space="720"/>
            <w:col w:w="4400"/>
          </w:cols>
          <w:pgMar w:left="240" w:top="571" w:right="239" w:bottom="1440" w:gutter="0" w:footer="0" w:header="0"/>
          <w:type w:val="continuous"/>
        </w:sectPr>
      </w:pPr>
    </w:p>
    <w:p>
      <w:pPr>
        <w:ind w:left="1540"/>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7"/>
          <w:szCs w:val="17"/>
          <w:color w:val="auto"/>
        </w:rPr>
        <w:t>3 to 15 years</w:t>
      </w:r>
    </w:p>
    <w:p>
      <w:pPr>
        <w:spacing w:after="0" w:line="74" w:lineRule="exact"/>
        <w:rPr>
          <w:sz w:val="20"/>
          <w:szCs w:val="20"/>
          <w:color w:val="auto"/>
        </w:rPr>
      </w:pPr>
    </w:p>
    <w:p>
      <w:pPr>
        <w:sectPr>
          <w:pgSz w:w="11900" w:h="16838" w:orient="portrait"/>
          <w:cols w:equalWidth="0" w:num="2">
            <w:col w:w="6300" w:space="720"/>
            <w:col w:w="4400"/>
          </w:cols>
          <w:pgMar w:left="240" w:top="571" w:right="239" w:bottom="1440" w:gutter="0" w:footer="0" w:header="0"/>
          <w:type w:val="continuous"/>
        </w:sectPr>
      </w:pPr>
    </w:p>
    <w:p>
      <w:pPr>
        <w:ind w:left="1540"/>
        <w:spacing w:after="0"/>
        <w:rPr>
          <w:sz w:val="20"/>
          <w:szCs w:val="20"/>
          <w:color w:val="auto"/>
        </w:rPr>
      </w:pPr>
      <w:r>
        <w:rPr>
          <w:rFonts w:ascii="Arial" w:cs="Arial" w:eastAsia="Arial" w:hAnsi="Arial"/>
          <w:sz w:val="17"/>
          <w:szCs w:val="17"/>
          <w:color w:val="auto"/>
        </w:rPr>
        <w:t>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 years</w:t>
      </w:r>
    </w:p>
    <w:p>
      <w:pPr>
        <w:spacing w:after="0" w:line="75" w:lineRule="exact"/>
        <w:rPr>
          <w:sz w:val="20"/>
          <w:szCs w:val="20"/>
          <w:color w:val="auto"/>
        </w:rPr>
      </w:pPr>
    </w:p>
    <w:p>
      <w:pPr>
        <w:sectPr>
          <w:pgSz w:w="11900" w:h="16838" w:orient="portrait"/>
          <w:cols w:equalWidth="0" w:num="2">
            <w:col w:w="6300" w:space="720"/>
            <w:col w:w="4400"/>
          </w:cols>
          <w:pgMar w:left="240" w:top="571" w:right="239" w:bottom="1440" w:gutter="0" w:footer="0" w:header="0"/>
          <w:type w:val="continuous"/>
        </w:sectPr>
      </w:pPr>
    </w:p>
    <w:p>
      <w:pPr>
        <w:ind w:left="1540"/>
        <w:spacing w:after="0"/>
        <w:rPr>
          <w:sz w:val="20"/>
          <w:szCs w:val="20"/>
          <w:color w:val="auto"/>
        </w:rPr>
      </w:pPr>
      <w:r>
        <w:rPr>
          <w:rFonts w:ascii="Arial" w:cs="Arial" w:eastAsia="Arial" w:hAnsi="Arial"/>
          <w:sz w:val="17"/>
          <w:szCs w:val="17"/>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7 years</w:t>
      </w:r>
    </w:p>
    <w:p>
      <w:pPr>
        <w:spacing w:after="0" w:line="200" w:lineRule="exact"/>
        <w:rPr>
          <w:sz w:val="20"/>
          <w:szCs w:val="20"/>
          <w:color w:val="auto"/>
        </w:rPr>
      </w:pPr>
    </w:p>
    <w:p>
      <w:pPr>
        <w:sectPr>
          <w:pgSz w:w="11900" w:h="16838" w:orient="portrait"/>
          <w:cols w:equalWidth="0" w:num="2">
            <w:col w:w="6300" w:space="720"/>
            <w:col w:w="4400"/>
          </w:cols>
          <w:pgMar w:left="240" w:top="571" w:right="239" w:bottom="1440" w:gutter="0" w:footer="0" w:header="0"/>
          <w:type w:val="continuous"/>
        </w:sectPr>
      </w:pP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Property, plant and equipment is evaluated for impairment when conditions exist which may indicate that it is probable that the sum of expected future cash flows (on an undiscounted basis) from an asset over its anticipated holding period is less than its net book value. Management determined there was no impairment on these assets at September 30, 2016.</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u w:val="single" w:color="auto"/>
          <w:color w:val="auto"/>
        </w:rPr>
        <w:t>Members’ Equity that includes Redemption Feature</w:t>
      </w:r>
      <w:r>
        <w:rPr>
          <w:rFonts w:ascii="Arial" w:cs="Arial" w:eastAsia="Arial" w:hAnsi="Arial"/>
          <w:sz w:val="18"/>
          <w:szCs w:val="18"/>
          <w:color w:val="auto"/>
        </w:rPr>
        <w:t xml:space="preserve">: Accounting Series Release No. 268, </w:t>
      </w:r>
      <w:r>
        <w:rPr>
          <w:rFonts w:ascii="Arial" w:cs="Arial" w:eastAsia="Arial" w:hAnsi="Arial"/>
          <w:sz w:val="18"/>
          <w:szCs w:val="18"/>
          <w:i w:val="1"/>
          <w:iCs w:val="1"/>
          <w:color w:val="auto"/>
        </w:rPr>
        <w:t>Presentation in Financial Statements of “Redeemable</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 Stocks”</w:t>
      </w:r>
      <w:r>
        <w:rPr>
          <w:rFonts w:ascii="Arial" w:cs="Arial" w:eastAsia="Arial" w:hAnsi="Arial"/>
          <w:sz w:val="18"/>
          <w:szCs w:val="18"/>
          <w:color w:val="auto"/>
        </w:rPr>
        <w:t>, requires the redemption value, as defined, of members’ equity with redemption features that are not solely within the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to be stated separately from permanent members’ equity.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7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2016 and 2015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SUMMARY OF SIGNIFICANT ACCOUNTING POLICIES</w:t>
      </w:r>
      <w:r>
        <w:rPr>
          <w:rFonts w:ascii="Arial" w:cs="Arial" w:eastAsia="Arial" w:hAnsi="Arial"/>
          <w:sz w:val="18"/>
          <w:szCs w:val="18"/>
          <w:color w:val="auto"/>
        </w:rPr>
        <w:t>(Continued)</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The Company generally manufactures products based on specific orders from its customers. Further, the Company receives written or verbal approval for payment from customer floorplan financing institutions prior to shipment. Shipments are generally made by common carrier or picked up by its customers after receiving authorization from the customer. Revenue is recognized upon pick up by the common carrier or customer.</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Delivery Revenue and Expense</w:t>
      </w:r>
      <w:r>
        <w:rPr>
          <w:rFonts w:ascii="Arial" w:cs="Arial" w:eastAsia="Arial" w:hAnsi="Arial"/>
          <w:sz w:val="18"/>
          <w:szCs w:val="18"/>
          <w:color w:val="auto"/>
        </w:rPr>
        <w:t>: The Company reports amounts billed to customers for delivery services in net sales. The costs of these services are included in cost of goods sold.</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Accrued Dealer Incentives and Advertising Costs</w:t>
      </w:r>
      <w:r>
        <w:rPr>
          <w:rFonts w:ascii="Arial" w:cs="Arial" w:eastAsia="Arial" w:hAnsi="Arial"/>
          <w:sz w:val="18"/>
          <w:szCs w:val="18"/>
          <w:color w:val="auto"/>
        </w:rPr>
        <w:t>: The Company has certain dealer incentive programs related to specific products with dealer retail sale by a specified date and dealer holding costs. Estimated costs related to dealer sales incentives are accrued as a reduction of net sales at the date products are retail sold. Advertising costs, which consist primarily of tradeshows, are expensed as incurred, and were $531,512 and $478,580 during 2016 and 2015, respectively.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Income Taxes and Allocation of Company Profits and Losses</w:t>
      </w:r>
      <w:r>
        <w:rPr>
          <w:rFonts w:ascii="Arial" w:cs="Arial" w:eastAsia="Arial" w:hAnsi="Arial"/>
          <w:sz w:val="18"/>
          <w:szCs w:val="18"/>
          <w:color w:val="auto"/>
        </w:rPr>
        <w:t>: The operating agreement of the Company provides that the Company’s net income or loss for each year is allocated to its members in accordance with the terms of the agreement. Since the Company’s net income is allocated to its members, there is no income tax provision or liability for federal and state income taxes in the financial statements.</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is subject to federal and multistate tax jurisdictions. The Company is subject to possible income tax examination by tax authorities for open tax years from 2012 through 2015.</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uncertain tax positions if it is more likely than not the tax position would be sustained in a tax examination, with a tax examination being presumed to occur. The amount recorded is the largest amount that is greater than 50% likely of being realized on examination. For tax positions not meeting the “more likely than not” test, no tax benefit is recorded. Based on the Company's analysis of the “more likely than not” tax positions there has been no liability recorded for uncertain tax positions. The Company does not expect the total amount of uncertain tax positions to significantly change in the next twelve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would recognize interest and penalties related to unrecognized tax benefits in interest and income tax expense,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amounts accrued for interest or penalties as of September 30, 2016 and 2015.</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New Accounting Pronouncements</w:t>
      </w:r>
      <w:r>
        <w:rPr>
          <w:rFonts w:ascii="Arial" w:cs="Arial" w:eastAsia="Arial" w:hAnsi="Arial"/>
          <w:sz w:val="18"/>
          <w:szCs w:val="18"/>
          <w:color w:val="auto"/>
        </w:rPr>
        <w:t>: In May 2014, the FASB issued ASU 2014-09, Revenue from Contracts with Customers (Topic 606), which specifies how and when to recognize revenue as well as providing informative, relevant disclosures. In August 2015, the FASB deferred the effective date of this standard by one year, which would become effective retrospectively or on a modified retrospective basis for public companies for fiscal years beginning after December 15, 2017. For nonpublic entities, the updated standard is effective for annual reporting periods beginning after December 15, 2018. In connection with the sale of the Company as described in Note 8, the Company will review with management of Winnebago Industries, Inc. the impact of adopting this pronouncement on its financial results.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2016, the FASB issued ASU 2016-02, Leases (Topic 842), which requires an entity to recognize both assets and liabilities arising from financing and operating leases, along with additional qualitative and quantitative disclosures. The new standard is effective retrospectively or on a modified retrospective basis for public companies for fiscal years beginning after December 15, 2018. For nonpublic entities, the standard is effective for annual reporting periods beginning after December 15, 2019. In connection with the sale of the Company as described in Note 8, the Company will review with management of Winnebago Industries, Inc. the impact of adopting this pronouncement on its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2016 and 2015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NATURE OF BUSINESS AND SUMMARY OF SIGNIFICANT ACCOUNTING POLICIES </w:t>
      </w:r>
      <w:r>
        <w:rPr>
          <w:rFonts w:ascii="Arial" w:cs="Arial" w:eastAsia="Arial" w:hAnsi="Arial"/>
          <w:sz w:val="18"/>
          <w:szCs w:val="18"/>
          <w:color w:val="auto"/>
        </w:rPr>
        <w:t>(Continued)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July 2015, the FASB issued ASU 2015-11, Inventory (Topic 330),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will become effective prospectively for public companies for fiscal years beginning after December 15, 2016. For nonpublic entities, the standard is effective for fiscal years beginning after December 15, 2017. In connection with the sale of the Company as described in Note 8, the Company will review with management of Winnebago Industries, Inc. the impact of adopting this pronouncement on its financial results.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(Topic 230), which provides guidance for eight specific cash flow issues with the objective of reducing the existing diversity in practice. ASU 2016-15 is effective retrospectively for public companies for annual reporting periods beginning after December 15, 2017. For nonpublic entities, the standard is effective for fiscal years beginning after December 15, 2018. In connection with the sale of the Company as described in Note 8, the Company will review with management of Winnebago Industries, Inc. the impact of adopting this pronouncement on its financial results.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new accounting pronouncements that are expected to have a significant impact on the Company’s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580" w:type="dxa"/>
            <w:vAlign w:val="bottom"/>
          </w:tcPr>
          <w:p>
            <w:pPr>
              <w:spacing w:after="0"/>
              <w:rPr>
                <w:sz w:val="20"/>
                <w:szCs w:val="20"/>
                <w:color w:val="auto"/>
              </w:rPr>
            </w:pPr>
            <w:r>
              <w:rPr>
                <w:rFonts w:ascii="Arial" w:cs="Arial" w:eastAsia="Arial" w:hAnsi="Arial"/>
                <w:sz w:val="18"/>
                <w:szCs w:val="18"/>
                <w:b w:val="1"/>
                <w:bCs w:val="1"/>
                <w:color w:val="auto"/>
              </w:rPr>
              <w:t>NOTE 2 - INVENTORIES</w:t>
            </w: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05"/>
        </w:trPr>
        <w:tc>
          <w:tcPr>
            <w:tcW w:w="958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5"/>
        </w:trPr>
        <w:tc>
          <w:tcPr>
            <w:tcW w:w="9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70"/>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11,993,552</w:t>
            </w:r>
          </w:p>
        </w:tc>
      </w:tr>
      <w:tr>
        <w:trPr>
          <w:trHeight w:val="263"/>
        </w:trPr>
        <w:tc>
          <w:tcPr>
            <w:tcW w:w="9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8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1,415,772</w:t>
            </w:r>
          </w:p>
        </w:tc>
      </w:tr>
      <w:tr>
        <w:trPr>
          <w:trHeight w:val="270"/>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1,257,250</w:t>
            </w:r>
          </w:p>
        </w:tc>
      </w:tr>
      <w:tr>
        <w:trPr>
          <w:trHeight w:val="250"/>
        </w:trPr>
        <w:tc>
          <w:tcPr>
            <w:tcW w:w="95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14,666,574</w:t>
            </w:r>
          </w:p>
        </w:tc>
      </w:tr>
      <w:tr>
        <w:trPr>
          <w:trHeight w:val="20"/>
        </w:trPr>
        <w:tc>
          <w:tcPr>
            <w:tcW w:w="9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PRODUCT WARRANTY</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provides a limited warranty covering defects in material or workmanship of its products for a period of one year from the date of retail sale and a three year limited warranty for structural defects. The Company records a liability based on estimated amounts necessary to settle future and existing claims on products sold as of the balance sheet date. Factors used in estimating the warranty liability include a history of units sold, existing dealer inventory, average cost incurred and a profile of the distribution of warranty expenditures over the warranty period. Estimates are adjusted as required to reflect actual costs incurred, as information becomes available.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accrued warranty for the nine months ended September 30, 2016 and 2015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r>
      <w:tr>
        <w:trPr>
          <w:trHeight w:val="25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9,008,217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5,847,131</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Warranty expense</w:t>
            </w:r>
          </w:p>
        </w:tc>
        <w:tc>
          <w:tcPr>
            <w:tcW w:w="460" w:type="dxa"/>
            <w:vAlign w:val="bottom"/>
          </w:tcPr>
          <w:p>
            <w:pPr>
              <w:spacing w:after="0"/>
              <w:rPr>
                <w:sz w:val="22"/>
                <w:szCs w:val="22"/>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10,788,968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7,345,756</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(7,084,426)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(4,373,783)</w:t>
            </w:r>
          </w:p>
        </w:tc>
      </w:tr>
      <w:tr>
        <w:trPr>
          <w:trHeight w:val="270"/>
        </w:trPr>
        <w:tc>
          <w:tcPr>
            <w:tcW w:w="74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12,712,759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8,819,104</w:t>
            </w:r>
          </w:p>
        </w:tc>
      </w:tr>
      <w:tr>
        <w:trPr>
          <w:trHeight w:val="20"/>
        </w:trPr>
        <w:tc>
          <w:tcPr>
            <w:tcW w:w="7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00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2016 and 2015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REVOLVING LINE OF CREDIT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 revolving line of credit agreement through December 31, 2017 that provides for borrowings up to $20,000,000 that are secured by substantially all assets of the Company. Interest on outstanding borrowings under the revolving line of credit are payable monthly at the 1-month LIBOR plus 2.50% (3.03% at September 30, 2016). The agreement contains restrictive covenants relating to maintenance of total debt to tangible net worth ratio as well as minimum net worth, as defined. At September 30, 2016, the Company was in compliance with these requirements.</w:t>
      </w:r>
    </w:p>
    <w:p>
      <w:pPr>
        <w:spacing w:after="0" w:line="17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classifies this debt as current in its balance sheet because the debt can fluctuate significantly as a result of working capital fluctuations.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 COMMITMENTS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leases real estate from entities related by common ownership through 2024. The Company also leases equipment from unrelated parties. Future minimum lease payments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Related Party</w:t>
            </w:r>
          </w:p>
        </w:tc>
        <w:tc>
          <w:tcPr>
            <w:tcW w:w="400" w:type="dxa"/>
            <w:vAlign w:val="bottom"/>
          </w:tcPr>
          <w:p>
            <w:pPr>
              <w:spacing w:after="0"/>
              <w:rPr>
                <w:sz w:val="21"/>
                <w:szCs w:val="21"/>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1"/>
                <w:szCs w:val="21"/>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57"/>
        </w:trPr>
        <w:tc>
          <w:tcPr>
            <w:tcW w:w="5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1,450,002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116,664</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1,566,666</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2"/>
                <w:szCs w:val="22"/>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1,800,000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87,498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1,887,498</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1,800,000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1,800,000</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2"/>
                <w:szCs w:val="22"/>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1,800,000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1,800,000</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1,800,000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1,800,000</w:t>
            </w:r>
          </w:p>
        </w:tc>
      </w:tr>
      <w:tr>
        <w:trPr>
          <w:trHeight w:val="264"/>
        </w:trPr>
        <w:tc>
          <w:tcPr>
            <w:tcW w:w="570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22"/>
                <w:szCs w:val="22"/>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8,224,000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8,224,000</w:t>
            </w:r>
          </w:p>
        </w:tc>
      </w:tr>
      <w:tr>
        <w:trPr>
          <w:trHeight w:val="250"/>
        </w:trPr>
        <w:tc>
          <w:tcPr>
            <w:tcW w:w="57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16,874,002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17,078,164</w:t>
            </w: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Rent expense for the nine months ended September 30, 2016 and 2015 was $956,532 and $921,246, respectively, including $675,000 of rent expense to a related party in both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CONTINGENCIES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Repurchase Agreements</w:t>
      </w:r>
      <w:r>
        <w:rPr>
          <w:rFonts w:ascii="Arial" w:cs="Arial" w:eastAsia="Arial" w:hAnsi="Arial"/>
          <w:sz w:val="18"/>
          <w:szCs w:val="18"/>
          <w:color w:val="auto"/>
        </w:rPr>
        <w:t>: The Company is contingently liable under terms of repurchase agreements with financial institutions providing inventory financing for retailers of their products. The terms of the repurchase obligations vary based upon the terms of the floor plan arrangements and require the Company to repurchase its product from the financial institutions in the event of dealer default. Such agreements are customary in the recreational vehicle industry. The estimated potential obligations under repurchase agreements approximated $181,653,000 at September 30, 2016. The risk of loss under such agreements is reduced by the resale value of the products repurchased and is spread over the Company’s numerous dealers.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were no losses resulting from repurchase obligations for the nine months ended September 30, 2016 and 2015. The Company records the fair value of repurchase reserves based on prior experience, known events and other significant inputs that are not observable in the market. The Company recorded repurchase liabilities of $514,897 and $296,771 at September 30, 2016 and 2015, respectively, which is included in other current liabilities in the balance sheets.</w:t>
      </w:r>
    </w:p>
    <w:p>
      <w:pPr>
        <w:sectPr>
          <w:pgSz w:w="11900" w:h="16838" w:orient="portrait"/>
          <w:cols w:equalWidth="0" w:num="1">
            <w:col w:w="11420"/>
          </w:cols>
          <w:pgMar w:left="240" w:top="57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2016 and 2015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CONTINGENCIES </w:t>
      </w:r>
      <w:r>
        <w:rPr>
          <w:rFonts w:ascii="Arial" w:cs="Arial" w:eastAsia="Arial" w:hAnsi="Arial"/>
          <w:sz w:val="18"/>
          <w:szCs w:val="18"/>
          <w:color w:val="auto"/>
        </w:rPr>
        <w:t>(Continued)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Partially Self-Insured Group Health Plan</w:t>
      </w:r>
      <w:r>
        <w:rPr>
          <w:rFonts w:ascii="Arial" w:cs="Arial" w:eastAsia="Arial" w:hAnsi="Arial"/>
          <w:sz w:val="18"/>
          <w:szCs w:val="18"/>
          <w:color w:val="auto"/>
        </w:rPr>
        <w:t>: During 2015, the Company implemented a partially self-insured health insurance program that covers eligible employees and dependents’ medical care costs. The Plan provides for the Company to pay all health care claims up to $100,000 per individual per policy year. In addition, the Company’s liability is limited to an annual aggregate limit of approximately $2,100,000. Prior to 2015, the Company paid premiums to a fully funded external group health plan. Total group health insurance expense for the nine months ended September 30, 2016 and 2015 was $630,224 and $813,192, respectively. Management does not anticipate any significant losses for claims that were incurred during 2016.</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Partially Self-Insured Worker’s Compensation Plan</w:t>
      </w:r>
      <w:r>
        <w:rPr>
          <w:rFonts w:ascii="Arial" w:cs="Arial" w:eastAsia="Arial" w:hAnsi="Arial"/>
          <w:sz w:val="18"/>
          <w:szCs w:val="18"/>
          <w:color w:val="auto"/>
        </w:rPr>
        <w:t>: During 2015, the Company implemented a partial self-insured worker's compensation plan which provides for certain specific stop loss coverage. The plan provides for the Company to pay all worker compensation claims up to $250,000 per individual per policy year. The Company's does not have an aggregate limit on its total worker’s compensation exposure. Prior to 2015, the Company paid premiums to a fully funded external worker’s compensation plan. Total worker's compensation expense for the nine months ended September 30, 2016 and 2015 was $233,969 and $653,811, respectively. Management does not anticipate any significant losses for claims that were incurred during 2016.</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 Company is involved in various warranty and product liability matters which are ordinary, routine proceedings inherent to the industry. Management believes that any liability which may result from these matters will not be significant.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MEMBERS' EQUITY AND REDEEMABLE MEMBER UNITS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Grand Design RV, LLC was formed in 2012, as a Limited Liability Company under State of Indiana statutes, with initial sales incurring in January 2013. On November 19, 2014, the Company amended its operating agreement (the “Amended and Restated Operating Agreement”) in connection with the Managing Members’ sale of 4,999,999.90 Class A Units to new members (“New Members”). At December 31, 2015 and 2014, the Company has authorized and issued 5,000,000.10 of Common Units held by the Managing Members, and 4,999,999.90 Class A Units held by New Members. The Common Units and Class A Units have certain rights and obligations as more fully described in the Amended and Restated Operating Agreement, including, but not limited to voting, distribution and liquidation rights. With respect to voting, the Common Units and Class A Units vote in proportion to ownership without respect to class, except for certain consent rights, as defined. Finally, the Class A Units retain certain redemption rights, as defined, which are exercisable on November 19, 2021. The redemption price is equal to the greater of fair market value or the original issue price of $16 per unit totaling $80,000,000; plus a preferred return of 7.5%, payable at redemption.</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Accounting Series Release No. 268, Presentation in Financial Statements of “Redeemable Preferred Stocks” (“ASR 268”), with respect to financial statements filed with the Securities and Exchange Commission, the redemption rights attained by the New Members require that the member units acquired be stated separately from permanent members’ equity and included in the balance sheet as redeemable member units. The value ascribed to the redeemable member units is equal to the fair value of the Class A Units purchased by the New Members from the Managing Members on November 19, 2014 which totaled $80,000,000. Under the guidance of ASR 268, the Company has assessed that the amount is not subject to re-measurement as it believes it is not probable that the redemption will be exercised due to the likelihood of a liquidity event, as defined, occurring prior to the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7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2016 and 2015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MEMBERS' EQUITY AND REDEEMABLE MEMBER UNITS </w:t>
      </w:r>
      <w:r>
        <w:rPr>
          <w:rFonts w:ascii="Arial" w:cs="Arial" w:eastAsia="Arial" w:hAnsi="Arial"/>
          <w:sz w:val="18"/>
          <w:szCs w:val="18"/>
          <w:color w:val="auto"/>
        </w:rPr>
        <w:t>(Continued)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Unit Incentive Plan:</w:t>
      </w:r>
      <w:r>
        <w:rPr>
          <w:rFonts w:ascii="Arial" w:cs="Arial" w:eastAsia="Arial" w:hAnsi="Arial"/>
          <w:sz w:val="18"/>
          <w:szCs w:val="18"/>
          <w:color w:val="auto"/>
        </w:rPr>
        <w:t xml:space="preserve"> The Company maintains an Incentive Compensation Stock Tracking Unit Plan (the "Plan"). The Plan authorizes the granting of awards of up to 7.5% of the total outstanding value of the Common Units and Class A Units shares to key executives of the Company. The Plan is administered by the Board of Managers of the Company, which can determine, at their discretion, the participants, granted units, and conditions of each award. Outstanding awards issued under the Plan have been in the form of Stock Tracking Units (“STUs”). The STUs vest immediately upon issuance. STUs are not an ownership interest in the Company and they have no rights to vote or receive dividends or distributions other than Eligible Distributions, as defined. All rights under the STUs shall be forfeited and void if the holders employment with the Company terminates for any reason including as a result of death, disability, or retirement. The STUs are not transferable.</w:t>
      </w:r>
    </w:p>
    <w:p>
      <w:pPr>
        <w:spacing w:after="0" w:line="3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holders of the STUs are entitled to receive payments from the Company upon the occurrence of an Eligible Distribution and upon the occurrence of a Sale of Business, as defined in the Plan. Eligible Distributions will be recognized when they become probable. During May and July 2016, the Company declared Eligible Distributions which resulted in payments totaling $1,475,000 to the STUs which were expensed and have been included in general and administrative expense in the statements of income. Payments to STUs resulting from the occurrence of a sale will be recognized as compensation expense when the event occurs.</w:t>
      </w:r>
    </w:p>
    <w:p>
      <w:pPr>
        <w:spacing w:after="0" w:line="17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2014, the Company granted STUs representing 7.5% of the total value of the outstanding Common Units and Class A Units shares. During 2015, an individual holder of 2% of the total 7.5% STU’s left the Company, and as a result, forfeited the STU’s. During 2016, the Company granted STU’s representing 0.5% bringing the total STU’s issued to 6% of the original 7.5%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has analyzed the activities and transactions subsequent to September 30, 2016 to determine the need for any adjustments to or disclosures within the financial statements for the nine months ended September 30, 2016. Management has performed their analysis through January 13, 2017, the date the financial statements were available to be issued.</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Effective November 8, 2016, 100% of the ownership interests of the Company was acquired by Winnebago Industries, Inc. for a purchase price of $520,649,000, which was comprised of $396,583,000 of cash and $124,066,000 of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sale of the Company, the following events occurred:</w:t>
      </w:r>
    </w:p>
    <w:p>
      <w:pPr>
        <w:spacing w:after="0" w:line="9" w:lineRule="exact"/>
        <w:rPr>
          <w:sz w:val="20"/>
          <w:szCs w:val="20"/>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lease agreements with related parties were modified. Note 5 reflects such modified terms and future minimum lease payments accordingly.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Subsequent to September 30, 2016, the holders of the STUs received distributions totaling $29,759,515 as defined by the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revolving line of credit agreement described in Note 4 was terminated.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7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GRAND DESIGN RV, LLC</w:t>
      </w:r>
    </w:p>
    <w:p>
      <w:pPr>
        <w:spacing w:after="0" w:line="189"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FINANCIAL STATEMENTS</w:t>
      </w:r>
    </w:p>
    <w:p>
      <w:pPr>
        <w:spacing w:after="0" w:line="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December 31, 2015, 2014 and 2013</w:t>
      </w:r>
    </w:p>
    <w:p>
      <w:pPr>
        <w:sectPr>
          <w:pgSz w:w="11900" w:h="16838" w:orient="portrait"/>
          <w:cols w:equalWidth="0" w:num="1">
            <w:col w:w="10220"/>
          </w:cols>
          <w:pgMar w:left="1440" w:top="554" w:right="239" w:bottom="144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Middlebury, Indiana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31, 2015,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2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94"/>
        </w:trPr>
        <w:tc>
          <w:tcPr>
            <w:tcW w:w="8360" w:type="dxa"/>
            <w:vAlign w:val="bottom"/>
          </w:tcPr>
          <w:p>
            <w:pPr>
              <w:spacing w:after="0"/>
              <w:rPr>
                <w:sz w:val="20"/>
                <w:szCs w:val="20"/>
                <w:color w:val="auto"/>
              </w:rPr>
            </w:pPr>
            <w:r>
              <w:rPr>
                <w:rFonts w:ascii="Arial" w:cs="Arial" w:eastAsia="Arial" w:hAnsi="Arial"/>
                <w:sz w:val="18"/>
                <w:szCs w:val="18"/>
                <w:color w:val="auto"/>
              </w:rPr>
              <w:t>FINANCIAL STATEMENTS</w:t>
            </w:r>
          </w:p>
        </w:tc>
        <w:tc>
          <w:tcPr>
            <w:tcW w:w="2840" w:type="dxa"/>
            <w:vAlign w:val="bottom"/>
          </w:tcPr>
          <w:p>
            <w:pPr>
              <w:spacing w:after="0"/>
              <w:rPr>
                <w:sz w:val="24"/>
                <w:szCs w:val="24"/>
                <w:color w:val="auto"/>
              </w:rPr>
            </w:pPr>
          </w:p>
        </w:tc>
      </w:tr>
      <w:tr>
        <w:trPr>
          <w:trHeight w:val="257"/>
        </w:trPr>
        <w:tc>
          <w:tcPr>
            <w:tcW w:w="8360" w:type="dxa"/>
            <w:vAlign w:val="bottom"/>
          </w:tcPr>
          <w:p>
            <w:pPr>
              <w:ind w:left="340"/>
              <w:spacing w:after="0"/>
              <w:rPr>
                <w:sz w:val="20"/>
                <w:szCs w:val="20"/>
                <w:color w:val="auto"/>
              </w:rPr>
            </w:pPr>
            <w:r>
              <w:rPr>
                <w:rFonts w:ascii="Arial" w:cs="Arial" w:eastAsia="Arial" w:hAnsi="Arial"/>
                <w:sz w:val="18"/>
                <w:szCs w:val="18"/>
                <w:color w:val="auto"/>
              </w:rPr>
              <w:t>BALANCE SHEETS</w:t>
            </w:r>
          </w:p>
        </w:tc>
        <w:tc>
          <w:tcPr>
            <w:tcW w:w="2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8360" w:type="dxa"/>
            <w:vAlign w:val="bottom"/>
          </w:tcPr>
          <w:p>
            <w:pPr>
              <w:ind w:left="340"/>
              <w:spacing w:after="0"/>
              <w:rPr>
                <w:sz w:val="20"/>
                <w:szCs w:val="20"/>
                <w:color w:val="auto"/>
              </w:rPr>
            </w:pPr>
            <w:r>
              <w:rPr>
                <w:rFonts w:ascii="Arial" w:cs="Arial" w:eastAsia="Arial" w:hAnsi="Arial"/>
                <w:sz w:val="18"/>
                <w:szCs w:val="18"/>
                <w:color w:val="auto"/>
              </w:rPr>
              <w:t>STATEMENTS OF INCOME AND MEMBERS' EQUITY (DEFICIT)</w:t>
            </w:r>
          </w:p>
        </w:tc>
        <w:tc>
          <w:tcPr>
            <w:tcW w:w="2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8360" w:type="dxa"/>
            <w:vAlign w:val="bottom"/>
          </w:tcPr>
          <w:p>
            <w:pPr>
              <w:ind w:left="340"/>
              <w:spacing w:after="0"/>
              <w:rPr>
                <w:sz w:val="20"/>
                <w:szCs w:val="20"/>
                <w:color w:val="auto"/>
              </w:rPr>
            </w:pPr>
            <w:r>
              <w:rPr>
                <w:rFonts w:ascii="Arial" w:cs="Arial" w:eastAsia="Arial" w:hAnsi="Arial"/>
                <w:sz w:val="18"/>
                <w:szCs w:val="18"/>
                <w:color w:val="auto"/>
              </w:rPr>
              <w:t>STATEMENTS OF CASH FLOWS</w:t>
            </w:r>
          </w:p>
        </w:tc>
        <w:tc>
          <w:tcPr>
            <w:tcW w:w="2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8360" w:type="dxa"/>
            <w:vAlign w:val="bottom"/>
          </w:tcPr>
          <w:p>
            <w:pPr>
              <w:ind w:left="340"/>
              <w:spacing w:after="0"/>
              <w:rPr>
                <w:sz w:val="20"/>
                <w:szCs w:val="20"/>
                <w:color w:val="auto"/>
              </w:rPr>
            </w:pPr>
            <w:r>
              <w:rPr>
                <w:rFonts w:ascii="Arial" w:cs="Arial" w:eastAsia="Arial" w:hAnsi="Arial"/>
                <w:sz w:val="18"/>
                <w:szCs w:val="18"/>
                <w:color w:val="auto"/>
              </w:rPr>
              <w:t>NOTES TO FINANCIAL STATEMENTS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00"/>
          </w:cols>
          <w:pgMar w:left="280" w:top="571" w:right="41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AUDITOR'S REPORT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Middlebury, Indiana</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financial statements of Grand Design RV, LLC, which comprise the balance sheets as of December 31, 2015, 2014 and 2013, and the related statements of income and members’ equity (deficit) and cash flows for the years then ended, and the related notes to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44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Grand Design RV, LLC as of December 31, 2015, 2014 and 2013, and the results of its operations and its cash flows for the years then ended in accordance with accounting principles generally accepted in the United States of America.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noted in Note 8, on November 8, 2016, the Company was acquired by Winnebago Industries, Inc.</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this acquisition, the Company is required to prepare financial statements that conform as to form and content with Regulation S-X of the Securities and Exchange Commission (“SEC”) so that these can be filed by Winnebago Industries, Inc. to comply with requirements of the SEC. As a result, the Company is required to adopt Accounting Series Release No. 268, Presentation in Financial Statements of “Redeemable Preferred Stocks”, related to its redeemable membership interests. The Company previously issued financial statements for 2014 and 2015 which were not required to comply with Regulation S-X.</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opinion is not modified with respect to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Crowe Horwath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Bend,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49"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 2014 and 2013</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2013</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16,464,419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7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17,146,031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13,914,160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6,977,827</w:t>
            </w:r>
          </w:p>
        </w:tc>
      </w:tr>
      <w:tr>
        <w:trPr>
          <w:trHeight w:val="27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Vendor rebates receivable</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1,158,694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672,501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337,132</w:t>
            </w:r>
          </w:p>
        </w:tc>
      </w:tr>
      <w:tr>
        <w:trPr>
          <w:trHeight w:val="263"/>
        </w:trPr>
        <w:tc>
          <w:tcPr>
            <w:tcW w:w="57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9,821,561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8,725,499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5,476,333</w:t>
            </w:r>
          </w:p>
        </w:tc>
      </w:tr>
      <w:tr>
        <w:trPr>
          <w:trHeight w:val="270"/>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1,429,742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1,055,836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706,408</w:t>
            </w:r>
          </w:p>
        </w:tc>
      </w:tr>
      <w:tr>
        <w:trPr>
          <w:trHeight w:val="250"/>
        </w:trPr>
        <w:tc>
          <w:tcPr>
            <w:tcW w:w="57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46,020,447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24,367,996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13,497,700</w:t>
            </w:r>
          </w:p>
        </w:tc>
      </w:tr>
      <w:tr>
        <w:trPr>
          <w:trHeight w:val="304"/>
        </w:trPr>
        <w:tc>
          <w:tcPr>
            <w:tcW w:w="57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Land improvements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184,906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163,626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94,421</w:t>
            </w:r>
          </w:p>
        </w:tc>
      </w:tr>
      <w:tr>
        <w:trPr>
          <w:trHeight w:val="263"/>
        </w:trPr>
        <w:tc>
          <w:tcPr>
            <w:tcW w:w="5700" w:type="dxa"/>
            <w:vAlign w:val="bottom"/>
          </w:tcPr>
          <w:p>
            <w:pPr>
              <w:ind w:left="280"/>
              <w:spacing w:after="0"/>
              <w:rPr>
                <w:sz w:val="20"/>
                <w:szCs w:val="20"/>
                <w:color w:val="auto"/>
              </w:rPr>
            </w:pPr>
            <w:r>
              <w:rPr>
                <w:rFonts w:ascii="Arial" w:cs="Arial" w:eastAsia="Arial" w:hAnsi="Arial"/>
                <w:sz w:val="18"/>
                <w:szCs w:val="18"/>
                <w:color w:val="auto"/>
              </w:rPr>
              <w:t>Buildings and improvements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2,092,721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2,053,952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615,934</w:t>
            </w:r>
          </w:p>
        </w:tc>
      </w:tr>
      <w:tr>
        <w:trPr>
          <w:trHeight w:val="27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2,209,915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1,363,752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729,222</w:t>
            </w:r>
          </w:p>
        </w:tc>
      </w:tr>
      <w:tr>
        <w:trPr>
          <w:trHeight w:val="263"/>
        </w:trPr>
        <w:tc>
          <w:tcPr>
            <w:tcW w:w="5700" w:type="dxa"/>
            <w:vAlign w:val="bottom"/>
          </w:tcPr>
          <w:p>
            <w:pPr>
              <w:ind w:left="280"/>
              <w:spacing w:after="0"/>
              <w:rPr>
                <w:sz w:val="20"/>
                <w:szCs w:val="20"/>
                <w:color w:val="auto"/>
              </w:rPr>
            </w:pPr>
            <w:r>
              <w:rPr>
                <w:rFonts w:ascii="Arial" w:cs="Arial" w:eastAsia="Arial" w:hAnsi="Arial"/>
                <w:sz w:val="18"/>
                <w:szCs w:val="18"/>
                <w:color w:val="auto"/>
              </w:rPr>
              <w:t>Vehicles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179,187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74,847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53,303</w:t>
            </w:r>
          </w:p>
        </w:tc>
      </w:tr>
      <w:tr>
        <w:trPr>
          <w:trHeight w:val="27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Office equipment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516,552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401,502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202,808</w:t>
            </w:r>
          </w:p>
        </w:tc>
      </w:tr>
      <w:tr>
        <w:trPr>
          <w:trHeight w:val="264"/>
        </w:trPr>
        <w:tc>
          <w:tcPr>
            <w:tcW w:w="5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2,875,987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520,924</w:t>
            </w:r>
          </w:p>
        </w:tc>
      </w:tr>
      <w:tr>
        <w:trPr>
          <w:trHeight w:val="257"/>
        </w:trPr>
        <w:tc>
          <w:tcPr>
            <w:tcW w:w="57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8,059,268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4,146,495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2,216,612</w:t>
            </w:r>
          </w:p>
        </w:tc>
      </w:tr>
      <w:tr>
        <w:trPr>
          <w:trHeight w:val="264"/>
        </w:trPr>
        <w:tc>
          <w:tcPr>
            <w:tcW w:w="5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accumulated depreciation</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(1,162,191)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(559,951)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(150,506)</w:t>
            </w:r>
          </w:p>
        </w:tc>
      </w:tr>
      <w:tr>
        <w:trPr>
          <w:trHeight w:val="250"/>
        </w:trPr>
        <w:tc>
          <w:tcPr>
            <w:tcW w:w="57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6,897,077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3,586,544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2,066,106</w:t>
            </w:r>
          </w:p>
        </w:tc>
      </w:tr>
      <w:tr>
        <w:trPr>
          <w:trHeight w:val="297"/>
        </w:trPr>
        <w:tc>
          <w:tcPr>
            <w:tcW w:w="5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52,917,524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27,954,540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15,563,806</w:t>
            </w: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MEMBERS’ EQUITY (DEFICIT)</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Checks in excess of bank balance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3,286,260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1,777,722</w:t>
            </w:r>
          </w:p>
        </w:tc>
      </w:tr>
      <w:tr>
        <w:trPr>
          <w:trHeight w:val="263"/>
        </w:trPr>
        <w:tc>
          <w:tcPr>
            <w:tcW w:w="5700" w:type="dxa"/>
            <w:vAlign w:val="bottom"/>
          </w:tcPr>
          <w:p>
            <w:pPr>
              <w:ind w:left="280"/>
              <w:spacing w:after="0"/>
              <w:rPr>
                <w:sz w:val="20"/>
                <w:szCs w:val="20"/>
                <w:color w:val="auto"/>
              </w:rPr>
            </w:pPr>
            <w:r>
              <w:rPr>
                <w:rFonts w:ascii="Arial" w:cs="Arial" w:eastAsia="Arial" w:hAnsi="Arial"/>
                <w:sz w:val="18"/>
                <w:szCs w:val="18"/>
                <w:color w:val="auto"/>
              </w:rPr>
              <w:t>Revolving line of credit</w:t>
            </w:r>
          </w:p>
        </w:tc>
        <w:tc>
          <w:tcPr>
            <w:tcW w:w="42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80,145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353,378</w:t>
            </w:r>
          </w:p>
        </w:tc>
      </w:tr>
      <w:tr>
        <w:trPr>
          <w:trHeight w:val="27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1,785,507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1,501,110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1,203,890</w:t>
            </w:r>
          </w:p>
        </w:tc>
      </w:tr>
      <w:tr>
        <w:trPr>
          <w:trHeight w:val="263"/>
        </w:trPr>
        <w:tc>
          <w:tcPr>
            <w:tcW w:w="5700" w:type="dxa"/>
            <w:vAlign w:val="bottom"/>
          </w:tcPr>
          <w:p>
            <w:pPr>
              <w:ind w:left="280"/>
              <w:spacing w:after="0"/>
              <w:rPr>
                <w:sz w:val="20"/>
                <w:szCs w:val="20"/>
                <w:color w:val="auto"/>
              </w:rPr>
            </w:pPr>
            <w:r>
              <w:rPr>
                <w:rFonts w:ascii="Arial" w:cs="Arial" w:eastAsia="Arial" w:hAnsi="Arial"/>
                <w:sz w:val="18"/>
                <w:szCs w:val="18"/>
                <w:color w:val="auto"/>
              </w:rPr>
              <w:t>Accrued payroll and related benefits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2,886,446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1,128,278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503,574</w:t>
            </w:r>
          </w:p>
        </w:tc>
      </w:tr>
      <w:tr>
        <w:trPr>
          <w:trHeight w:val="27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dealer incentives</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3,407,314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1,460,296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742,908</w:t>
            </w:r>
          </w:p>
        </w:tc>
      </w:tr>
      <w:tr>
        <w:trPr>
          <w:trHeight w:val="263"/>
        </w:trPr>
        <w:tc>
          <w:tcPr>
            <w:tcW w:w="5700" w:type="dxa"/>
            <w:vAlign w:val="bottom"/>
          </w:tcPr>
          <w:p>
            <w:pPr>
              <w:ind w:left="280"/>
              <w:spacing w:after="0"/>
              <w:rPr>
                <w:sz w:val="20"/>
                <w:szCs w:val="20"/>
                <w:color w:val="auto"/>
              </w:rPr>
            </w:pPr>
            <w:r>
              <w:rPr>
                <w:rFonts w:ascii="Arial" w:cs="Arial" w:eastAsia="Arial" w:hAnsi="Arial"/>
                <w:sz w:val="18"/>
                <w:szCs w:val="18"/>
                <w:color w:val="auto"/>
              </w:rPr>
              <w:t>Accrued warranty</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9,008,217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5,847,131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2,096,238</w:t>
            </w:r>
          </w:p>
        </w:tc>
      </w:tr>
      <w:tr>
        <w:trPr>
          <w:trHeight w:val="270"/>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755,178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615,726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285,431</w:t>
            </w:r>
          </w:p>
        </w:tc>
      </w:tr>
      <w:tr>
        <w:trPr>
          <w:trHeight w:val="250"/>
        </w:trPr>
        <w:tc>
          <w:tcPr>
            <w:tcW w:w="5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17,842,662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13,918,946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6,963,141</w:t>
            </w:r>
          </w:p>
        </w:tc>
      </w:tr>
      <w:tr>
        <w:trPr>
          <w:trHeight w:val="304"/>
        </w:trPr>
        <w:tc>
          <w:tcPr>
            <w:tcW w:w="57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Redeemable member units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80,000,000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80,000,000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04"/>
        </w:trPr>
        <w:tc>
          <w:tcPr>
            <w:tcW w:w="57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Members' equity (deficit)</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(44,925,138)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(65,964,406)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8,600,665</w:t>
            </w:r>
          </w:p>
        </w:tc>
      </w:tr>
      <w:tr>
        <w:trPr>
          <w:trHeight w:val="297"/>
        </w:trPr>
        <w:tc>
          <w:tcPr>
            <w:tcW w:w="57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50"/>
        </w:trPr>
        <w:tc>
          <w:tcPr>
            <w:tcW w:w="57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52,917,524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27,954,540</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15,563,806</w:t>
            </w: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11420"/>
          </w:cols>
          <w:pgMar w:left="240" w:top="571" w:right="239" w:bottom="1440" w:gutter="0" w:footer="0" w:header="0"/>
        </w:sectPr>
      </w:pPr>
    </w:p>
    <w:p>
      <w:pPr>
        <w:spacing w:after="0" w:line="248"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71"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INCOME AND MEMBERS'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335,364,288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237,490,714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84,892,738</w:t>
            </w:r>
          </w:p>
        </w:tc>
      </w:tr>
      <w:tr>
        <w:trPr>
          <w:trHeight w:val="297"/>
        </w:trPr>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278,024,364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205,175,263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74,387,375</w:t>
            </w:r>
          </w:p>
        </w:tc>
      </w:tr>
      <w:tr>
        <w:trPr>
          <w:trHeight w:val="297"/>
        </w:trPr>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57,339,924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32,315,451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10,505,363</w:t>
            </w:r>
          </w:p>
        </w:tc>
      </w:tr>
      <w:tr>
        <w:trPr>
          <w:trHeight w:val="297"/>
        </w:trPr>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9,951,522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6,506,767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2,737,544</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9,152,774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6,172,851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2,003,027</w:t>
            </w:r>
          </w:p>
        </w:tc>
      </w:tr>
      <w:tr>
        <w:trPr>
          <w:trHeight w:val="250"/>
        </w:trPr>
        <w:tc>
          <w:tcPr>
            <w:tcW w:w="54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19,104,296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12,679,618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4,740,571</w:t>
            </w:r>
          </w:p>
        </w:tc>
      </w:tr>
      <w:tr>
        <w:trPr>
          <w:trHeight w:val="297"/>
        </w:trPr>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other expenses (income)</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38,235,628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19,635,833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5,764,792</w:t>
            </w:r>
          </w:p>
        </w:tc>
      </w:tr>
      <w:tr>
        <w:trPr>
          <w:trHeight w:val="297"/>
        </w:trPr>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(income)</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3"/>
        </w:trPr>
        <w:tc>
          <w:tcPr>
            <w:tcW w:w="54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2"/>
                <w:szCs w:val="22"/>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66,267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24,359</w:t>
            </w:r>
          </w:p>
        </w:tc>
      </w:tr>
      <w:tr>
        <w:trPr>
          <w:trHeight w:val="270"/>
        </w:trPr>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4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(4,075)</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34,534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r>
      <w:tr>
        <w:trPr>
          <w:trHeight w:val="250"/>
        </w:trPr>
        <w:tc>
          <w:tcPr>
            <w:tcW w:w="54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100,801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24,099</w:t>
            </w:r>
          </w:p>
        </w:tc>
      </w:tr>
      <w:tr>
        <w:trPr>
          <w:trHeight w:val="297"/>
        </w:trPr>
        <w:tc>
          <w:tcPr>
            <w:tcW w:w="54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spacing w:after="0"/>
              <w:rPr>
                <w:sz w:val="22"/>
                <w:szCs w:val="22"/>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38,239,268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19,535,032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5,740,693</w:t>
            </w:r>
          </w:p>
        </w:tc>
      </w:tr>
      <w:tr>
        <w:trPr>
          <w:trHeight w:val="304"/>
        </w:trPr>
        <w:tc>
          <w:tcPr>
            <w:tcW w:w="54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Members' equity (deficit) at beginning of year</w:t>
            </w:r>
          </w:p>
        </w:tc>
        <w:tc>
          <w:tcPr>
            <w:tcW w:w="420" w:type="dxa"/>
            <w:vAlign w:val="bottom"/>
          </w:tcPr>
          <w:p>
            <w:pPr>
              <w:spacing w:after="0"/>
              <w:rPr>
                <w:sz w:val="22"/>
                <w:szCs w:val="22"/>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(65,964,406)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8,600,665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2,859,972</w:t>
            </w:r>
          </w:p>
        </w:tc>
      </w:tr>
      <w:tr>
        <w:trPr>
          <w:trHeight w:val="304"/>
        </w:trPr>
        <w:tc>
          <w:tcPr>
            <w:tcW w:w="54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29"/>
        </w:trPr>
        <w:tc>
          <w:tcPr>
            <w:tcW w:w="5420" w:type="dxa"/>
            <w:vAlign w:val="bottom"/>
          </w:tcPr>
          <w:p>
            <w:pPr>
              <w:ind w:left="40"/>
              <w:spacing w:after="0"/>
              <w:rPr>
                <w:sz w:val="20"/>
                <w:szCs w:val="20"/>
                <w:color w:val="auto"/>
              </w:rPr>
            </w:pPr>
            <w:r>
              <w:rPr>
                <w:rFonts w:ascii="Arial" w:cs="Arial" w:eastAsia="Arial" w:hAnsi="Arial"/>
                <w:sz w:val="18"/>
                <w:szCs w:val="18"/>
                <w:color w:val="auto"/>
              </w:rPr>
              <w:t>Recharacterization of member units to include redemption feature</w:t>
            </w: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5420" w:type="dxa"/>
            <w:vAlign w:val="bottom"/>
          </w:tcPr>
          <w:p>
            <w:pPr>
              <w:ind w:left="40"/>
              <w:spacing w:after="0"/>
              <w:rPr>
                <w:sz w:val="20"/>
                <w:szCs w:val="20"/>
                <w:color w:val="auto"/>
              </w:rPr>
            </w:pPr>
            <w:r>
              <w:rPr>
                <w:rFonts w:ascii="Arial" w:cs="Arial" w:eastAsia="Arial" w:hAnsi="Arial"/>
                <w:sz w:val="18"/>
                <w:szCs w:val="18"/>
                <w:color w:val="auto"/>
              </w:rPr>
              <w:t>(see Note 7)</w:t>
            </w:r>
          </w:p>
        </w:tc>
        <w:tc>
          <w:tcPr>
            <w:tcW w:w="42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(80,000,000)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304"/>
        </w:trPr>
        <w:tc>
          <w:tcPr>
            <w:tcW w:w="54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members' distributions</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17,200,000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14,100,103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97"/>
        </w:trPr>
        <w:tc>
          <w:tcPr>
            <w:tcW w:w="54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r>
      <w:tr>
        <w:trPr>
          <w:trHeight w:val="25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Members' equity (deficit) at end of year</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(44,925,138)</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(65,964,406)</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8,600,665</w:t>
            </w:r>
          </w:p>
        </w:tc>
      </w:tr>
      <w:tr>
        <w:trPr>
          <w:trHeight w:val="20"/>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11420"/>
          </w:cols>
          <w:pgMar w:left="240" w:top="571" w:right="239" w:bottom="1440" w:gutter="0" w:footer="0" w:header="0"/>
        </w:sectPr>
      </w:pPr>
    </w:p>
    <w:p>
      <w:pPr>
        <w:spacing w:after="0" w:line="248"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71"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2013</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38,239,268</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19,535,032</w:t>
            </w:r>
          </w:p>
        </w:tc>
        <w:tc>
          <w:tcPr>
            <w:tcW w:w="12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5,740,693</w:t>
            </w:r>
          </w:p>
        </w:tc>
      </w:tr>
      <w:tr>
        <w:trPr>
          <w:trHeight w:val="280"/>
        </w:trPr>
        <w:tc>
          <w:tcPr>
            <w:tcW w:w="5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 to reconcile net income to net cash from operating activities</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5500" w:type="dxa"/>
            <w:vAlign w:val="bottom"/>
          </w:tcPr>
          <w:p>
            <w:pPr>
              <w:ind w:left="500"/>
              <w:spacing w:after="0"/>
              <w:rPr>
                <w:sz w:val="20"/>
                <w:szCs w:val="20"/>
                <w:color w:val="auto"/>
              </w:rPr>
            </w:pPr>
            <w:r>
              <w:rPr>
                <w:rFonts w:ascii="Arial" w:cs="Arial" w:eastAsia="Arial" w:hAnsi="Arial"/>
                <w:sz w:val="16"/>
                <w:szCs w:val="16"/>
                <w:color w:val="auto"/>
              </w:rPr>
              <w:t>Depreciation</w:t>
            </w: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602,240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409,444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145,818</w:t>
            </w:r>
          </w:p>
        </w:tc>
      </w:tr>
      <w:tr>
        <w:trPr>
          <w:trHeight w:val="280"/>
        </w:trPr>
        <w:tc>
          <w:tcPr>
            <w:tcW w:w="5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Provision for bad debts</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24,000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24,000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5500" w:type="dxa"/>
            <w:vAlign w:val="bottom"/>
          </w:tcPr>
          <w:p>
            <w:pPr>
              <w:ind w:left="500"/>
              <w:spacing w:after="0"/>
              <w:rPr>
                <w:sz w:val="20"/>
                <w:szCs w:val="20"/>
                <w:color w:val="auto"/>
              </w:rPr>
            </w:pPr>
            <w:r>
              <w:rPr>
                <w:rFonts w:ascii="Arial" w:cs="Arial" w:eastAsia="Arial" w:hAnsi="Arial"/>
                <w:sz w:val="16"/>
                <w:szCs w:val="16"/>
                <w:color w:val="auto"/>
              </w:rPr>
              <w:t>Provision for repurchase obligations</w:t>
            </w: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162,078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114,429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63,941</w:t>
            </w:r>
          </w:p>
        </w:tc>
      </w:tr>
      <w:tr>
        <w:trPr>
          <w:trHeight w:val="280"/>
        </w:trPr>
        <w:tc>
          <w:tcPr>
            <w:tcW w:w="5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550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4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(3,255,871)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(6,960,333)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(6,977,827)</w:t>
            </w:r>
          </w:p>
        </w:tc>
      </w:tr>
      <w:tr>
        <w:trPr>
          <w:trHeight w:val="280"/>
        </w:trPr>
        <w:tc>
          <w:tcPr>
            <w:tcW w:w="55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Vendor rebates receivable</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(486,193)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(335,369)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(337,132)</w:t>
            </w:r>
          </w:p>
        </w:tc>
      </w:tr>
      <w:tr>
        <w:trPr>
          <w:trHeight w:val="260"/>
        </w:trPr>
        <w:tc>
          <w:tcPr>
            <w:tcW w:w="5500" w:type="dxa"/>
            <w:vAlign w:val="bottom"/>
          </w:tcPr>
          <w:p>
            <w:pPr>
              <w:ind w:left="72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(1,096,062)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(3,249,166)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(4,675,917)</w:t>
            </w:r>
          </w:p>
        </w:tc>
      </w:tr>
      <w:tr>
        <w:trPr>
          <w:trHeight w:val="280"/>
        </w:trPr>
        <w:tc>
          <w:tcPr>
            <w:tcW w:w="55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Prepaids expenses and other current assets</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(373,906)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(349,428)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(517,333)</w:t>
            </w:r>
          </w:p>
        </w:tc>
      </w:tr>
      <w:tr>
        <w:trPr>
          <w:trHeight w:val="260"/>
        </w:trPr>
        <w:tc>
          <w:tcPr>
            <w:tcW w:w="5500" w:type="dxa"/>
            <w:vAlign w:val="bottom"/>
          </w:tcPr>
          <w:p>
            <w:pPr>
              <w:ind w:left="720"/>
              <w:spacing w:after="0"/>
              <w:rPr>
                <w:sz w:val="20"/>
                <w:szCs w:val="20"/>
                <w:color w:val="auto"/>
              </w:rPr>
            </w:pPr>
            <w:r>
              <w:rPr>
                <w:rFonts w:ascii="Arial" w:cs="Arial" w:eastAsia="Arial" w:hAnsi="Arial"/>
                <w:sz w:val="16"/>
                <w:szCs w:val="16"/>
                <w:color w:val="auto"/>
              </w:rPr>
              <w:t>Checks in excess of bank balance</w:t>
            </w:r>
          </w:p>
        </w:tc>
        <w:tc>
          <w:tcPr>
            <w:tcW w:w="4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(3,286,260)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1,508,538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1,777,722</w:t>
            </w:r>
          </w:p>
        </w:tc>
      </w:tr>
      <w:tr>
        <w:trPr>
          <w:trHeight w:val="280"/>
        </w:trPr>
        <w:tc>
          <w:tcPr>
            <w:tcW w:w="55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284,397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297,220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552,163</w:t>
            </w:r>
          </w:p>
        </w:tc>
      </w:tr>
      <w:tr>
        <w:trPr>
          <w:trHeight w:val="260"/>
        </w:trPr>
        <w:tc>
          <w:tcPr>
            <w:tcW w:w="5500" w:type="dxa"/>
            <w:vAlign w:val="bottom"/>
          </w:tcPr>
          <w:p>
            <w:pPr>
              <w:ind w:left="720"/>
              <w:spacing w:after="0"/>
              <w:rPr>
                <w:sz w:val="20"/>
                <w:szCs w:val="20"/>
                <w:color w:val="auto"/>
              </w:rPr>
            </w:pPr>
            <w:r>
              <w:rPr>
                <w:rFonts w:ascii="Arial" w:cs="Arial" w:eastAsia="Arial" w:hAnsi="Arial"/>
                <w:sz w:val="16"/>
                <w:szCs w:val="16"/>
                <w:color w:val="auto"/>
              </w:rPr>
              <w:t>Accrued payroll and related benefits</w:t>
            </w: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1,758,168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624,704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458,441</w:t>
            </w:r>
          </w:p>
        </w:tc>
      </w:tr>
      <w:tr>
        <w:trPr>
          <w:trHeight w:val="280"/>
        </w:trPr>
        <w:tc>
          <w:tcPr>
            <w:tcW w:w="55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Accrued dealer incentives</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1,947,018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717,388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742,908</w:t>
            </w:r>
          </w:p>
        </w:tc>
      </w:tr>
      <w:tr>
        <w:trPr>
          <w:trHeight w:val="260"/>
        </w:trPr>
        <w:tc>
          <w:tcPr>
            <w:tcW w:w="5500" w:type="dxa"/>
            <w:vAlign w:val="bottom"/>
          </w:tcPr>
          <w:p>
            <w:pPr>
              <w:ind w:left="720"/>
              <w:spacing w:after="0"/>
              <w:rPr>
                <w:sz w:val="20"/>
                <w:szCs w:val="20"/>
                <w:color w:val="auto"/>
              </w:rPr>
            </w:pPr>
            <w:r>
              <w:rPr>
                <w:rFonts w:ascii="Arial" w:cs="Arial" w:eastAsia="Arial" w:hAnsi="Arial"/>
                <w:sz w:val="16"/>
                <w:szCs w:val="16"/>
                <w:color w:val="auto"/>
              </w:rPr>
              <w:t>Accrued warranty</w:t>
            </w: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3,161,086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3,750,893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2,096,238</w:t>
            </w:r>
          </w:p>
        </w:tc>
      </w:tr>
      <w:tr>
        <w:trPr>
          <w:trHeight w:val="273"/>
        </w:trPr>
        <w:tc>
          <w:tcPr>
            <w:tcW w:w="55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 current liabilities</w:t>
            </w: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(22,626)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215,866</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169,640</w:t>
            </w:r>
          </w:p>
        </w:tc>
      </w:tr>
      <w:tr>
        <w:trPr>
          <w:trHeight w:val="247"/>
        </w:trPr>
        <w:tc>
          <w:tcPr>
            <w:tcW w:w="5500" w:type="dxa"/>
            <w:vAlign w:val="bottom"/>
          </w:tcPr>
          <w:p>
            <w:pPr>
              <w:ind w:left="920"/>
              <w:spacing w:after="0"/>
              <w:rPr>
                <w:sz w:val="20"/>
                <w:szCs w:val="20"/>
                <w:color w:val="auto"/>
              </w:rPr>
            </w:pPr>
            <w:r>
              <w:rPr>
                <w:rFonts w:ascii="Arial" w:cs="Arial" w:eastAsia="Arial" w:hAnsi="Arial"/>
                <w:sz w:val="16"/>
                <w:szCs w:val="16"/>
                <w:color w:val="auto"/>
              </w:rPr>
              <w:t>Net cash from operating activities</w:t>
            </w:r>
          </w:p>
        </w:tc>
        <w:tc>
          <w:tcPr>
            <w:tcW w:w="44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37,657,337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16,303,218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(760,645)</w:t>
            </w:r>
          </w:p>
        </w:tc>
      </w:tr>
      <w:tr>
        <w:trPr>
          <w:trHeight w:val="307"/>
        </w:trPr>
        <w:tc>
          <w:tcPr>
            <w:tcW w:w="55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97"/>
        </w:trPr>
        <w:tc>
          <w:tcPr>
            <w:tcW w:w="5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Purchase of property, plant and equipment</w:t>
            </w: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(3,912,773)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(1,929,882)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(1,541,717)</w:t>
            </w:r>
          </w:p>
        </w:tc>
      </w:tr>
      <w:tr>
        <w:trPr>
          <w:trHeight w:val="257"/>
        </w:trPr>
        <w:tc>
          <w:tcPr>
            <w:tcW w:w="5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from investing activities</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(3,912,773)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(1,929,882)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(1,541,717)</w:t>
            </w:r>
          </w:p>
        </w:tc>
      </w:tr>
      <w:tr>
        <w:trPr>
          <w:trHeight w:val="297"/>
        </w:trPr>
        <w:tc>
          <w:tcPr>
            <w:tcW w:w="5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5500" w:type="dxa"/>
            <w:vAlign w:val="bottom"/>
          </w:tcPr>
          <w:p>
            <w:pPr>
              <w:ind w:left="280"/>
              <w:spacing w:after="0"/>
              <w:rPr>
                <w:sz w:val="20"/>
                <w:szCs w:val="20"/>
                <w:color w:val="auto"/>
              </w:rPr>
            </w:pPr>
            <w:r>
              <w:rPr>
                <w:rFonts w:ascii="Arial" w:cs="Arial" w:eastAsia="Arial" w:hAnsi="Arial"/>
                <w:sz w:val="16"/>
                <w:szCs w:val="16"/>
                <w:color w:val="auto"/>
              </w:rPr>
              <w:t>Members’ distributions</w:t>
            </w:r>
          </w:p>
        </w:tc>
        <w:tc>
          <w:tcPr>
            <w:tcW w:w="4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(17,200,000)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(14,100,103)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3"/>
        </w:trPr>
        <w:tc>
          <w:tcPr>
            <w:tcW w:w="5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proceeds from revolving line of credit</w:t>
            </w: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(80,145)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(273,233)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353,378</w:t>
            </w:r>
          </w:p>
        </w:tc>
      </w:tr>
      <w:tr>
        <w:trPr>
          <w:trHeight w:val="250"/>
        </w:trPr>
        <w:tc>
          <w:tcPr>
            <w:tcW w:w="55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from financing activities</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(17,280,145)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(14,373,336)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353,378</w:t>
            </w:r>
          </w:p>
        </w:tc>
      </w:tr>
      <w:tr>
        <w:trPr>
          <w:trHeight w:val="297"/>
        </w:trPr>
        <w:tc>
          <w:tcPr>
            <w:tcW w:w="55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97"/>
        </w:trPr>
        <w:tc>
          <w:tcPr>
            <w:tcW w:w="5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16,464,419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(1,948,984)</w:t>
            </w:r>
          </w:p>
        </w:tc>
      </w:tr>
      <w:tr>
        <w:trPr>
          <w:trHeight w:val="297"/>
        </w:trPr>
        <w:tc>
          <w:tcPr>
            <w:tcW w:w="5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4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1,948,984</w:t>
            </w:r>
          </w:p>
        </w:tc>
      </w:tr>
      <w:tr>
        <w:trPr>
          <w:trHeight w:val="297"/>
        </w:trPr>
        <w:tc>
          <w:tcPr>
            <w:tcW w:w="55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254"/>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16,464,419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81"/>
        </w:trPr>
        <w:tc>
          <w:tcPr>
            <w:tcW w:w="5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51"/>
        </w:trPr>
        <w:tc>
          <w:tcPr>
            <w:tcW w:w="5500" w:type="dxa"/>
            <w:vAlign w:val="bottom"/>
          </w:tcPr>
          <w:p>
            <w:pPr>
              <w:ind w:left="280"/>
              <w:spacing w:after="0"/>
              <w:rPr>
                <w:sz w:val="20"/>
                <w:szCs w:val="20"/>
                <w:color w:val="auto"/>
              </w:rPr>
            </w:pPr>
            <w:r>
              <w:rPr>
                <w:rFonts w:ascii="Arial" w:cs="Arial" w:eastAsia="Arial" w:hAnsi="Arial"/>
                <w:sz w:val="16"/>
                <w:szCs w:val="16"/>
                <w:color w:val="auto"/>
              </w:rPr>
              <w:t>Cash paid during the year for interest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66,267</w:t>
            </w:r>
          </w:p>
        </w:tc>
        <w:tc>
          <w:tcPr>
            <w:tcW w:w="12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24,359</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11420"/>
          </w:cols>
          <w:pgMar w:left="240" w:top="571" w:right="239" w:bottom="1440" w:gutter="0" w:footer="0" w:header="0"/>
        </w:sectPr>
      </w:pPr>
    </w:p>
    <w:p>
      <w:pPr>
        <w:spacing w:after="0" w:line="248"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1"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SUMMARY OF SIGNIFICANT ACCOUNTING POLICIES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Nature of Operations</w:t>
      </w:r>
      <w:r>
        <w:rPr>
          <w:rFonts w:ascii="Arial" w:cs="Arial" w:eastAsia="Arial" w:hAnsi="Arial"/>
          <w:sz w:val="18"/>
          <w:szCs w:val="18"/>
          <w:color w:val="auto"/>
        </w:rPr>
        <w:t>: Grand Design RV, LLC (the “Company”) is a manufacturer of towable recreational vehicles. The Company has manufacturing facilities in Middlebury, Indiana and sells its units in the United States and Canada through an independent dealer network.</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Use of Estimates in Preparation of Financial Statements</w:t>
      </w:r>
      <w:r>
        <w:rPr>
          <w:rFonts w:ascii="Arial" w:cs="Arial" w:eastAsia="Arial" w:hAnsi="Arial"/>
          <w:sz w:val="18"/>
          <w:szCs w:val="18"/>
          <w:color w:val="auto"/>
        </w:rPr>
        <w:t>: The preparation of the financial statements in conformity with accounting principles generally accepted in the United States of America requires management to make estimates and assumptions that affect the reported amount of assets and liabilities at the date of the financial statements and the reported amount of revenues and expenses during the period. Significant estimates in the accompanying financial statements include: allowance for doubtful accounts, valuation of inventories, accrued warranty, and reserves for contingent liabilities under repurchase agreements. Actual results may differ from the estimates.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The Company maintains its cash primarily at one financial institution, which at times may exceed federally insured limits. All investments, with an original maturity date of three months or less are included in cash and cash equivalents.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 The Company accounts for trade receivables based on the amounts billed to customers. Past due receivables are determined based on due date. The Company does not charge interest on its trade receivables.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Allowance for Doubtful Accounts</w:t>
      </w:r>
      <w:r>
        <w:rPr>
          <w:rFonts w:ascii="Arial" w:cs="Arial" w:eastAsia="Arial" w:hAnsi="Arial"/>
          <w:sz w:val="18"/>
          <w:szCs w:val="18"/>
          <w:color w:val="auto"/>
        </w:rPr>
        <w:t>: The allowance for doubtful accounts is determined by management based on the Company's historical losses, specific customer circumstances and general economic conditions. Periodically, management reviews accounts receivable and records an allowance for specific customers based on customer circumstances, with the receivable to be charged off against the allowance when all attempts to collect the receivable have failed. Management determined the allowance for doubtful accounts at December 31, 2015, 2014 and 2013 was $48,000, $24,000 and $0,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Inventories are stated at the lower of cost (first-in, first-out method) or market.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Property, Plant and Equipment</w:t>
      </w:r>
      <w:r>
        <w:rPr>
          <w:rFonts w:ascii="Arial" w:cs="Arial" w:eastAsia="Arial" w:hAnsi="Arial"/>
          <w:sz w:val="18"/>
          <w:szCs w:val="18"/>
          <w:color w:val="auto"/>
        </w:rPr>
        <w:t>: Property, plant and equipment are stated at cost less accumulated depreciation. Repairs and maintenance are expensed as incurred. Depreciation is provided using the straight-line method over their estimated useful lives as follows:</w:t>
      </w:r>
    </w:p>
    <w:p>
      <w:pPr>
        <w:sectPr>
          <w:pgSz w:w="11900" w:h="16838" w:orient="portrait"/>
          <w:cols w:equalWidth="0" w:num="1">
            <w:col w:w="11420"/>
          </w:cols>
          <w:pgMar w:left="240" w:top="571" w:right="239" w:bottom="1440" w:gutter="0" w:footer="0" w:header="0"/>
        </w:sectPr>
      </w:pPr>
    </w:p>
    <w:p>
      <w:pPr>
        <w:spacing w:after="0" w:line="345"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Buildings and improvements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ind w:right="3360"/>
        <w:spacing w:after="0"/>
        <w:rPr>
          <w:sz w:val="20"/>
          <w:szCs w:val="20"/>
          <w:color w:val="auto"/>
        </w:rPr>
      </w:pPr>
      <w:r>
        <w:rPr>
          <w:rFonts w:ascii="Arial" w:cs="Arial" w:eastAsia="Arial" w:hAnsi="Arial"/>
          <w:sz w:val="17"/>
          <w:szCs w:val="17"/>
          <w:color w:val="auto"/>
        </w:rPr>
        <w:t>3 to 15 years</w:t>
      </w:r>
    </w:p>
    <w:p>
      <w:pPr>
        <w:spacing w:after="0" w:line="75" w:lineRule="exact"/>
        <w:rPr>
          <w:sz w:val="20"/>
          <w:szCs w:val="20"/>
          <w:color w:val="auto"/>
        </w:rPr>
      </w:pPr>
    </w:p>
    <w:p>
      <w:pPr>
        <w:sectPr>
          <w:pgSz w:w="11900" w:h="16838" w:orient="portrait"/>
          <w:cols w:equalWidth="0" w:num="2">
            <w:col w:w="6300" w:space="720"/>
            <w:col w:w="4400"/>
          </w:cols>
          <w:pgMar w:left="240" w:top="571" w:right="239" w:bottom="1440" w:gutter="0" w:footer="0" w:header="0"/>
          <w:type w:val="continuous"/>
        </w:sectPr>
      </w:pPr>
    </w:p>
    <w:p>
      <w:pPr>
        <w:ind w:left="1540"/>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7"/>
          <w:szCs w:val="17"/>
          <w:color w:val="auto"/>
        </w:rPr>
        <w:t>3 to 15 years</w:t>
      </w:r>
    </w:p>
    <w:p>
      <w:pPr>
        <w:spacing w:after="0" w:line="74" w:lineRule="exact"/>
        <w:rPr>
          <w:sz w:val="20"/>
          <w:szCs w:val="20"/>
          <w:color w:val="auto"/>
        </w:rPr>
      </w:pPr>
    </w:p>
    <w:p>
      <w:pPr>
        <w:sectPr>
          <w:pgSz w:w="11900" w:h="16838" w:orient="portrait"/>
          <w:cols w:equalWidth="0" w:num="2">
            <w:col w:w="6300" w:space="720"/>
            <w:col w:w="4400"/>
          </w:cols>
          <w:pgMar w:left="240" w:top="571" w:right="239" w:bottom="1440" w:gutter="0" w:footer="0" w:header="0"/>
          <w:type w:val="continuous"/>
        </w:sectPr>
      </w:pPr>
    </w:p>
    <w:p>
      <w:pPr>
        <w:ind w:left="1540"/>
        <w:spacing w:after="0"/>
        <w:rPr>
          <w:sz w:val="20"/>
          <w:szCs w:val="20"/>
          <w:color w:val="auto"/>
        </w:rPr>
      </w:pPr>
      <w:r>
        <w:rPr>
          <w:rFonts w:ascii="Arial" w:cs="Arial" w:eastAsia="Arial" w:hAnsi="Arial"/>
          <w:sz w:val="17"/>
          <w:szCs w:val="17"/>
          <w:color w:val="auto"/>
        </w:rPr>
        <w:t>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 years</w:t>
      </w:r>
    </w:p>
    <w:p>
      <w:pPr>
        <w:spacing w:after="0" w:line="75" w:lineRule="exact"/>
        <w:rPr>
          <w:sz w:val="20"/>
          <w:szCs w:val="20"/>
          <w:color w:val="auto"/>
        </w:rPr>
      </w:pPr>
    </w:p>
    <w:p>
      <w:pPr>
        <w:sectPr>
          <w:pgSz w:w="11900" w:h="16838" w:orient="portrait"/>
          <w:cols w:equalWidth="0" w:num="2">
            <w:col w:w="6300" w:space="720"/>
            <w:col w:w="4400"/>
          </w:cols>
          <w:pgMar w:left="240" w:top="571" w:right="239" w:bottom="1440" w:gutter="0" w:footer="0" w:header="0"/>
          <w:type w:val="continuous"/>
        </w:sectPr>
      </w:pPr>
    </w:p>
    <w:p>
      <w:pPr>
        <w:ind w:left="1540"/>
        <w:spacing w:after="0"/>
        <w:rPr>
          <w:sz w:val="20"/>
          <w:szCs w:val="20"/>
          <w:color w:val="auto"/>
        </w:rPr>
      </w:pPr>
      <w:r>
        <w:rPr>
          <w:rFonts w:ascii="Arial" w:cs="Arial" w:eastAsia="Arial" w:hAnsi="Arial"/>
          <w:sz w:val="17"/>
          <w:szCs w:val="17"/>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7 years</w:t>
      </w:r>
    </w:p>
    <w:p>
      <w:pPr>
        <w:spacing w:after="0" w:line="200" w:lineRule="exact"/>
        <w:rPr>
          <w:sz w:val="20"/>
          <w:szCs w:val="20"/>
          <w:color w:val="auto"/>
        </w:rPr>
      </w:pPr>
    </w:p>
    <w:p>
      <w:pPr>
        <w:sectPr>
          <w:pgSz w:w="11900" w:h="16838" w:orient="portrait"/>
          <w:cols w:equalWidth="0" w:num="2">
            <w:col w:w="6300" w:space="720"/>
            <w:col w:w="4400"/>
          </w:cols>
          <w:pgMar w:left="240" w:top="571" w:right="239" w:bottom="1440" w:gutter="0" w:footer="0" w:header="0"/>
          <w:type w:val="continuous"/>
        </w:sectPr>
      </w:pP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Property, plant and equipment is evaluated for impairment when conditions exist which may indicate that it is probable that the sum of expected future cash flows (on an undiscounted basis) from an asset over its anticipated holding period is less than its net book value. Management determined there was no impairment on these assets at December 31, 2015, 2014 and 2013.</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u w:val="single" w:color="auto"/>
          <w:color w:val="auto"/>
        </w:rPr>
        <w:t>Members’ Equity that includes Redemption Feature</w:t>
      </w:r>
      <w:r>
        <w:rPr>
          <w:rFonts w:ascii="Arial" w:cs="Arial" w:eastAsia="Arial" w:hAnsi="Arial"/>
          <w:sz w:val="18"/>
          <w:szCs w:val="18"/>
          <w:color w:val="auto"/>
        </w:rPr>
        <w:t xml:space="preserve">: Accounting Series Release No. 268, </w:t>
      </w:r>
      <w:r>
        <w:rPr>
          <w:rFonts w:ascii="Arial" w:cs="Arial" w:eastAsia="Arial" w:hAnsi="Arial"/>
          <w:sz w:val="18"/>
          <w:szCs w:val="18"/>
          <w:i w:val="1"/>
          <w:iCs w:val="1"/>
          <w:color w:val="auto"/>
        </w:rPr>
        <w:t>Presentation in Financial Statements of “Redeemable</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 Stocks”</w:t>
      </w:r>
      <w:r>
        <w:rPr>
          <w:rFonts w:ascii="Arial" w:cs="Arial" w:eastAsia="Arial" w:hAnsi="Arial"/>
          <w:sz w:val="18"/>
          <w:szCs w:val="18"/>
          <w:color w:val="auto"/>
        </w:rPr>
        <w:t>, requires the redemption value, as defined, of members’ equity with redemption features that are not solely within the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to be stated separately from permanent members’ equity.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7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NATURE OF BUSINESS AND SUMMARY OF SIGNIFICANT ACCOUNTING POLICIES </w:t>
      </w:r>
      <w:r>
        <w:rPr>
          <w:rFonts w:ascii="Arial" w:cs="Arial" w:eastAsia="Arial" w:hAnsi="Arial"/>
          <w:sz w:val="18"/>
          <w:szCs w:val="18"/>
          <w:color w:val="auto"/>
        </w:rPr>
        <w:t>(Continued)</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The Company generally manufactures products based on specific orders from its customers. Further, the Company receives written or verbal approval for payment from customer floorplan financing institutions prior to shipment. Shipments are generally made by common carrier or picked up by its customers after receiving authorization from the customer. Revenue is recognized upon pick up by the common carrier or customer.</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Delivery Revenue and Expense</w:t>
      </w:r>
      <w:r>
        <w:rPr>
          <w:rFonts w:ascii="Arial" w:cs="Arial" w:eastAsia="Arial" w:hAnsi="Arial"/>
          <w:sz w:val="18"/>
          <w:szCs w:val="18"/>
          <w:color w:val="auto"/>
        </w:rPr>
        <w:t>: The Company reports amounts billed to customers for delivery services in net sales. The costs of these services are included in cost of goods sold.</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Accrued Dealer Incentives and Advertising Costs</w:t>
      </w:r>
      <w:r>
        <w:rPr>
          <w:rFonts w:ascii="Arial" w:cs="Arial" w:eastAsia="Arial" w:hAnsi="Arial"/>
          <w:sz w:val="18"/>
          <w:szCs w:val="18"/>
          <w:color w:val="auto"/>
        </w:rPr>
        <w:t>: The Company has certain dealer incentive programs related to specific products with dealer retail sale by a specified date and dealer holding costs. Estimated costs related to dealer sales incentives are accrued as a reduction of net sales at the date products are retail sold. Advertising costs, which consist primarily of tradeshows, are expensed as incurred, and were $683,199, $531,095 and $233,994 during 2015, 2014 and 2013, respectively.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Income Taxes and Allocation of Company Profits and Losses</w:t>
      </w:r>
      <w:r>
        <w:rPr>
          <w:rFonts w:ascii="Arial" w:cs="Arial" w:eastAsia="Arial" w:hAnsi="Arial"/>
          <w:sz w:val="18"/>
          <w:szCs w:val="18"/>
          <w:color w:val="auto"/>
        </w:rPr>
        <w:t>: The operating agreement of the Company provides that the Company’s net income or loss for each year is allocated to its members in accordance with the terms of the agreement. Since the Company’s net income is allocated to its members, there is no income tax provision or liability for federal and state income taxes in the financial statements.</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is subject to federal and multistate tax jurisdictions. The Company is subject to possible income tax examination by tax authorities for open tax years from 2012 through 2015.</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uncertain tax positions if it is more likely than not the tax position would be sustained in a tax examination, with a tax examination being presumed to occur. The amount recorded is the largest amount that is greater than 50% likely of being realized on examination. For tax positions not meeting the “more likely than not” test, no tax benefit is recorded. Based on the Company's analysis of the “more likely than not” tax positions there has been no liability recorded for uncertain tax positions. The Company does not expect the total amount of uncertain tax positions to significantly change in the next twelve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would recognize interest and penalties related to unrecognized tax benefits in interest and income tax expense,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amounts accrued for interest or penalties as of December 31, 2015, 2014 and 2013.</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New Accounting Pronouncements</w:t>
      </w:r>
      <w:r>
        <w:rPr>
          <w:rFonts w:ascii="Arial" w:cs="Arial" w:eastAsia="Arial" w:hAnsi="Arial"/>
          <w:sz w:val="18"/>
          <w:szCs w:val="18"/>
          <w:color w:val="auto"/>
        </w:rPr>
        <w:t>: In May 2014, the FASB issued ASU 2014-09, Revenue from Contracts with Customers (Topic 606), which specifies how and when to recognize revenue as well as providing informative, relevant disclosures. In August 2015, the FASB deferred the effective date of this standard by one year, which would become effective retrospectively or on a modified retrospective basis for public companies for fiscal years beginning after December 15, 2017. For nonpublic entities, the updated standard is effective for annual reporting periods beginning after December 15, 2018. In connection with the sale of the Company as described in Note 8, the Company will review with management of Winnebago Industries, Inc. the impact of adopting this pronouncement on its financial results.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2016, the FASB issued ASU 2016-02, Leases (Topic 842), which requires an entity to recognize both assets and liabilities arising from financing and operating leases, along with additional qualitative and quantitative disclosures. The new standard is effective retrospectively or on a modified retrospective basis for public companies for fiscal years beginning after December 15, 2018. For nonpublic entities, the standard is effective for annual reporting periods beginning after December 15, 2019. In connection with the sale of the Company as described in Note 8, the Company will review with management of Winnebago Industries, Inc. the impact of adopting this pronouncement on its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7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NATURE OF BUSINESS AND SUMMARY OF SIGNIFICANT ACCOUNTING POLICIES </w:t>
      </w:r>
      <w:r>
        <w:rPr>
          <w:rFonts w:ascii="Arial" w:cs="Arial" w:eastAsia="Arial" w:hAnsi="Arial"/>
          <w:sz w:val="18"/>
          <w:szCs w:val="18"/>
          <w:color w:val="auto"/>
        </w:rPr>
        <w:t>(Continued)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July 2015, the FASB issued ASU 2015-11, Inventory (Topic 330),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will become effective prospectively for public companies for fiscal years beginning after December 15, 2016. For nonpublic entities, the standard is effective for fiscal years beginning after December 15, 2017. In connection with the sale of the Company as described in Note 8, the Company will review with management of Winnebago Industries, Inc. the impact of adopting this pronouncement on its financial results.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(Topic 230), which provides guidance for eight specific cash flow issues with the objective of reducing the existing diversity in practice. ASU 2016-15 is effective retrospectively for public companies for annual reporting periods beginning after December 15, 2017. For nonpublic entities, the standard is effective for fiscal years beginning after December 15, 2018. In connection with the sale of the Company as described in Note 8, the Company will review with management of Winnebago Industries, Inc. the impact of adopting this pronouncement on its financial results.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new accounting pronouncements that are expected to have a significant impact on the Company’s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r>
              <w:rPr>
                <w:rFonts w:ascii="Arial" w:cs="Arial" w:eastAsia="Arial" w:hAnsi="Arial"/>
                <w:sz w:val="18"/>
                <w:szCs w:val="18"/>
                <w:b w:val="1"/>
                <w:bCs w:val="1"/>
                <w:color w:val="auto"/>
              </w:rPr>
              <w:t>NOTE 2 - INVENTORIES</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05"/>
        </w:trPr>
        <w:tc>
          <w:tcPr>
            <w:tcW w:w="570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9"/>
        </w:trPr>
        <w:tc>
          <w:tcPr>
            <w:tcW w:w="57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2013</w:t>
            </w: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8,221,948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7,384,403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3,953,856</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1,258,270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1,140,834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545,995</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341,343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200,262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976,482</w:t>
            </w:r>
          </w:p>
        </w:tc>
      </w:tr>
      <w:tr>
        <w:trPr>
          <w:trHeight w:val="250"/>
        </w:trPr>
        <w:tc>
          <w:tcPr>
            <w:tcW w:w="57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9,821,561</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8,725,499</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5,476,333</w:t>
            </w: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PRODUCT WARRANTY</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provides a limited warranty covering defects in material or workmanship of its products for a period of one year from the date of retail sale and a three year limited warranty for structural defects. The Company records a liability based on estimated amounts necessary to settle future and existing claims on products sold as of the balance sheet date. Factors used in estimating the warranty liability include a history of units sold, existing dealer inventory, average cost incurred and a profile of the distribution of warranty expenditures over the warranty period. Estimates are adjusted as required to reflect actual costs incurred, as information becomes available.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accrued warranty for the years ended December 31, 2015, 2014 and 2013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5,847,131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2,096,238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Warranty expense</w:t>
            </w:r>
          </w:p>
        </w:tc>
        <w:tc>
          <w:tcPr>
            <w:tcW w:w="440" w:type="dxa"/>
            <w:vAlign w:val="bottom"/>
          </w:tcPr>
          <w:p>
            <w:pPr>
              <w:spacing w:after="0"/>
              <w:rPr>
                <w:sz w:val="22"/>
                <w:szCs w:val="22"/>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9,796,754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7,097,650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2,574,758</w:t>
            </w: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(6,635,668)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(3,346,757)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(478,520)</w:t>
            </w:r>
          </w:p>
        </w:tc>
      </w:tr>
      <w:tr>
        <w:trPr>
          <w:trHeight w:val="270"/>
        </w:trPr>
        <w:tc>
          <w:tcPr>
            <w:tcW w:w="54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9,008,217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5,847,131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2,096,238</w:t>
            </w:r>
          </w:p>
        </w:tc>
      </w:tr>
      <w:tr>
        <w:trPr>
          <w:trHeight w:val="20"/>
        </w:trPr>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00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REVOLVING LINE OF CREDIT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2015, the Company has a revolving line of credit agreement through December 31, 2017 that provides for borrowings up to $20,000,000 that are secured by substantially all assets of the Company. Interest on outstanding borrowings under the revolving line of credit are payable monthly at the 1-month LIBOR plus 2.50% (2.86%, 2.66% and 2.67% at December 31, 2015, 2014 and 2013). The agreement contains restrictive covenants relating to maintenance of total debt to tangible net worth ratio as well as minimum net worth, as defined. At December 31, 2015, 2014 and 2013, the Company was in compliance with the credit agreements and any amendments thereto.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this debt as current in its balance sheet as the debt balance fluctuates as a result of working capital needs.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 COMMITMENTS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leases real estate from entities related by common ownership through 2024. The Company also leases equipment from unrelated parties. Future minimum lease payments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Related Party</w:t>
            </w:r>
          </w:p>
        </w:tc>
        <w:tc>
          <w:tcPr>
            <w:tcW w:w="400" w:type="dxa"/>
            <w:vAlign w:val="bottom"/>
          </w:tcPr>
          <w:p>
            <w:pPr>
              <w:spacing w:after="0"/>
              <w:rPr>
                <w:sz w:val="21"/>
                <w:szCs w:val="21"/>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1"/>
                <w:szCs w:val="21"/>
                <w:color w:val="auto"/>
              </w:rPr>
            </w:pP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57"/>
        </w:trPr>
        <w:tc>
          <w:tcPr>
            <w:tcW w:w="5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941,667</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113,945</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1,055,612</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2"/>
                <w:szCs w:val="22"/>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1,633,335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116,664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1,749,999</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1,800,000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58,332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1,858,332</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2"/>
                <w:szCs w:val="22"/>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1,800,000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1,800,000</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1,800,000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1,800,000</w:t>
            </w:r>
          </w:p>
        </w:tc>
      </w:tr>
      <w:tr>
        <w:trPr>
          <w:trHeight w:val="264"/>
        </w:trPr>
        <w:tc>
          <w:tcPr>
            <w:tcW w:w="570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22"/>
                <w:szCs w:val="22"/>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9,574,000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9,574,000</w:t>
            </w:r>
          </w:p>
        </w:tc>
      </w:tr>
      <w:tr>
        <w:trPr>
          <w:trHeight w:val="250"/>
        </w:trPr>
        <w:tc>
          <w:tcPr>
            <w:tcW w:w="57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17,549,002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288,941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17,837,943</w:t>
            </w: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Rent expense for the years ended December 31, 2015, 2014 and 2013 was $1,235,832, $1,006,705 and $438,831, respectively, including $900,000, $715,335 and $353,448, respectively, of rent expense to a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CONTINGENCIES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Repurchase Agreements</w:t>
      </w:r>
      <w:r>
        <w:rPr>
          <w:rFonts w:ascii="Arial" w:cs="Arial" w:eastAsia="Arial" w:hAnsi="Arial"/>
          <w:sz w:val="18"/>
          <w:szCs w:val="18"/>
          <w:color w:val="auto"/>
        </w:rPr>
        <w:t>: The Company is contingently liable under terms of repurchase agreements with financial institutions providing inventory financing for retailers of their products. The terms of the repurchase obligations vary based upon the terms of the floor plan arrangements and require the Company to repurchase its product from the financial institutions in the event of dealer default. Such agreements are customary in the recreational vehicle industry. The estimated potential obligations under repurchase agreements approximated $141,000,000, $89,412,000 and $ 42,627,000 at December 31, 2015, 2014 and 2013, respectively. The risk of loss under such agreements is reduced by the resale value of the products repurchased and is spread over the Company’s numerous dealers.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were no losses resulting from repurchase obligations for the years ended December 31, 2015, 2014 and 2013. The Company records the fair value of the repurchase reserve based on prior experience, known events and other significant inputs that are not observable in the market. The Company recorded repurchase liabilities of $340,445, $162,078 and $63,941 at December 31, 2015, 2014 and 2013, respectively, which is included in other current liabilities in the balance sheets.</w:t>
      </w:r>
    </w:p>
    <w:p>
      <w:pPr>
        <w:sectPr>
          <w:pgSz w:w="11900" w:h="16838" w:orient="portrait"/>
          <w:cols w:equalWidth="0" w:num="1">
            <w:col w:w="11420"/>
          </w:cols>
          <w:pgMar w:left="240" w:top="57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CONTINGENCIES </w:t>
      </w:r>
      <w:r>
        <w:rPr>
          <w:rFonts w:ascii="Arial" w:cs="Arial" w:eastAsia="Arial" w:hAnsi="Arial"/>
          <w:sz w:val="18"/>
          <w:szCs w:val="18"/>
          <w:color w:val="auto"/>
        </w:rPr>
        <w:t>(Continued)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Partially Self-Insured Group Health Plan</w:t>
      </w:r>
      <w:r>
        <w:rPr>
          <w:rFonts w:ascii="Arial" w:cs="Arial" w:eastAsia="Arial" w:hAnsi="Arial"/>
          <w:sz w:val="18"/>
          <w:szCs w:val="18"/>
          <w:color w:val="auto"/>
        </w:rPr>
        <w:t>: During 2015, the Company implemented a partially self-insured health insurance program that covers eligible employees and dependents’ medical care costs. The Plan provides for the Company to pay all health care claims up to $100,000 per individual per policy year. In addition, the Company’s liability is limited to an annual aggregate limit of approximately $2,100,000. Prior to 2015, the Company paid premiums to a fully funded external group health plan. Total group health insurance expense for the years ended December 31, 2015, 2014 and 2013 was $784,199, $1,017,152 and $0, respectively. Management does not anticipate any significant losses for claims that were incurred during 2015.</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Partially Self-Insured Worker’s Compensation Plan</w:t>
      </w:r>
      <w:r>
        <w:rPr>
          <w:rFonts w:ascii="Arial" w:cs="Arial" w:eastAsia="Arial" w:hAnsi="Arial"/>
          <w:sz w:val="18"/>
          <w:szCs w:val="18"/>
          <w:color w:val="auto"/>
        </w:rPr>
        <w:t>: During 2015, the Company implemented a partial self-insured worker's compensation plan which provides for certain specific stop loss coverage. The plan provides for the Company to pay all worker compensation claims up to $250,000 per individual per policy year. The Company's does not have an aggregate limit on its total worker’s compensation exposure. Prior to 2015, the Company paid premiums to a fully funded external worker’s compensation plan. Total worker's compensation expense for the years ended December 31, 2015, 2014 and 2013 was $750,097, $667,270 and $0, respectively. Management does not anticipate any significant losses for claims that were incurred during 2015.</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 Company is involved in various warranty and product liability matters which are ordinary, routine proceedings inherent to the industry. Management believes that any liability which may result from these matters will not be significant.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MEMBERS' EQUITY AND REDEEMABLE MEMBER UNITS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Grand Design RV, LLC was formed in 2012, as a Limited Liability Company under State of Indiana statutes, with initial sales incurring in January 2013. On November 19, 2014, the Company amended its operating agreement (the “Amended and Restated Operating Agreement”) in connection with the Managing Members’ sale of 4,999,999.90 Class A Units to new members (“New Members”). At December 31, 2015 and 2014, the Company has authorized and issued 5,000,000.10 of Common Units held by the Managing Members, and 4,999,999.90 Class A Units held by New Members. The Common Units and Class A Units have certain rights and obligations as more fully described in the Amended and Restated Operating Agreement, including, but not limited to voting, distribution and liquidation rights. With respect to voting, the Common Units and Class A Units vote in proportion to ownership without respect to class, except for certain consent rights, as defined. Finally, the Class A Units retain certain redemption rights, as defined, which are exercisable on November 19, 2021. The redemption price is equal to the greater of fair market value or the original issue price of $16 per unit totaling $80,000,000; plus a preferred return of 7.5%, payable at redemption.</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Accounting Series Release No. 268, Presentation in Financial Statements of “Redeemable Preferred Stocks” (“ASR 268”), with respect to financial statements filed with the Securities and Exchange Commission, the redemption rights attained by the New Members require that the member units acquired be stated separately from permanent members’ equity and included in the balance sheet as redeemable member units. The value ascribed to the redeemable member units is equal to the fair value of the Class A Units purchased by the New Members from the Managing Members on November 19, 2014 which totaled $80,000,000. Under the guidance of ASR 268, the Company has assessed that the amount is not subject to re-measurement as it believes it is not probable that the redemption will be exercised due to the likelihood of a liquidity event, as defined, occurring prior to the exercise date.</w:t>
      </w:r>
    </w:p>
    <w:p>
      <w:pPr>
        <w:sectPr>
          <w:pgSz w:w="11900" w:h="16838" w:orient="portrait"/>
          <w:cols w:equalWidth="0" w:num="1">
            <w:col w:w="11420"/>
          </w:cols>
          <w:pgMar w:left="240" w:top="57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GRAND DESIGN RV,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2015, 2014 and 2013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MEMBERS' EQUITY AND REDEEMABLE MEMBER UNITS </w:t>
      </w:r>
      <w:r>
        <w:rPr>
          <w:rFonts w:ascii="Arial" w:cs="Arial" w:eastAsia="Arial" w:hAnsi="Arial"/>
          <w:sz w:val="18"/>
          <w:szCs w:val="18"/>
          <w:color w:val="auto"/>
        </w:rPr>
        <w:t>(Continued)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Unit Incentive Plan:</w:t>
      </w:r>
      <w:r>
        <w:rPr>
          <w:rFonts w:ascii="Arial" w:cs="Arial" w:eastAsia="Arial" w:hAnsi="Arial"/>
          <w:sz w:val="18"/>
          <w:szCs w:val="18"/>
          <w:color w:val="auto"/>
        </w:rPr>
        <w:t xml:space="preserve"> The Company maintains an Incentive Compensation Stock Tracking Unit Plan (the "Plan"). The Plan authorizes the granting of awards of up to 7.5% of the total outstanding value of the Common Units and Class A Units shares to key executives of the Company. The Plan is administered by the Board of Managers of the Company, which can determine, at their discretion, the participants, granted units, and conditions of each award. Outstanding awards issued under the Plan have been in the form of Stock Tracking Units (“STUs”). The STUs vest immediately upon issuance. STUs are not an ownership interest in the Company and they have no rights to vote or receive dividends or distributions other than Eligible Distributions, as defined. All rights under the STUs shall be forfeited and void if the holders employment with the Company terminates for any reason including as a result of death, disability, or retirement. The STUs are not transferable.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holders of the STUs are entitled to receive payments from the Company upon the occurrence of an Eligible Distribution and upon the occurrence of a Sale of Business, as defined in the Plan. Eligible Distributions will be recognized when they become probable. Payments to STUs resulting from the occurrence of a sale will be recognized as compensation expense when the event occurs.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2014, the Company granted STUs representing 7.5% of the total value of the outstanding Common Units and Class A Units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2015, an individual holder of 2% of the total 7.5% STU’s left the Company, and as a result, forfeited the STU’s.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has analyzed the activities and transactions subsequent to December 31, 2015 to determine the need for any adjustments to or disclosures within the financial statements. Management has performed their analysis through January 13, 2017, the date the financial statements were available to be issued.</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Effective November 8, 2016, 100% of the ownership interests of the Company was acquired by Winnebago Industries, Inc. for a purchase price of $520,649,000, which was comprised of $396,583,000 of cash and $124,066,000 of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sale of the Company, the following events occurred:</w:t>
      </w:r>
    </w:p>
    <w:p>
      <w:pPr>
        <w:spacing w:after="0" w:line="9" w:lineRule="exact"/>
        <w:rPr>
          <w:sz w:val="20"/>
          <w:szCs w:val="20"/>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lease agreements with related parties were modified. Note 5 reflects such modified terms and future minimum lease payments accordingly.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Subsequent to December 31, 2015, the holders of the STUs received distributions totaling $31,234,515 as defined by the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revolving line of credit agreement which is described in Note 4 was terminated.</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7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99.3</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Pro Forma Condensed Combined Financial Information</w:t>
      </w:r>
    </w:p>
    <w:p>
      <w:pPr>
        <w:spacing w:after="0" w:line="28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Winnebago Industries, Inc. (the Company or Winnebago) acquired Grand Design RV LLC (Grand Design) under a Securities Purchase Agreement for total consideration of approximately $520.6 million on November 8, 2016 (the closing date). For the consideration, the Company issued its shares valued at $124.0 million on the closing date and paid cash of $396.6 million. The cash portion of the acquisition was financed by cash and cash equivalents on hand and borrowings under new loan facilities.</w:t>
      </w:r>
    </w:p>
    <w:p>
      <w:pPr>
        <w:spacing w:after="0" w:line="20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Unaudited Pro Forma Condensed Combined Statements of Income of the Company combine the historical Consolidated Statements of Income of Winnebago and Grand Design, giving effect to the Company’s acquisition of Grand Design and the related financing transaction (the Transactions) as if they had been consummated on August 30, 2015, the beginning of the earliest period presented. The pro forma financial statements and related notes have been prepared utilizing period ends that differ by fewer than 93 days, as permitted by Regulation S-X. The Company’s fiscal year follows a 52-/53-week fiscal year, ending the last Saturday in August and Grand Design’s fiscal year ends on December 31. The pro forma statement of income for the three months ended November 26, 2016 includes (i) Winnebago’s results of operations for the three months ended November 26, 2016 and (ii) Grand Design’s results of operations for the period from September 1, 2016 through the closing date. The pro forma statement of income for the fiscal year ended August 27, 2016 includes (i) Winnebago’s results of operations for the fiscal year ended August 27, 2016, and (ii) Grand Design’s results of operations for the 12 months ended September 30, 2016.</w:t>
      </w:r>
    </w:p>
    <w:p>
      <w:pPr>
        <w:spacing w:after="0" w:line="207"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Pro Forma Condensed Combined Statements of Income reflect assumptions and estimates deemed appropriate by Company management and are described in the accompanying notes, which should be read together with the Pro Forma Condensed Combined Statements of Income.</w:t>
      </w:r>
    </w:p>
    <w:p>
      <w:pPr>
        <w:spacing w:after="0" w:line="19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These Unaudited Pro Forma Condensed Combined Statements of Income have been developed from and should be read in conjunction with the Company’s historical financial statements which are included in the Company’s latest quarterly report on Form 10-Q and the Company’s latest annual report on Form 10-K; and Grand Design’s historical financial statements included herein. Grand Design’s historical financial statements for the period from September 1, 2016 through closing date are not included herein. The Unaudited Pro Forma Condensed Combined Statements of Income are provided for illustrative purposes only and do not purport to represent what the actual consolidated results of operations of Winnebago would have been had the Transactions occurred on the dates assumed, nor are they necessarily indicative of future consolidated results of operations.</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Unaudited Pro Forma Condensed Combined Statement of Income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November 26, 2016</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(For Grand Design Historical Column, Period September 1, 2016 Through November 8, 2016 Closing Date, Note 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Winnebago</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Grand Design</w:t>
            </w:r>
          </w:p>
        </w:tc>
        <w:tc>
          <w:tcPr>
            <w:tcW w:w="1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Pro Forma</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Pro Forma</w:t>
            </w:r>
          </w:p>
        </w:tc>
      </w:tr>
      <w:tr>
        <w:trPr>
          <w:trHeight w:val="283"/>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Historical</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Historical</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Adjustments</w:t>
            </w:r>
          </w:p>
        </w:tc>
        <w:tc>
          <w:tcPr>
            <w:tcW w:w="5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Combined</w:t>
            </w: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245,308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95,667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340,975</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216,433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78,903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(273)</w:t>
            </w:r>
          </w:p>
        </w:tc>
        <w:tc>
          <w:tcPr>
            <w:tcW w:w="560" w:type="dxa"/>
            <w:vAlign w:val="bottom"/>
          </w:tcPr>
          <w:p>
            <w:pPr>
              <w:ind w:left="140"/>
              <w:spacing w:after="0"/>
              <w:rPr>
                <w:sz w:val="20"/>
                <w:szCs w:val="20"/>
                <w:color w:val="auto"/>
              </w:rPr>
            </w:pPr>
            <w:r>
              <w:rPr>
                <w:rFonts w:ascii="Arial" w:cs="Arial" w:eastAsia="Arial" w:hAnsi="Arial"/>
                <w:sz w:val="16"/>
                <w:szCs w:val="16"/>
                <w:color w:val="auto"/>
              </w:rPr>
              <w:t>(a)</w:t>
            </w: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295,063</w:t>
            </w:r>
          </w:p>
        </w:tc>
      </w:tr>
      <w:tr>
        <w:trPr>
          <w:trHeight w:val="280"/>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64"/>
        </w:trPr>
        <w:tc>
          <w:tcPr>
            <w:tcW w:w="4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28,875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45,797</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8,858</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9,906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w:t>
            </w:r>
          </w:p>
        </w:tc>
        <w:tc>
          <w:tcPr>
            <w:tcW w:w="560" w:type="dxa"/>
            <w:vAlign w:val="bottom"/>
          </w:tcPr>
          <w:p>
            <w:pPr>
              <w:ind w:left="140"/>
              <w:spacing w:after="0"/>
              <w:rPr>
                <w:sz w:val="20"/>
                <w:szCs w:val="20"/>
                <w:color w:val="auto"/>
              </w:rPr>
            </w:pPr>
            <w:r>
              <w:rPr>
                <w:rFonts w:ascii="Arial" w:cs="Arial" w:eastAsia="Arial" w:hAnsi="Arial"/>
                <w:sz w:val="16"/>
                <w:szCs w:val="16"/>
                <w:color w:val="auto"/>
              </w:rPr>
              <w:t>(d)</w:t>
            </w: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12,321</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income</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5,462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(5,462)</w:t>
            </w:r>
          </w:p>
        </w:tc>
        <w:tc>
          <w:tcPr>
            <w:tcW w:w="560" w:type="dxa"/>
            <w:vAlign w:val="bottom"/>
          </w:tcPr>
          <w:p>
            <w:pPr>
              <w:ind w:left="140"/>
              <w:spacing w:after="0"/>
              <w:rPr>
                <w:sz w:val="20"/>
                <w:szCs w:val="20"/>
                <w:color w:val="auto"/>
              </w:rPr>
            </w:pPr>
            <w:r>
              <w:rPr>
                <w:rFonts w:ascii="Arial" w:cs="Arial" w:eastAsia="Arial" w:hAnsi="Arial"/>
                <w:sz w:val="16"/>
                <w:szCs w:val="16"/>
                <w:color w:val="auto"/>
              </w:rPr>
              <w:t>(d)</w:t>
            </w: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1,939</w:t>
            </w:r>
          </w:p>
        </w:tc>
      </w:tr>
      <w:tr>
        <w:trPr>
          <w:trHeight w:val="250"/>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10,476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5,460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(5,631)</w:t>
            </w:r>
          </w:p>
        </w:tc>
        <w:tc>
          <w:tcPr>
            <w:tcW w:w="5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10,305</w:t>
            </w: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18,399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5,789</w:t>
            </w: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35,492</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3,672</w:t>
            </w:r>
          </w:p>
        </w:tc>
        <w:tc>
          <w:tcPr>
            <w:tcW w:w="560" w:type="dxa"/>
            <w:vAlign w:val="bottom"/>
          </w:tcPr>
          <w:p>
            <w:pPr>
              <w:ind w:left="140"/>
              <w:spacing w:after="0"/>
              <w:rPr>
                <w:sz w:val="20"/>
                <w:szCs w:val="20"/>
                <w:color w:val="auto"/>
              </w:rPr>
            </w:pPr>
            <w:r>
              <w:rPr>
                <w:rFonts w:ascii="Arial" w:cs="Arial" w:eastAsia="Arial" w:hAnsi="Arial"/>
                <w:sz w:val="16"/>
                <w:szCs w:val="16"/>
                <w:color w:val="auto"/>
              </w:rPr>
              <w:t>(f)</w:t>
            </w: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4,800</w:t>
            </w:r>
          </w:p>
        </w:tc>
      </w:tr>
      <w:tr>
        <w:trPr>
          <w:trHeight w:val="27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4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17,358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2,117</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30,779</w:t>
            </w:r>
          </w:p>
        </w:tc>
      </w:tr>
      <w:tr>
        <w:trPr>
          <w:trHeight w:val="27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5,620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4,966</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10,586</w:t>
            </w:r>
          </w:p>
        </w:tc>
      </w:tr>
      <w:tr>
        <w:trPr>
          <w:trHeight w:val="280"/>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11,738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11,304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(2,849)</w:t>
            </w:r>
          </w:p>
        </w:tc>
        <w:tc>
          <w:tcPr>
            <w:tcW w:w="5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20,193</w:t>
            </w:r>
          </w:p>
        </w:tc>
      </w:tr>
      <w:tr>
        <w:trPr>
          <w:trHeight w:val="308"/>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0.64</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0.64</w:t>
            </w:r>
          </w:p>
        </w:tc>
      </w:tr>
      <w:tr>
        <w:trPr>
          <w:trHeight w:val="334"/>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27,836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3,679</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31,515</w:t>
            </w:r>
          </w:p>
        </w:tc>
      </w:tr>
      <w:tr>
        <w:trPr>
          <w:trHeight w:val="25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27,969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3,679</w:t>
            </w:r>
          </w:p>
        </w:tc>
        <w:tc>
          <w:tcPr>
            <w:tcW w:w="560" w:type="dxa"/>
            <w:vAlign w:val="bottom"/>
          </w:tcPr>
          <w:p>
            <w:pPr>
              <w:ind w:left="140"/>
              <w:spacing w:after="0"/>
              <w:rPr>
                <w:sz w:val="20"/>
                <w:szCs w:val="20"/>
                <w:color w:val="auto"/>
              </w:rPr>
            </w:pPr>
            <w:r>
              <w:rPr>
                <w:rFonts w:ascii="Arial" w:cs="Arial" w:eastAsia="Arial" w:hAnsi="Arial"/>
                <w:sz w:val="16"/>
                <w:szCs w:val="16"/>
                <w:color w:val="auto"/>
              </w:rPr>
              <w:t>(h)</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31,648</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Unaudited Pro Forma Condensed Combined Financial Information.</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4"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Unaudited Pro Forma Condensed Combined Statement of Income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Ended August 27, 2016</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(For Grand Design Historical Column, Year Ended September 30, 2016, Note 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Winnebago</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Grand Design</w:t>
            </w:r>
          </w:p>
        </w:tc>
        <w:tc>
          <w:tcPr>
            <w:tcW w:w="1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Pro Forma</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Pro Forma</w:t>
            </w:r>
          </w:p>
        </w:tc>
      </w:tr>
      <w:tr>
        <w:trPr>
          <w:trHeight w:val="283"/>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Historical</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Historical</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Adjustments</w:t>
            </w:r>
          </w:p>
        </w:tc>
        <w:tc>
          <w:tcPr>
            <w:tcW w:w="5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Combined</w:t>
            </w: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975,226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449,227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1,424,453</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862,577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360,787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560" w:type="dxa"/>
            <w:vAlign w:val="bottom"/>
          </w:tcPr>
          <w:p>
            <w:pPr>
              <w:ind w:left="14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1,223,542</w:t>
            </w:r>
          </w:p>
        </w:tc>
      </w:tr>
      <w:tr>
        <w:trPr>
          <w:trHeight w:val="273"/>
        </w:trPr>
        <w:tc>
          <w:tcPr>
            <w:tcW w:w="4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4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112,649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88,440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200,627</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Selling</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19,823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13,604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33,427</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27,085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40,879</w:t>
            </w:r>
          </w:p>
        </w:tc>
      </w:tr>
      <w:tr>
        <w:trPr>
          <w:trHeight w:val="26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7,755</w:t>
            </w:r>
          </w:p>
        </w:tc>
        <w:tc>
          <w:tcPr>
            <w:tcW w:w="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7,755</w:t>
            </w:r>
          </w:p>
        </w:tc>
      </w:tr>
      <w:tr>
        <w:trPr>
          <w:trHeight w:val="25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46,908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27,810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7,343</w:t>
            </w:r>
          </w:p>
        </w:tc>
        <w:tc>
          <w:tcPr>
            <w:tcW w:w="5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82,061</w:t>
            </w:r>
          </w:p>
        </w:tc>
      </w:tr>
      <w:tr>
        <w:trPr>
          <w:trHeight w:val="24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65,741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(7,805)</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118,566</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19,580</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19,580</w:t>
            </w:r>
          </w:p>
        </w:tc>
      </w:tr>
      <w:tr>
        <w:trPr>
          <w:trHeight w:val="26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 loss</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66,198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60,472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(27,385)</w:t>
            </w: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99,285</w:t>
            </w:r>
          </w:p>
        </w:tc>
      </w:tr>
      <w:tr>
        <w:trPr>
          <w:trHeight w:val="26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20,702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12,242</w:t>
            </w:r>
          </w:p>
        </w:tc>
        <w:tc>
          <w:tcPr>
            <w:tcW w:w="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32,944</w:t>
            </w:r>
          </w:p>
        </w:tc>
      </w:tr>
      <w:tr>
        <w:trPr>
          <w:trHeight w:val="24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60,472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(39,627)</w:t>
            </w:r>
          </w:p>
        </w:tc>
        <w:tc>
          <w:tcPr>
            <w:tcW w:w="5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66,341</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2.11</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324"/>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26,925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4,587</w:t>
            </w:r>
          </w:p>
        </w:tc>
        <w:tc>
          <w:tcPr>
            <w:tcW w:w="560" w:type="dxa"/>
            <w:vAlign w:val="bottom"/>
          </w:tcPr>
          <w:p>
            <w:pPr>
              <w:ind w:left="140"/>
              <w:spacing w:after="0"/>
              <w:rPr>
                <w:sz w:val="20"/>
                <w:szCs w:val="20"/>
                <w:color w:val="auto"/>
              </w:rPr>
            </w:pPr>
            <w:r>
              <w:rPr>
                <w:rFonts w:ascii="Arial" w:cs="Arial" w:eastAsia="Arial" w:hAnsi="Arial"/>
                <w:sz w:val="16"/>
                <w:szCs w:val="16"/>
                <w:color w:val="auto"/>
              </w:rPr>
              <w:t>(h)</w:t>
            </w: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31,512</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27,033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4,587</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31,620</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Unaudited Pro Forma Condensed Combined Financial Information.</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54"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Notes to Unaudited Pro Forma Condensed Combined Financial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historical consolidated financial statements have been adjusted in the Pro Forma Condensed Combined Financial Statements to give effect to pro forma events that are (1) directly attributable to the business combination, (2) factually supportable and (3) expected to have a continuing impact on the combined results following the business combination. Nonrecurring charges or credits and related tax effects, which result directly from the Transactions and do not have a continuing impact as they will be included in the income of the Company within the 12 months following the Transactions, are not included in the pro forma statements of income.</w:t>
      </w:r>
    </w:p>
    <w:p>
      <w:pPr>
        <w:spacing w:after="0" w:line="20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 Pro Forma Condensed Combined Balance Sheet is not required as the acquisition has already been reflected in the historical balance sheet as of November 26, 2016, included in the Company’s Form 10-Q filed on December 29, 2016.</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business combination was accounted for under the acquisition method of accounting in accordance with ASC Topic 805, Business Combinations. As the acquirer for accounting purposes, the Company has allocated the total purchase price to Grand Design’s tangible and intangible assets acquired and liabilities assumed, based on their fair values at the date of the acquisition.</w:t>
      </w:r>
    </w:p>
    <w:p>
      <w:pPr>
        <w:spacing w:after="0" w:line="20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Company’s fiscal year ends on the last Saturday of August and Grand Design’s historical fiscal year ends on December 31. To align the periods, the results of Grand Design for the month of September 2016 are included in Unaudited Pro Forma Condensed Combined Statements of Income for both the year ended August 27, 2016 and the three months ended November 26, 2016. The net revenues and net income for Grand Design for the month of September 2016 were $43.0 million and $5.6 million, respectively.</w:t>
      </w:r>
    </w:p>
    <w:p>
      <w:pPr>
        <w:spacing w:after="0" w:line="203"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Pro Forma Condensed Combined Statements of Income do not necessarily reflect what the combined company’s results of operations would have been had the acquisition occurred on the date indicated. They also may not be useful in predicting the future results of operations of the combined company. The actual results of operations may differ significantly from the pro forma amounts reflected herein due to a variety of factors.</w:t>
      </w:r>
    </w:p>
    <w:p>
      <w:pPr>
        <w:spacing w:after="0" w:line="201"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Unaudited Pro Forma Condensed Combined Statements of Income do not reflect the costs of any integration activities or benefits that may result from realization of future synergies expected to result from the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Financing transactions</w:t>
      </w:r>
    </w:p>
    <w:p>
      <w:pPr>
        <w:spacing w:after="0" w:line="24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 acquired Grand Design for total consideration of approximately $520.6 million on November 8, 2016. For the consideration, the Company issued 4,586,555 of its shares valued at $124.0 million on the closing date and paid cash of $396.6 million. The cash portion of the acquisition was financed by cash and cash equivalents on hand, floating rate borrowings under a term loan of $300.0 million and an asset-based revolving credit agreement (ABL) of $125.0 million, of which $53.0 million was drawn for the acquisition (see note 4(f) below for impact of the financing transactions on pro forma interest expense).</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54"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Note 3: Preliminary purchase price allocation</w:t>
      </w:r>
    </w:p>
    <w:p>
      <w:pPr>
        <w:spacing w:after="0" w:line="2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Company has performed a preliminary valuation analysis of the fair market value of Grand Design’s assets and liabilities. The following table summarizes the allocation of the preliminary purchase price as of the acquisition date: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9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257"/>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1,748</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32,834</w:t>
            </w:r>
          </w:p>
        </w:tc>
      </w:tr>
      <w:tr>
        <w:trPr>
          <w:trHeight w:val="28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15,300</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2,161</w:t>
            </w:r>
          </w:p>
        </w:tc>
      </w:tr>
      <w:tr>
        <w:trPr>
          <w:trHeight w:val="28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8,998</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249,981</w:t>
            </w:r>
          </w:p>
        </w:tc>
      </w:tr>
      <w:tr>
        <w:trPr>
          <w:trHeight w:val="273"/>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253,100</w:t>
            </w:r>
          </w:p>
        </w:tc>
      </w:tr>
      <w:tr>
        <w:trPr>
          <w:trHeight w:val="247"/>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Total assets acquired</w:t>
            </w:r>
          </w:p>
        </w:tc>
        <w:tc>
          <w:tcPr>
            <w:tcW w:w="20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564,122</w:t>
            </w:r>
          </w:p>
        </w:tc>
      </w:tr>
      <w:tr>
        <w:trPr>
          <w:trHeight w:val="293"/>
        </w:trPr>
        <w:tc>
          <w:tcPr>
            <w:tcW w:w="9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11,151</w:t>
            </w:r>
          </w:p>
        </w:tc>
      </w:tr>
      <w:tr>
        <w:trPr>
          <w:trHeight w:val="28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3,615</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Product warranties</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12,904</w:t>
            </w:r>
          </w:p>
        </w:tc>
      </w:tr>
      <w:tr>
        <w:trPr>
          <w:trHeight w:val="28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Promotional</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3,976</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1,569</w:t>
            </w:r>
          </w:p>
        </w:tc>
      </w:tr>
      <w:tr>
        <w:trPr>
          <w:trHeight w:val="273"/>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10,258</w:t>
            </w:r>
          </w:p>
        </w:tc>
      </w:tr>
      <w:tr>
        <w:trPr>
          <w:trHeight w:val="247"/>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Total liabilities assumed</w:t>
            </w:r>
          </w:p>
        </w:tc>
        <w:tc>
          <w:tcPr>
            <w:tcW w:w="20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43,473</w:t>
            </w:r>
          </w:p>
        </w:tc>
      </w:tr>
      <w:tr>
        <w:trPr>
          <w:trHeight w:val="293"/>
        </w:trPr>
        <w:tc>
          <w:tcPr>
            <w:tcW w:w="9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r>
      <w:tr>
        <w:trPr>
          <w:trHeight w:val="234"/>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Total purchase price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520,649</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This preliminary purchase price allocation has been used to prepare pro forma adjustments in the Pro Forma Condensed Combined Statements of Income. The preliminary purchase price may change based on the final working capital adjustment under the Securities Purchase Agreement. The final purchase price allocation will be determined when the Company has completed all of the detailed valuations and necessary calculations. Thus, the preliminary measures of fair value reflected are subject to changes and such changes could be significant to the Pro Forma Condensed Combined Statements of Income. The final allocation may include (1) changes in allocations to intangible assets and (2) changes to income tax related accounts, as well as changes to other assets and liabilities, which may impact pro forma adjustments to the Pro Forma Condensed Combined Statements of Income.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Pro forma adjustments</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pro forma adjustments are based on our preliminary estimates and assumptions that are subject to change. The following adjustments have been reflected in the Unaudited Pro Forma Condensed Combined Statement of Income:</w:t>
      </w:r>
    </w:p>
    <w:p>
      <w:pPr>
        <w:spacing w:after="0" w:line="196" w:lineRule="exact"/>
        <w:rPr>
          <w:sz w:val="20"/>
          <w:szCs w:val="20"/>
          <w:color w:val="auto"/>
        </w:rPr>
      </w:pPr>
    </w:p>
    <w:p>
      <w:pPr>
        <w:ind w:left="340" w:right="6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Inventory of finished goods and work in process was increased by $0.3 million for step-up to fair value. This step-up was amortized and increased cost of sales in the three-month period ended November 26, 2016. The $0.3 million of historical amortization from November 8, 2016 through November 26, 2016 has been removed from the Pro Forma Condensed Combined Statement of Income as amortization of the step-up does not have a continuing impact.</w:t>
      </w:r>
    </w:p>
    <w:p>
      <w:pPr>
        <w:spacing w:after="0" w:line="201" w:lineRule="exact"/>
        <w:rPr>
          <w:rFonts w:ascii="Arial" w:cs="Arial" w:eastAsia="Arial" w:hAnsi="Arial"/>
          <w:sz w:val="16"/>
          <w:szCs w:val="16"/>
          <w:color w:val="auto"/>
        </w:rPr>
      </w:pPr>
    </w:p>
    <w:p>
      <w:pPr>
        <w:ind w:left="340" w:right="42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increase in depreciation due to changes in estimated remaining useful lives of Grand Design’s property, plant and equipment due to evaluation in purchase accounting. There was no change in the carrying value of property, plant and equipment, as the Company determined that the historical net carrying value of Grand Design's property, plant and equipment approximated the fair value.</w:t>
      </w:r>
    </w:p>
    <w:p>
      <w:pPr>
        <w:spacing w:after="0" w:line="201"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incremental rent expense for two new leases executed in connection with the acquisition of Grand Design. The new leases replaced leases previously in place for the two properties which hold Grand Design’s current principal facilities, and facilities under construction for expansion. The lessor under these leases is an Indiana limited liability company which is owned by three of Grand Design’s selling shareholders.</w:t>
      </w:r>
    </w:p>
    <w:p>
      <w:pPr>
        <w:spacing w:after="0" w:line="201" w:lineRule="exact"/>
        <w:rPr>
          <w:rFonts w:ascii="Arial" w:cs="Arial" w:eastAsia="Arial" w:hAnsi="Arial"/>
          <w:sz w:val="16"/>
          <w:szCs w:val="16"/>
          <w:color w:val="auto"/>
        </w:rPr>
      </w:pPr>
    </w:p>
    <w:p>
      <w:pPr>
        <w:ind w:left="340" w:right="260" w:hanging="332"/>
        <w:spacing w:after="0" w:line="26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removal of transaction costs related to the Grand Design acquisition of $5.5 million for the three-months ended November 26, 2016 and $0.4 million ($355,000 for Winnebago and $57,000 for Grand Design) for the year ended August 27, 2016 since they do not have a continuing impact.</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959" w:right="239" w:bottom="1440" w:gutter="0" w:footer="0" w:header="0"/>
        </w:sectPr>
      </w:pPr>
    </w:p>
    <w:bookmarkStart w:id="33" w:name="page34"/>
    <w:bookmarkEnd w:id="33"/>
    <w:p>
      <w:pPr>
        <w:ind w:left="332" w:right="180" w:hanging="332"/>
        <w:spacing w:after="0" w:line="251"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part of the preliminary valuation analysis, the Company identified intangible assets, including trade names, dealer network, backlog, non-compete agreements and favorable leasehold interests. The fair value of identifiable intangible assets is determined primarily using the “income approach,” which requires a forecast of the expected future cash flows. The following table summarizes the preliminary estimated fair values of Grand Design’s identifiable intangible assets and their estimated useful lives and estimated pro forma amortization expense:</w:t>
      </w:r>
    </w:p>
    <w:p>
      <w:pPr>
        <w:spacing w:after="0" w:line="156" w:lineRule="exact"/>
        <w:rPr>
          <w:sz w:val="20"/>
          <w:szCs w:val="20"/>
          <w:color w:val="auto"/>
        </w:rPr>
      </w:pPr>
    </w:p>
    <w:tbl>
      <w:tblPr>
        <w:tblLayout w:type="fixed"/>
        <w:tblInd w:w="532"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Amortization Expense</w:t>
            </w:r>
          </w:p>
        </w:tc>
      </w:tr>
      <w:tr>
        <w:trPr>
          <w:trHeight w:val="184"/>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Useful Life in</w:t>
            </w: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Year Ended</w:t>
            </w:r>
          </w:p>
        </w:tc>
      </w:tr>
      <w:tr>
        <w:trPr>
          <w:trHeight w:val="228"/>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November 26, 2016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August 27, 2016</w:t>
            </w:r>
          </w:p>
        </w:tc>
      </w:tr>
      <w:tr>
        <w:trPr>
          <w:trHeight w:val="247"/>
        </w:trPr>
        <w:tc>
          <w:tcPr>
            <w:tcW w:w="422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148,000</w:t>
            </w:r>
          </w:p>
        </w:tc>
        <w:tc>
          <w:tcPr>
            <w:tcW w:w="12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Arial" w:cs="Arial" w:eastAsia="Arial" w:hAnsi="Arial"/>
                <w:sz w:val="16"/>
                <w:szCs w:val="16"/>
                <w:color w:val="auto"/>
              </w:rPr>
              <w:t>Indefinite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80,500</w:t>
            </w:r>
          </w:p>
        </w:tc>
        <w:tc>
          <w:tcPr>
            <w:tcW w:w="158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1,677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6,708</w:t>
            </w:r>
          </w:p>
        </w:tc>
      </w:tr>
      <w:tr>
        <w:trPr>
          <w:trHeight w:val="270"/>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Backlog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18,000</w:t>
            </w:r>
          </w:p>
        </w:tc>
        <w:tc>
          <w:tcPr>
            <w:tcW w:w="1580" w:type="dxa"/>
            <w:vAlign w:val="bottom"/>
            <w:gridSpan w:val="2"/>
          </w:tcPr>
          <w:p>
            <w:pPr>
              <w:jc w:val="right"/>
              <w:ind w:right="29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18,000</w:t>
            </w: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 agreements - long-term</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58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w:t>
            </w:r>
          </w:p>
        </w:tc>
      </w:tr>
      <w:tr>
        <w:trPr>
          <w:trHeight w:val="260"/>
        </w:trPr>
        <w:tc>
          <w:tcPr>
            <w:tcW w:w="4220" w:type="dxa"/>
            <w:vAlign w:val="bottom"/>
          </w:tcPr>
          <w:p>
            <w:pPr>
              <w:ind w:left="20"/>
              <w:spacing w:after="0"/>
              <w:rPr>
                <w:sz w:val="20"/>
                <w:szCs w:val="20"/>
                <w:color w:val="auto"/>
              </w:rPr>
            </w:pPr>
            <w:r>
              <w:rPr>
                <w:rFonts w:ascii="Arial" w:cs="Arial" w:eastAsia="Arial" w:hAnsi="Arial"/>
                <w:sz w:val="16"/>
                <w:szCs w:val="16"/>
                <w:color w:val="auto"/>
              </w:rPr>
              <w:t>Leasehold interest-favorable</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580" w:type="dxa"/>
            <w:vAlign w:val="bottom"/>
            <w:gridSpan w:val="2"/>
          </w:tcPr>
          <w:p>
            <w:pPr>
              <w:jc w:val="right"/>
              <w:ind w:right="29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jc w:val="right"/>
              <w:ind w:right="25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247</w:t>
            </w:r>
          </w:p>
        </w:tc>
      </w:tr>
      <w:tr>
        <w:trPr>
          <w:trHeight w:val="28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Non-compete agreements - short-term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58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r>
      <w:tr>
        <w:trPr>
          <w:trHeight w:val="274"/>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253,100</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CCEEFF"/>
            </w:tcBorders>
          </w:tcPr>
          <w:p>
            <w:pPr>
              <w:spacing w:after="0"/>
              <w:rPr>
                <w:sz w:val="23"/>
                <w:szCs w:val="23"/>
                <w:color w:val="auto"/>
              </w:rPr>
            </w:pPr>
          </w:p>
        </w:tc>
        <w:tc>
          <w:tcPr>
            <w:tcW w:w="1620" w:type="dxa"/>
            <w:vAlign w:val="bottom"/>
            <w:tcBorders>
              <w:top w:val="single" w:sz="8" w:color="auto"/>
              <w:bottom w:val="single" w:sz="8" w:color="CCEEFF"/>
            </w:tcBorders>
          </w:tcPr>
          <w:p>
            <w:pPr>
              <w:jc w:val="right"/>
              <w:ind w:right="259"/>
              <w:spacing w:after="0"/>
              <w:rPr>
                <w:sz w:val="20"/>
                <w:szCs w:val="20"/>
                <w:color w:val="auto"/>
              </w:rPr>
            </w:pPr>
            <w:r>
              <w:rPr>
                <w:rFonts w:ascii="Arial" w:cs="Arial" w:eastAsia="Arial" w:hAnsi="Arial"/>
                <w:sz w:val="16"/>
                <w:szCs w:val="16"/>
                <w:color w:val="auto"/>
              </w:rPr>
              <w:t>1,939</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1360" w:type="dxa"/>
            <w:vAlign w:val="bottom"/>
            <w:tcBorders>
              <w:top w:val="single" w:sz="8" w:color="auto"/>
              <w:bottom w:val="single" w:sz="8" w:color="CCEEFF"/>
            </w:tcBorders>
          </w:tcPr>
          <w:p>
            <w:pPr>
              <w:jc w:val="right"/>
              <w:ind w:right="39"/>
              <w:spacing w:after="0"/>
              <w:rPr>
                <w:sz w:val="20"/>
                <w:szCs w:val="20"/>
                <w:color w:val="auto"/>
              </w:rPr>
            </w:pPr>
            <w:r>
              <w:rPr>
                <w:rFonts w:ascii="Arial" w:cs="Arial" w:eastAsia="Arial" w:hAnsi="Arial"/>
                <w:sz w:val="16"/>
                <w:szCs w:val="16"/>
                <w:color w:val="auto"/>
              </w:rPr>
              <w:t>26,355</w:t>
            </w:r>
          </w:p>
        </w:tc>
      </w:tr>
      <w:tr>
        <w:trPr>
          <w:trHeight w:val="174"/>
        </w:trPr>
        <w:tc>
          <w:tcPr>
            <w:tcW w:w="42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Less: Backlog and non-compete agreements which do not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8"/>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have a continuing impact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18,600</w:t>
            </w:r>
          </w:p>
        </w:tc>
      </w:tr>
      <w:tr>
        <w:trPr>
          <w:trHeight w:val="247"/>
        </w:trPr>
        <w:tc>
          <w:tcPr>
            <w:tcW w:w="4220" w:type="dxa"/>
            <w:vAlign w:val="bottom"/>
          </w:tcPr>
          <w:p>
            <w:pPr>
              <w:ind w:left="20"/>
              <w:spacing w:after="0"/>
              <w:rPr>
                <w:sz w:val="20"/>
                <w:szCs w:val="20"/>
                <w:color w:val="auto"/>
              </w:rPr>
            </w:pPr>
            <w:r>
              <w:rPr>
                <w:rFonts w:ascii="Arial" w:cs="Arial" w:eastAsia="Arial" w:hAnsi="Arial"/>
                <w:sz w:val="16"/>
                <w:szCs w:val="16"/>
                <w:color w:val="auto"/>
              </w:rPr>
              <w:t>Pro forma amortization expense</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7,755</w:t>
            </w:r>
          </w:p>
        </w:tc>
      </w:tr>
      <w:tr>
        <w:trPr>
          <w:trHeight w:val="27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Amortization expense recorded since closing date</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40"/>
        </w:trPr>
        <w:tc>
          <w:tcPr>
            <w:tcW w:w="4220" w:type="dxa"/>
            <w:vAlign w:val="bottom"/>
          </w:tcPr>
          <w:p>
            <w:pPr>
              <w:ind w:left="20"/>
              <w:spacing w:after="0"/>
              <w:rPr>
                <w:sz w:val="20"/>
                <w:szCs w:val="20"/>
                <w:color w:val="auto"/>
              </w:rPr>
            </w:pPr>
            <w:r>
              <w:rPr>
                <w:rFonts w:ascii="Arial" w:cs="Arial" w:eastAsia="Arial" w:hAnsi="Arial"/>
                <w:sz w:val="16"/>
                <w:szCs w:val="16"/>
                <w:color w:val="auto"/>
              </w:rPr>
              <w:t>Pro forma adjustments to amortization expense</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7,755</w:t>
            </w:r>
          </w:p>
        </w:tc>
      </w:tr>
      <w:tr>
        <w:trPr>
          <w:trHeight w:val="20"/>
        </w:trPr>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32" w:right="100"/>
        <w:spacing w:after="0" w:line="232"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Pro forma amortization expense for the three months ended November 26, 2016 includes no amortization of the backlog and short-term non-compete agreements because the acquisition date assumed for the purposes of pro forma statements is August 30, 2015. Both of these intangible assets have useful lives of one year or less and amortization is complete prior to the three month period presented.</w:t>
      </w:r>
    </w:p>
    <w:p>
      <w:pPr>
        <w:spacing w:after="0" w:line="204" w:lineRule="exact"/>
        <w:rPr>
          <w:sz w:val="20"/>
          <w:szCs w:val="20"/>
          <w:color w:val="auto"/>
        </w:rPr>
      </w:pPr>
    </w:p>
    <w:p>
      <w:pPr>
        <w:jc w:val="both"/>
        <w:ind w:left="332" w:right="220"/>
        <w:spacing w:after="0" w:line="253" w:lineRule="auto"/>
        <w:rPr>
          <w:sz w:val="20"/>
          <w:szCs w:val="20"/>
          <w:color w:val="auto"/>
        </w:rPr>
      </w:pPr>
      <w:r>
        <w:rPr>
          <w:rFonts w:ascii="Arial" w:cs="Arial" w:eastAsia="Arial" w:hAnsi="Arial"/>
          <w:sz w:val="16"/>
          <w:szCs w:val="16"/>
          <w:color w:val="auto"/>
        </w:rPr>
        <w:t>These preliminary estimates of fair value and estimated useful lives may differ from final amounts the Company will calculate after completing a detailed valuation analysis, and the difference could have a significant impact on the accompanying Unaudited Pro Forma Condensed Combined Statements of Income.</w:t>
      </w:r>
    </w:p>
    <w:p>
      <w:pPr>
        <w:spacing w:after="0" w:line="201" w:lineRule="exact"/>
        <w:rPr>
          <w:sz w:val="20"/>
          <w:szCs w:val="20"/>
          <w:color w:val="auto"/>
        </w:rPr>
      </w:pPr>
    </w:p>
    <w:p>
      <w:pPr>
        <w:ind w:left="332" w:right="260" w:hanging="332"/>
        <w:spacing w:after="0" w:line="260"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net increase to interest expense resulting from interest on the new term loan and asset-based revolving credit agreement to finance the acquisition of Grand Design and the amortization of related debt issuance costs, as follows:</w:t>
      </w:r>
    </w:p>
    <w:p>
      <w:pPr>
        <w:spacing w:after="0" w:line="122" w:lineRule="exact"/>
        <w:rPr>
          <w:sz w:val="20"/>
          <w:szCs w:val="20"/>
          <w:color w:val="auto"/>
        </w:rPr>
      </w:pPr>
    </w:p>
    <w:tbl>
      <w:tblPr>
        <w:tblLayout w:type="fixed"/>
        <w:tblInd w:w="532"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Three Months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Ended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Year Ended</w:t>
            </w:r>
          </w:p>
        </w:tc>
      </w:tr>
      <w:tr>
        <w:trPr>
          <w:trHeight w:val="228"/>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new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18,003</w:t>
            </w:r>
          </w:p>
        </w:tc>
      </w:tr>
      <w:tr>
        <w:trPr>
          <w:trHeight w:val="264"/>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1,577</w:t>
            </w:r>
          </w:p>
        </w:tc>
      </w:tr>
      <w:tr>
        <w:trPr>
          <w:trHeight w:val="25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19,580</w:t>
            </w:r>
          </w:p>
        </w:tc>
      </w:tr>
      <w:tr>
        <w:trPr>
          <w:trHeight w:val="264"/>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 expense recorded since closing date</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 forma adjustments to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19,580</w:t>
            </w: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32" w:right="100"/>
        <w:spacing w:after="0" w:line="248" w:lineRule="auto"/>
        <w:rPr>
          <w:sz w:val="20"/>
          <w:szCs w:val="20"/>
          <w:color w:val="auto"/>
        </w:rPr>
      </w:pPr>
      <w:r>
        <w:rPr>
          <w:rFonts w:ascii="Arial" w:cs="Arial" w:eastAsia="Arial" w:hAnsi="Arial"/>
          <w:sz w:val="16"/>
          <w:szCs w:val="16"/>
          <w:color w:val="auto"/>
        </w:rPr>
        <w:t>The debt under the term loan and ABL are at variable rates and the interest expense in the table assumes the variable rates of 5.5% and 2.4%, respectively, at November 26, 2016 were constant through the periods presented in the Unaudited Pro Forma Condensed Combined Financial Statements; the revolving credit balance remained constant at $53.0 million; and the principal payments on the term debt were made as scheduled. The variable rate is subject to change. For example, a 1/8% change in term loan and ABL interest rates, would change the interest expense for the three months ended November 26, 2016 and the year ended August 27, 2016 by $0.1 million and $0.5 million, respectively. Additionally, included in interest expense for the periods is a 0.4% commitment fee on the ABL for unused borrowings, which are assumed to be $72.0 million. In addition, non-cash amortization of debt issuance costs is included in interest expense. The expense of $0.1 million for the write-off of fees associated with the existing revolving credit facility being refinanced is not included in the Unaudited Pro Forma Condensed Combined Statements of Income as the write-off is a non-recurring expense.</w:t>
      </w:r>
    </w:p>
    <w:p>
      <w:pPr>
        <w:spacing w:after="0" w:line="397" w:lineRule="exact"/>
        <w:rPr>
          <w:sz w:val="20"/>
          <w:szCs w:val="20"/>
          <w:color w:val="auto"/>
        </w:rPr>
      </w:pPr>
    </w:p>
    <w:p>
      <w:pPr>
        <w:ind w:left="332" w:right="20" w:hanging="332"/>
        <w:spacing w:after="0" w:line="250"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Reflects the income tax effect on pro forma adjustments and on Grand Design’s historical income based on the estimated blended federal and state statutory tax rate of 37%. Grand Design, as a limited liability company, was an entity that passed-through its taxable income to its owners and accordingly, recorded no tax expense on its statements of income. Therefore, this adjustment includes the estimated tax that Grand Design would have incurred had it not been a pass-through entity. The tax rate does not reflect the expected effective tax rate, which will include other tax charges and benefits, and does not take into account any historical or possible future tax events that may impact the combined company.</w:t>
      </w:r>
    </w:p>
    <w:p>
      <w:pPr>
        <w:sectPr>
          <w:pgSz w:w="11900" w:h="16838" w:orient="portrait"/>
          <w:cols w:equalWidth="0" w:num="1">
            <w:col w:w="11412"/>
          </w:cols>
          <w:pgMar w:left="248" w:top="574"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1312"/>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12"/>
          </w:cols>
          <w:pgMar w:left="248" w:top="574" w:right="239" w:bottom="1440" w:gutter="0" w:footer="0" w:header="0"/>
          <w:type w:val="continuous"/>
        </w:sectPr>
      </w:pPr>
    </w:p>
    <w:bookmarkStart w:id="34" w:name="page35"/>
    <w:bookmarkEnd w:id="34"/>
    <w:p>
      <w:pPr>
        <w:ind w:left="340" w:right="400" w:hanging="332"/>
        <w:spacing w:after="0" w:line="26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increase in the weighted average shares in connection with the issuance of 4,586,555 common shares to the former owners of Grand Design.</w:t>
      </w:r>
    </w:p>
    <w:p>
      <w:pPr>
        <w:spacing w:after="0" w:line="19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Grand Design had an incentive compensation stock tracking unit (STU) plan whereby fully vested awards were issued to key executives which entitled the holders to receive payments from Grand Design upon the occurrence of an eligible distribution and upon the occurrence of a sale of the business, as defined in the plan. As a return on the STUs was contingent on the occurrence of a future performance condition, no compensation expense was recorded by Grand Design until that event occurred and the amounts were estimable. The acquisition of Grand Design resulted in payments on the closing date to holders of the STUs of $29.8 million. No expense related to this payment is reflected in the net income or the pro forma adjustments for the periods presented in the pro forma information since the payments were fully contingent on the business combination closing, are a non-recurring expense and the plan was terminated at the closing date with no replacement plan adopted. During the twelve months ended September 30, 2016, Grand Design made eligible distributions to STU participants of $1.5 million that were included in general and administrative expense in the year ended September 30, 2016 Grand Design statement of income. No pro forma adjustment has been made to remove this expense as it was not directly related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7"/>
    </w:lvl>
  </w:abstractNum>
  <w:abstractNum w:abstractNumId="7">
    <w:nsid w:val="7545E146"/>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2019-12-05T08:16:42Z</dcterms:created>
  <dcterms:modified xsi:type="dcterms:W3CDTF">2019-12-05T08:16:42Z</dcterms:modified>
</cp:coreProperties>
</file>