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134620</wp:posOffset>
            </wp:positionH>
            <wp:positionV relativeFrom="page">
              <wp:posOffset>208915</wp:posOffset>
            </wp:positionV>
            <wp:extent cx="72923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1714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254635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jc w:val="center"/>
        <w:ind w:right="52"/>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SECURITIES AND EXCHANGE COMMISSION</w:t>
      </w:r>
    </w:p>
    <w:p>
      <w:pPr>
        <w:spacing w:after="0" w:line="5"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color w:val="auto"/>
        </w:rPr>
        <w:t>Washington, D.C. 20549</w:t>
      </w:r>
    </w:p>
    <w:p>
      <w:pPr>
        <w:spacing w:after="0" w:line="167"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FORM 10-Q</w:t>
      </w:r>
    </w:p>
    <w:p>
      <w:pPr>
        <w:spacing w:after="0" w:line="137" w:lineRule="exact"/>
        <w:rPr>
          <w:sz w:val="24"/>
          <w:szCs w:val="24"/>
          <w:color w:val="auto"/>
        </w:rPr>
      </w:pPr>
    </w:p>
    <w:p>
      <w:pPr>
        <w:ind w:left="8"/>
        <w:spacing w:after="0"/>
        <w:rPr>
          <w:sz w:val="20"/>
          <w:szCs w:val="20"/>
          <w:color w:val="auto"/>
        </w:rPr>
      </w:pPr>
      <w:r>
        <w:rPr>
          <w:rFonts w:ascii="Arial" w:cs="Arial" w:eastAsia="Arial" w:hAnsi="Arial"/>
          <w:sz w:val="12"/>
          <w:szCs w:val="12"/>
          <w:color w:val="auto"/>
        </w:rPr>
        <w:t>(Mark One)</w:t>
      </w:r>
    </w:p>
    <w:p>
      <w:pPr>
        <w:ind w:left="308" w:hanging="308"/>
        <w:spacing w:after="0" w:line="201" w:lineRule="auto"/>
        <w:tabs>
          <w:tab w:leader="none" w:pos="308" w:val="left"/>
        </w:tabs>
        <w:numPr>
          <w:ilvl w:val="0"/>
          <w:numId w:val="1"/>
        </w:numPr>
        <w:rPr>
          <w:rFonts w:ascii="Arial" w:cs="Arial" w:eastAsia="Arial" w:hAnsi="Arial"/>
          <w:sz w:val="24"/>
          <w:szCs w:val="24"/>
          <w:color w:val="auto"/>
          <w:vertAlign w:val="superscript"/>
        </w:rPr>
      </w:pPr>
      <w:r>
        <w:rPr>
          <w:rFonts w:ascii="Arial" w:cs="Arial" w:eastAsia="Arial" w:hAnsi="Arial"/>
          <w:sz w:val="12"/>
          <w:szCs w:val="12"/>
          <w:b w:val="1"/>
          <w:bCs w:val="1"/>
          <w:color w:val="auto"/>
        </w:rPr>
        <w:t>QUARTERLY REPORT PURSUANT TO SECTION 13 OR 15(d) OF THE SECURITIES EXCHANGE ACT OF 1934</w:t>
      </w:r>
    </w:p>
    <w:p>
      <w:pPr>
        <w:spacing w:after="0" w:line="46" w:lineRule="exact"/>
        <w:rPr>
          <w:sz w:val="24"/>
          <w:szCs w:val="24"/>
          <w:color w:val="auto"/>
        </w:rPr>
      </w:pPr>
    </w:p>
    <w:p>
      <w:pPr>
        <w:ind w:left="8"/>
        <w:spacing w:after="0"/>
        <w:rPr>
          <w:sz w:val="20"/>
          <w:szCs w:val="20"/>
          <w:color w:val="auto"/>
        </w:rPr>
      </w:pPr>
      <w:r>
        <w:rPr>
          <w:rFonts w:ascii="Arial" w:cs="Arial" w:eastAsia="Arial" w:hAnsi="Arial"/>
          <w:sz w:val="12"/>
          <w:szCs w:val="12"/>
          <w:color w:val="auto"/>
        </w:rPr>
        <w:t xml:space="preserve">For the quarterly period ended </w:t>
      </w:r>
      <w:r>
        <w:rPr>
          <w:rFonts w:ascii="Arial" w:cs="Arial" w:eastAsia="Arial" w:hAnsi="Arial"/>
          <w:sz w:val="12"/>
          <w:szCs w:val="12"/>
          <w:u w:val="single" w:color="auto"/>
          <w:color w:val="auto"/>
        </w:rPr>
        <w:t>February 27, 2010</w:t>
      </w:r>
    </w:p>
    <w:p>
      <w:pPr>
        <w:spacing w:after="0" w:line="5" w:lineRule="exact"/>
        <w:rPr>
          <w:sz w:val="24"/>
          <w:szCs w:val="24"/>
          <w:color w:val="auto"/>
        </w:rPr>
      </w:pPr>
    </w:p>
    <w:p>
      <w:pPr>
        <w:jc w:val="center"/>
        <w:ind w:right="52"/>
        <w:spacing w:after="0"/>
        <w:rPr>
          <w:sz w:val="20"/>
          <w:szCs w:val="20"/>
          <w:color w:val="auto"/>
        </w:rPr>
      </w:pPr>
      <w:r>
        <w:rPr>
          <w:rFonts w:ascii="Arial" w:cs="Arial" w:eastAsia="Arial" w:hAnsi="Arial"/>
          <w:sz w:val="12"/>
          <w:szCs w:val="12"/>
          <w:color w:val="auto"/>
        </w:rPr>
        <w:t>or</w:t>
      </w:r>
    </w:p>
    <w:p>
      <w:pPr>
        <w:spacing w:after="0" w:line="65" w:lineRule="exact"/>
        <w:rPr>
          <w:sz w:val="24"/>
          <w:szCs w:val="24"/>
          <w:color w:val="auto"/>
        </w:rPr>
      </w:pPr>
    </w:p>
    <w:p>
      <w:pPr>
        <w:ind w:left="8" w:right="5120" w:hanging="8"/>
        <w:spacing w:after="0" w:line="200" w:lineRule="auto"/>
        <w:tabs>
          <w:tab w:leader="none" w:pos="323" w:val="left"/>
        </w:tabs>
        <w:numPr>
          <w:ilvl w:val="0"/>
          <w:numId w:val="2"/>
        </w:numPr>
        <w:rPr>
          <w:rFonts w:ascii="Arial" w:cs="Arial" w:eastAsia="Arial" w:hAnsi="Arial"/>
          <w:sz w:val="24"/>
          <w:szCs w:val="24"/>
          <w:color w:val="auto"/>
          <w:vertAlign w:val="superscript"/>
        </w:rPr>
      </w:pPr>
      <w:r>
        <w:rPr>
          <w:rFonts w:ascii="Arial" w:cs="Arial" w:eastAsia="Arial" w:hAnsi="Arial"/>
          <w:sz w:val="12"/>
          <w:szCs w:val="12"/>
          <w:b w:val="1"/>
          <w:bCs w:val="1"/>
          <w:color w:val="auto"/>
        </w:rPr>
        <w:t xml:space="preserve">TRANSITION REPORT PURSUANT TO SECTION 13 OR 15(d) OF THE SECURITIES EXCHANGE ACT OF 1934 </w:t>
      </w:r>
      <w:r>
        <w:rPr>
          <w:rFonts w:ascii="Arial" w:cs="Arial" w:eastAsia="Arial" w:hAnsi="Arial"/>
          <w:sz w:val="12"/>
          <w:szCs w:val="12"/>
          <w:color w:val="auto"/>
        </w:rPr>
        <w:t>For the transition period from to</w:t>
      </w:r>
    </w:p>
    <w:p>
      <w:pPr>
        <w:spacing w:after="0" w:line="168"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color w:val="auto"/>
        </w:rPr>
        <w:t>WINNEBAGO INDUSTRIES, INC.</w:t>
      </w:r>
    </w:p>
    <w:p>
      <w:pPr>
        <w:spacing w:after="0" w:line="19" w:lineRule="exact"/>
        <w:rPr>
          <w:sz w:val="24"/>
          <w:szCs w:val="24"/>
          <w:color w:val="auto"/>
        </w:rPr>
      </w:pPr>
    </w:p>
    <w:p>
      <w:pPr>
        <w:jc w:val="center"/>
        <w:ind w:right="52"/>
        <w:spacing w:after="0"/>
        <w:rPr>
          <w:sz w:val="20"/>
          <w:szCs w:val="20"/>
          <w:color w:val="auto"/>
        </w:rPr>
      </w:pPr>
      <w:r>
        <w:rPr>
          <w:rFonts w:ascii="Arial" w:cs="Arial" w:eastAsia="Arial" w:hAnsi="Arial"/>
          <w:sz w:val="12"/>
          <w:szCs w:val="12"/>
          <w:color w:val="auto"/>
        </w:rPr>
        <w:t>(Exact name of registrant as specified in its charter)</w:t>
      </w:r>
    </w:p>
    <w:p>
      <w:pPr>
        <w:spacing w:after="0" w:line="60" w:lineRule="exact"/>
        <w:rPr>
          <w:sz w:val="24"/>
          <w:szCs w:val="24"/>
          <w:color w:val="auto"/>
        </w:rPr>
      </w:pPr>
    </w:p>
    <w:p>
      <w:pPr>
        <w:jc w:val="center"/>
        <w:ind w:right="52"/>
        <w:spacing w:after="0"/>
        <w:rPr>
          <w:sz w:val="20"/>
          <w:szCs w:val="20"/>
          <w:color w:val="auto"/>
        </w:rPr>
      </w:pPr>
      <w:r>
        <w:rPr>
          <w:rFonts w:ascii="Arial" w:cs="Arial" w:eastAsia="Arial" w:hAnsi="Arial"/>
          <w:sz w:val="12"/>
          <w:szCs w:val="12"/>
          <w:color w:val="auto"/>
        </w:rPr>
        <w:t xml:space="preserve">Commission File Number: </w:t>
      </w:r>
      <w:r>
        <w:rPr>
          <w:rFonts w:ascii="Arial" w:cs="Arial" w:eastAsia="Arial" w:hAnsi="Arial"/>
          <w:sz w:val="12"/>
          <w:szCs w:val="12"/>
          <w:u w:val="single" w:color="auto"/>
          <w:color w:val="auto"/>
        </w:rPr>
        <w:t>001-06403</w:t>
      </w:r>
    </w:p>
    <w:p>
      <w:pPr>
        <w:spacing w:after="0" w:line="168"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5980" w:type="dxa"/>
            <w:vAlign w:val="bottom"/>
          </w:tcPr>
          <w:p>
            <w:pPr>
              <w:jc w:val="center"/>
              <w:ind w:left="2240"/>
              <w:spacing w:after="0"/>
              <w:rPr>
                <w:sz w:val="20"/>
                <w:szCs w:val="20"/>
                <w:color w:val="auto"/>
              </w:rPr>
            </w:pPr>
            <w:r>
              <w:rPr>
                <w:rFonts w:ascii="Arial" w:cs="Arial" w:eastAsia="Arial" w:hAnsi="Arial"/>
                <w:sz w:val="12"/>
                <w:szCs w:val="12"/>
                <w:color w:val="auto"/>
                <w:w w:val="94"/>
              </w:rPr>
              <w:t>Iowa</w:t>
            </w:r>
          </w:p>
        </w:tc>
        <w:tc>
          <w:tcPr>
            <w:tcW w:w="1780" w:type="dxa"/>
            <w:vAlign w:val="bottom"/>
          </w:tcPr>
          <w:p>
            <w:pPr>
              <w:jc w:val="right"/>
              <w:ind w:right="100"/>
              <w:spacing w:after="0"/>
              <w:rPr>
                <w:sz w:val="20"/>
                <w:szCs w:val="20"/>
                <w:color w:val="auto"/>
              </w:rPr>
            </w:pPr>
            <w:r>
              <w:rPr>
                <w:rFonts w:ascii="Arial" w:cs="Arial" w:eastAsia="Arial" w:hAnsi="Arial"/>
                <w:sz w:val="12"/>
                <w:szCs w:val="12"/>
                <w:color w:val="auto"/>
              </w:rPr>
              <w:t>42-0802678</w:t>
            </w:r>
          </w:p>
        </w:tc>
      </w:tr>
      <w:tr>
        <w:trPr>
          <w:trHeight w:val="144"/>
        </w:trPr>
        <w:tc>
          <w:tcPr>
            <w:tcW w:w="5980" w:type="dxa"/>
            <w:vAlign w:val="bottom"/>
          </w:tcPr>
          <w:p>
            <w:pPr>
              <w:jc w:val="center"/>
              <w:ind w:left="2240"/>
              <w:spacing w:after="0"/>
              <w:rPr>
                <w:sz w:val="20"/>
                <w:szCs w:val="20"/>
                <w:color w:val="auto"/>
              </w:rPr>
            </w:pPr>
            <w:r>
              <w:rPr>
                <w:rFonts w:ascii="Arial" w:cs="Arial" w:eastAsia="Arial" w:hAnsi="Arial"/>
                <w:sz w:val="12"/>
                <w:szCs w:val="12"/>
                <w:color w:val="auto"/>
                <w:w w:val="93"/>
              </w:rPr>
              <w:t>(State or other jurisdiction</w:t>
            </w:r>
          </w:p>
        </w:tc>
        <w:tc>
          <w:tcPr>
            <w:tcW w:w="1780" w:type="dxa"/>
            <w:vAlign w:val="bottom"/>
          </w:tcPr>
          <w:p>
            <w:pPr>
              <w:jc w:val="center"/>
              <w:ind w:left="820"/>
              <w:spacing w:after="0"/>
              <w:rPr>
                <w:sz w:val="20"/>
                <w:szCs w:val="20"/>
                <w:color w:val="auto"/>
              </w:rPr>
            </w:pPr>
            <w:r>
              <w:rPr>
                <w:rFonts w:ascii="Arial" w:cs="Arial" w:eastAsia="Arial" w:hAnsi="Arial"/>
                <w:sz w:val="12"/>
                <w:szCs w:val="12"/>
                <w:color w:val="auto"/>
                <w:w w:val="93"/>
              </w:rPr>
              <w:t>(I.R.S. Employer</w:t>
            </w:r>
          </w:p>
        </w:tc>
      </w:tr>
      <w:tr>
        <w:trPr>
          <w:trHeight w:val="153"/>
        </w:trPr>
        <w:tc>
          <w:tcPr>
            <w:tcW w:w="5980" w:type="dxa"/>
            <w:vAlign w:val="bottom"/>
          </w:tcPr>
          <w:p>
            <w:pPr>
              <w:jc w:val="center"/>
              <w:ind w:left="2240"/>
              <w:spacing w:after="0"/>
              <w:rPr>
                <w:sz w:val="20"/>
                <w:szCs w:val="20"/>
                <w:color w:val="auto"/>
              </w:rPr>
            </w:pPr>
            <w:r>
              <w:rPr>
                <w:rFonts w:ascii="Arial" w:cs="Arial" w:eastAsia="Arial" w:hAnsi="Arial"/>
                <w:sz w:val="12"/>
                <w:szCs w:val="12"/>
                <w:color w:val="auto"/>
                <w:w w:val="92"/>
              </w:rPr>
              <w:t>of incorporation or organization)</w:t>
            </w:r>
          </w:p>
        </w:tc>
        <w:tc>
          <w:tcPr>
            <w:tcW w:w="1780" w:type="dxa"/>
            <w:vAlign w:val="bottom"/>
          </w:tcPr>
          <w:p>
            <w:pPr>
              <w:jc w:val="center"/>
              <w:ind w:left="840"/>
              <w:spacing w:after="0"/>
              <w:rPr>
                <w:sz w:val="20"/>
                <w:szCs w:val="20"/>
                <w:color w:val="auto"/>
              </w:rPr>
            </w:pPr>
            <w:r>
              <w:rPr>
                <w:rFonts w:ascii="Arial" w:cs="Arial" w:eastAsia="Arial" w:hAnsi="Arial"/>
                <w:sz w:val="12"/>
                <w:szCs w:val="12"/>
                <w:color w:val="auto"/>
                <w:w w:val="94"/>
              </w:rPr>
              <w:t>Identification No.)</w:t>
            </w:r>
          </w:p>
        </w:tc>
      </w:tr>
      <w:tr>
        <w:trPr>
          <w:trHeight w:val="180"/>
        </w:trPr>
        <w:tc>
          <w:tcPr>
            <w:tcW w:w="5980" w:type="dxa"/>
            <w:vAlign w:val="bottom"/>
          </w:tcPr>
          <w:p>
            <w:pPr>
              <w:jc w:val="center"/>
              <w:ind w:left="2240"/>
              <w:spacing w:after="0"/>
              <w:rPr>
                <w:sz w:val="20"/>
                <w:szCs w:val="20"/>
                <w:color w:val="auto"/>
              </w:rPr>
            </w:pPr>
            <w:r>
              <w:rPr>
                <w:rFonts w:ascii="Arial" w:cs="Arial" w:eastAsia="Arial" w:hAnsi="Arial"/>
                <w:sz w:val="12"/>
                <w:szCs w:val="12"/>
                <w:color w:val="auto"/>
                <w:w w:val="90"/>
              </w:rPr>
              <w:t>P. O. Box 152, Forest City, Iowa</w:t>
            </w:r>
          </w:p>
        </w:tc>
        <w:tc>
          <w:tcPr>
            <w:tcW w:w="1780" w:type="dxa"/>
            <w:vAlign w:val="bottom"/>
          </w:tcPr>
          <w:p>
            <w:pPr>
              <w:jc w:val="right"/>
              <w:ind w:right="240"/>
              <w:spacing w:after="0"/>
              <w:rPr>
                <w:sz w:val="20"/>
                <w:szCs w:val="20"/>
                <w:color w:val="auto"/>
              </w:rPr>
            </w:pPr>
            <w:r>
              <w:rPr>
                <w:rFonts w:ascii="Arial" w:cs="Arial" w:eastAsia="Arial" w:hAnsi="Arial"/>
                <w:sz w:val="12"/>
                <w:szCs w:val="12"/>
                <w:color w:val="auto"/>
              </w:rPr>
              <w:t>50436</w:t>
            </w:r>
          </w:p>
        </w:tc>
      </w:tr>
      <w:tr>
        <w:trPr>
          <w:trHeight w:val="153"/>
        </w:trPr>
        <w:tc>
          <w:tcPr>
            <w:tcW w:w="5980" w:type="dxa"/>
            <w:vAlign w:val="bottom"/>
          </w:tcPr>
          <w:p>
            <w:pPr>
              <w:jc w:val="center"/>
              <w:ind w:left="2240"/>
              <w:spacing w:after="0"/>
              <w:rPr>
                <w:sz w:val="20"/>
                <w:szCs w:val="20"/>
                <w:color w:val="auto"/>
              </w:rPr>
            </w:pPr>
            <w:r>
              <w:rPr>
                <w:rFonts w:ascii="Arial" w:cs="Arial" w:eastAsia="Arial" w:hAnsi="Arial"/>
                <w:sz w:val="12"/>
                <w:szCs w:val="12"/>
                <w:color w:val="auto"/>
                <w:w w:val="93"/>
              </w:rPr>
              <w:t>(Address of principal executive offices)</w:t>
            </w:r>
          </w:p>
        </w:tc>
        <w:tc>
          <w:tcPr>
            <w:tcW w:w="1780" w:type="dxa"/>
            <w:vAlign w:val="bottom"/>
          </w:tcPr>
          <w:p>
            <w:pPr>
              <w:jc w:val="center"/>
              <w:ind w:left="840"/>
              <w:spacing w:after="0"/>
              <w:rPr>
                <w:sz w:val="20"/>
                <w:szCs w:val="20"/>
                <w:color w:val="auto"/>
              </w:rPr>
            </w:pPr>
            <w:r>
              <w:rPr>
                <w:rFonts w:ascii="Arial" w:cs="Arial" w:eastAsia="Arial" w:hAnsi="Arial"/>
                <w:sz w:val="12"/>
                <w:szCs w:val="12"/>
                <w:color w:val="auto"/>
                <w:w w:val="91"/>
              </w:rPr>
              <w:t>(Zip Code)</w:t>
            </w:r>
          </w:p>
        </w:tc>
      </w:tr>
      <w:tr>
        <w:trPr>
          <w:trHeight w:val="225"/>
        </w:trPr>
        <w:tc>
          <w:tcPr>
            <w:tcW w:w="5980" w:type="dxa"/>
            <w:vAlign w:val="bottom"/>
          </w:tcPr>
          <w:p>
            <w:pPr>
              <w:spacing w:after="0"/>
              <w:rPr>
                <w:sz w:val="20"/>
                <w:szCs w:val="20"/>
                <w:color w:val="auto"/>
              </w:rPr>
            </w:pPr>
            <w:r>
              <w:rPr>
                <w:rFonts w:ascii="Arial" w:cs="Arial" w:eastAsia="Arial" w:hAnsi="Arial"/>
                <w:sz w:val="12"/>
                <w:szCs w:val="12"/>
                <w:color w:val="auto"/>
              </w:rPr>
              <w:t>Registrant's telephone number, including area code: (641) 585-3535</w:t>
            </w:r>
          </w:p>
        </w:tc>
        <w:tc>
          <w:tcPr>
            <w:tcW w:w="1780" w:type="dxa"/>
            <w:vAlign w:val="bottom"/>
          </w:tcPr>
          <w:p>
            <w:pPr>
              <w:spacing w:after="0"/>
              <w:rPr>
                <w:sz w:val="19"/>
                <w:szCs w:val="19"/>
                <w:color w:val="auto"/>
              </w:rPr>
            </w:pPr>
          </w:p>
        </w:tc>
      </w:tr>
    </w:tbl>
    <w:p>
      <w:pPr>
        <w:spacing w:after="0" w:line="162" w:lineRule="exact"/>
        <w:rPr>
          <w:sz w:val="24"/>
          <w:szCs w:val="24"/>
          <w:color w:val="auto"/>
        </w:rPr>
      </w:pPr>
    </w:p>
    <w:p>
      <w:pPr>
        <w:ind w:left="8" w:right="320"/>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2" w:lineRule="exact"/>
        <w:rPr>
          <w:sz w:val="24"/>
          <w:szCs w:val="24"/>
          <w:color w:val="auto"/>
        </w:rPr>
      </w:pPr>
    </w:p>
    <w:p>
      <w:pPr>
        <w:ind w:left="8" w:right="160"/>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42" w:lineRule="exact"/>
        <w:rPr>
          <w:sz w:val="24"/>
          <w:szCs w:val="24"/>
          <w:color w:val="auto"/>
        </w:rPr>
      </w:pPr>
    </w:p>
    <w:p>
      <w:pPr>
        <w:ind w:left="8" w:right="18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7" w:lineRule="exact"/>
        <w:rPr>
          <w:sz w:val="24"/>
          <w:szCs w:val="24"/>
          <w:color w:val="auto"/>
        </w:rPr>
      </w:pPr>
    </w:p>
    <w:p>
      <w:pPr>
        <w:ind w:left="8"/>
        <w:spacing w:after="0"/>
        <w:tabs>
          <w:tab w:leader="none" w:pos="1448" w:val="left"/>
          <w:tab w:leader="none" w:pos="2948" w:val="left"/>
          <w:tab w:leader="none" w:pos="4428"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x</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11"/>
          <w:szCs w:val="11"/>
          <w:color w:val="auto"/>
        </w:rPr>
        <w:t>Smaller Reporting Company o</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 No x</w:t>
      </w:r>
    </w:p>
    <w:p>
      <w:pPr>
        <w:spacing w:after="0" w:line="177" w:lineRule="exact"/>
        <w:rPr>
          <w:sz w:val="24"/>
          <w:szCs w:val="24"/>
          <w:color w:val="auto"/>
        </w:rPr>
      </w:pPr>
    </w:p>
    <w:p>
      <w:pPr>
        <w:ind w:left="8"/>
        <w:spacing w:after="0"/>
        <w:rPr>
          <w:sz w:val="20"/>
          <w:szCs w:val="20"/>
          <w:color w:val="auto"/>
        </w:rPr>
      </w:pPr>
      <w:r>
        <w:rPr>
          <w:rFonts w:ascii="Arial" w:cs="Arial" w:eastAsia="Arial" w:hAnsi="Arial"/>
          <w:sz w:val="12"/>
          <w:szCs w:val="12"/>
          <w:color w:val="auto"/>
        </w:rPr>
        <w:t>The number of shares of common stock, par value $0.50 per share, outstanding April 06, 2010 was 29,087,689.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335280</wp:posOffset>
            </wp:positionV>
            <wp:extent cx="7292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171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477520</wp:posOffset>
            </wp:positionV>
            <wp:extent cx="73177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color w:val="auto"/>
        </w:rPr>
        <w:t>WINNEBAGO INDUSTRIES, INC.</w:t>
      </w:r>
    </w:p>
    <w:p>
      <w:pPr>
        <w:spacing w:after="0" w:line="177"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color w:val="auto"/>
        </w:rPr>
        <w:t>INDEX TO REPORT ON FORM 10-Q</w:t>
      </w:r>
    </w:p>
    <w:p>
      <w:pPr>
        <w:spacing w:after="0" w:line="200" w:lineRule="exact"/>
        <w:rPr>
          <w:sz w:val="24"/>
          <w:szCs w:val="24"/>
          <w:color w:val="auto"/>
        </w:rPr>
      </w:pPr>
    </w:p>
    <w:p>
      <w:pPr>
        <w:spacing w:after="0" w:line="348" w:lineRule="exact"/>
        <w:rPr>
          <w:sz w:val="24"/>
          <w:szCs w:val="24"/>
          <w:color w:val="auto"/>
        </w:rPr>
      </w:pPr>
    </w:p>
    <w:tbl>
      <w:tblPr>
        <w:tblLayout w:type="fixed"/>
        <w:tblInd w:w="2688"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ind w:left="120"/>
              <w:spacing w:after="0"/>
              <w:rPr>
                <w:sz w:val="20"/>
                <w:szCs w:val="20"/>
                <w:color w:val="auto"/>
              </w:rPr>
            </w:pPr>
            <w:r>
              <w:rPr>
                <w:rFonts w:ascii="Arial" w:cs="Arial" w:eastAsia="Arial" w:hAnsi="Arial"/>
                <w:sz w:val="12"/>
                <w:szCs w:val="12"/>
                <w:color w:val="auto"/>
                <w:w w:val="86"/>
              </w:rPr>
              <w:t>Page Number</w:t>
            </w:r>
          </w:p>
        </w:tc>
      </w:tr>
      <w:tr>
        <w:trPr>
          <w:trHeight w:val="169"/>
        </w:trPr>
        <w:tc>
          <w:tcPr>
            <w:tcW w:w="840" w:type="dxa"/>
            <w:vAlign w:val="bottom"/>
            <w:gridSpan w:val="5"/>
          </w:tcPr>
          <w:p>
            <w:pPr>
              <w:spacing w:after="0"/>
              <w:rPr>
                <w:rFonts w:ascii="Arial" w:cs="Arial" w:eastAsia="Arial" w:hAnsi="Arial"/>
                <w:sz w:val="12"/>
                <w:szCs w:val="12"/>
                <w:b w:val="1"/>
                <w:bCs w:val="1"/>
                <w:color w:val="0000FF"/>
              </w:rPr>
            </w:pPr>
            <w:hyperlink w:anchor="page1">
              <w:r>
                <w:rPr>
                  <w:rFonts w:ascii="Arial" w:cs="Arial" w:eastAsia="Arial" w:hAnsi="Arial"/>
                  <w:sz w:val="12"/>
                  <w:szCs w:val="12"/>
                  <w:b w:val="1"/>
                  <w:bCs w:val="1"/>
                  <w:color w:val="0000FF"/>
                </w:rPr>
                <w:t>PART I.</w:t>
              </w:r>
            </w:hyperlink>
          </w:p>
        </w:tc>
        <w:tc>
          <w:tcPr>
            <w:tcW w:w="4420" w:type="dxa"/>
            <w:vAlign w:val="bottom"/>
            <w:gridSpan w:val="14"/>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FINANCIAL INFORMATION</w:t>
              </w:r>
            </w:hyperlink>
          </w:p>
        </w:tc>
        <w:tc>
          <w:tcPr>
            <w:tcW w:w="120" w:type="dxa"/>
            <w:vAlign w:val="bottom"/>
          </w:tcPr>
          <w:p>
            <w:pPr>
              <w:spacing w:after="0"/>
              <w:rPr>
                <w:sz w:val="14"/>
                <w:szCs w:val="14"/>
                <w:color w:val="auto"/>
              </w:rPr>
            </w:pPr>
          </w:p>
        </w:tc>
        <w:tc>
          <w:tcPr>
            <w:tcW w:w="380" w:type="dxa"/>
            <w:vAlign w:val="bottom"/>
            <w:tcBorders>
              <w:top w:val="single" w:sz="8" w:color="auto"/>
            </w:tcBorders>
            <w:gridSpan w:val="2"/>
          </w:tcPr>
          <w:p>
            <w:pPr>
              <w:jc w:val="center"/>
              <w:ind w:left="220"/>
              <w:spacing w:after="0"/>
              <w:rPr>
                <w:rFonts w:ascii="Arial" w:cs="Arial" w:eastAsia="Arial" w:hAnsi="Arial"/>
                <w:sz w:val="12"/>
                <w:szCs w:val="12"/>
                <w:u w:val="single" w:color="auto"/>
                <w:color w:val="0000EE"/>
                <w:w w:val="89"/>
              </w:rPr>
            </w:pPr>
            <w:hyperlink w:anchor="page1">
              <w:r>
                <w:rPr>
                  <w:rFonts w:ascii="Arial" w:cs="Arial" w:eastAsia="Arial" w:hAnsi="Arial"/>
                  <w:sz w:val="12"/>
                  <w:szCs w:val="12"/>
                  <w:u w:val="single" w:color="auto"/>
                  <w:color w:val="0000EE"/>
                  <w:w w:val="89"/>
                </w:rPr>
                <w:t>1</w:t>
              </w:r>
            </w:hyperlink>
          </w:p>
        </w:tc>
        <w:tc>
          <w:tcPr>
            <w:tcW w:w="280" w:type="dxa"/>
            <w:vAlign w:val="bottom"/>
            <w:tcBorders>
              <w:top w:val="single" w:sz="8" w:color="auto"/>
            </w:tcBorders>
          </w:tcPr>
          <w:p>
            <w:pPr>
              <w:spacing w:after="0"/>
              <w:rPr>
                <w:sz w:val="14"/>
                <w:szCs w:val="1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840" w:type="dxa"/>
            <w:vAlign w:val="bottom"/>
            <w:gridSpan w:val="5"/>
          </w:tcPr>
          <w:p>
            <w:pPr>
              <w:spacing w:after="0"/>
              <w:rPr>
                <w:rFonts w:ascii="Arial" w:cs="Arial" w:eastAsia="Arial" w:hAnsi="Arial"/>
                <w:sz w:val="12"/>
                <w:szCs w:val="12"/>
                <w:b w:val="1"/>
                <w:bCs w:val="1"/>
                <w:color w:val="0000FF"/>
              </w:rPr>
            </w:pPr>
            <w:hyperlink w:anchor="page1">
              <w:r>
                <w:rPr>
                  <w:rFonts w:ascii="Arial" w:cs="Arial" w:eastAsia="Arial" w:hAnsi="Arial"/>
                  <w:sz w:val="12"/>
                  <w:szCs w:val="12"/>
                  <w:b w:val="1"/>
                  <w:bCs w:val="1"/>
                  <w:color w:val="0000FF"/>
                </w:rPr>
                <w:t>ITEM 1.</w:t>
              </w:r>
            </w:hyperlink>
          </w:p>
        </w:tc>
        <w:tc>
          <w:tcPr>
            <w:tcW w:w="4420" w:type="dxa"/>
            <w:vAlign w:val="bottom"/>
            <w:gridSpan w:val="14"/>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Condensed Financial Statements</w:t>
              </w:r>
            </w:hyperlink>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60" w:type="dxa"/>
            <w:vAlign w:val="bottom"/>
            <w:tcBorders>
              <w:bottom w:val="single" w:sz="8" w:color="0000FF"/>
            </w:tcBorders>
            <w:gridSpan w:val="9"/>
          </w:tcPr>
          <w:p>
            <w:pPr>
              <w:spacing w:after="0" w:line="124" w:lineRule="exact"/>
              <w:rPr>
                <w:rFonts w:ascii="Arial" w:cs="Arial" w:eastAsia="Arial" w:hAnsi="Arial"/>
                <w:sz w:val="12"/>
                <w:szCs w:val="12"/>
                <w:color w:val="0000FF"/>
                <w:w w:val="89"/>
              </w:rPr>
            </w:pPr>
            <w:hyperlink w:anchor="page1">
              <w:r>
                <w:rPr>
                  <w:rFonts w:ascii="Arial" w:cs="Arial" w:eastAsia="Arial" w:hAnsi="Arial"/>
                  <w:sz w:val="12"/>
                  <w:szCs w:val="12"/>
                  <w:color w:val="0000FF"/>
                  <w:w w:val="89"/>
                </w:rPr>
                <w:t>Unaudited Statements of Operations</w:t>
              </w:r>
            </w:hyperlink>
          </w:p>
        </w:tc>
        <w:tc>
          <w:tcPr>
            <w:tcW w:w="2660" w:type="dxa"/>
            <w:vAlign w:val="bottom"/>
            <w:gridSpan w:val="5"/>
          </w:tcPr>
          <w:p>
            <w:pPr>
              <w:spacing w:after="0"/>
              <w:rPr>
                <w:sz w:val="10"/>
                <w:szCs w:val="10"/>
                <w:color w:val="auto"/>
              </w:rPr>
            </w:pPr>
          </w:p>
        </w:tc>
        <w:tc>
          <w:tcPr>
            <w:tcW w:w="500" w:type="dxa"/>
            <w:vAlign w:val="bottom"/>
            <w:gridSpan w:val="3"/>
          </w:tcPr>
          <w:p>
            <w:pPr>
              <w:jc w:val="center"/>
              <w:ind w:left="340"/>
              <w:spacing w:after="0" w:line="124" w:lineRule="exact"/>
              <w:rPr>
                <w:rFonts w:ascii="Arial" w:cs="Arial" w:eastAsia="Arial" w:hAnsi="Arial"/>
                <w:sz w:val="12"/>
                <w:szCs w:val="12"/>
                <w:u w:val="single" w:color="auto"/>
                <w:color w:val="0000EE"/>
                <w:w w:val="89"/>
              </w:rPr>
            </w:pPr>
            <w:hyperlink w:anchor="page1">
              <w:r>
                <w:rPr>
                  <w:rFonts w:ascii="Arial" w:cs="Arial" w:eastAsia="Arial" w:hAnsi="Arial"/>
                  <w:sz w:val="12"/>
                  <w:szCs w:val="12"/>
                  <w:u w:val="single" w:color="auto"/>
                  <w:color w:val="0000EE"/>
                  <w:w w:val="89"/>
                </w:rPr>
                <w:t>1</w:t>
              </w:r>
            </w:hyperlink>
          </w:p>
        </w:tc>
        <w:tc>
          <w:tcPr>
            <w:tcW w:w="280" w:type="dxa"/>
            <w:vAlign w:val="bottom"/>
          </w:tcPr>
          <w:p>
            <w:pPr>
              <w:spacing w:after="0"/>
              <w:rPr>
                <w:sz w:val="10"/>
                <w:szCs w:val="10"/>
                <w:color w:val="auto"/>
              </w:rPr>
            </w:pPr>
          </w:p>
        </w:tc>
      </w:tr>
      <w:tr>
        <w:trPr>
          <w:trHeight w:val="124"/>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Borders>
              <w:bottom w:val="single" w:sz="8" w:color="0000FF"/>
            </w:tcBorders>
            <w:gridSpan w:val="6"/>
          </w:tcPr>
          <w:p>
            <w:pPr>
              <w:spacing w:after="0" w:line="124" w:lineRule="exact"/>
              <w:rPr>
                <w:rFonts w:ascii="Arial" w:cs="Arial" w:eastAsia="Arial" w:hAnsi="Arial"/>
                <w:sz w:val="12"/>
                <w:szCs w:val="12"/>
                <w:color w:val="0000FF"/>
                <w:w w:val="88"/>
              </w:rPr>
            </w:pPr>
            <w:hyperlink w:anchor="page2">
              <w:r>
                <w:rPr>
                  <w:rFonts w:ascii="Arial" w:cs="Arial" w:eastAsia="Arial" w:hAnsi="Arial"/>
                  <w:sz w:val="12"/>
                  <w:szCs w:val="12"/>
                  <w:color w:val="0000FF"/>
                  <w:w w:val="88"/>
                </w:rPr>
                <w:t>Unaudited Balance Sheets</w:t>
              </w:r>
            </w:hyperlink>
          </w:p>
        </w:tc>
        <w:tc>
          <w:tcPr>
            <w:tcW w:w="3140" w:type="dxa"/>
            <w:vAlign w:val="bottom"/>
            <w:gridSpan w:val="8"/>
          </w:tcPr>
          <w:p>
            <w:pPr>
              <w:spacing w:after="0"/>
              <w:rPr>
                <w:sz w:val="10"/>
                <w:szCs w:val="10"/>
                <w:color w:val="auto"/>
              </w:rPr>
            </w:pPr>
          </w:p>
        </w:tc>
        <w:tc>
          <w:tcPr>
            <w:tcW w:w="500" w:type="dxa"/>
            <w:vAlign w:val="bottom"/>
            <w:gridSpan w:val="3"/>
          </w:tcPr>
          <w:p>
            <w:pPr>
              <w:jc w:val="center"/>
              <w:ind w:left="340"/>
              <w:spacing w:after="0" w:line="124" w:lineRule="exact"/>
              <w:rPr>
                <w:rFonts w:ascii="Arial" w:cs="Arial" w:eastAsia="Arial" w:hAnsi="Arial"/>
                <w:sz w:val="12"/>
                <w:szCs w:val="12"/>
                <w:u w:val="single" w:color="auto"/>
                <w:color w:val="0000EE"/>
                <w:w w:val="89"/>
              </w:rPr>
            </w:pPr>
            <w:hyperlink w:anchor="page2">
              <w:r>
                <w:rPr>
                  <w:rFonts w:ascii="Arial" w:cs="Arial" w:eastAsia="Arial" w:hAnsi="Arial"/>
                  <w:sz w:val="12"/>
                  <w:szCs w:val="12"/>
                  <w:u w:val="single" w:color="auto"/>
                  <w:color w:val="0000EE"/>
                  <w:w w:val="89"/>
                </w:rPr>
                <w:t>2</w:t>
              </w:r>
            </w:hyperlink>
          </w:p>
        </w:tc>
        <w:tc>
          <w:tcPr>
            <w:tcW w:w="280" w:type="dxa"/>
            <w:vAlign w:val="bottom"/>
          </w:tcPr>
          <w:p>
            <w:pPr>
              <w:spacing w:after="0"/>
              <w:rPr>
                <w:sz w:val="10"/>
                <w:szCs w:val="10"/>
                <w:color w:val="auto"/>
              </w:rPr>
            </w:pPr>
          </w:p>
        </w:tc>
      </w:tr>
      <w:tr>
        <w:trPr>
          <w:trHeight w:val="124"/>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20" w:type="dxa"/>
            <w:vAlign w:val="bottom"/>
            <w:gridSpan w:val="14"/>
          </w:tcPr>
          <w:p>
            <w:pPr>
              <w:spacing w:after="0" w:line="124" w:lineRule="exact"/>
              <w:rPr>
                <w:rFonts w:ascii="Arial" w:cs="Arial" w:eastAsia="Arial" w:hAnsi="Arial"/>
                <w:sz w:val="12"/>
                <w:szCs w:val="12"/>
                <w:color w:val="0000FF"/>
              </w:rPr>
            </w:pPr>
            <w:hyperlink w:anchor="page2">
              <w:r>
                <w:rPr>
                  <w:rFonts w:ascii="Arial" w:cs="Arial" w:eastAsia="Arial" w:hAnsi="Arial"/>
                  <w:sz w:val="12"/>
                  <w:szCs w:val="12"/>
                  <w:color w:val="0000FF"/>
                </w:rPr>
                <w:t>Unaudited Statements of Cash Flows</w:t>
              </w:r>
            </w:hyperlink>
          </w:p>
        </w:tc>
        <w:tc>
          <w:tcPr>
            <w:tcW w:w="500" w:type="dxa"/>
            <w:vAlign w:val="bottom"/>
            <w:gridSpan w:val="3"/>
          </w:tcPr>
          <w:p>
            <w:pPr>
              <w:jc w:val="center"/>
              <w:ind w:left="340"/>
              <w:spacing w:after="0" w:line="124" w:lineRule="exact"/>
              <w:rPr>
                <w:rFonts w:ascii="Arial" w:cs="Arial" w:eastAsia="Arial" w:hAnsi="Arial"/>
                <w:sz w:val="12"/>
                <w:szCs w:val="12"/>
                <w:u w:val="single" w:color="auto"/>
                <w:color w:val="0000EE"/>
                <w:w w:val="89"/>
              </w:rPr>
            </w:pPr>
            <w:hyperlink w:anchor="page2">
              <w:r>
                <w:rPr>
                  <w:rFonts w:ascii="Arial" w:cs="Arial" w:eastAsia="Arial" w:hAnsi="Arial"/>
                  <w:sz w:val="12"/>
                  <w:szCs w:val="12"/>
                  <w:u w:val="single" w:color="auto"/>
                  <w:color w:val="0000EE"/>
                  <w:w w:val="89"/>
                </w:rPr>
                <w:t>3</w:t>
              </w:r>
            </w:hyperlink>
          </w:p>
        </w:tc>
        <w:tc>
          <w:tcPr>
            <w:tcW w:w="280" w:type="dxa"/>
            <w:vAlign w:val="bottom"/>
          </w:tcPr>
          <w:p>
            <w:pPr>
              <w:spacing w:after="0"/>
              <w:rPr>
                <w:sz w:val="10"/>
                <w:szCs w:val="10"/>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80" w:type="dxa"/>
            <w:vAlign w:val="bottom"/>
            <w:tcBorders>
              <w:bottom w:val="single" w:sz="8" w:color="0000FF"/>
            </w:tcBorders>
            <w:gridSpan w:val="11"/>
          </w:tcPr>
          <w:p>
            <w:pPr>
              <w:spacing w:after="0" w:line="124" w:lineRule="exact"/>
              <w:rPr>
                <w:rFonts w:ascii="Arial" w:cs="Arial" w:eastAsia="Arial" w:hAnsi="Arial"/>
                <w:sz w:val="12"/>
                <w:szCs w:val="12"/>
                <w:color w:val="0000FF"/>
                <w:w w:val="89"/>
              </w:rPr>
            </w:pPr>
            <w:hyperlink w:anchor="page3">
              <w:r>
                <w:rPr>
                  <w:rFonts w:ascii="Arial" w:cs="Arial" w:eastAsia="Arial" w:hAnsi="Arial"/>
                  <w:sz w:val="12"/>
                  <w:szCs w:val="12"/>
                  <w:color w:val="0000FF"/>
                  <w:w w:val="89"/>
                </w:rPr>
                <w:t>Unaudited Notes to Financial Statements</w:t>
              </w:r>
            </w:hyperlink>
          </w:p>
        </w:tc>
        <w:tc>
          <w:tcPr>
            <w:tcW w:w="2440" w:type="dxa"/>
            <w:vAlign w:val="bottom"/>
            <w:gridSpan w:val="3"/>
          </w:tcPr>
          <w:p>
            <w:pPr>
              <w:spacing w:after="0"/>
              <w:rPr>
                <w:sz w:val="10"/>
                <w:szCs w:val="10"/>
                <w:color w:val="auto"/>
              </w:rPr>
            </w:pPr>
          </w:p>
        </w:tc>
        <w:tc>
          <w:tcPr>
            <w:tcW w:w="500" w:type="dxa"/>
            <w:vAlign w:val="bottom"/>
            <w:gridSpan w:val="3"/>
          </w:tcPr>
          <w:p>
            <w:pPr>
              <w:jc w:val="center"/>
              <w:ind w:left="340"/>
              <w:spacing w:after="0" w:line="124" w:lineRule="exact"/>
              <w:rPr>
                <w:rFonts w:ascii="Arial" w:cs="Arial" w:eastAsia="Arial" w:hAnsi="Arial"/>
                <w:sz w:val="12"/>
                <w:szCs w:val="12"/>
                <w:u w:val="single" w:color="auto"/>
                <w:color w:val="0000EE"/>
                <w:w w:val="89"/>
              </w:rPr>
            </w:pPr>
            <w:hyperlink w:anchor="page3">
              <w:r>
                <w:rPr>
                  <w:rFonts w:ascii="Arial" w:cs="Arial" w:eastAsia="Arial" w:hAnsi="Arial"/>
                  <w:sz w:val="12"/>
                  <w:szCs w:val="12"/>
                  <w:u w:val="single" w:color="auto"/>
                  <w:color w:val="0000EE"/>
                  <w:w w:val="89"/>
                </w:rPr>
                <w:t>4</w:t>
              </w:r>
            </w:hyperlink>
          </w:p>
        </w:tc>
        <w:tc>
          <w:tcPr>
            <w:tcW w:w="280" w:type="dxa"/>
            <w:vAlign w:val="bottom"/>
          </w:tcPr>
          <w:p>
            <w:pPr>
              <w:spacing w:after="0"/>
              <w:rPr>
                <w:sz w:val="10"/>
                <w:szCs w:val="10"/>
                <w:color w:val="auto"/>
              </w:rPr>
            </w:pPr>
          </w:p>
        </w:tc>
      </w:tr>
      <w:tr>
        <w:trPr>
          <w:trHeight w:val="169"/>
        </w:trPr>
        <w:tc>
          <w:tcPr>
            <w:tcW w:w="840" w:type="dxa"/>
            <w:vAlign w:val="bottom"/>
            <w:gridSpan w:val="5"/>
          </w:tcPr>
          <w:p>
            <w:pPr>
              <w:spacing w:after="0"/>
              <w:rPr>
                <w:sz w:val="20"/>
                <w:szCs w:val="20"/>
                <w:color w:val="auto"/>
              </w:rPr>
            </w:pPr>
            <w:r>
              <w:rPr>
                <w:rFonts w:ascii="Arial" w:cs="Arial" w:eastAsia="Arial" w:hAnsi="Arial"/>
                <w:sz w:val="12"/>
                <w:szCs w:val="12"/>
                <w:b w:val="1"/>
                <w:bCs w:val="1"/>
                <w:color w:val="0000FF"/>
              </w:rPr>
              <w:t>ITEM 2.</w:t>
            </w:r>
          </w:p>
        </w:tc>
        <w:tc>
          <w:tcPr>
            <w:tcW w:w="4420" w:type="dxa"/>
            <w:vAlign w:val="bottom"/>
            <w:gridSpan w:val="14"/>
          </w:tcPr>
          <w:p>
            <w:pPr>
              <w:spacing w:after="0"/>
              <w:rPr>
                <w:rFonts w:ascii="Arial" w:cs="Arial" w:eastAsia="Arial" w:hAnsi="Arial"/>
                <w:sz w:val="12"/>
                <w:szCs w:val="12"/>
                <w:color w:val="0000FF"/>
                <w:w w:val="93"/>
              </w:rPr>
            </w:pPr>
            <w:hyperlink w:anchor="page6">
              <w:r>
                <w:rPr>
                  <w:rFonts w:ascii="Arial" w:cs="Arial" w:eastAsia="Arial" w:hAnsi="Arial"/>
                  <w:sz w:val="12"/>
                  <w:szCs w:val="12"/>
                  <w:color w:val="0000FF"/>
                  <w:w w:val="93"/>
                </w:rPr>
                <w:t>Management's Discussion and Analysis of Financial Condition and Results of Operations</w:t>
              </w:r>
            </w:hyperlink>
          </w:p>
        </w:tc>
        <w:tc>
          <w:tcPr>
            <w:tcW w:w="500" w:type="dxa"/>
            <w:vAlign w:val="bottom"/>
            <w:gridSpan w:val="3"/>
          </w:tcPr>
          <w:p>
            <w:pPr>
              <w:jc w:val="center"/>
              <w:ind w:left="320"/>
              <w:spacing w:after="0"/>
              <w:rPr>
                <w:rFonts w:ascii="Arial" w:cs="Arial" w:eastAsia="Arial" w:hAnsi="Arial"/>
                <w:sz w:val="12"/>
                <w:szCs w:val="12"/>
                <w:color w:val="0000EE"/>
                <w:w w:val="89"/>
              </w:rPr>
            </w:pPr>
            <w:hyperlink w:anchor="page6">
              <w:r>
                <w:rPr>
                  <w:rFonts w:ascii="Arial" w:cs="Arial" w:eastAsia="Arial" w:hAnsi="Arial"/>
                  <w:sz w:val="12"/>
                  <w:szCs w:val="12"/>
                  <w:color w:val="0000EE"/>
                  <w:w w:val="89"/>
                </w:rPr>
                <w:t>11</w:t>
              </w:r>
            </w:hyperlink>
          </w:p>
        </w:tc>
        <w:tc>
          <w:tcPr>
            <w:tcW w:w="280" w:type="dxa"/>
            <w:vAlign w:val="bottom"/>
          </w:tcPr>
          <w:p>
            <w:pPr>
              <w:spacing w:after="0"/>
              <w:rPr>
                <w:sz w:val="14"/>
                <w:szCs w:val="1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840" w:type="dxa"/>
            <w:vAlign w:val="bottom"/>
            <w:gridSpan w:val="5"/>
          </w:tcPr>
          <w:p>
            <w:pPr>
              <w:spacing w:after="0"/>
              <w:rPr>
                <w:rFonts w:ascii="Arial" w:cs="Arial" w:eastAsia="Arial" w:hAnsi="Arial"/>
                <w:sz w:val="12"/>
                <w:szCs w:val="12"/>
                <w:b w:val="1"/>
                <w:bCs w:val="1"/>
                <w:color w:val="0000FF"/>
              </w:rPr>
            </w:pPr>
            <w:hyperlink w:anchor="page11">
              <w:r>
                <w:rPr>
                  <w:rFonts w:ascii="Arial" w:cs="Arial" w:eastAsia="Arial" w:hAnsi="Arial"/>
                  <w:sz w:val="12"/>
                  <w:szCs w:val="12"/>
                  <w:b w:val="1"/>
                  <w:bCs w:val="1"/>
                  <w:color w:val="0000FF"/>
                </w:rPr>
                <w:t>ITEM 3.</w:t>
              </w:r>
            </w:hyperlink>
          </w:p>
        </w:tc>
        <w:tc>
          <w:tcPr>
            <w:tcW w:w="4420" w:type="dxa"/>
            <w:vAlign w:val="bottom"/>
            <w:gridSpan w:val="14"/>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Quantitative and Qualitative Disclosures About Market Risk</w:t>
              </w:r>
            </w:hyperlink>
          </w:p>
        </w:tc>
        <w:tc>
          <w:tcPr>
            <w:tcW w:w="780" w:type="dxa"/>
            <w:vAlign w:val="bottom"/>
            <w:gridSpan w:val="4"/>
          </w:tcPr>
          <w:p>
            <w:pPr>
              <w:jc w:val="center"/>
              <w:ind w:left="40"/>
              <w:spacing w:after="0"/>
              <w:rPr>
                <w:rFonts w:ascii="Arial" w:cs="Arial" w:eastAsia="Arial" w:hAnsi="Arial"/>
                <w:sz w:val="12"/>
                <w:szCs w:val="12"/>
                <w:color w:val="0000EE"/>
                <w:w w:val="89"/>
              </w:rPr>
            </w:pPr>
            <w:hyperlink w:anchor="page11">
              <w:r>
                <w:rPr>
                  <w:rFonts w:ascii="Arial" w:cs="Arial" w:eastAsia="Arial" w:hAnsi="Arial"/>
                  <w:sz w:val="12"/>
                  <w:szCs w:val="12"/>
                  <w:color w:val="0000EE"/>
                  <w:w w:val="89"/>
                </w:rPr>
                <w:t>21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840" w:type="dxa"/>
            <w:vAlign w:val="bottom"/>
            <w:gridSpan w:val="5"/>
          </w:tcPr>
          <w:p>
            <w:pPr>
              <w:spacing w:after="0"/>
              <w:rPr>
                <w:rFonts w:ascii="Arial" w:cs="Arial" w:eastAsia="Arial" w:hAnsi="Arial"/>
                <w:sz w:val="12"/>
                <w:szCs w:val="12"/>
                <w:b w:val="1"/>
                <w:bCs w:val="1"/>
                <w:color w:val="0000FF"/>
              </w:rPr>
            </w:pPr>
            <w:hyperlink w:anchor="page11">
              <w:r>
                <w:rPr>
                  <w:rFonts w:ascii="Arial" w:cs="Arial" w:eastAsia="Arial" w:hAnsi="Arial"/>
                  <w:sz w:val="12"/>
                  <w:szCs w:val="12"/>
                  <w:b w:val="1"/>
                  <w:bCs w:val="1"/>
                  <w:color w:val="0000FF"/>
                </w:rPr>
                <w:t>ITEM 4.</w:t>
              </w:r>
            </w:hyperlink>
          </w:p>
        </w:tc>
        <w:tc>
          <w:tcPr>
            <w:tcW w:w="4420" w:type="dxa"/>
            <w:vAlign w:val="bottom"/>
            <w:gridSpan w:val="14"/>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Controls and Procedures</w:t>
              </w:r>
            </w:hyperlink>
          </w:p>
        </w:tc>
        <w:tc>
          <w:tcPr>
            <w:tcW w:w="780" w:type="dxa"/>
            <w:vAlign w:val="bottom"/>
            <w:gridSpan w:val="4"/>
          </w:tcPr>
          <w:p>
            <w:pPr>
              <w:jc w:val="center"/>
              <w:ind w:left="40"/>
              <w:spacing w:after="0"/>
              <w:rPr>
                <w:rFonts w:ascii="Arial" w:cs="Arial" w:eastAsia="Arial" w:hAnsi="Arial"/>
                <w:sz w:val="12"/>
                <w:szCs w:val="12"/>
                <w:color w:val="0000EE"/>
                <w:w w:val="89"/>
              </w:rPr>
            </w:pPr>
            <w:hyperlink w:anchor="page11">
              <w:r>
                <w:rPr>
                  <w:rFonts w:ascii="Arial" w:cs="Arial" w:eastAsia="Arial" w:hAnsi="Arial"/>
                  <w:sz w:val="12"/>
                  <w:szCs w:val="12"/>
                  <w:color w:val="0000EE"/>
                  <w:w w:val="89"/>
                </w:rPr>
                <w:t>21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840" w:type="dxa"/>
            <w:vAlign w:val="bottom"/>
            <w:gridSpan w:val="5"/>
          </w:tcPr>
          <w:p>
            <w:pPr>
              <w:spacing w:after="0"/>
              <w:rPr>
                <w:rFonts w:ascii="Arial" w:cs="Arial" w:eastAsia="Arial" w:hAnsi="Arial"/>
                <w:sz w:val="12"/>
                <w:szCs w:val="12"/>
                <w:b w:val="1"/>
                <w:bCs w:val="1"/>
                <w:color w:val="0000FF"/>
              </w:rPr>
            </w:pPr>
            <w:hyperlink w:anchor="page11">
              <w:r>
                <w:rPr>
                  <w:rFonts w:ascii="Arial" w:cs="Arial" w:eastAsia="Arial" w:hAnsi="Arial"/>
                  <w:sz w:val="12"/>
                  <w:szCs w:val="12"/>
                  <w:b w:val="1"/>
                  <w:bCs w:val="1"/>
                  <w:color w:val="0000FF"/>
                </w:rPr>
                <w:t>PART II.</w:t>
              </w:r>
            </w:hyperlink>
          </w:p>
        </w:tc>
        <w:tc>
          <w:tcPr>
            <w:tcW w:w="4420" w:type="dxa"/>
            <w:vAlign w:val="bottom"/>
            <w:gridSpan w:val="14"/>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OTHER INFORMATION</w:t>
              </w:r>
            </w:hyperlink>
          </w:p>
        </w:tc>
        <w:tc>
          <w:tcPr>
            <w:tcW w:w="780" w:type="dxa"/>
            <w:vAlign w:val="bottom"/>
            <w:gridSpan w:val="4"/>
          </w:tcPr>
          <w:p>
            <w:pPr>
              <w:jc w:val="center"/>
              <w:ind w:left="40"/>
              <w:spacing w:after="0"/>
              <w:rPr>
                <w:rFonts w:ascii="Arial" w:cs="Arial" w:eastAsia="Arial" w:hAnsi="Arial"/>
                <w:sz w:val="12"/>
                <w:szCs w:val="12"/>
                <w:color w:val="0000EE"/>
                <w:w w:val="89"/>
              </w:rPr>
            </w:pPr>
            <w:hyperlink w:anchor="page11">
              <w:r>
                <w:rPr>
                  <w:rFonts w:ascii="Arial" w:cs="Arial" w:eastAsia="Arial" w:hAnsi="Arial"/>
                  <w:sz w:val="12"/>
                  <w:szCs w:val="12"/>
                  <w:color w:val="0000EE"/>
                  <w:w w:val="89"/>
                </w:rPr>
                <w:t>22</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460" w:type="dxa"/>
            <w:vAlign w:val="bottom"/>
            <w:gridSpan w:val="2"/>
          </w:tcPr>
          <w:p>
            <w:pPr>
              <w:spacing w:after="0"/>
              <w:rPr>
                <w:rFonts w:ascii="Arial" w:cs="Arial" w:eastAsia="Arial" w:hAnsi="Arial"/>
                <w:sz w:val="12"/>
                <w:szCs w:val="12"/>
                <w:b w:val="1"/>
                <w:bCs w:val="1"/>
                <w:color w:val="0000FF"/>
              </w:rPr>
            </w:pPr>
            <w:hyperlink w:anchor="page11">
              <w:r>
                <w:rPr>
                  <w:rFonts w:ascii="Arial" w:cs="Arial" w:eastAsia="Arial" w:hAnsi="Arial"/>
                  <w:sz w:val="12"/>
                  <w:szCs w:val="12"/>
                  <w:b w:val="1"/>
                  <w:bCs w:val="1"/>
                  <w:color w:val="0000FF"/>
                </w:rPr>
                <w:t>ITEM 1.</w:t>
              </w:r>
            </w:hyperlink>
          </w:p>
        </w:tc>
        <w:tc>
          <w:tcPr>
            <w:tcW w:w="380" w:type="dxa"/>
            <w:vAlign w:val="bottom"/>
            <w:gridSpan w:val="3"/>
          </w:tcPr>
          <w:p>
            <w:pPr>
              <w:spacing w:after="0"/>
              <w:rPr>
                <w:sz w:val="14"/>
                <w:szCs w:val="14"/>
                <w:color w:val="auto"/>
              </w:rPr>
            </w:pPr>
          </w:p>
        </w:tc>
        <w:tc>
          <w:tcPr>
            <w:tcW w:w="1260" w:type="dxa"/>
            <w:vAlign w:val="bottom"/>
            <w:gridSpan w:val="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Legal Proceedings</w:t>
              </w:r>
            </w:hyperlink>
          </w:p>
        </w:tc>
        <w:tc>
          <w:tcPr>
            <w:tcW w:w="3160" w:type="dxa"/>
            <w:vAlign w:val="bottom"/>
            <w:gridSpan w:val="9"/>
          </w:tcPr>
          <w:p>
            <w:pPr>
              <w:spacing w:after="0"/>
              <w:rPr>
                <w:sz w:val="14"/>
                <w:szCs w:val="14"/>
                <w:color w:val="auto"/>
              </w:rPr>
            </w:pPr>
          </w:p>
        </w:tc>
        <w:tc>
          <w:tcPr>
            <w:tcW w:w="380" w:type="dxa"/>
            <w:vAlign w:val="bottom"/>
            <w:gridSpan w:val="2"/>
          </w:tcPr>
          <w:p>
            <w:pPr>
              <w:spacing w:after="0"/>
              <w:rPr>
                <w:sz w:val="14"/>
                <w:szCs w:val="14"/>
                <w:color w:val="auto"/>
              </w:rPr>
            </w:pPr>
          </w:p>
        </w:tc>
        <w:tc>
          <w:tcPr>
            <w:tcW w:w="400" w:type="dxa"/>
            <w:vAlign w:val="bottom"/>
            <w:gridSpan w:val="2"/>
          </w:tcPr>
          <w:p>
            <w:pPr>
              <w:jc w:val="center"/>
              <w:ind w:right="280"/>
              <w:spacing w:after="0"/>
              <w:rPr>
                <w:rFonts w:ascii="Arial" w:cs="Arial" w:eastAsia="Arial" w:hAnsi="Arial"/>
                <w:sz w:val="12"/>
                <w:szCs w:val="12"/>
                <w:color w:val="0000EE"/>
                <w:w w:val="89"/>
              </w:rPr>
            </w:pPr>
            <w:hyperlink w:anchor="page11">
              <w:r>
                <w:rPr>
                  <w:rFonts w:ascii="Arial" w:cs="Arial" w:eastAsia="Arial" w:hAnsi="Arial"/>
                  <w:sz w:val="12"/>
                  <w:szCs w:val="12"/>
                  <w:color w:val="0000EE"/>
                  <w:w w:val="89"/>
                </w:rPr>
                <w:t>22</w:t>
              </w:r>
            </w:hyperlink>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840" w:type="dxa"/>
            <w:vAlign w:val="bottom"/>
            <w:gridSpan w:val="5"/>
          </w:tcPr>
          <w:p>
            <w:pPr>
              <w:spacing w:after="0"/>
              <w:rPr>
                <w:rFonts w:ascii="Arial" w:cs="Arial" w:eastAsia="Arial" w:hAnsi="Arial"/>
                <w:sz w:val="12"/>
                <w:szCs w:val="12"/>
                <w:b w:val="1"/>
                <w:bCs w:val="1"/>
                <w:color w:val="0000FF"/>
              </w:rPr>
            </w:pPr>
            <w:hyperlink w:anchor="page11">
              <w:r>
                <w:rPr>
                  <w:rFonts w:ascii="Arial" w:cs="Arial" w:eastAsia="Arial" w:hAnsi="Arial"/>
                  <w:sz w:val="12"/>
                  <w:szCs w:val="12"/>
                  <w:b w:val="1"/>
                  <w:bCs w:val="1"/>
                  <w:color w:val="0000FF"/>
                </w:rPr>
                <w:t>ITEM 1A.</w:t>
              </w:r>
            </w:hyperlink>
          </w:p>
        </w:tc>
        <w:tc>
          <w:tcPr>
            <w:tcW w:w="4420" w:type="dxa"/>
            <w:vAlign w:val="bottom"/>
            <w:gridSpan w:val="14"/>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Risk Factors</w:t>
              </w:r>
            </w:hyperlink>
          </w:p>
        </w:tc>
        <w:tc>
          <w:tcPr>
            <w:tcW w:w="780" w:type="dxa"/>
            <w:vAlign w:val="bottom"/>
            <w:gridSpan w:val="4"/>
          </w:tcPr>
          <w:p>
            <w:pPr>
              <w:jc w:val="center"/>
              <w:ind w:left="40"/>
              <w:spacing w:after="0"/>
              <w:rPr>
                <w:rFonts w:ascii="Arial" w:cs="Arial" w:eastAsia="Arial" w:hAnsi="Arial"/>
                <w:sz w:val="12"/>
                <w:szCs w:val="12"/>
                <w:color w:val="0000EE"/>
                <w:w w:val="89"/>
              </w:rPr>
            </w:pPr>
            <w:hyperlink w:anchor="page11">
              <w:r>
                <w:rPr>
                  <w:rFonts w:ascii="Arial" w:cs="Arial" w:eastAsia="Arial" w:hAnsi="Arial"/>
                  <w:sz w:val="12"/>
                  <w:szCs w:val="12"/>
                  <w:color w:val="0000EE"/>
                  <w:w w:val="89"/>
                </w:rPr>
                <w:t>22</w:t>
              </w:r>
            </w:hyperlink>
          </w:p>
        </w:tc>
      </w:tr>
      <w:tr>
        <w:trPr>
          <w:trHeight w:val="20"/>
        </w:trPr>
        <w:tc>
          <w:tcPr>
            <w:tcW w:w="5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520" w:type="dxa"/>
            <w:vAlign w:val="bottom"/>
            <w:gridSpan w:val="3"/>
          </w:tcPr>
          <w:p>
            <w:pPr>
              <w:spacing w:after="0"/>
              <w:rPr>
                <w:rFonts w:ascii="Arial" w:cs="Arial" w:eastAsia="Arial" w:hAnsi="Arial"/>
                <w:sz w:val="12"/>
                <w:szCs w:val="12"/>
                <w:b w:val="1"/>
                <w:bCs w:val="1"/>
                <w:color w:val="0000FF"/>
              </w:rPr>
            </w:pPr>
            <w:hyperlink w:anchor="page11">
              <w:r>
                <w:rPr>
                  <w:rFonts w:ascii="Arial" w:cs="Arial" w:eastAsia="Arial" w:hAnsi="Arial"/>
                  <w:sz w:val="12"/>
                  <w:szCs w:val="12"/>
                  <w:b w:val="1"/>
                  <w:bCs w:val="1"/>
                  <w:color w:val="0000FF"/>
                </w:rPr>
                <w:t>ITEM 2.</w:t>
              </w:r>
            </w:hyperlink>
          </w:p>
        </w:tc>
        <w:tc>
          <w:tcPr>
            <w:tcW w:w="320" w:type="dxa"/>
            <w:vAlign w:val="bottom"/>
            <w:gridSpan w:val="2"/>
          </w:tcPr>
          <w:p>
            <w:pPr>
              <w:spacing w:after="0"/>
              <w:rPr>
                <w:sz w:val="14"/>
                <w:szCs w:val="14"/>
                <w:color w:val="auto"/>
              </w:rPr>
            </w:pPr>
          </w:p>
        </w:tc>
        <w:tc>
          <w:tcPr>
            <w:tcW w:w="4420" w:type="dxa"/>
            <w:vAlign w:val="bottom"/>
            <w:gridSpan w:val="14"/>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Unregistered Sales of Equity Securities and Use of Proceeds</w:t>
              </w:r>
            </w:hyperlink>
          </w:p>
        </w:tc>
        <w:tc>
          <w:tcPr>
            <w:tcW w:w="780" w:type="dxa"/>
            <w:vAlign w:val="bottom"/>
            <w:gridSpan w:val="4"/>
          </w:tcPr>
          <w:p>
            <w:pPr>
              <w:jc w:val="center"/>
              <w:ind w:left="40"/>
              <w:spacing w:after="0"/>
              <w:rPr>
                <w:rFonts w:ascii="Arial" w:cs="Arial" w:eastAsia="Arial" w:hAnsi="Arial"/>
                <w:sz w:val="12"/>
                <w:szCs w:val="12"/>
                <w:color w:val="0000EE"/>
                <w:w w:val="89"/>
              </w:rPr>
            </w:pPr>
            <w:hyperlink w:anchor="page11">
              <w:r>
                <w:rPr>
                  <w:rFonts w:ascii="Arial" w:cs="Arial" w:eastAsia="Arial" w:hAnsi="Arial"/>
                  <w:sz w:val="12"/>
                  <w:szCs w:val="12"/>
                  <w:color w:val="0000EE"/>
                  <w:w w:val="89"/>
                </w:rPr>
                <w:t>22</w:t>
              </w:r>
            </w:hyperlink>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840" w:type="dxa"/>
            <w:vAlign w:val="bottom"/>
            <w:gridSpan w:val="5"/>
          </w:tcPr>
          <w:p>
            <w:pPr>
              <w:spacing w:after="0"/>
              <w:rPr>
                <w:rFonts w:ascii="Arial" w:cs="Arial" w:eastAsia="Arial" w:hAnsi="Arial"/>
                <w:sz w:val="12"/>
                <w:szCs w:val="12"/>
                <w:b w:val="1"/>
                <w:bCs w:val="1"/>
                <w:color w:val="0000FF"/>
              </w:rPr>
            </w:pPr>
            <w:hyperlink w:anchor="page11">
              <w:r>
                <w:rPr>
                  <w:rFonts w:ascii="Arial" w:cs="Arial" w:eastAsia="Arial" w:hAnsi="Arial"/>
                  <w:sz w:val="12"/>
                  <w:szCs w:val="12"/>
                  <w:b w:val="1"/>
                  <w:bCs w:val="1"/>
                  <w:color w:val="0000FF"/>
                </w:rPr>
                <w:t>ITEM 5.</w:t>
              </w:r>
            </w:hyperlink>
          </w:p>
        </w:tc>
        <w:tc>
          <w:tcPr>
            <w:tcW w:w="4420" w:type="dxa"/>
            <w:vAlign w:val="bottom"/>
            <w:gridSpan w:val="14"/>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Other Information</w:t>
              </w:r>
            </w:hyperlink>
          </w:p>
        </w:tc>
        <w:tc>
          <w:tcPr>
            <w:tcW w:w="780" w:type="dxa"/>
            <w:vAlign w:val="bottom"/>
            <w:gridSpan w:val="4"/>
          </w:tcPr>
          <w:p>
            <w:pPr>
              <w:jc w:val="center"/>
              <w:ind w:left="40"/>
              <w:spacing w:after="0"/>
              <w:rPr>
                <w:rFonts w:ascii="Arial" w:cs="Arial" w:eastAsia="Arial" w:hAnsi="Arial"/>
                <w:sz w:val="12"/>
                <w:szCs w:val="12"/>
                <w:color w:val="0000EE"/>
                <w:w w:val="89"/>
              </w:rPr>
            </w:pPr>
            <w:hyperlink w:anchor="page11">
              <w:r>
                <w:rPr>
                  <w:rFonts w:ascii="Arial" w:cs="Arial" w:eastAsia="Arial" w:hAnsi="Arial"/>
                  <w:sz w:val="12"/>
                  <w:szCs w:val="12"/>
                  <w:color w:val="0000EE"/>
                  <w:w w:val="89"/>
                </w:rPr>
                <w:t>23</w:t>
              </w:r>
            </w:hyperlink>
          </w:p>
        </w:tc>
      </w:tr>
      <w:tr>
        <w:trPr>
          <w:trHeight w:val="20"/>
        </w:trPr>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540" w:type="dxa"/>
            <w:vAlign w:val="bottom"/>
            <w:gridSpan w:val="1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840" w:type="dxa"/>
            <w:vAlign w:val="bottom"/>
            <w:gridSpan w:val="5"/>
          </w:tcPr>
          <w:p>
            <w:pPr>
              <w:spacing w:after="0"/>
              <w:rPr>
                <w:rFonts w:ascii="Arial" w:cs="Arial" w:eastAsia="Arial" w:hAnsi="Arial"/>
                <w:sz w:val="12"/>
                <w:szCs w:val="12"/>
                <w:b w:val="1"/>
                <w:bCs w:val="1"/>
                <w:color w:val="0000FF"/>
              </w:rPr>
            </w:pPr>
            <w:hyperlink w:anchor="page12">
              <w:r>
                <w:rPr>
                  <w:rFonts w:ascii="Arial" w:cs="Arial" w:eastAsia="Arial" w:hAnsi="Arial"/>
                  <w:sz w:val="12"/>
                  <w:szCs w:val="12"/>
                  <w:b w:val="1"/>
                  <w:bCs w:val="1"/>
                  <w:color w:val="0000FF"/>
                </w:rPr>
                <w:t>ITEM 6.</w:t>
              </w:r>
            </w:hyperlink>
          </w:p>
        </w:tc>
        <w:tc>
          <w:tcPr>
            <w:tcW w:w="4420" w:type="dxa"/>
            <w:vAlign w:val="bottom"/>
            <w:gridSpan w:val="14"/>
          </w:tcPr>
          <w:p>
            <w:pPr>
              <w:spacing w:after="0"/>
              <w:rPr>
                <w:rFonts w:ascii="Arial" w:cs="Arial" w:eastAsia="Arial" w:hAnsi="Arial"/>
                <w:sz w:val="12"/>
                <w:szCs w:val="12"/>
                <w:color w:val="0000FF"/>
              </w:rPr>
            </w:pPr>
            <w:hyperlink w:anchor="page12">
              <w:r>
                <w:rPr>
                  <w:rFonts w:ascii="Arial" w:cs="Arial" w:eastAsia="Arial" w:hAnsi="Arial"/>
                  <w:sz w:val="12"/>
                  <w:szCs w:val="12"/>
                  <w:color w:val="0000FF"/>
                </w:rPr>
                <w:t>Exhibits</w:t>
              </w:r>
            </w:hyperlink>
          </w:p>
        </w:tc>
        <w:tc>
          <w:tcPr>
            <w:tcW w:w="780" w:type="dxa"/>
            <w:vAlign w:val="bottom"/>
            <w:gridSpan w:val="4"/>
          </w:tcPr>
          <w:p>
            <w:pPr>
              <w:jc w:val="center"/>
              <w:ind w:left="40"/>
              <w:spacing w:after="0"/>
              <w:rPr>
                <w:rFonts w:ascii="Arial" w:cs="Arial" w:eastAsia="Arial" w:hAnsi="Arial"/>
                <w:sz w:val="12"/>
                <w:szCs w:val="12"/>
                <w:color w:val="0000EE"/>
                <w:w w:val="89"/>
              </w:rPr>
            </w:pPr>
            <w:hyperlink w:anchor="page12">
              <w:r>
                <w:rPr>
                  <w:rFonts w:ascii="Arial" w:cs="Arial" w:eastAsia="Arial" w:hAnsi="Arial"/>
                  <w:sz w:val="12"/>
                  <w:szCs w:val="12"/>
                  <w:color w:val="0000EE"/>
                  <w:w w:val="89"/>
                </w:rPr>
                <w:t>23</w:t>
              </w:r>
            </w:hyperlink>
          </w:p>
        </w:tc>
      </w:tr>
      <w:tr>
        <w:trPr>
          <w:trHeight w:val="20"/>
        </w:trPr>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780" w:type="dxa"/>
            <w:vAlign w:val="bottom"/>
            <w:gridSpan w:val="4"/>
          </w:tcPr>
          <w:p>
            <w:pPr>
              <w:spacing w:after="0"/>
              <w:rPr>
                <w:rFonts w:ascii="Arial" w:cs="Arial" w:eastAsia="Arial" w:hAnsi="Arial"/>
                <w:sz w:val="12"/>
                <w:szCs w:val="12"/>
                <w:b w:val="1"/>
                <w:bCs w:val="1"/>
                <w:color w:val="0000FF"/>
                <w:w w:val="96"/>
              </w:rPr>
            </w:pPr>
            <w:hyperlink w:anchor="page12">
              <w:r>
                <w:rPr>
                  <w:rFonts w:ascii="Arial" w:cs="Arial" w:eastAsia="Arial" w:hAnsi="Arial"/>
                  <w:sz w:val="12"/>
                  <w:szCs w:val="12"/>
                  <w:b w:val="1"/>
                  <w:bCs w:val="1"/>
                  <w:color w:val="0000FF"/>
                  <w:w w:val="96"/>
                </w:rPr>
                <w:t>SIGNATURES</w:t>
              </w:r>
            </w:hyperlink>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400" w:type="dxa"/>
            <w:vAlign w:val="bottom"/>
            <w:gridSpan w:val="2"/>
          </w:tcPr>
          <w:p>
            <w:pPr>
              <w:jc w:val="center"/>
              <w:ind w:right="280"/>
              <w:spacing w:after="0"/>
              <w:rPr>
                <w:rFonts w:ascii="Arial" w:cs="Arial" w:eastAsia="Arial" w:hAnsi="Arial"/>
                <w:sz w:val="12"/>
                <w:szCs w:val="12"/>
                <w:color w:val="0000EE"/>
                <w:w w:val="89"/>
              </w:rPr>
            </w:pPr>
            <w:hyperlink w:anchor="page12">
              <w:r>
                <w:rPr>
                  <w:rFonts w:ascii="Arial" w:cs="Arial" w:eastAsia="Arial" w:hAnsi="Arial"/>
                  <w:sz w:val="12"/>
                  <w:szCs w:val="12"/>
                  <w:color w:val="0000EE"/>
                  <w:w w:val="89"/>
                </w:rPr>
                <w:t>24</w:t>
              </w:r>
            </w:hyperlink>
          </w:p>
        </w:tc>
      </w:tr>
      <w:tr>
        <w:trPr>
          <w:trHeight w:val="20"/>
        </w:trPr>
        <w:tc>
          <w:tcPr>
            <w:tcW w:w="4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387350</wp:posOffset>
            </wp:positionV>
            <wp:extent cx="73177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260" w:type="dxa"/>
            <w:vAlign w:val="bottom"/>
            <w:gridSpan w:val="2"/>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2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PART I. FINANCIAL INFORMATION</w:t>
            </w:r>
          </w:p>
        </w:tc>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w w:val="95"/>
              </w:rPr>
              <w:t>ITEM 1. Condensed Financial Statements</w:t>
            </w:r>
          </w:p>
        </w:tc>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Winnebago Industries, Inc.</w:t>
            </w:r>
          </w:p>
        </w:tc>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Unaudited Statements of Operations</w:t>
            </w:r>
          </w:p>
        </w:tc>
        <w:tc>
          <w:tcPr>
            <w:tcW w:w="2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840" w:type="dxa"/>
            <w:vAlign w:val="bottom"/>
          </w:tcPr>
          <w:p>
            <w:pPr>
              <w:spacing w:after="0"/>
              <w:rPr>
                <w:sz w:val="22"/>
                <w:szCs w:val="22"/>
                <w:color w:val="auto"/>
              </w:rPr>
            </w:pPr>
          </w:p>
        </w:tc>
        <w:tc>
          <w:tcPr>
            <w:tcW w:w="1420" w:type="dxa"/>
            <w:vAlign w:val="bottom"/>
            <w:vMerge w:val="restart"/>
          </w:tcPr>
          <w:p>
            <w:pPr>
              <w:ind w:left="880"/>
              <w:spacing w:after="0"/>
              <w:rPr>
                <w:sz w:val="20"/>
                <w:szCs w:val="20"/>
                <w:color w:val="auto"/>
              </w:rPr>
            </w:pPr>
            <w:r>
              <w:rPr>
                <w:rFonts w:ascii="Arial" w:cs="Arial" w:eastAsia="Arial" w:hAnsi="Arial"/>
                <w:sz w:val="12"/>
                <w:szCs w:val="12"/>
                <w:b w:val="1"/>
                <w:bCs w:val="1"/>
                <w:color w:val="auto"/>
              </w:rPr>
              <w:t>(In</w:t>
            </w:r>
          </w:p>
        </w:tc>
        <w:tc>
          <w:tcPr>
            <w:tcW w:w="26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52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Quarter Ended</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200" w:type="dxa"/>
            <w:vAlign w:val="bottom"/>
          </w:tcPr>
          <w:p>
            <w:pPr>
              <w:jc w:val="right"/>
              <w:ind w:right="4320"/>
              <w:spacing w:after="0" w:line="121" w:lineRule="exact"/>
              <w:rPr>
                <w:sz w:val="20"/>
                <w:szCs w:val="20"/>
                <w:color w:val="auto"/>
              </w:rPr>
            </w:pPr>
            <w:r>
              <w:rPr>
                <w:rFonts w:ascii="Arial" w:cs="Arial" w:eastAsia="Arial" w:hAnsi="Arial"/>
                <w:sz w:val="12"/>
                <w:szCs w:val="12"/>
                <w:b w:val="1"/>
                <w:bCs w:val="1"/>
                <w:color w:val="auto"/>
              </w:rPr>
              <w:t>February 27,</w:t>
            </w:r>
          </w:p>
        </w:tc>
        <w:tc>
          <w:tcPr>
            <w:tcW w:w="0" w:type="dxa"/>
            <w:vAlign w:val="bottom"/>
          </w:tcPr>
          <w:p>
            <w:pPr>
              <w:spacing w:after="0"/>
              <w:rPr>
                <w:sz w:val="1"/>
                <w:szCs w:val="1"/>
                <w:color w:val="auto"/>
              </w:rPr>
            </w:pPr>
          </w:p>
        </w:tc>
      </w:tr>
      <w:tr>
        <w:trPr>
          <w:trHeight w:val="157"/>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thousands, except per share data)</w:t>
            </w:r>
          </w:p>
        </w:tc>
        <w:tc>
          <w:tcPr>
            <w:tcW w:w="26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2010</w:t>
            </w:r>
          </w:p>
        </w:tc>
        <w:tc>
          <w:tcPr>
            <w:tcW w:w="5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40" w:type="dxa"/>
            <w:vAlign w:val="bottom"/>
            <w:shd w:val="clear" w:color="auto" w:fill="CCEEFF"/>
          </w:tcPr>
          <w:p>
            <w:pPr>
              <w:spacing w:after="0"/>
              <w:rPr>
                <w:sz w:val="11"/>
                <w:szCs w:val="11"/>
                <w:color w:val="auto"/>
              </w:rPr>
            </w:pPr>
          </w:p>
        </w:tc>
        <w:tc>
          <w:tcPr>
            <w:tcW w:w="1420" w:type="dxa"/>
            <w:vAlign w:val="bottom"/>
            <w:shd w:val="clear" w:color="auto" w:fill="CCEEFF"/>
          </w:tcPr>
          <w:p>
            <w:pPr>
              <w:ind w:left="880"/>
              <w:spacing w:after="0" w:line="136" w:lineRule="exact"/>
              <w:rPr>
                <w:sz w:val="20"/>
                <w:szCs w:val="20"/>
                <w:color w:val="auto"/>
              </w:rPr>
            </w:pPr>
            <w:r>
              <w:rPr>
                <w:rFonts w:ascii="Arial" w:cs="Arial" w:eastAsia="Arial" w:hAnsi="Arial"/>
                <w:sz w:val="12"/>
                <w:szCs w:val="12"/>
                <w:color w:val="auto"/>
              </w:rPr>
              <w:t>Net</w:t>
            </w:r>
          </w:p>
        </w:tc>
        <w:tc>
          <w:tcPr>
            <w:tcW w:w="26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revenues</w:t>
            </w:r>
          </w:p>
        </w:tc>
        <w:tc>
          <w:tcPr>
            <w:tcW w:w="26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110,529</w:t>
            </w:r>
          </w:p>
        </w:tc>
        <w:tc>
          <w:tcPr>
            <w:tcW w:w="5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420" w:type="dxa"/>
            <w:vAlign w:val="bottom"/>
          </w:tcPr>
          <w:p>
            <w:pPr>
              <w:ind w:left="880"/>
              <w:spacing w:after="0" w:line="136" w:lineRule="exact"/>
              <w:rPr>
                <w:sz w:val="20"/>
                <w:szCs w:val="20"/>
                <w:color w:val="auto"/>
              </w:rPr>
            </w:pPr>
            <w:r>
              <w:rPr>
                <w:rFonts w:ascii="Arial" w:cs="Arial" w:eastAsia="Arial" w:hAnsi="Arial"/>
                <w:sz w:val="12"/>
                <w:szCs w:val="12"/>
                <w:color w:val="auto"/>
              </w:rPr>
              <w:t>Cost of</w:t>
            </w:r>
          </w:p>
        </w:tc>
        <w:tc>
          <w:tcPr>
            <w:tcW w:w="2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goods sold</w:t>
            </w:r>
          </w:p>
        </w:tc>
        <w:tc>
          <w:tcPr>
            <w:tcW w:w="26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105,745</w:t>
            </w:r>
          </w:p>
        </w:tc>
        <w:tc>
          <w:tcPr>
            <w:tcW w:w="5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shd w:val="clear" w:color="auto" w:fill="CCEEFF"/>
          </w:tcPr>
          <w:p>
            <w:pPr>
              <w:spacing w:after="0"/>
              <w:rPr>
                <w:sz w:val="10"/>
                <w:szCs w:val="10"/>
                <w:color w:val="auto"/>
              </w:rPr>
            </w:pPr>
          </w:p>
        </w:tc>
        <w:tc>
          <w:tcPr>
            <w:tcW w:w="1420" w:type="dxa"/>
            <w:vAlign w:val="bottom"/>
            <w:shd w:val="clear" w:color="auto" w:fill="CCEEFF"/>
          </w:tcPr>
          <w:p>
            <w:pPr>
              <w:ind w:left="880"/>
              <w:spacing w:after="0" w:line="115" w:lineRule="exact"/>
              <w:rPr>
                <w:sz w:val="20"/>
                <w:szCs w:val="20"/>
                <w:color w:val="auto"/>
              </w:rPr>
            </w:pPr>
            <w:r>
              <w:rPr>
                <w:rFonts w:ascii="Arial" w:cs="Arial" w:eastAsia="Arial" w:hAnsi="Arial"/>
                <w:sz w:val="12"/>
                <w:szCs w:val="12"/>
                <w:color w:val="auto"/>
              </w:rPr>
              <w:t>Gross</w:t>
            </w:r>
          </w:p>
        </w:tc>
        <w:tc>
          <w:tcPr>
            <w:tcW w:w="26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5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profit (deficit)</w:t>
            </w:r>
          </w:p>
        </w:tc>
        <w:tc>
          <w:tcPr>
            <w:tcW w:w="26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4,784</w:t>
            </w:r>
          </w:p>
        </w:tc>
        <w:tc>
          <w:tcPr>
            <w:tcW w:w="52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shd w:val="clear" w:color="auto" w:fill="CCEEFF"/>
          </w:tcPr>
          <w:p>
            <w:pPr>
              <w:spacing w:after="0"/>
              <w:rPr>
                <w:sz w:val="11"/>
                <w:szCs w:val="11"/>
                <w:color w:val="auto"/>
              </w:rPr>
            </w:pPr>
          </w:p>
        </w:tc>
        <w:tc>
          <w:tcPr>
            <w:tcW w:w="1420" w:type="dxa"/>
            <w:vAlign w:val="bottom"/>
            <w:shd w:val="clear" w:color="auto" w:fill="CCEEFF"/>
          </w:tcPr>
          <w:p>
            <w:pPr>
              <w:ind w:left="880"/>
              <w:spacing w:after="0" w:line="136" w:lineRule="exact"/>
              <w:rPr>
                <w:sz w:val="20"/>
                <w:szCs w:val="20"/>
                <w:color w:val="auto"/>
              </w:rPr>
            </w:pPr>
            <w:r>
              <w:rPr>
                <w:rFonts w:ascii="Arial" w:cs="Arial" w:eastAsia="Arial" w:hAnsi="Arial"/>
                <w:sz w:val="12"/>
                <w:szCs w:val="12"/>
                <w:color w:val="auto"/>
                <w:w w:val="98"/>
              </w:rPr>
              <w:t>Operating</w:t>
            </w:r>
          </w:p>
        </w:tc>
        <w:tc>
          <w:tcPr>
            <w:tcW w:w="26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expenses:</w:t>
            </w:r>
          </w:p>
        </w:tc>
        <w:tc>
          <w:tcPr>
            <w:tcW w:w="26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5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420" w:type="dxa"/>
            <w:vAlign w:val="bottom"/>
          </w:tcPr>
          <w:p>
            <w:pPr>
              <w:ind w:left="1040"/>
              <w:spacing w:after="0"/>
              <w:rPr>
                <w:sz w:val="20"/>
                <w:szCs w:val="20"/>
                <w:color w:val="auto"/>
              </w:rPr>
            </w:pPr>
            <w:r>
              <w:rPr>
                <w:rFonts w:ascii="Arial" w:cs="Arial" w:eastAsia="Arial" w:hAnsi="Arial"/>
                <w:sz w:val="12"/>
                <w:szCs w:val="12"/>
                <w:color w:val="auto"/>
                <w:w w:val="99"/>
              </w:rPr>
              <w:t>Selling</w:t>
            </w:r>
          </w:p>
        </w:tc>
        <w:tc>
          <w:tcPr>
            <w:tcW w:w="2660" w:type="dxa"/>
            <w:vAlign w:val="bottom"/>
          </w:tcPr>
          <w:p>
            <w:pPr>
              <w:spacing w:after="0"/>
              <w:rPr>
                <w:sz w:val="12"/>
                <w:szCs w:val="12"/>
                <w:color w:val="auto"/>
              </w:rPr>
            </w:pPr>
          </w:p>
        </w:tc>
        <w:tc>
          <w:tcPr>
            <w:tcW w:w="1420" w:type="dxa"/>
            <w:vAlign w:val="bottom"/>
          </w:tcPr>
          <w:p>
            <w:pPr>
              <w:jc w:val="right"/>
              <w:ind w:right="100"/>
              <w:spacing w:after="0"/>
              <w:rPr>
                <w:sz w:val="20"/>
                <w:szCs w:val="20"/>
                <w:color w:val="auto"/>
              </w:rPr>
            </w:pPr>
            <w:r>
              <w:rPr>
                <w:rFonts w:ascii="Arial" w:cs="Arial" w:eastAsia="Arial" w:hAnsi="Arial"/>
                <w:sz w:val="12"/>
                <w:szCs w:val="12"/>
                <w:color w:val="auto"/>
              </w:rPr>
              <w:t>3,102</w:t>
            </w:r>
          </w:p>
        </w:tc>
        <w:tc>
          <w:tcPr>
            <w:tcW w:w="5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shd w:val="clear" w:color="auto" w:fill="CCEEFF"/>
          </w:tcPr>
          <w:p>
            <w:pPr>
              <w:spacing w:after="0"/>
              <w:rPr>
                <w:sz w:val="11"/>
                <w:szCs w:val="11"/>
                <w:color w:val="auto"/>
              </w:rPr>
            </w:pPr>
          </w:p>
        </w:tc>
        <w:tc>
          <w:tcPr>
            <w:tcW w:w="1420" w:type="dxa"/>
            <w:vAlign w:val="bottom"/>
            <w:shd w:val="clear" w:color="auto" w:fill="CCEEFF"/>
          </w:tcPr>
          <w:p>
            <w:pPr>
              <w:ind w:left="1040"/>
              <w:spacing w:after="0" w:line="136" w:lineRule="exact"/>
              <w:rPr>
                <w:sz w:val="20"/>
                <w:szCs w:val="20"/>
                <w:color w:val="auto"/>
              </w:rPr>
            </w:pPr>
            <w:r>
              <w:rPr>
                <w:rFonts w:ascii="Arial" w:cs="Arial" w:eastAsia="Arial" w:hAnsi="Arial"/>
                <w:sz w:val="12"/>
                <w:szCs w:val="12"/>
                <w:color w:val="auto"/>
                <w:w w:val="84"/>
              </w:rPr>
              <w:t>General</w:t>
            </w:r>
          </w:p>
        </w:tc>
        <w:tc>
          <w:tcPr>
            <w:tcW w:w="26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5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and administrative</w:t>
            </w:r>
          </w:p>
        </w:tc>
        <w:tc>
          <w:tcPr>
            <w:tcW w:w="26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3,540</w:t>
            </w:r>
          </w:p>
        </w:tc>
        <w:tc>
          <w:tcPr>
            <w:tcW w:w="52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1420" w:type="dxa"/>
            <w:vAlign w:val="bottom"/>
          </w:tcPr>
          <w:p>
            <w:pPr>
              <w:ind w:left="1160"/>
              <w:spacing w:after="0" w:line="133" w:lineRule="exact"/>
              <w:rPr>
                <w:sz w:val="20"/>
                <w:szCs w:val="20"/>
                <w:color w:val="auto"/>
              </w:rPr>
            </w:pPr>
            <w:r>
              <w:rPr>
                <w:rFonts w:ascii="Arial" w:cs="Arial" w:eastAsia="Arial" w:hAnsi="Arial"/>
                <w:sz w:val="12"/>
                <w:szCs w:val="12"/>
                <w:color w:val="auto"/>
                <w:w w:val="89"/>
              </w:rPr>
              <w:t>Total</w:t>
            </w:r>
          </w:p>
        </w:tc>
        <w:tc>
          <w:tcPr>
            <w:tcW w:w="26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913" w:orient="portrait"/>
          <w:cols w:equalWidth="0" w:num="1">
            <w:col w:w="11548"/>
          </w:cols>
          <w:pgMar w:left="212" w:top="545" w:right="139" w:bottom="0" w:gutter="0" w:footer="0" w:header="0"/>
        </w:sectPr>
      </w:pPr>
    </w:p>
    <w:bookmarkStart w:id="1" w:name="page2"/>
    <w:bookmarkEnd w:id="1"/>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680" w:type="dxa"/>
            <w:vAlign w:val="bottom"/>
            <w:gridSpan w:val="3"/>
          </w:tcPr>
          <w:p>
            <w:pPr>
              <w:ind w:left="240"/>
              <w:spacing w:after="0"/>
              <w:rPr>
                <w:sz w:val="20"/>
                <w:szCs w:val="20"/>
                <w:color w:val="auto"/>
              </w:rPr>
            </w:pPr>
            <w:r>
              <w:rPr>
                <w:rFonts w:ascii="Arial" w:cs="Arial" w:eastAsia="Arial" w:hAnsi="Arial"/>
                <w:sz w:val="12"/>
                <w:szCs w:val="12"/>
                <w:color w:val="auto"/>
              </w:rPr>
              <w:t>operating expenses</w:t>
            </w:r>
          </w:p>
        </w:tc>
        <w:tc>
          <w:tcPr>
            <w:tcW w:w="1340" w:type="dxa"/>
            <w:vAlign w:val="bottom"/>
          </w:tcPr>
          <w:p>
            <w:pPr>
              <w:spacing w:after="0"/>
              <w:rPr>
                <w:sz w:val="13"/>
                <w:szCs w:val="13"/>
                <w:color w:val="auto"/>
              </w:rPr>
            </w:pPr>
          </w:p>
        </w:tc>
        <w:tc>
          <w:tcPr>
            <w:tcW w:w="2000" w:type="dxa"/>
            <w:vAlign w:val="bottom"/>
          </w:tcPr>
          <w:p>
            <w:pPr>
              <w:jc w:val="right"/>
              <w:ind w:right="800"/>
              <w:spacing w:after="0"/>
              <w:rPr>
                <w:sz w:val="20"/>
                <w:szCs w:val="20"/>
                <w:color w:val="auto"/>
              </w:rPr>
            </w:pPr>
            <w:r>
              <w:rPr>
                <w:rFonts w:ascii="Arial" w:cs="Arial" w:eastAsia="Arial" w:hAnsi="Arial"/>
                <w:sz w:val="12"/>
                <w:szCs w:val="12"/>
                <w:color w:val="auto"/>
              </w:rPr>
              <w:t>6,642</w:t>
            </w: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tcBorders>
              <w:top w:val="single" w:sz="8" w:color="CCEEFF"/>
              <w:bottom w:val="single" w:sz="8" w:color="CCEEFF"/>
            </w:tcBorders>
            <w:shd w:val="clear" w:color="auto" w:fill="CCEEFF"/>
          </w:tcPr>
          <w:p>
            <w:pPr>
              <w:spacing w:after="0"/>
              <w:rPr>
                <w:sz w:val="10"/>
                <w:szCs w:val="10"/>
                <w:color w:val="auto"/>
              </w:rPr>
            </w:pPr>
          </w:p>
        </w:tc>
        <w:tc>
          <w:tcPr>
            <w:tcW w:w="1420" w:type="dxa"/>
            <w:vAlign w:val="bottom"/>
            <w:tcBorders>
              <w:top w:val="single" w:sz="8" w:color="CCEEFF"/>
              <w:bottom w:val="single" w:sz="8" w:color="CCEEFF"/>
            </w:tcBorders>
            <w:shd w:val="clear" w:color="auto" w:fill="CCEEFF"/>
          </w:tcPr>
          <w:p>
            <w:pPr>
              <w:spacing w:after="0"/>
              <w:rPr>
                <w:sz w:val="10"/>
                <w:szCs w:val="10"/>
                <w:color w:val="auto"/>
              </w:rPr>
            </w:pPr>
          </w:p>
        </w:tc>
        <w:tc>
          <w:tcPr>
            <w:tcW w:w="1440" w:type="dxa"/>
            <w:vAlign w:val="bottom"/>
            <w:tcBorders>
              <w:top w:val="single" w:sz="8" w:color="auto"/>
              <w:bottom w:val="single" w:sz="8" w:color="auto"/>
            </w:tcBorders>
            <w:shd w:val="clear" w:color="auto" w:fill="CCEEFF"/>
          </w:tcPr>
          <w:p>
            <w:pPr>
              <w:spacing w:after="0"/>
              <w:rPr>
                <w:sz w:val="10"/>
                <w:szCs w:val="10"/>
                <w:color w:val="auto"/>
              </w:rPr>
            </w:pPr>
          </w:p>
        </w:tc>
        <w:tc>
          <w:tcPr>
            <w:tcW w:w="1340" w:type="dxa"/>
            <w:vAlign w:val="bottom"/>
            <w:tcBorders>
              <w:top w:val="single" w:sz="8" w:color="auto"/>
              <w:bottom w:val="single" w:sz="8" w:color="auto"/>
            </w:tcBorders>
            <w:shd w:val="clear" w:color="auto" w:fill="CCEEFF"/>
          </w:tcPr>
          <w:p>
            <w:pPr>
              <w:spacing w:after="0"/>
              <w:rPr>
                <w:sz w:val="10"/>
                <w:szCs w:val="10"/>
                <w:color w:val="auto"/>
              </w:rPr>
            </w:pPr>
          </w:p>
        </w:tc>
        <w:tc>
          <w:tcPr>
            <w:tcW w:w="20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spacing w:after="0"/>
              <w:rPr>
                <w:sz w:val="10"/>
                <w:szCs w:val="10"/>
                <w:color w:val="auto"/>
              </w:rPr>
            </w:pPr>
          </w:p>
        </w:tc>
        <w:tc>
          <w:tcPr>
            <w:tcW w:w="178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60" w:type="dxa"/>
            <w:vAlign w:val="bottom"/>
            <w:gridSpan w:val="2"/>
          </w:tcPr>
          <w:p>
            <w:pPr>
              <w:ind w:left="880"/>
              <w:spacing w:after="0" w:line="133" w:lineRule="exact"/>
              <w:rPr>
                <w:sz w:val="20"/>
                <w:szCs w:val="20"/>
                <w:color w:val="auto"/>
              </w:rPr>
            </w:pPr>
            <w:r>
              <w:rPr>
                <w:rFonts w:ascii="Arial" w:cs="Arial" w:eastAsia="Arial" w:hAnsi="Arial"/>
                <w:sz w:val="12"/>
                <w:szCs w:val="12"/>
                <w:color w:val="auto"/>
              </w:rPr>
              <w:t>Operating</w:t>
            </w:r>
          </w:p>
        </w:tc>
        <w:tc>
          <w:tcPr>
            <w:tcW w:w="13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00" w:type="dxa"/>
            <w:vAlign w:val="bottom"/>
            <w:gridSpan w:val="4"/>
          </w:tcPr>
          <w:p>
            <w:pPr>
              <w:spacing w:after="0"/>
              <w:rPr>
                <w:sz w:val="20"/>
                <w:szCs w:val="20"/>
                <w:color w:val="auto"/>
              </w:rPr>
            </w:pPr>
            <w:r>
              <w:rPr>
                <w:rFonts w:ascii="Arial" w:cs="Arial" w:eastAsia="Arial" w:hAnsi="Arial"/>
                <w:sz w:val="12"/>
                <w:szCs w:val="12"/>
                <w:color w:val="auto"/>
              </w:rPr>
              <w:t>loss</w:t>
            </w:r>
          </w:p>
        </w:tc>
        <w:tc>
          <w:tcPr>
            <w:tcW w:w="1340" w:type="dxa"/>
            <w:vAlign w:val="bottom"/>
          </w:tcPr>
          <w:p>
            <w:pPr>
              <w:spacing w:after="0"/>
              <w:rPr>
                <w:sz w:val="13"/>
                <w:szCs w:val="13"/>
                <w:color w:val="auto"/>
              </w:rPr>
            </w:pPr>
          </w:p>
        </w:tc>
        <w:tc>
          <w:tcPr>
            <w:tcW w:w="2000" w:type="dxa"/>
            <w:vAlign w:val="bottom"/>
          </w:tcPr>
          <w:p>
            <w:pPr>
              <w:jc w:val="right"/>
              <w:ind w:right="800"/>
              <w:spacing w:after="0"/>
              <w:rPr>
                <w:sz w:val="20"/>
                <w:szCs w:val="20"/>
                <w:color w:val="auto"/>
              </w:rPr>
            </w:pPr>
            <w:r>
              <w:rPr>
                <w:rFonts w:ascii="Arial" w:cs="Arial" w:eastAsia="Arial" w:hAnsi="Arial"/>
                <w:sz w:val="12"/>
                <w:szCs w:val="12"/>
                <w:color w:val="auto"/>
              </w:rPr>
              <w:t>(1,858</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ind w:left="880"/>
              <w:spacing w:after="0" w:line="136" w:lineRule="exact"/>
              <w:rPr>
                <w:sz w:val="20"/>
                <w:szCs w:val="20"/>
                <w:color w:val="auto"/>
              </w:rPr>
            </w:pPr>
            <w:r>
              <w:rPr>
                <w:rFonts w:ascii="Arial" w:cs="Arial" w:eastAsia="Arial" w:hAnsi="Arial"/>
                <w:sz w:val="12"/>
                <w:szCs w:val="12"/>
                <w:color w:val="auto"/>
              </w:rPr>
              <w:t>Financial</w:t>
            </w:r>
          </w:p>
        </w:tc>
        <w:tc>
          <w:tcPr>
            <w:tcW w:w="13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income</w:t>
            </w:r>
          </w:p>
        </w:tc>
        <w:tc>
          <w:tcPr>
            <w:tcW w:w="1340" w:type="dxa"/>
            <w:vAlign w:val="bottom"/>
            <w:shd w:val="clear" w:color="auto" w:fill="CCEEFF"/>
          </w:tcPr>
          <w:p>
            <w:pPr>
              <w:spacing w:after="0"/>
              <w:rPr>
                <w:sz w:val="13"/>
                <w:szCs w:val="13"/>
                <w:color w:val="auto"/>
              </w:rPr>
            </w:pPr>
          </w:p>
        </w:tc>
        <w:tc>
          <w:tcPr>
            <w:tcW w:w="200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364</w:t>
            </w:r>
          </w:p>
        </w:tc>
        <w:tc>
          <w:tcPr>
            <w:tcW w:w="9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20" w:type="dxa"/>
            <w:vAlign w:val="bottom"/>
          </w:tcPr>
          <w:p>
            <w:pPr>
              <w:ind w:left="880"/>
              <w:spacing w:after="0" w:line="115" w:lineRule="exact"/>
              <w:rPr>
                <w:sz w:val="20"/>
                <w:szCs w:val="20"/>
                <w:color w:val="auto"/>
              </w:rPr>
            </w:pPr>
            <w:r>
              <w:rPr>
                <w:rFonts w:ascii="Arial" w:cs="Arial" w:eastAsia="Arial" w:hAnsi="Arial"/>
                <w:sz w:val="12"/>
                <w:szCs w:val="12"/>
                <w:color w:val="auto"/>
              </w:rPr>
              <w:t>Loss</w:t>
            </w:r>
          </w:p>
        </w:tc>
        <w:tc>
          <w:tcPr>
            <w:tcW w:w="14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00" w:type="dxa"/>
            <w:vAlign w:val="bottom"/>
            <w:gridSpan w:val="4"/>
          </w:tcPr>
          <w:p>
            <w:pPr>
              <w:spacing w:after="0"/>
              <w:rPr>
                <w:sz w:val="20"/>
                <w:szCs w:val="20"/>
                <w:color w:val="auto"/>
              </w:rPr>
            </w:pPr>
            <w:r>
              <w:rPr>
                <w:rFonts w:ascii="Arial" w:cs="Arial" w:eastAsia="Arial" w:hAnsi="Arial"/>
                <w:sz w:val="12"/>
                <w:szCs w:val="12"/>
                <w:color w:val="auto"/>
              </w:rPr>
              <w:t>before income taxes</w:t>
            </w:r>
          </w:p>
        </w:tc>
        <w:tc>
          <w:tcPr>
            <w:tcW w:w="1340" w:type="dxa"/>
            <w:vAlign w:val="bottom"/>
          </w:tcPr>
          <w:p>
            <w:pPr>
              <w:spacing w:after="0"/>
              <w:rPr>
                <w:sz w:val="13"/>
                <w:szCs w:val="13"/>
                <w:color w:val="auto"/>
              </w:rPr>
            </w:pPr>
          </w:p>
        </w:tc>
        <w:tc>
          <w:tcPr>
            <w:tcW w:w="2000" w:type="dxa"/>
            <w:vAlign w:val="bottom"/>
          </w:tcPr>
          <w:p>
            <w:pPr>
              <w:jc w:val="right"/>
              <w:ind w:right="800"/>
              <w:spacing w:after="0"/>
              <w:rPr>
                <w:sz w:val="20"/>
                <w:szCs w:val="20"/>
                <w:color w:val="auto"/>
              </w:rPr>
            </w:pPr>
            <w:r>
              <w:rPr>
                <w:rFonts w:ascii="Arial" w:cs="Arial" w:eastAsia="Arial" w:hAnsi="Arial"/>
                <w:sz w:val="12"/>
                <w:szCs w:val="12"/>
                <w:color w:val="auto"/>
              </w:rPr>
              <w:t>(1,494</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60" w:type="dxa"/>
            <w:vAlign w:val="bottom"/>
            <w:gridSpan w:val="2"/>
          </w:tcPr>
          <w:p>
            <w:pPr>
              <w:ind w:left="880"/>
              <w:spacing w:after="0" w:line="136" w:lineRule="exact"/>
              <w:rPr>
                <w:sz w:val="20"/>
                <w:szCs w:val="20"/>
                <w:color w:val="auto"/>
              </w:rPr>
            </w:pPr>
            <w:r>
              <w:rPr>
                <w:rFonts w:ascii="Arial" w:cs="Arial" w:eastAsia="Arial" w:hAnsi="Arial"/>
                <w:sz w:val="12"/>
                <w:szCs w:val="12"/>
                <w:color w:val="auto"/>
              </w:rPr>
              <w:t>Benefit for</w:t>
            </w:r>
          </w:p>
        </w:tc>
        <w:tc>
          <w:tcPr>
            <w:tcW w:w="13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00" w:type="dxa"/>
            <w:vAlign w:val="bottom"/>
            <w:gridSpan w:val="4"/>
          </w:tcPr>
          <w:p>
            <w:pPr>
              <w:spacing w:after="0"/>
              <w:rPr>
                <w:sz w:val="20"/>
                <w:szCs w:val="20"/>
                <w:color w:val="auto"/>
              </w:rPr>
            </w:pPr>
            <w:r>
              <w:rPr>
                <w:rFonts w:ascii="Arial" w:cs="Arial" w:eastAsia="Arial" w:hAnsi="Arial"/>
                <w:sz w:val="12"/>
                <w:szCs w:val="12"/>
                <w:color w:val="auto"/>
              </w:rPr>
              <w:t>taxes</w:t>
            </w:r>
          </w:p>
        </w:tc>
        <w:tc>
          <w:tcPr>
            <w:tcW w:w="1340" w:type="dxa"/>
            <w:vAlign w:val="bottom"/>
          </w:tcPr>
          <w:p>
            <w:pPr>
              <w:spacing w:after="0"/>
              <w:rPr>
                <w:sz w:val="13"/>
                <w:szCs w:val="13"/>
                <w:color w:val="auto"/>
              </w:rPr>
            </w:pPr>
          </w:p>
        </w:tc>
        <w:tc>
          <w:tcPr>
            <w:tcW w:w="2000" w:type="dxa"/>
            <w:vAlign w:val="bottom"/>
          </w:tcPr>
          <w:p>
            <w:pPr>
              <w:jc w:val="right"/>
              <w:ind w:right="800"/>
              <w:spacing w:after="0"/>
              <w:rPr>
                <w:sz w:val="20"/>
                <w:szCs w:val="20"/>
                <w:color w:val="auto"/>
              </w:rPr>
            </w:pPr>
            <w:r>
              <w:rPr>
                <w:rFonts w:ascii="Arial" w:cs="Arial" w:eastAsia="Arial" w:hAnsi="Arial"/>
                <w:sz w:val="12"/>
                <w:szCs w:val="12"/>
                <w:color w:val="auto"/>
              </w:rPr>
              <w:t>(2,200</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CCEEFF"/>
            </w:tcBorders>
            <w:shd w:val="clear" w:color="auto" w:fill="CCEEFF"/>
          </w:tcPr>
          <w:p>
            <w:pPr>
              <w:ind w:left="880"/>
              <w:spacing w:after="0" w:line="115" w:lineRule="exact"/>
              <w:rPr>
                <w:sz w:val="20"/>
                <w:szCs w:val="20"/>
                <w:color w:val="auto"/>
              </w:rPr>
            </w:pPr>
            <w:r>
              <w:rPr>
                <w:rFonts w:ascii="Arial" w:cs="Arial" w:eastAsia="Arial" w:hAnsi="Arial"/>
                <w:sz w:val="12"/>
                <w:szCs w:val="12"/>
                <w:color w:val="auto"/>
              </w:rPr>
              <w:t>Net</w:t>
            </w:r>
          </w:p>
        </w:tc>
        <w:tc>
          <w:tcPr>
            <w:tcW w:w="144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vMerge w:val="restart"/>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2000" w:type="dxa"/>
            <w:vAlign w:val="bottom"/>
            <w:tcBorders>
              <w:top w:val="single" w:sz="8" w:color="auto"/>
            </w:tcBorders>
            <w:vMerge w:val="restart"/>
            <w:shd w:val="clear" w:color="auto" w:fill="CCEEFF"/>
          </w:tcPr>
          <w:p>
            <w:pPr>
              <w:jc w:val="right"/>
              <w:ind w:right="800"/>
              <w:spacing w:after="0"/>
              <w:rPr>
                <w:sz w:val="20"/>
                <w:szCs w:val="20"/>
                <w:color w:val="auto"/>
              </w:rPr>
            </w:pPr>
            <w:r>
              <w:rPr>
                <w:rFonts w:ascii="Arial" w:cs="Arial" w:eastAsia="Arial" w:hAnsi="Arial"/>
                <w:sz w:val="12"/>
                <w:szCs w:val="12"/>
                <w:color w:val="auto"/>
              </w:rPr>
              <w:t>706</w:t>
            </w:r>
          </w:p>
        </w:tc>
        <w:tc>
          <w:tcPr>
            <w:tcW w:w="900" w:type="dxa"/>
            <w:vAlign w:val="bottom"/>
            <w:tcBorders>
              <w:top w:val="single" w:sz="8" w:color="auto"/>
            </w:tcBorders>
            <w:shd w:val="clear" w:color="auto" w:fill="CCEEFF"/>
          </w:tcPr>
          <w:p>
            <w:pPr>
              <w:spacing w:after="0"/>
              <w:rPr>
                <w:sz w:val="10"/>
                <w:szCs w:val="10"/>
                <w:color w:val="auto"/>
              </w:rPr>
            </w:pPr>
          </w:p>
        </w:tc>
        <w:tc>
          <w:tcPr>
            <w:tcW w:w="1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income (loss)</w:t>
            </w:r>
          </w:p>
        </w:tc>
        <w:tc>
          <w:tcPr>
            <w:tcW w:w="1340" w:type="dxa"/>
            <w:vAlign w:val="bottom"/>
            <w:vMerge w:val="continue"/>
            <w:shd w:val="clear" w:color="auto" w:fill="CCEEFF"/>
          </w:tcPr>
          <w:p>
            <w:pPr>
              <w:spacing w:after="0"/>
              <w:rPr>
                <w:sz w:val="13"/>
                <w:szCs w:val="13"/>
                <w:color w:val="auto"/>
              </w:rPr>
            </w:pPr>
          </w:p>
        </w:tc>
        <w:tc>
          <w:tcPr>
            <w:tcW w:w="2000" w:type="dxa"/>
            <w:vAlign w:val="bottom"/>
            <w:vMerge w:val="continue"/>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1420" w:type="dxa"/>
            <w:vAlign w:val="bottom"/>
            <w:tcBorders>
              <w:top w:val="single" w:sz="8" w:color="CCEEFF"/>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ind w:left="880"/>
              <w:spacing w:after="0" w:line="136" w:lineRule="exact"/>
              <w:rPr>
                <w:sz w:val="20"/>
                <w:szCs w:val="20"/>
                <w:color w:val="auto"/>
              </w:rPr>
            </w:pPr>
            <w:r>
              <w:rPr>
                <w:rFonts w:ascii="Arial" w:cs="Arial" w:eastAsia="Arial" w:hAnsi="Arial"/>
                <w:sz w:val="12"/>
                <w:szCs w:val="12"/>
                <w:color w:val="auto"/>
              </w:rPr>
              <w:t>Income</w:t>
            </w:r>
          </w:p>
        </w:tc>
        <w:tc>
          <w:tcPr>
            <w:tcW w:w="13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(loss) per common share:</w:t>
            </w:r>
          </w:p>
        </w:tc>
        <w:tc>
          <w:tcPr>
            <w:tcW w:w="13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ind w:left="1040"/>
              <w:spacing w:after="0"/>
              <w:rPr>
                <w:sz w:val="20"/>
                <w:szCs w:val="20"/>
                <w:color w:val="auto"/>
              </w:rPr>
            </w:pPr>
            <w:r>
              <w:rPr>
                <w:rFonts w:ascii="Arial" w:cs="Arial" w:eastAsia="Arial" w:hAnsi="Arial"/>
                <w:sz w:val="12"/>
                <w:szCs w:val="12"/>
                <w:color w:val="auto"/>
              </w:rPr>
              <w:t>Basic</w:t>
            </w:r>
          </w:p>
        </w:tc>
        <w:tc>
          <w:tcPr>
            <w:tcW w:w="1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20"/>
              <w:spacing w:after="0"/>
              <w:rPr>
                <w:sz w:val="20"/>
                <w:szCs w:val="20"/>
                <w:color w:val="auto"/>
              </w:rPr>
            </w:pPr>
            <w:r>
              <w:rPr>
                <w:rFonts w:ascii="Arial" w:cs="Arial" w:eastAsia="Arial" w:hAnsi="Arial"/>
                <w:sz w:val="12"/>
                <w:szCs w:val="12"/>
                <w:color w:val="auto"/>
              </w:rPr>
              <w:t>$</w:t>
            </w:r>
          </w:p>
        </w:tc>
        <w:tc>
          <w:tcPr>
            <w:tcW w:w="200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color w:val="auto"/>
              </w:rPr>
              <w:t>0.02</w:t>
            </w:r>
          </w:p>
        </w:tc>
        <w:tc>
          <w:tcPr>
            <w:tcW w:w="9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6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Diluted</w:t>
            </w:r>
          </w:p>
        </w:tc>
        <w:tc>
          <w:tcPr>
            <w:tcW w:w="1340" w:type="dxa"/>
            <w:vAlign w:val="bottom"/>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0.02</w:t>
            </w:r>
          </w:p>
        </w:tc>
        <w:tc>
          <w:tcPr>
            <w:tcW w:w="9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1420" w:type="dxa"/>
            <w:vAlign w:val="bottom"/>
            <w:tcBorders>
              <w:top w:val="single" w:sz="8" w:color="CCEEFF"/>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ind w:left="880"/>
              <w:spacing w:after="0" w:line="136" w:lineRule="exact"/>
              <w:rPr>
                <w:sz w:val="20"/>
                <w:szCs w:val="20"/>
                <w:color w:val="auto"/>
              </w:rPr>
            </w:pPr>
            <w:r>
              <w:rPr>
                <w:rFonts w:ascii="Arial" w:cs="Arial" w:eastAsia="Arial" w:hAnsi="Arial"/>
                <w:sz w:val="12"/>
                <w:szCs w:val="12"/>
                <w:color w:val="auto"/>
              </w:rPr>
              <w:t>Weighted</w:t>
            </w:r>
          </w:p>
        </w:tc>
        <w:tc>
          <w:tcPr>
            <w:tcW w:w="13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average common shares outstanding:</w:t>
            </w:r>
          </w:p>
        </w:tc>
        <w:tc>
          <w:tcPr>
            <w:tcW w:w="13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60" w:type="dxa"/>
            <w:vAlign w:val="bottom"/>
            <w:gridSpan w:val="2"/>
          </w:tcPr>
          <w:p>
            <w:pPr>
              <w:ind w:left="1040"/>
              <w:spacing w:after="0"/>
              <w:rPr>
                <w:sz w:val="20"/>
                <w:szCs w:val="20"/>
                <w:color w:val="auto"/>
              </w:rPr>
            </w:pPr>
            <w:r>
              <w:rPr>
                <w:rFonts w:ascii="Arial" w:cs="Arial" w:eastAsia="Arial" w:hAnsi="Arial"/>
                <w:sz w:val="12"/>
                <w:szCs w:val="12"/>
                <w:color w:val="auto"/>
              </w:rPr>
              <w:t>Basic</w:t>
            </w:r>
          </w:p>
        </w:tc>
        <w:tc>
          <w:tcPr>
            <w:tcW w:w="1340" w:type="dxa"/>
            <w:vAlign w:val="bottom"/>
          </w:tcPr>
          <w:p>
            <w:pPr>
              <w:spacing w:after="0"/>
              <w:rPr>
                <w:sz w:val="12"/>
                <w:szCs w:val="12"/>
                <w:color w:val="auto"/>
              </w:rPr>
            </w:pPr>
          </w:p>
        </w:tc>
        <w:tc>
          <w:tcPr>
            <w:tcW w:w="2000" w:type="dxa"/>
            <w:vAlign w:val="bottom"/>
          </w:tcPr>
          <w:p>
            <w:pPr>
              <w:jc w:val="right"/>
              <w:ind w:right="800"/>
              <w:spacing w:after="0"/>
              <w:rPr>
                <w:sz w:val="20"/>
                <w:szCs w:val="20"/>
                <w:color w:val="auto"/>
              </w:rPr>
            </w:pPr>
            <w:r>
              <w:rPr>
                <w:rFonts w:ascii="Arial" w:cs="Arial" w:eastAsia="Arial" w:hAnsi="Arial"/>
                <w:sz w:val="12"/>
                <w:szCs w:val="12"/>
                <w:color w:val="auto"/>
              </w:rPr>
              <w:t>29,080</w:t>
            </w: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ind w:left="1040"/>
              <w:spacing w:after="0"/>
              <w:rPr>
                <w:sz w:val="20"/>
                <w:szCs w:val="20"/>
                <w:color w:val="auto"/>
              </w:rPr>
            </w:pPr>
            <w:r>
              <w:rPr>
                <w:rFonts w:ascii="Arial" w:cs="Arial" w:eastAsia="Arial" w:hAnsi="Arial"/>
                <w:sz w:val="12"/>
                <w:szCs w:val="12"/>
                <w:color w:val="auto"/>
              </w:rPr>
              <w:t>Diluted</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29,091</w:t>
            </w: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ind w:left="880"/>
              <w:spacing w:after="0" w:line="136" w:lineRule="exact"/>
              <w:rPr>
                <w:sz w:val="20"/>
                <w:szCs w:val="20"/>
                <w:color w:val="auto"/>
              </w:rPr>
            </w:pPr>
            <w:r>
              <w:rPr>
                <w:rFonts w:ascii="Arial" w:cs="Arial" w:eastAsia="Arial" w:hAnsi="Arial"/>
                <w:sz w:val="12"/>
                <w:szCs w:val="12"/>
                <w:color w:val="auto"/>
              </w:rPr>
              <w:t>Dividends</w:t>
            </w:r>
          </w:p>
        </w:tc>
        <w:tc>
          <w:tcPr>
            <w:tcW w:w="13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paid per common share</w:t>
            </w:r>
          </w:p>
        </w:tc>
        <w:tc>
          <w:tcPr>
            <w:tcW w:w="1340" w:type="dxa"/>
            <w:vAlign w:val="bottom"/>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200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1"/>
        </w:trPr>
        <w:tc>
          <w:tcPr>
            <w:tcW w:w="3700" w:type="dxa"/>
            <w:vAlign w:val="bottom"/>
            <w:gridSpan w:val="4"/>
          </w:tcPr>
          <w:p>
            <w:pPr>
              <w:spacing w:after="0"/>
              <w:rPr>
                <w:sz w:val="20"/>
                <w:szCs w:val="20"/>
                <w:color w:val="auto"/>
              </w:rPr>
            </w:pPr>
            <w:r>
              <w:rPr>
                <w:rFonts w:ascii="Arial" w:cs="Arial" w:eastAsia="Arial" w:hAnsi="Arial"/>
                <w:sz w:val="12"/>
                <w:szCs w:val="12"/>
                <w:i w:val="1"/>
                <w:iCs w:val="1"/>
                <w:color w:val="auto"/>
              </w:rPr>
              <w:t>See unaudited notes to financial statements.</w:t>
            </w:r>
          </w:p>
        </w:tc>
        <w:tc>
          <w:tcPr>
            <w:tcW w:w="1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0" w:type="dxa"/>
            <w:vAlign w:val="bottom"/>
          </w:tcPr>
          <w:p>
            <w:pPr>
              <w:jc w:val="right"/>
              <w:ind w:right="1220"/>
              <w:spacing w:after="0"/>
              <w:rPr>
                <w:sz w:val="20"/>
                <w:szCs w:val="20"/>
                <w:color w:val="auto"/>
              </w:rPr>
            </w:pPr>
            <w:r>
              <w:rPr>
                <w:rFonts w:ascii="Arial" w:cs="Arial" w:eastAsia="Arial" w:hAnsi="Arial"/>
                <w:sz w:val="12"/>
                <w:szCs w:val="12"/>
                <w:color w:val="auto"/>
              </w:rPr>
              <w:t>1</w:t>
            </w: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2860" w:type="dxa"/>
            <w:vAlign w:val="bottom"/>
            <w:tcBorders>
              <w:bottom w:val="single" w:sz="8" w:color="9A9A9A"/>
            </w:tcBorders>
            <w:gridSpan w:val="2"/>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200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7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3700" w:type="dxa"/>
            <w:vAlign w:val="bottom"/>
            <w:gridSpan w:val="4"/>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1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700" w:type="dxa"/>
            <w:vAlign w:val="bottom"/>
            <w:gridSpan w:val="4"/>
          </w:tcPr>
          <w:p>
            <w:pPr>
              <w:spacing w:after="0"/>
              <w:rPr>
                <w:sz w:val="20"/>
                <w:szCs w:val="20"/>
                <w:color w:val="auto"/>
              </w:rPr>
            </w:pPr>
            <w:r>
              <w:rPr>
                <w:rFonts w:ascii="Arial" w:cs="Arial" w:eastAsia="Arial" w:hAnsi="Arial"/>
                <w:sz w:val="12"/>
                <w:szCs w:val="12"/>
                <w:b w:val="1"/>
                <w:bCs w:val="1"/>
                <w:color w:val="auto"/>
              </w:rPr>
              <w:t>Winnebago Industries, Inc.</w:t>
            </w:r>
          </w:p>
        </w:tc>
        <w:tc>
          <w:tcPr>
            <w:tcW w:w="1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00" w:type="dxa"/>
            <w:vAlign w:val="bottom"/>
            <w:gridSpan w:val="4"/>
          </w:tcPr>
          <w:p>
            <w:pPr>
              <w:spacing w:after="0"/>
              <w:rPr>
                <w:sz w:val="20"/>
                <w:szCs w:val="20"/>
                <w:color w:val="auto"/>
              </w:rPr>
            </w:pPr>
            <w:r>
              <w:rPr>
                <w:rFonts w:ascii="Arial" w:cs="Arial" w:eastAsia="Arial" w:hAnsi="Arial"/>
                <w:sz w:val="12"/>
                <w:szCs w:val="12"/>
                <w:b w:val="1"/>
                <w:bCs w:val="1"/>
                <w:color w:val="auto"/>
              </w:rPr>
              <w:t>Unaudited Balance Sheets</w:t>
            </w:r>
          </w:p>
        </w:tc>
        <w:tc>
          <w:tcPr>
            <w:tcW w:w="1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2"/>
              </w:rPr>
              <w:t>February 27,</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August 29,</w:t>
            </w:r>
          </w:p>
        </w:tc>
        <w:tc>
          <w:tcPr>
            <w:tcW w:w="0" w:type="dxa"/>
            <w:vAlign w:val="bottom"/>
          </w:tcPr>
          <w:p>
            <w:pPr>
              <w:spacing w:after="0"/>
              <w:rPr>
                <w:sz w:val="1"/>
                <w:szCs w:val="1"/>
                <w:color w:val="auto"/>
              </w:rPr>
            </w:pPr>
          </w:p>
        </w:tc>
      </w:tr>
      <w:tr>
        <w:trPr>
          <w:trHeight w:val="157"/>
        </w:trPr>
        <w:tc>
          <w:tcPr>
            <w:tcW w:w="3700" w:type="dxa"/>
            <w:vAlign w:val="bottom"/>
            <w:gridSpan w:val="4"/>
          </w:tcPr>
          <w:p>
            <w:pPr>
              <w:spacing w:after="0"/>
              <w:rPr>
                <w:sz w:val="20"/>
                <w:szCs w:val="20"/>
                <w:color w:val="auto"/>
              </w:rPr>
            </w:pPr>
            <w:r>
              <w:rPr>
                <w:rFonts w:ascii="Arial" w:cs="Arial" w:eastAsia="Arial" w:hAnsi="Arial"/>
                <w:sz w:val="12"/>
                <w:szCs w:val="12"/>
                <w:b w:val="1"/>
                <w:bCs w:val="1"/>
                <w:color w:val="auto"/>
              </w:rPr>
              <w:t>(In thousands, except per share data)</w:t>
            </w:r>
          </w:p>
        </w:tc>
        <w:tc>
          <w:tcPr>
            <w:tcW w:w="1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9"/>
              </w:rPr>
              <w:t>2010</w:t>
            </w:r>
          </w:p>
        </w:tc>
        <w:tc>
          <w:tcPr>
            <w:tcW w:w="100" w:type="dxa"/>
            <w:vAlign w:val="bottom"/>
          </w:tcPr>
          <w:p>
            <w:pPr>
              <w:spacing w:after="0"/>
              <w:rPr>
                <w:sz w:val="13"/>
                <w:szCs w:val="13"/>
                <w:color w:val="auto"/>
              </w:rPr>
            </w:pPr>
          </w:p>
        </w:tc>
        <w:tc>
          <w:tcPr>
            <w:tcW w:w="760" w:type="dxa"/>
            <w:vAlign w:val="bottom"/>
          </w:tcPr>
          <w:p>
            <w:pPr>
              <w:jc w:val="right"/>
              <w:ind w:right="240"/>
              <w:spacing w:after="0"/>
              <w:rPr>
                <w:sz w:val="20"/>
                <w:szCs w:val="20"/>
                <w:color w:val="auto"/>
              </w:rPr>
            </w:pPr>
            <w:r>
              <w:rPr>
                <w:rFonts w:ascii="Arial" w:cs="Arial" w:eastAsia="Arial" w:hAnsi="Arial"/>
                <w:sz w:val="12"/>
                <w:szCs w:val="12"/>
                <w:b w:val="1"/>
                <w:bCs w:val="1"/>
                <w:color w:val="auto"/>
              </w:rPr>
              <w:t>2009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Current assets: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41,609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36,566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rPr>
              <w:t>Short-term investments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9,000</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13,500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Receivables, less allowance for doubtful accounts ($110 and $185, respectively)</w:t>
            </w: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20,344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11,717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rPr>
              <w:t>Inventories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59,824</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46,850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Prepaid expenses and other assets</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2,844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3,425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tcBorders>
              <w:bottom w:val="single" w:sz="8" w:color="CCEEFF"/>
            </w:tcBorders>
            <w:gridSpan w:val="3"/>
          </w:tcPr>
          <w:p>
            <w:pPr>
              <w:ind w:left="160"/>
              <w:spacing w:after="0"/>
              <w:rPr>
                <w:sz w:val="20"/>
                <w:szCs w:val="20"/>
                <w:color w:val="auto"/>
              </w:rPr>
            </w:pPr>
            <w:r>
              <w:rPr>
                <w:rFonts w:ascii="Arial" w:cs="Arial" w:eastAsia="Arial" w:hAnsi="Arial"/>
                <w:sz w:val="12"/>
                <w:szCs w:val="12"/>
                <w:color w:val="auto"/>
              </w:rPr>
              <w:t>Income taxes receivable</w:t>
            </w:r>
          </w:p>
        </w:tc>
        <w:tc>
          <w:tcPr>
            <w:tcW w:w="13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559</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17,356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gridSpan w:val="3"/>
            <w:shd w:val="clear" w:color="auto" w:fill="CCEEFF"/>
          </w:tcPr>
          <w:p>
            <w:pPr>
              <w:ind w:left="300"/>
              <w:spacing w:after="0" w:line="133" w:lineRule="exact"/>
              <w:rPr>
                <w:sz w:val="20"/>
                <w:szCs w:val="20"/>
                <w:color w:val="auto"/>
              </w:rPr>
            </w:pPr>
            <w:r>
              <w:rPr>
                <w:rFonts w:ascii="Arial" w:cs="Arial" w:eastAsia="Arial" w:hAnsi="Arial"/>
                <w:sz w:val="12"/>
                <w:szCs w:val="12"/>
                <w:color w:val="auto"/>
              </w:rPr>
              <w:t>Total current assets</w:t>
            </w:r>
          </w:p>
        </w:tc>
        <w:tc>
          <w:tcPr>
            <w:tcW w:w="13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134,180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129,414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Property, plant, and equipment, net</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25,646</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28,040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Assets held for sale</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6,515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6,515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Long-term investments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19748</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19794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Investment in life insurance</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22,999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22,451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Other assets</w:t>
            </w:r>
          </w:p>
        </w:tc>
        <w:tc>
          <w:tcPr>
            <w:tcW w:w="13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15,888</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14,252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80" w:type="dxa"/>
            <w:vAlign w:val="bottom"/>
            <w:tcBorders>
              <w:bottom w:val="single" w:sz="8" w:color="CCEEFF"/>
            </w:tcBorders>
            <w:gridSpan w:val="3"/>
            <w:shd w:val="clear" w:color="auto" w:fill="CCEEFF"/>
          </w:tcPr>
          <w:p>
            <w:pPr>
              <w:ind w:left="160"/>
              <w:spacing w:after="0" w:line="133" w:lineRule="exact"/>
              <w:rPr>
                <w:sz w:val="20"/>
                <w:szCs w:val="20"/>
                <w:color w:val="auto"/>
              </w:rPr>
            </w:pPr>
            <w:r>
              <w:rPr>
                <w:rFonts w:ascii="Arial" w:cs="Arial" w:eastAsia="Arial" w:hAnsi="Arial"/>
                <w:sz w:val="12"/>
                <w:szCs w:val="12"/>
                <w:color w:val="auto"/>
              </w:rPr>
              <w:t>Total assets</w:t>
            </w:r>
          </w:p>
        </w:tc>
        <w:tc>
          <w:tcPr>
            <w:tcW w:w="1340" w:type="dxa"/>
            <w:vAlign w:val="bottom"/>
            <w:tcBorders>
              <w:bottom w:val="single" w:sz="8" w:color="CCEEFF"/>
            </w:tcBorders>
            <w:shd w:val="clear" w:color="auto" w:fill="CCEEFF"/>
          </w:tcPr>
          <w:p>
            <w:pPr>
              <w:spacing w:after="0"/>
              <w:rPr>
                <w:sz w:val="12"/>
                <w:szCs w:val="12"/>
                <w:color w:val="auto"/>
              </w:rPr>
            </w:pPr>
          </w:p>
        </w:tc>
        <w:tc>
          <w:tcPr>
            <w:tcW w:w="2000" w:type="dxa"/>
            <w:vAlign w:val="bottom"/>
            <w:tcBorders>
              <w:bottom w:val="single" w:sz="8" w:color="CCEEFF"/>
            </w:tcBorders>
            <w:shd w:val="clear" w:color="auto" w:fill="CCEEFF"/>
          </w:tcPr>
          <w:p>
            <w:pPr>
              <w:spacing w:after="0"/>
              <w:rPr>
                <w:sz w:val="12"/>
                <w:szCs w:val="12"/>
                <w:color w:val="auto"/>
              </w:rPr>
            </w:pPr>
          </w:p>
        </w:tc>
        <w:tc>
          <w:tcPr>
            <w:tcW w:w="2800" w:type="dxa"/>
            <w:vAlign w:val="bottom"/>
            <w:tcBorders>
              <w:bottom w:val="single" w:sz="8" w:color="CCEEFF"/>
            </w:tcBorders>
            <w:gridSpan w:val="3"/>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224,976</w:t>
            </w:r>
          </w:p>
        </w:tc>
        <w:tc>
          <w:tcPr>
            <w:tcW w:w="1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220,466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Current liabilities: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Accounts payable</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17,110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10,370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rPr>
              <w:t>Short-term ARS borrowings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6,320</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9,100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Income taxes payable</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rPr>
              <w:t>Accrued expenses: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Accrued compensation</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11,889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10,204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240"/>
              <w:spacing w:after="0"/>
              <w:rPr>
                <w:sz w:val="20"/>
                <w:szCs w:val="20"/>
                <w:color w:val="auto"/>
              </w:rPr>
            </w:pPr>
            <w:r>
              <w:rPr>
                <w:rFonts w:ascii="Arial" w:cs="Arial" w:eastAsia="Arial" w:hAnsi="Arial"/>
                <w:sz w:val="12"/>
                <w:szCs w:val="12"/>
                <w:color w:val="auto"/>
              </w:rPr>
              <w:t>Product warranties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6,567</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6,408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Self-insurance</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4,855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5,356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240"/>
              <w:spacing w:after="0"/>
              <w:rPr>
                <w:sz w:val="20"/>
                <w:szCs w:val="20"/>
                <w:color w:val="auto"/>
              </w:rPr>
            </w:pPr>
            <w:r>
              <w:rPr>
                <w:rFonts w:ascii="Arial" w:cs="Arial" w:eastAsia="Arial" w:hAnsi="Arial"/>
                <w:sz w:val="12"/>
                <w:szCs w:val="12"/>
                <w:color w:val="auto"/>
              </w:rPr>
              <w:t>Accrued loss on repurchases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1,409</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1,199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Promotional</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2,666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2,270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tcBorders>
              <w:bottom w:val="single" w:sz="8" w:color="CCEEFF"/>
            </w:tcBorders>
            <w:gridSpan w:val="3"/>
          </w:tcPr>
          <w:p>
            <w:pPr>
              <w:ind w:left="240"/>
              <w:spacing w:after="0"/>
              <w:rPr>
                <w:sz w:val="20"/>
                <w:szCs w:val="20"/>
                <w:color w:val="auto"/>
              </w:rPr>
            </w:pPr>
            <w:r>
              <w:rPr>
                <w:rFonts w:ascii="Arial" w:cs="Arial" w:eastAsia="Arial" w:hAnsi="Arial"/>
                <w:sz w:val="12"/>
                <w:szCs w:val="12"/>
                <w:color w:val="auto"/>
              </w:rPr>
              <w:t>Other</w:t>
            </w:r>
          </w:p>
        </w:tc>
        <w:tc>
          <w:tcPr>
            <w:tcW w:w="13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5,067</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4,748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gridSpan w:val="3"/>
            <w:shd w:val="clear" w:color="auto" w:fill="CCEEFF"/>
          </w:tcPr>
          <w:p>
            <w:pPr>
              <w:ind w:left="360"/>
              <w:spacing w:after="0" w:line="133" w:lineRule="exact"/>
              <w:rPr>
                <w:sz w:val="20"/>
                <w:szCs w:val="20"/>
                <w:color w:val="auto"/>
              </w:rPr>
            </w:pPr>
            <w:r>
              <w:rPr>
                <w:rFonts w:ascii="Arial" w:cs="Arial" w:eastAsia="Arial" w:hAnsi="Arial"/>
                <w:sz w:val="12"/>
                <w:szCs w:val="12"/>
                <w:color w:val="auto"/>
              </w:rPr>
              <w:t>Total current liabilities</w:t>
            </w:r>
          </w:p>
        </w:tc>
        <w:tc>
          <w:tcPr>
            <w:tcW w:w="13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56,114</w:t>
            </w: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49,954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00" w:type="dxa"/>
            <w:vAlign w:val="bottom"/>
            <w:gridSpan w:val="4"/>
          </w:tcPr>
          <w:p>
            <w:pPr>
              <w:spacing w:after="0" w:line="133" w:lineRule="exact"/>
              <w:rPr>
                <w:sz w:val="20"/>
                <w:szCs w:val="20"/>
                <w:color w:val="auto"/>
              </w:rPr>
            </w:pPr>
            <w:r>
              <w:rPr>
                <w:rFonts w:ascii="Arial" w:cs="Arial" w:eastAsia="Arial" w:hAnsi="Arial"/>
                <w:sz w:val="12"/>
                <w:szCs w:val="12"/>
                <w:color w:val="auto"/>
              </w:rPr>
              <w:t>Long-term liabilities:</w:t>
            </w:r>
          </w:p>
        </w:tc>
        <w:tc>
          <w:tcPr>
            <w:tcW w:w="13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Unrecognized tax benefits</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8,014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tcBorders>
              <w:bottom w:val="single" w:sz="8" w:color="CCEEFF"/>
            </w:tcBorders>
            <w:gridSpan w:val="3"/>
          </w:tcPr>
          <w:p>
            <w:pPr>
              <w:ind w:left="160"/>
              <w:spacing w:after="0"/>
              <w:rPr>
                <w:sz w:val="20"/>
                <w:szCs w:val="20"/>
                <w:color w:val="auto"/>
              </w:rPr>
            </w:pPr>
            <w:r>
              <w:rPr>
                <w:rFonts w:ascii="Arial" w:cs="Arial" w:eastAsia="Arial" w:hAnsi="Arial"/>
                <w:sz w:val="12"/>
                <w:szCs w:val="12"/>
                <w:color w:val="auto"/>
              </w:rPr>
              <w:t>Postretirement health care and deferred compensation benefits</w:t>
            </w:r>
          </w:p>
        </w:tc>
        <w:tc>
          <w:tcPr>
            <w:tcW w:w="13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70,273</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69,169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gridSpan w:val="3"/>
            <w:shd w:val="clear" w:color="auto" w:fill="CCEEFF"/>
          </w:tcPr>
          <w:p>
            <w:pPr>
              <w:ind w:left="360"/>
              <w:spacing w:after="0" w:line="133" w:lineRule="exact"/>
              <w:rPr>
                <w:sz w:val="20"/>
                <w:szCs w:val="20"/>
                <w:color w:val="auto"/>
              </w:rPr>
            </w:pPr>
            <w:r>
              <w:rPr>
                <w:rFonts w:ascii="Arial" w:cs="Arial" w:eastAsia="Arial" w:hAnsi="Arial"/>
                <w:sz w:val="12"/>
                <w:szCs w:val="12"/>
                <w:color w:val="auto"/>
              </w:rPr>
              <w:t>Total long-term liabilities</w:t>
            </w:r>
          </w:p>
        </w:tc>
        <w:tc>
          <w:tcPr>
            <w:tcW w:w="13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78,287</w:t>
            </w: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78,181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80" w:type="dxa"/>
            <w:vAlign w:val="bottom"/>
            <w:gridSpan w:val="3"/>
          </w:tcPr>
          <w:p>
            <w:pPr>
              <w:spacing w:after="0" w:line="115" w:lineRule="exact"/>
              <w:rPr>
                <w:sz w:val="20"/>
                <w:szCs w:val="20"/>
                <w:color w:val="auto"/>
              </w:rPr>
            </w:pPr>
            <w:r>
              <w:rPr>
                <w:rFonts w:ascii="Arial" w:cs="Arial" w:eastAsia="Arial" w:hAnsi="Arial"/>
                <w:sz w:val="12"/>
                <w:szCs w:val="12"/>
                <w:color w:val="auto"/>
              </w:rPr>
              <w:t>Contingent liabilities and commitments</w:t>
            </w:r>
          </w:p>
        </w:tc>
        <w:tc>
          <w:tcPr>
            <w:tcW w:w="1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00" w:type="dxa"/>
            <w:vAlign w:val="bottom"/>
            <w:gridSpan w:val="4"/>
          </w:tcPr>
          <w:p>
            <w:pPr>
              <w:spacing w:after="0"/>
              <w:rPr>
                <w:sz w:val="20"/>
                <w:szCs w:val="20"/>
                <w:color w:val="auto"/>
              </w:rPr>
            </w:pPr>
            <w:r>
              <w:rPr>
                <w:rFonts w:ascii="Arial" w:cs="Arial" w:eastAsia="Arial" w:hAnsi="Arial"/>
                <w:sz w:val="12"/>
                <w:szCs w:val="12"/>
                <w:color w:val="auto"/>
              </w:rPr>
              <w:t>Stockholders' equity:</w:t>
            </w:r>
          </w:p>
        </w:tc>
        <w:tc>
          <w:tcPr>
            <w:tcW w:w="1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gridSpan w:val="4"/>
          </w:tcPr>
          <w:p>
            <w:pPr>
              <w:ind w:left="160"/>
              <w:spacing w:after="0"/>
              <w:rPr>
                <w:sz w:val="20"/>
                <w:szCs w:val="20"/>
                <w:color w:val="auto"/>
              </w:rPr>
            </w:pPr>
            <w:r>
              <w:rPr>
                <w:rFonts w:ascii="Arial" w:cs="Arial" w:eastAsia="Arial" w:hAnsi="Arial"/>
                <w:sz w:val="12"/>
                <w:szCs w:val="12"/>
                <w:color w:val="auto"/>
              </w:rPr>
              <w:t>Capital stock common, par value $0.50; authorized 60,000 shares, issued 51,776 shares</w:t>
            </w: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25,888</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25,888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Additional paid-in capital</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29,517</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29,726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rPr>
              <w:t>Retained earnings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409,790</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410,428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Accumulated other comprehensive income</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5,607</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6,540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tcBorders>
              <w:bottom w:val="single" w:sz="8" w:color="CCEEFF"/>
            </w:tcBorders>
            <w:gridSpan w:val="3"/>
          </w:tcPr>
          <w:p>
            <w:pPr>
              <w:ind w:left="160"/>
              <w:spacing w:after="0"/>
              <w:rPr>
                <w:sz w:val="20"/>
                <w:szCs w:val="20"/>
                <w:color w:val="auto"/>
              </w:rPr>
            </w:pPr>
            <w:r>
              <w:rPr>
                <w:rFonts w:ascii="Arial" w:cs="Arial" w:eastAsia="Arial" w:hAnsi="Arial"/>
                <w:sz w:val="12"/>
                <w:szCs w:val="12"/>
                <w:color w:val="auto"/>
              </w:rPr>
              <w:t>Treasury stock, at cost (22,690 shares)</w:t>
            </w:r>
          </w:p>
        </w:tc>
        <w:tc>
          <w:tcPr>
            <w:tcW w:w="13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(380,227)</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(380,251)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gridSpan w:val="3"/>
            <w:shd w:val="clear" w:color="auto" w:fill="CCEEFF"/>
          </w:tcPr>
          <w:p>
            <w:pPr>
              <w:ind w:left="360"/>
              <w:spacing w:after="0" w:line="133" w:lineRule="exact"/>
              <w:rPr>
                <w:sz w:val="20"/>
                <w:szCs w:val="20"/>
                <w:color w:val="auto"/>
              </w:rPr>
            </w:pPr>
            <w:r>
              <w:rPr>
                <w:rFonts w:ascii="Arial" w:cs="Arial" w:eastAsia="Arial" w:hAnsi="Arial"/>
                <w:sz w:val="12"/>
                <w:szCs w:val="12"/>
                <w:color w:val="auto"/>
              </w:rPr>
              <w:t>Total stockholders' equity</w:t>
            </w:r>
          </w:p>
        </w:tc>
        <w:tc>
          <w:tcPr>
            <w:tcW w:w="134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90,575</w:t>
            </w: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92,331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80" w:type="dxa"/>
            <w:vAlign w:val="bottom"/>
            <w:gridSpan w:val="3"/>
          </w:tcPr>
          <w:p>
            <w:pPr>
              <w:ind w:left="160"/>
              <w:spacing w:after="0" w:line="133" w:lineRule="exact"/>
              <w:rPr>
                <w:sz w:val="20"/>
                <w:szCs w:val="20"/>
                <w:color w:val="auto"/>
              </w:rPr>
            </w:pPr>
            <w:r>
              <w:rPr>
                <w:rFonts w:ascii="Arial" w:cs="Arial" w:eastAsia="Arial" w:hAnsi="Arial"/>
                <w:sz w:val="12"/>
                <w:szCs w:val="12"/>
                <w:color w:val="auto"/>
              </w:rPr>
              <w:t>Total liabilities and stockholders' equity</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0" w:type="dxa"/>
            <w:vAlign w:val="bottom"/>
            <w:gridSpan w:val="3"/>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60"/>
              <w:spacing w:after="0" w:line="133" w:lineRule="exact"/>
              <w:rPr>
                <w:sz w:val="20"/>
                <w:szCs w:val="20"/>
                <w:color w:val="auto"/>
              </w:rPr>
            </w:pPr>
            <w:r>
              <w:rPr>
                <w:rFonts w:ascii="Arial" w:cs="Arial" w:eastAsia="Arial" w:hAnsi="Arial"/>
                <w:sz w:val="12"/>
                <w:szCs w:val="12"/>
                <w:color w:val="auto"/>
              </w:rPr>
              <w:t>224,976</w:t>
            </w: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rPr>
              <w:t>220,466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700" w:type="dxa"/>
            <w:vAlign w:val="bottom"/>
            <w:gridSpan w:val="4"/>
          </w:tcPr>
          <w:p>
            <w:pPr>
              <w:spacing w:after="0"/>
              <w:rPr>
                <w:sz w:val="20"/>
                <w:szCs w:val="20"/>
                <w:color w:val="auto"/>
              </w:rPr>
            </w:pPr>
            <w:r>
              <w:rPr>
                <w:rFonts w:ascii="Arial" w:cs="Arial" w:eastAsia="Arial" w:hAnsi="Arial"/>
                <w:sz w:val="12"/>
                <w:szCs w:val="12"/>
                <w:i w:val="1"/>
                <w:iCs w:val="1"/>
                <w:color w:val="auto"/>
              </w:rPr>
              <w:t>See unaudited notes to financial statements.</w:t>
            </w:r>
          </w:p>
        </w:tc>
        <w:tc>
          <w:tcPr>
            <w:tcW w:w="1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0" w:type="dxa"/>
            <w:vAlign w:val="bottom"/>
          </w:tcPr>
          <w:p>
            <w:pPr>
              <w:jc w:val="right"/>
              <w:ind w:right="1220"/>
              <w:spacing w:after="0"/>
              <w:rPr>
                <w:sz w:val="20"/>
                <w:szCs w:val="20"/>
                <w:color w:val="auto"/>
              </w:rPr>
            </w:pPr>
            <w:r>
              <w:rPr>
                <w:rFonts w:ascii="Arial" w:cs="Arial" w:eastAsia="Arial" w:hAnsi="Arial"/>
                <w:sz w:val="12"/>
                <w:szCs w:val="12"/>
                <w:color w:val="auto"/>
              </w:rPr>
              <w:t>2</w:t>
            </w: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2860" w:type="dxa"/>
            <w:vAlign w:val="bottom"/>
            <w:tcBorders>
              <w:bottom w:val="single" w:sz="8" w:color="9A9A9A"/>
            </w:tcBorders>
            <w:gridSpan w:val="2"/>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200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7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3700" w:type="dxa"/>
            <w:vAlign w:val="bottom"/>
            <w:gridSpan w:val="4"/>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1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700" w:type="dxa"/>
            <w:vAlign w:val="bottom"/>
            <w:gridSpan w:val="4"/>
          </w:tcPr>
          <w:p>
            <w:pPr>
              <w:spacing w:after="0"/>
              <w:rPr>
                <w:sz w:val="20"/>
                <w:szCs w:val="20"/>
                <w:color w:val="auto"/>
              </w:rPr>
            </w:pPr>
            <w:r>
              <w:rPr>
                <w:rFonts w:ascii="Arial" w:cs="Arial" w:eastAsia="Arial" w:hAnsi="Arial"/>
                <w:sz w:val="12"/>
                <w:szCs w:val="12"/>
                <w:b w:val="1"/>
                <w:bCs w:val="1"/>
                <w:color w:val="auto"/>
              </w:rPr>
              <w:t>Winnebago Industries, Inc.</w:t>
            </w:r>
          </w:p>
        </w:tc>
        <w:tc>
          <w:tcPr>
            <w:tcW w:w="1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00" w:type="dxa"/>
            <w:vAlign w:val="bottom"/>
            <w:gridSpan w:val="4"/>
          </w:tcPr>
          <w:p>
            <w:pPr>
              <w:spacing w:after="0"/>
              <w:rPr>
                <w:sz w:val="20"/>
                <w:szCs w:val="20"/>
                <w:color w:val="auto"/>
              </w:rPr>
            </w:pPr>
            <w:r>
              <w:rPr>
                <w:rFonts w:ascii="Arial" w:cs="Arial" w:eastAsia="Arial" w:hAnsi="Arial"/>
                <w:sz w:val="12"/>
                <w:szCs w:val="12"/>
                <w:b w:val="1"/>
                <w:bCs w:val="1"/>
                <w:color w:val="auto"/>
              </w:rPr>
              <w:t>Unaudited Statements of Cash Flows</w:t>
            </w:r>
          </w:p>
        </w:tc>
        <w:tc>
          <w:tcPr>
            <w:tcW w:w="1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2"/>
              </w:rPr>
              <w:t>February 27,</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40"/>
              <w:spacing w:after="0" w:line="121" w:lineRule="exact"/>
              <w:rPr>
                <w:sz w:val="20"/>
                <w:szCs w:val="20"/>
                <w:color w:val="auto"/>
              </w:rPr>
            </w:pPr>
            <w:r>
              <w:rPr>
                <w:rFonts w:ascii="Arial" w:cs="Arial" w:eastAsia="Arial" w:hAnsi="Arial"/>
                <w:sz w:val="12"/>
                <w:szCs w:val="12"/>
                <w:b w:val="1"/>
                <w:bCs w:val="1"/>
                <w:color w:val="auto"/>
                <w:w w:val="89"/>
              </w:rPr>
              <w:t>February 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700" w:type="dxa"/>
            <w:vAlign w:val="bottom"/>
            <w:gridSpan w:val="4"/>
          </w:tcPr>
          <w:p>
            <w:pPr>
              <w:spacing w:after="0"/>
              <w:rPr>
                <w:sz w:val="20"/>
                <w:szCs w:val="20"/>
                <w:color w:val="auto"/>
              </w:rPr>
            </w:pPr>
            <w:r>
              <w:rPr>
                <w:rFonts w:ascii="Arial" w:cs="Arial" w:eastAsia="Arial" w:hAnsi="Arial"/>
                <w:sz w:val="12"/>
                <w:szCs w:val="12"/>
                <w:b w:val="1"/>
                <w:bCs w:val="1"/>
                <w:color w:val="auto"/>
              </w:rPr>
              <w:t>(In thousands)</w:t>
            </w:r>
          </w:p>
        </w:tc>
        <w:tc>
          <w:tcPr>
            <w:tcW w:w="1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9"/>
              </w:rPr>
              <w:t>2010</w:t>
            </w:r>
          </w:p>
        </w:tc>
        <w:tc>
          <w:tcPr>
            <w:tcW w:w="100" w:type="dxa"/>
            <w:vAlign w:val="bottom"/>
          </w:tcPr>
          <w:p>
            <w:pPr>
              <w:spacing w:after="0"/>
              <w:rPr>
                <w:sz w:val="13"/>
                <w:szCs w:val="13"/>
                <w:color w:val="auto"/>
              </w:rPr>
            </w:pPr>
          </w:p>
        </w:tc>
        <w:tc>
          <w:tcPr>
            <w:tcW w:w="760" w:type="dxa"/>
            <w:vAlign w:val="bottom"/>
          </w:tcPr>
          <w:p>
            <w:pPr>
              <w:jc w:val="right"/>
              <w:ind w:right="240"/>
              <w:spacing w:after="0"/>
              <w:rPr>
                <w:sz w:val="20"/>
                <w:szCs w:val="20"/>
                <w:color w:val="auto"/>
              </w:rPr>
            </w:pPr>
            <w:r>
              <w:rPr>
                <w:rFonts w:ascii="Arial" w:cs="Arial" w:eastAsia="Arial" w:hAnsi="Arial"/>
                <w:sz w:val="12"/>
                <w:szCs w:val="12"/>
                <w:b w:val="1"/>
                <w:bCs w:val="1"/>
                <w:color w:val="auto"/>
              </w:rPr>
              <w:t>2009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Borders>
              <w:top w:val="single" w:sz="8" w:color="auto"/>
            </w:tcBorders>
            <w:gridSpan w:val="3"/>
            <w:shd w:val="clear" w:color="auto" w:fill="CCEEFF"/>
          </w:tcPr>
          <w:p>
            <w:pPr>
              <w:spacing w:after="0" w:line="133" w:lineRule="exact"/>
              <w:rPr>
                <w:sz w:val="20"/>
                <w:szCs w:val="20"/>
                <w:color w:val="auto"/>
              </w:rPr>
            </w:pPr>
            <w:r>
              <w:rPr>
                <w:rFonts w:ascii="Arial" w:cs="Arial" w:eastAsia="Arial" w:hAnsi="Arial"/>
                <w:sz w:val="12"/>
                <w:szCs w:val="12"/>
                <w:color w:val="auto"/>
              </w:rPr>
              <w:t>Operating activities:</w:t>
            </w:r>
          </w:p>
        </w:tc>
        <w:tc>
          <w:tcPr>
            <w:tcW w:w="1340" w:type="dxa"/>
            <w:vAlign w:val="bottom"/>
            <w:tcBorders>
              <w:top w:val="single" w:sz="8" w:color="auto"/>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rPr>
              <w:t>Net loss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6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(638)</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(19,977)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provided by (used in) operating activities:</w:t>
            </w: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rPr>
              <w:t>Depreciation</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3,296</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4,146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Stock-based compensation</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w w:val="96"/>
              </w:rPr>
              <w:t>Postretirement benefit income and deferred compensation expenses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624</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711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(Reduction) provision for doubtful accounts</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rPr>
              <w:t>Deferred income taxes</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(503)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Increase in cash surrender value of life insurance policies</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(535)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tcPr>
          <w:p>
            <w:pPr>
              <w:ind w:left="160"/>
              <w:spacing w:after="0"/>
              <w:rPr>
                <w:sz w:val="20"/>
                <w:szCs w:val="20"/>
                <w:color w:val="auto"/>
              </w:rPr>
            </w:pPr>
            <w:r>
              <w:rPr>
                <w:rFonts w:ascii="Arial" w:cs="Arial" w:eastAsia="Arial" w:hAnsi="Arial"/>
                <w:sz w:val="12"/>
                <w:szCs w:val="12"/>
                <w:color w:val="auto"/>
              </w:rPr>
              <w:t>Loss on disposal of property</w:t>
            </w:r>
          </w:p>
        </w:tc>
        <w:tc>
          <w:tcPr>
            <w:tcW w:w="1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gridSpan w:val="3"/>
          </w:tcPr>
          <w:p>
            <w:pPr>
              <w:spacing w:after="0"/>
              <w:rPr>
                <w:sz w:val="20"/>
                <w:szCs w:val="20"/>
                <w:color w:val="auto"/>
              </w:rPr>
            </w:pPr>
            <w:r>
              <w:rPr>
                <w:rFonts w:ascii="Arial" w:cs="Arial" w:eastAsia="Arial" w:hAnsi="Arial"/>
                <w:sz w:val="12"/>
                <w:szCs w:val="12"/>
                <w:color w:val="auto"/>
              </w:rPr>
              <w:t>Change in assets and liabilities:</w:t>
            </w:r>
          </w:p>
        </w:tc>
        <w:tc>
          <w:tcPr>
            <w:tcW w:w="1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-7493000</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-7493000</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-2013585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-2013585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922" w:orient="portrait"/>
          <w:cols w:equalWidth="0" w:num="1">
            <w:col w:w="11540"/>
          </w:cols>
          <w:pgMar w:left="220" w:top="131" w:right="1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Inventories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(12,974)</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37,818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tcPr>
          <w:p>
            <w:pPr>
              <w:ind w:left="160"/>
              <w:spacing w:after="0"/>
              <w:rPr>
                <w:sz w:val="20"/>
                <w:szCs w:val="20"/>
                <w:color w:val="auto"/>
              </w:rPr>
            </w:pPr>
            <w:r>
              <w:rPr>
                <w:rFonts w:ascii="Arial" w:cs="Arial" w:eastAsia="Arial" w:hAnsi="Arial"/>
                <w:sz w:val="12"/>
                <w:szCs w:val="12"/>
                <w:color w:val="auto"/>
              </w:rPr>
              <w:t>Receivables and prepaid assets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(8,347)</w:t>
            </w:r>
          </w:p>
        </w:tc>
        <w:tc>
          <w:tcPr>
            <w:tcW w:w="240" w:type="dxa"/>
            <w:vAlign w:val="bottom"/>
          </w:tcPr>
          <w:p>
            <w:pPr>
              <w:spacing w:after="0"/>
              <w:rPr>
                <w:sz w:val="12"/>
                <w:szCs w:val="12"/>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1,290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Income taxes receivable and unrecognized tax benefits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15,983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(12,756)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tcPr>
          <w:p>
            <w:pPr>
              <w:ind w:left="160"/>
              <w:spacing w:after="0"/>
              <w:rPr>
                <w:sz w:val="20"/>
                <w:szCs w:val="20"/>
                <w:color w:val="auto"/>
              </w:rPr>
            </w:pPr>
            <w:r>
              <w:rPr>
                <w:rFonts w:ascii="Arial" w:cs="Arial" w:eastAsia="Arial" w:hAnsi="Arial"/>
                <w:sz w:val="12"/>
                <w:szCs w:val="12"/>
                <w:color w:val="auto"/>
              </w:rPr>
              <w:t>Accounts payable and accrued expenses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8,975</w:t>
            </w:r>
          </w:p>
        </w:tc>
        <w:tc>
          <w:tcPr>
            <w:tcW w:w="240" w:type="dxa"/>
            <w:vAlign w:val="bottom"/>
          </w:tcPr>
          <w:p>
            <w:pPr>
              <w:spacing w:after="0"/>
              <w:rPr>
                <w:sz w:val="12"/>
                <w:szCs w:val="12"/>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(11,734)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Postretirement and deferred compensation benefits</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(1,758)</w:t>
            </w: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(1,424)</w:t>
            </w:r>
          </w:p>
        </w:tc>
        <w:tc>
          <w:tcPr>
            <w:tcW w:w="0" w:type="dxa"/>
            <w:vAlign w:val="bottom"/>
          </w:tcPr>
          <w:p>
            <w:pPr>
              <w:spacing w:after="0"/>
              <w:rPr>
                <w:sz w:val="1"/>
                <w:szCs w:val="1"/>
                <w:color w:val="auto"/>
              </w:rPr>
            </w:pPr>
          </w:p>
        </w:tc>
      </w:tr>
      <w:tr>
        <w:trPr>
          <w:trHeight w:val="133"/>
        </w:trPr>
        <w:tc>
          <w:tcPr>
            <w:tcW w:w="9840" w:type="dxa"/>
            <w:vAlign w:val="bottom"/>
            <w:gridSpan w:val="2"/>
          </w:tcPr>
          <w:p>
            <w:pPr>
              <w:spacing w:after="0" w:line="133" w:lineRule="exact"/>
              <w:rPr>
                <w:sz w:val="20"/>
                <w:szCs w:val="20"/>
                <w:color w:val="auto"/>
              </w:rPr>
            </w:pPr>
            <w:r>
              <w:rPr>
                <w:rFonts w:ascii="Arial" w:cs="Arial" w:eastAsia="Arial" w:hAnsi="Arial"/>
                <w:sz w:val="12"/>
                <w:szCs w:val="12"/>
                <w:color w:val="auto"/>
              </w:rPr>
              <w:t>Net cash provided by (used in) operating activities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40"/>
              <w:spacing w:after="0" w:line="133" w:lineRule="exact"/>
              <w:rPr>
                <w:sz w:val="20"/>
                <w:szCs w:val="20"/>
                <w:color w:val="auto"/>
              </w:rPr>
            </w:pPr>
            <w:r>
              <w:rPr>
                <w:rFonts w:ascii="Arial" w:cs="Arial" w:eastAsia="Arial" w:hAnsi="Arial"/>
                <w:sz w:val="12"/>
                <w:szCs w:val="12"/>
                <w:color w:val="auto"/>
              </w:rPr>
              <w:t>4,902</w:t>
            </w:r>
          </w:p>
        </w:tc>
        <w:tc>
          <w:tcPr>
            <w:tcW w:w="240" w:type="dxa"/>
            <w:vAlign w:val="bottom"/>
          </w:tcPr>
          <w:p>
            <w:pPr>
              <w:spacing w:after="0"/>
              <w:rPr>
                <w:sz w:val="11"/>
                <w:szCs w:val="11"/>
                <w:color w:val="auto"/>
              </w:rPr>
            </w:pPr>
          </w:p>
        </w:tc>
        <w:tc>
          <w:tcPr>
            <w:tcW w:w="640" w:type="dxa"/>
            <w:vAlign w:val="bottom"/>
          </w:tcPr>
          <w:p>
            <w:pPr>
              <w:jc w:val="right"/>
              <w:ind w:right="60"/>
              <w:spacing w:after="0" w:line="133" w:lineRule="exact"/>
              <w:rPr>
                <w:sz w:val="20"/>
                <w:szCs w:val="20"/>
                <w:color w:val="auto"/>
              </w:rPr>
            </w:pPr>
            <w:r>
              <w:rPr>
                <w:rFonts w:ascii="Arial" w:cs="Arial" w:eastAsia="Arial" w:hAnsi="Arial"/>
                <w:sz w:val="12"/>
                <w:szCs w:val="12"/>
                <w:color w:val="auto"/>
              </w:rPr>
              <w:t>(2,258)</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98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820" w:type="dxa"/>
            <w:vAlign w:val="bottom"/>
          </w:tcPr>
          <w:p>
            <w:pPr>
              <w:spacing w:after="0"/>
              <w:rPr>
                <w:sz w:val="20"/>
                <w:szCs w:val="20"/>
                <w:color w:val="auto"/>
              </w:rPr>
            </w:pPr>
            <w:r>
              <w:rPr>
                <w:rFonts w:ascii="Arial" w:cs="Arial" w:eastAsia="Arial" w:hAnsi="Arial"/>
                <w:sz w:val="12"/>
                <w:szCs w:val="12"/>
                <w:color w:val="auto"/>
              </w:rPr>
              <w:t>Investing activities: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the sale of investments at par</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4,700</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tcPr>
          <w:p>
            <w:pPr>
              <w:ind w:left="160"/>
              <w:spacing w:after="0"/>
              <w:rPr>
                <w:sz w:val="20"/>
                <w:szCs w:val="20"/>
                <w:color w:val="auto"/>
              </w:rPr>
            </w:pPr>
            <w:r>
              <w:rPr>
                <w:rFonts w:ascii="Arial" w:cs="Arial" w:eastAsia="Arial" w:hAnsi="Arial"/>
                <w:sz w:val="12"/>
                <w:szCs w:val="12"/>
                <w:color w:val="auto"/>
              </w:rPr>
              <w:t>Purchases of property and equipment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(943)</w:t>
            </w:r>
          </w:p>
        </w:tc>
        <w:tc>
          <w:tcPr>
            <w:tcW w:w="240" w:type="dxa"/>
            <w:vAlign w:val="bottom"/>
          </w:tcPr>
          <w:p>
            <w:pPr>
              <w:spacing w:after="0"/>
              <w:rPr>
                <w:sz w:val="12"/>
                <w:szCs w:val="12"/>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(1,344)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the sale of property</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(958)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provided by investing activities</w:t>
            </w: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3,361</w:t>
            </w:r>
          </w:p>
        </w:tc>
        <w:tc>
          <w:tcPr>
            <w:tcW w:w="2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6,412</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9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tcPr>
          <w:p>
            <w:pPr>
              <w:ind w:left="160"/>
              <w:spacing w:after="0"/>
              <w:rPr>
                <w:sz w:val="20"/>
                <w:szCs w:val="20"/>
                <w:color w:val="auto"/>
              </w:rPr>
            </w:pPr>
            <w:r>
              <w:rPr>
                <w:rFonts w:ascii="Arial" w:cs="Arial" w:eastAsia="Arial" w:hAnsi="Arial"/>
                <w:sz w:val="12"/>
                <w:szCs w:val="12"/>
                <w:color w:val="auto"/>
              </w:rPr>
              <w:t>Payments for purchase of 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(249)</w:t>
            </w:r>
          </w:p>
        </w:tc>
        <w:tc>
          <w:tcPr>
            <w:tcW w:w="240" w:type="dxa"/>
            <w:vAlign w:val="bottom"/>
          </w:tcPr>
          <w:p>
            <w:pPr>
              <w:spacing w:after="0"/>
              <w:rPr>
                <w:sz w:val="12"/>
                <w:szCs w:val="12"/>
                <w:color w:val="auto"/>
              </w:rPr>
            </w:pPr>
          </w:p>
        </w:tc>
        <w:tc>
          <w:tcPr>
            <w:tcW w:w="640" w:type="dxa"/>
            <w:vAlign w:val="bottom"/>
          </w:tcPr>
          <w:p>
            <w:pPr>
              <w:jc w:val="right"/>
              <w:ind w:right="60"/>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Payments of cash dividends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tcPr>
          <w:p>
            <w:pPr>
              <w:ind w:left="160"/>
              <w:spacing w:after="0"/>
              <w:rPr>
                <w:sz w:val="20"/>
                <w:szCs w:val="20"/>
                <w:color w:val="auto"/>
              </w:rPr>
            </w:pPr>
            <w:r>
              <w:rPr>
                <w:rFonts w:ascii="Arial" w:cs="Arial" w:eastAsia="Arial" w:hAnsi="Arial"/>
                <w:sz w:val="12"/>
                <w:szCs w:val="12"/>
                <w:color w:val="auto"/>
              </w:rPr>
              <w:t>(Payments) borrowings on ARS portfolio</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(2,780)</w:t>
            </w:r>
          </w:p>
        </w:tc>
        <w:tc>
          <w:tcPr>
            <w:tcW w:w="240" w:type="dxa"/>
            <w:vAlign w:val="bottom"/>
          </w:tcPr>
          <w:p>
            <w:pPr>
              <w:spacing w:after="0"/>
              <w:rPr>
                <w:sz w:val="12"/>
                <w:szCs w:val="12"/>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9,100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exercise of stock options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94</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(used in) provided by financing activities</w:t>
            </w:r>
          </w:p>
        </w:tc>
        <w:tc>
          <w:tcPr>
            <w:tcW w:w="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(3,220)</w:t>
            </w:r>
          </w:p>
        </w:tc>
        <w:tc>
          <w:tcPr>
            <w:tcW w:w="2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5,449</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9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cash and cash equivalents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5,043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9,603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at beginning of period</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36,566</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17,851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8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 at end of period</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41,609</w:t>
            </w:r>
          </w:p>
        </w:tc>
        <w:tc>
          <w:tcPr>
            <w:tcW w:w="24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27,454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2"/>
                <w:szCs w:val="12"/>
                <w:color w:val="auto"/>
              </w:rPr>
              <w:t>Supplemental cash flow disclosure: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820" w:type="dxa"/>
            <w:vAlign w:val="bottom"/>
          </w:tcPr>
          <w:p>
            <w:pPr>
              <w:ind w:left="120"/>
              <w:spacing w:after="0"/>
              <w:rPr>
                <w:sz w:val="20"/>
                <w:szCs w:val="20"/>
                <w:color w:val="auto"/>
              </w:rPr>
            </w:pPr>
            <w:r>
              <w:rPr>
                <w:rFonts w:ascii="Arial" w:cs="Arial" w:eastAsia="Arial" w:hAnsi="Arial"/>
                <w:sz w:val="12"/>
                <w:szCs w:val="12"/>
                <w:color w:val="auto"/>
              </w:rPr>
              <w:t>Income taxes (refunded) paid</w:t>
            </w:r>
          </w:p>
        </w:tc>
        <w:tc>
          <w:tcPr>
            <w:tcW w:w="1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(23,534)</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unaudited notes to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Winnebago Industries,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Notes to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The "Company," "we," "our" and "us" are used interchangeably to refer to Winnebago Industries, Inc.</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Basis of Presentation</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 our opinion, the accompanying condensed unaudited financial statements contain all adjustments, consisting of normal recurring accruals, necessary to present fairly the financial position as of February 27, 2010 and the results of operations for the quarter and six months ended February 27, 2010 and February 28, 2009, and cash flows for the six months ended February 27, 2010 and February 28, 2009. The statement of operations for the six months ended February 27, 2010 is not necessarily indicative of the results to be expected for the full year. The balance sheet data as of August 29, 2009 was derived from audited financial statements, but does not include all of the information and footnotes required by generally accepted accounting principles (GAAP) for complete financial statements. These interim financial statements should be read in conjunction with the audit ed financial statements and notes thereto appearing in our Annual Report to Shareholders for the year ended August 29, 2009.</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New Accounting Pronouncements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On January 21, 2010, the Financial Accounting Standards Board (FASB) issued Accounting Standards Update (ASU) 2010-06, amending Accounting Standards Codification (ASC) 820 (formerly Statement of Financial Accounting Standards No. 157) to add new requirements. The new requirements are disclosures about transfers into and out of Levels 1 and 2 measurements (as defined in Note 3) and separate disclosures about purchases, sales, issuances, and settlements relating to Level 3 measurements (as defined in Note 3). ASU 2010-06 clarifies existing fair value disclosures about the level of disaggregation and about inputs and valuation techniques used to measure fair value. The new guidance became effective for our second quarter of Fiscal 2010, except for the requirement to provide Level 3 activity on a gross basis. That requirement will be effective starti ng in the first fiscal year beginning after December 15, 2010 (our Fiscal 2012).</w:t>
      </w:r>
    </w:p>
    <w:p>
      <w:pPr>
        <w:spacing w:after="0" w:line="153"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On February 24, 2010, the FASB issued ASU 2010-09, which amends ASC 855 to address certain implementation issues related to an entity's requirement to perform and disclose subsequent events procedures. ASU 2010-09 requires entities that make filings with the Securities and Exchange Commission (SEC) to evaluate subsequent events through the date the financial statements are issued. The new guidance became effective immediately for financial statements that are issued or available to be issued. See Note 14.</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Assets and Liabilities that are Measured at Fair Value on a Recurring Basis</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following tables set forth by level within the fair value hierarchy, our financial assets that were accounted for at fair value on a recurring basis at February 27, 2010 and August 29, 2009 according to the valuation techniques we used to determine their fair values: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1"/>
              </w:rPr>
              <w:t>Fair Value Measurements</w:t>
            </w:r>
          </w:p>
        </w:tc>
      </w:tr>
      <w:tr>
        <w:trPr>
          <w:trHeight w:val="157"/>
        </w:trPr>
        <w:tc>
          <w:tcPr>
            <w:tcW w:w="4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89"/>
              </w:rPr>
              <w:t>Using Inputs Considered As</w:t>
            </w:r>
          </w:p>
        </w:tc>
      </w:tr>
      <w:tr>
        <w:trPr>
          <w:trHeight w:val="120"/>
        </w:trPr>
        <w:tc>
          <w:tcPr>
            <w:tcW w:w="49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8"/>
              </w:rPr>
              <w:t>Level 1</w:t>
            </w:r>
          </w:p>
        </w:tc>
        <w:tc>
          <w:tcPr>
            <w:tcW w:w="14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3"/>
              </w:rPr>
              <w:t>Level 2</w:t>
            </w:r>
          </w:p>
        </w:tc>
        <w:tc>
          <w:tcPr>
            <w:tcW w:w="160" w:type="dxa"/>
            <w:vAlign w:val="bottom"/>
          </w:tcPr>
          <w:p>
            <w:pPr>
              <w:spacing w:after="0"/>
              <w:rPr>
                <w:sz w:val="10"/>
                <w:szCs w:val="10"/>
                <w:color w:val="auto"/>
              </w:rPr>
            </w:pPr>
          </w:p>
        </w:tc>
        <w:tc>
          <w:tcPr>
            <w:tcW w:w="940" w:type="dxa"/>
            <w:vAlign w:val="bottom"/>
          </w:tcPr>
          <w:p>
            <w:pPr>
              <w:jc w:val="center"/>
              <w:ind w:right="60"/>
              <w:spacing w:after="0" w:line="121" w:lineRule="exact"/>
              <w:rPr>
                <w:sz w:val="20"/>
                <w:szCs w:val="20"/>
                <w:color w:val="auto"/>
              </w:rPr>
            </w:pPr>
            <w:r>
              <w:rPr>
                <w:rFonts w:ascii="Arial" w:cs="Arial" w:eastAsia="Arial" w:hAnsi="Arial"/>
                <w:sz w:val="12"/>
                <w:szCs w:val="12"/>
                <w:b w:val="1"/>
                <w:bCs w:val="1"/>
                <w:color w:val="auto"/>
                <w:w w:val="93"/>
              </w:rPr>
              <w:t>Level 3</w:t>
            </w:r>
          </w:p>
        </w:tc>
      </w:tr>
      <w:tr>
        <w:trPr>
          <w:trHeight w:val="144"/>
        </w:trPr>
        <w:tc>
          <w:tcPr>
            <w:tcW w:w="4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8"/>
              </w:rPr>
              <w:t>Quoted Prices</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7"/>
              </w:rPr>
              <w:t>Significant</w:t>
            </w:r>
          </w:p>
        </w:tc>
        <w:tc>
          <w:tcPr>
            <w:tcW w:w="160" w:type="dxa"/>
            <w:vAlign w:val="bottom"/>
          </w:tcPr>
          <w:p>
            <w:pPr>
              <w:spacing w:after="0"/>
              <w:rPr>
                <w:sz w:val="12"/>
                <w:szCs w:val="12"/>
                <w:color w:val="auto"/>
              </w:rPr>
            </w:pPr>
          </w:p>
        </w:tc>
        <w:tc>
          <w:tcPr>
            <w:tcW w:w="940" w:type="dxa"/>
            <w:vAlign w:val="bottom"/>
          </w:tcPr>
          <w:p>
            <w:pPr>
              <w:jc w:val="center"/>
              <w:ind w:right="60"/>
              <w:spacing w:after="0"/>
              <w:rPr>
                <w:sz w:val="20"/>
                <w:szCs w:val="20"/>
                <w:color w:val="auto"/>
              </w:rPr>
            </w:pPr>
            <w:r>
              <w:rPr>
                <w:rFonts w:ascii="Arial" w:cs="Arial" w:eastAsia="Arial" w:hAnsi="Arial"/>
                <w:sz w:val="12"/>
                <w:szCs w:val="12"/>
                <w:b w:val="1"/>
                <w:bCs w:val="1"/>
                <w:color w:val="auto"/>
                <w:w w:val="87"/>
              </w:rPr>
              <w:t>Significant</w:t>
            </w:r>
          </w:p>
        </w:tc>
      </w:tr>
      <w:tr>
        <w:trPr>
          <w:trHeight w:val="144"/>
        </w:trPr>
        <w:tc>
          <w:tcPr>
            <w:tcW w:w="4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jc w:val="center"/>
              <w:ind w:right="20"/>
              <w:spacing w:after="0"/>
              <w:rPr>
                <w:sz w:val="20"/>
                <w:szCs w:val="20"/>
                <w:color w:val="auto"/>
              </w:rPr>
            </w:pPr>
            <w:r>
              <w:rPr>
                <w:rFonts w:ascii="Arial" w:cs="Arial" w:eastAsia="Arial" w:hAnsi="Arial"/>
                <w:sz w:val="12"/>
                <w:szCs w:val="12"/>
                <w:b w:val="1"/>
                <w:bCs w:val="1"/>
                <w:color w:val="auto"/>
                <w:w w:val="92"/>
              </w:rPr>
              <w:t>Fair Value at</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7"/>
              </w:rPr>
              <w:t>in Active</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2"/>
                <w:szCs w:val="12"/>
                <w:color w:val="auto"/>
              </w:rPr>
            </w:pPr>
          </w:p>
        </w:tc>
        <w:tc>
          <w:tcPr>
            <w:tcW w:w="940" w:type="dxa"/>
            <w:vAlign w:val="bottom"/>
          </w:tcPr>
          <w:p>
            <w:pPr>
              <w:jc w:val="center"/>
              <w:ind w:right="60"/>
              <w:spacing w:after="0"/>
              <w:rPr>
                <w:sz w:val="20"/>
                <w:szCs w:val="20"/>
                <w:color w:val="auto"/>
              </w:rPr>
            </w:pPr>
            <w:r>
              <w:rPr>
                <w:rFonts w:ascii="Arial" w:cs="Arial" w:eastAsia="Arial" w:hAnsi="Arial"/>
                <w:sz w:val="12"/>
                <w:szCs w:val="12"/>
                <w:b w:val="1"/>
                <w:bCs w:val="1"/>
                <w:color w:val="auto"/>
                <w:w w:val="88"/>
              </w:rPr>
              <w:t>Unobservable</w:t>
            </w:r>
          </w:p>
        </w:tc>
      </w:tr>
      <w:tr>
        <w:trPr>
          <w:trHeight w:val="144"/>
        </w:trPr>
        <w:tc>
          <w:tcPr>
            <w:tcW w:w="4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jc w:val="center"/>
              <w:ind w:right="20"/>
              <w:spacing w:after="0"/>
              <w:rPr>
                <w:sz w:val="20"/>
                <w:szCs w:val="20"/>
                <w:color w:val="auto"/>
              </w:rPr>
            </w:pPr>
            <w:r>
              <w:rPr>
                <w:rFonts w:ascii="Arial" w:cs="Arial" w:eastAsia="Arial" w:hAnsi="Arial"/>
                <w:sz w:val="12"/>
                <w:szCs w:val="12"/>
                <w:b w:val="1"/>
                <w:bCs w:val="1"/>
                <w:color w:val="auto"/>
                <w:w w:val="92"/>
              </w:rPr>
              <w:t>February 27,</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2"/>
              </w:rPr>
              <w:t>Markets for</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8"/>
              </w:rPr>
              <w:t>Observable</w:t>
            </w:r>
          </w:p>
        </w:tc>
        <w:tc>
          <w:tcPr>
            <w:tcW w:w="160" w:type="dxa"/>
            <w:vAlign w:val="bottom"/>
          </w:tcPr>
          <w:p>
            <w:pPr>
              <w:spacing w:after="0"/>
              <w:rPr>
                <w:sz w:val="12"/>
                <w:szCs w:val="12"/>
                <w:color w:val="auto"/>
              </w:rPr>
            </w:pPr>
          </w:p>
        </w:tc>
        <w:tc>
          <w:tcPr>
            <w:tcW w:w="940" w:type="dxa"/>
            <w:vAlign w:val="bottom"/>
          </w:tcPr>
          <w:p>
            <w:pPr>
              <w:jc w:val="center"/>
              <w:ind w:right="60"/>
              <w:spacing w:after="0"/>
              <w:rPr>
                <w:sz w:val="20"/>
                <w:szCs w:val="20"/>
                <w:color w:val="auto"/>
              </w:rPr>
            </w:pPr>
            <w:r>
              <w:rPr>
                <w:rFonts w:ascii="Arial" w:cs="Arial" w:eastAsia="Arial" w:hAnsi="Arial"/>
                <w:sz w:val="12"/>
                <w:szCs w:val="12"/>
                <w:b w:val="1"/>
                <w:bCs w:val="1"/>
                <w:color w:val="auto"/>
                <w:w w:val="94"/>
              </w:rPr>
              <w:t>Inputs</w:t>
            </w:r>
          </w:p>
        </w:tc>
      </w:tr>
      <w:tr>
        <w:trPr>
          <w:trHeight w:val="157"/>
        </w:trPr>
        <w:tc>
          <w:tcPr>
            <w:tcW w:w="4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28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2010</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Identical Assets</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Inputs</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33"/>
        </w:trPr>
        <w:tc>
          <w:tcPr>
            <w:tcW w:w="49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w:t>
            </w:r>
          </w:p>
        </w:tc>
        <w:tc>
          <w:tcPr>
            <w:tcW w:w="28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41,609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41,609</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w:t>
            </w:r>
          </w:p>
        </w:tc>
      </w:tr>
      <w:tr>
        <w:trPr>
          <w:trHeight w:val="144"/>
        </w:trPr>
        <w:tc>
          <w:tcPr>
            <w:tcW w:w="4940" w:type="dxa"/>
            <w:vAlign w:val="bottom"/>
          </w:tcPr>
          <w:p>
            <w:pPr>
              <w:spacing w:after="0"/>
              <w:rPr>
                <w:sz w:val="20"/>
                <w:szCs w:val="20"/>
                <w:color w:val="auto"/>
              </w:rPr>
            </w:pPr>
            <w:r>
              <w:rPr>
                <w:rFonts w:ascii="Arial" w:cs="Arial" w:eastAsia="Arial" w:hAnsi="Arial"/>
                <w:sz w:val="12"/>
                <w:szCs w:val="12"/>
                <w:color w:val="auto"/>
              </w:rPr>
              <w:t>Short-term investments (includes Put Rights)</w:t>
            </w:r>
          </w:p>
        </w:tc>
        <w:tc>
          <w:tcPr>
            <w:tcW w:w="2880" w:type="dxa"/>
            <w:vAlign w:val="bottom"/>
          </w:tcPr>
          <w:p>
            <w:pPr>
              <w:spacing w:after="0"/>
              <w:rPr>
                <w:sz w:val="12"/>
                <w:szCs w:val="12"/>
                <w:color w:val="auto"/>
              </w:rPr>
            </w:pPr>
          </w:p>
        </w:tc>
        <w:tc>
          <w:tcPr>
            <w:tcW w:w="820" w:type="dxa"/>
            <w:vAlign w:val="bottom"/>
          </w:tcPr>
          <w:p>
            <w:pPr>
              <w:jc w:val="right"/>
              <w:ind w:right="220"/>
              <w:spacing w:after="0"/>
              <w:rPr>
                <w:sz w:val="20"/>
                <w:szCs w:val="20"/>
                <w:color w:val="auto"/>
              </w:rPr>
            </w:pPr>
            <w:r>
              <w:rPr>
                <w:rFonts w:ascii="Arial" w:cs="Arial" w:eastAsia="Arial" w:hAnsi="Arial"/>
                <w:sz w:val="12"/>
                <w:szCs w:val="12"/>
                <w:color w:val="auto"/>
              </w:rPr>
              <w:t>9,000</w:t>
            </w:r>
          </w:p>
        </w:tc>
        <w:tc>
          <w:tcPr>
            <w:tcW w:w="80" w:type="dxa"/>
            <w:vAlign w:val="bottom"/>
          </w:tcPr>
          <w:p>
            <w:pPr>
              <w:spacing w:after="0"/>
              <w:rPr>
                <w:sz w:val="12"/>
                <w:szCs w:val="12"/>
                <w:color w:val="auto"/>
              </w:rPr>
            </w:pPr>
          </w:p>
        </w:tc>
        <w:tc>
          <w:tcPr>
            <w:tcW w:w="86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ind w:left="3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40" w:type="dxa"/>
            <w:vAlign w:val="bottom"/>
          </w:tcPr>
          <w:p>
            <w:pPr>
              <w:jc w:val="right"/>
              <w:ind w:right="280"/>
              <w:spacing w:after="0"/>
              <w:rPr>
                <w:sz w:val="20"/>
                <w:szCs w:val="20"/>
                <w:color w:val="auto"/>
              </w:rPr>
            </w:pPr>
            <w:r>
              <w:rPr>
                <w:rFonts w:ascii="Arial" w:cs="Arial" w:eastAsia="Arial" w:hAnsi="Arial"/>
                <w:sz w:val="12"/>
                <w:szCs w:val="12"/>
                <w:color w:val="auto"/>
              </w:rPr>
              <w:t>9,000</w:t>
            </w:r>
          </w:p>
        </w:tc>
      </w:tr>
      <w:tr>
        <w:trPr>
          <w:trHeight w:val="144"/>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Long-term investments</w:t>
            </w:r>
          </w:p>
        </w:tc>
        <w:tc>
          <w:tcPr>
            <w:tcW w:w="28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19,748</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19,748</w:t>
            </w:r>
          </w:p>
        </w:tc>
      </w:tr>
      <w:tr>
        <w:trPr>
          <w:trHeight w:val="153"/>
        </w:trPr>
        <w:tc>
          <w:tcPr>
            <w:tcW w:w="4940" w:type="dxa"/>
            <w:vAlign w:val="bottom"/>
          </w:tcPr>
          <w:p>
            <w:pPr>
              <w:spacing w:after="0"/>
              <w:rPr>
                <w:sz w:val="20"/>
                <w:szCs w:val="20"/>
                <w:color w:val="auto"/>
              </w:rPr>
            </w:pPr>
            <w:r>
              <w:rPr>
                <w:rFonts w:ascii="Arial" w:cs="Arial" w:eastAsia="Arial" w:hAnsi="Arial"/>
                <w:sz w:val="12"/>
                <w:szCs w:val="12"/>
                <w:color w:val="auto"/>
              </w:rPr>
              <w:t>Assets that fund deferred compensation</w:t>
            </w:r>
          </w:p>
        </w:tc>
        <w:tc>
          <w:tcPr>
            <w:tcW w:w="2880" w:type="dxa"/>
            <w:vAlign w:val="bottom"/>
          </w:tcPr>
          <w:p>
            <w:pPr>
              <w:spacing w:after="0"/>
              <w:rPr>
                <w:sz w:val="13"/>
                <w:szCs w:val="13"/>
                <w:color w:val="auto"/>
              </w:rPr>
            </w:pPr>
          </w:p>
        </w:tc>
        <w:tc>
          <w:tcPr>
            <w:tcW w:w="820" w:type="dxa"/>
            <w:vAlign w:val="bottom"/>
          </w:tcPr>
          <w:p>
            <w:pPr>
              <w:jc w:val="right"/>
              <w:ind w:right="220"/>
              <w:spacing w:after="0"/>
              <w:rPr>
                <w:sz w:val="20"/>
                <w:szCs w:val="20"/>
                <w:color w:val="auto"/>
              </w:rPr>
            </w:pPr>
            <w:r>
              <w:rPr>
                <w:rFonts w:ascii="Arial" w:cs="Arial" w:eastAsia="Arial" w:hAnsi="Arial"/>
                <w:sz w:val="12"/>
                <w:szCs w:val="12"/>
                <w:color w:val="auto"/>
              </w:rPr>
              <w:t>11,410</w:t>
            </w:r>
          </w:p>
        </w:tc>
        <w:tc>
          <w:tcPr>
            <w:tcW w:w="80" w:type="dxa"/>
            <w:vAlign w:val="bottom"/>
          </w:tcPr>
          <w:p>
            <w:pPr>
              <w:spacing w:after="0"/>
              <w:rPr>
                <w:sz w:val="13"/>
                <w:szCs w:val="13"/>
                <w:color w:val="auto"/>
              </w:rPr>
            </w:pPr>
          </w:p>
        </w:tc>
        <w:tc>
          <w:tcPr>
            <w:tcW w:w="860" w:type="dxa"/>
            <w:vAlign w:val="bottom"/>
          </w:tcPr>
          <w:p>
            <w:pPr>
              <w:jc w:val="right"/>
              <w:ind w:right="160"/>
              <w:spacing w:after="0"/>
              <w:rPr>
                <w:sz w:val="20"/>
                <w:szCs w:val="20"/>
                <w:color w:val="auto"/>
              </w:rPr>
            </w:pPr>
            <w:r>
              <w:rPr>
                <w:rFonts w:ascii="Arial" w:cs="Arial" w:eastAsia="Arial" w:hAnsi="Arial"/>
                <w:sz w:val="12"/>
                <w:szCs w:val="12"/>
                <w:color w:val="auto"/>
              </w:rPr>
              <w:t>11,410</w:t>
            </w:r>
          </w:p>
        </w:tc>
        <w:tc>
          <w:tcPr>
            <w:tcW w:w="140" w:type="dxa"/>
            <w:vAlign w:val="bottom"/>
          </w:tcPr>
          <w:p>
            <w:pPr>
              <w:spacing w:after="0"/>
              <w:rPr>
                <w:sz w:val="13"/>
                <w:szCs w:val="13"/>
                <w:color w:val="auto"/>
              </w:rPr>
            </w:pPr>
          </w:p>
        </w:tc>
        <w:tc>
          <w:tcPr>
            <w:tcW w:w="660" w:type="dxa"/>
            <w:vAlign w:val="bottom"/>
          </w:tcPr>
          <w:p>
            <w:pPr>
              <w:ind w:left="3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tcPr>
          <w:p>
            <w:pPr>
              <w:jc w:val="right"/>
              <w:ind w:right="280"/>
              <w:spacing w:after="0"/>
              <w:rPr>
                <w:sz w:val="20"/>
                <w:szCs w:val="20"/>
                <w:color w:val="auto"/>
              </w:rPr>
            </w:pPr>
            <w:r>
              <w:rPr>
                <w:rFonts w:ascii="Arial" w:cs="Arial" w:eastAsia="Arial" w:hAnsi="Arial"/>
                <w:sz w:val="12"/>
                <w:szCs w:val="12"/>
                <w:color w:val="auto"/>
              </w:rPr>
              <w:t>—</w:t>
            </w:r>
          </w:p>
        </w:tc>
      </w:tr>
      <w:tr>
        <w:trPr>
          <w:trHeight w:val="393"/>
        </w:trPr>
        <w:tc>
          <w:tcPr>
            <w:tcW w:w="49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1"/>
              </w:rPr>
              <w:t>Fair Value Measurements</w:t>
            </w:r>
          </w:p>
        </w:tc>
      </w:tr>
      <w:tr>
        <w:trPr>
          <w:trHeight w:val="157"/>
        </w:trPr>
        <w:tc>
          <w:tcPr>
            <w:tcW w:w="4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89"/>
              </w:rPr>
              <w:t>Using Inputs Considered As</w:t>
            </w:r>
          </w:p>
        </w:tc>
      </w:tr>
      <w:tr>
        <w:trPr>
          <w:trHeight w:val="120"/>
        </w:trPr>
        <w:tc>
          <w:tcPr>
            <w:tcW w:w="49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8"/>
              </w:rPr>
              <w:t>Level 1</w:t>
            </w:r>
          </w:p>
        </w:tc>
        <w:tc>
          <w:tcPr>
            <w:tcW w:w="14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3"/>
              </w:rPr>
              <w:t>Level 2</w:t>
            </w:r>
          </w:p>
        </w:tc>
        <w:tc>
          <w:tcPr>
            <w:tcW w:w="160" w:type="dxa"/>
            <w:vAlign w:val="bottom"/>
          </w:tcPr>
          <w:p>
            <w:pPr>
              <w:spacing w:after="0"/>
              <w:rPr>
                <w:sz w:val="10"/>
                <w:szCs w:val="10"/>
                <w:color w:val="auto"/>
              </w:rPr>
            </w:pPr>
          </w:p>
        </w:tc>
        <w:tc>
          <w:tcPr>
            <w:tcW w:w="940" w:type="dxa"/>
            <w:vAlign w:val="bottom"/>
          </w:tcPr>
          <w:p>
            <w:pPr>
              <w:jc w:val="center"/>
              <w:ind w:right="60"/>
              <w:spacing w:after="0" w:line="121" w:lineRule="exact"/>
              <w:rPr>
                <w:sz w:val="20"/>
                <w:szCs w:val="20"/>
                <w:color w:val="auto"/>
              </w:rPr>
            </w:pPr>
            <w:r>
              <w:rPr>
                <w:rFonts w:ascii="Arial" w:cs="Arial" w:eastAsia="Arial" w:hAnsi="Arial"/>
                <w:sz w:val="12"/>
                <w:szCs w:val="12"/>
                <w:b w:val="1"/>
                <w:bCs w:val="1"/>
                <w:color w:val="auto"/>
                <w:w w:val="93"/>
              </w:rPr>
              <w:t>Level 3</w:t>
            </w:r>
          </w:p>
        </w:tc>
      </w:tr>
      <w:tr>
        <w:trPr>
          <w:trHeight w:val="144"/>
        </w:trPr>
        <w:tc>
          <w:tcPr>
            <w:tcW w:w="4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8"/>
              </w:rPr>
              <w:t>Quoted Prices</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7"/>
              </w:rPr>
              <w:t>Significant</w:t>
            </w:r>
          </w:p>
        </w:tc>
        <w:tc>
          <w:tcPr>
            <w:tcW w:w="160" w:type="dxa"/>
            <w:vAlign w:val="bottom"/>
          </w:tcPr>
          <w:p>
            <w:pPr>
              <w:spacing w:after="0"/>
              <w:rPr>
                <w:sz w:val="12"/>
                <w:szCs w:val="12"/>
                <w:color w:val="auto"/>
              </w:rPr>
            </w:pPr>
          </w:p>
        </w:tc>
        <w:tc>
          <w:tcPr>
            <w:tcW w:w="940" w:type="dxa"/>
            <w:vAlign w:val="bottom"/>
          </w:tcPr>
          <w:p>
            <w:pPr>
              <w:jc w:val="center"/>
              <w:ind w:right="60"/>
              <w:spacing w:after="0"/>
              <w:rPr>
                <w:sz w:val="20"/>
                <w:szCs w:val="20"/>
                <w:color w:val="auto"/>
              </w:rPr>
            </w:pPr>
            <w:r>
              <w:rPr>
                <w:rFonts w:ascii="Arial" w:cs="Arial" w:eastAsia="Arial" w:hAnsi="Arial"/>
                <w:sz w:val="12"/>
                <w:szCs w:val="12"/>
                <w:b w:val="1"/>
                <w:bCs w:val="1"/>
                <w:color w:val="auto"/>
                <w:w w:val="87"/>
              </w:rPr>
              <w:t>Significant</w:t>
            </w:r>
          </w:p>
        </w:tc>
      </w:tr>
      <w:tr>
        <w:trPr>
          <w:trHeight w:val="144"/>
        </w:trPr>
        <w:tc>
          <w:tcPr>
            <w:tcW w:w="4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jc w:val="center"/>
              <w:ind w:right="20"/>
              <w:spacing w:after="0"/>
              <w:rPr>
                <w:sz w:val="20"/>
                <w:szCs w:val="20"/>
                <w:color w:val="auto"/>
              </w:rPr>
            </w:pPr>
            <w:r>
              <w:rPr>
                <w:rFonts w:ascii="Arial" w:cs="Arial" w:eastAsia="Arial" w:hAnsi="Arial"/>
                <w:sz w:val="12"/>
                <w:szCs w:val="12"/>
                <w:b w:val="1"/>
                <w:bCs w:val="1"/>
                <w:color w:val="auto"/>
                <w:w w:val="92"/>
              </w:rPr>
              <w:t>Fair Value at</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7"/>
              </w:rPr>
              <w:t>in Active</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2"/>
                <w:szCs w:val="12"/>
                <w:color w:val="auto"/>
              </w:rPr>
            </w:pPr>
          </w:p>
        </w:tc>
        <w:tc>
          <w:tcPr>
            <w:tcW w:w="940" w:type="dxa"/>
            <w:vAlign w:val="bottom"/>
          </w:tcPr>
          <w:p>
            <w:pPr>
              <w:jc w:val="center"/>
              <w:ind w:right="60"/>
              <w:spacing w:after="0"/>
              <w:rPr>
                <w:sz w:val="20"/>
                <w:szCs w:val="20"/>
                <w:color w:val="auto"/>
              </w:rPr>
            </w:pPr>
            <w:r>
              <w:rPr>
                <w:rFonts w:ascii="Arial" w:cs="Arial" w:eastAsia="Arial" w:hAnsi="Arial"/>
                <w:sz w:val="12"/>
                <w:szCs w:val="12"/>
                <w:b w:val="1"/>
                <w:bCs w:val="1"/>
                <w:color w:val="auto"/>
                <w:w w:val="88"/>
              </w:rPr>
              <w:t>Unobservable</w:t>
            </w:r>
          </w:p>
        </w:tc>
      </w:tr>
      <w:tr>
        <w:trPr>
          <w:trHeight w:val="144"/>
        </w:trPr>
        <w:tc>
          <w:tcPr>
            <w:tcW w:w="49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jc w:val="center"/>
              <w:ind w:right="20"/>
              <w:spacing w:after="0"/>
              <w:rPr>
                <w:sz w:val="20"/>
                <w:szCs w:val="20"/>
                <w:color w:val="auto"/>
              </w:rPr>
            </w:pPr>
            <w:r>
              <w:rPr>
                <w:rFonts w:ascii="Arial" w:cs="Arial" w:eastAsia="Arial" w:hAnsi="Arial"/>
                <w:sz w:val="12"/>
                <w:szCs w:val="12"/>
                <w:b w:val="1"/>
                <w:bCs w:val="1"/>
                <w:color w:val="auto"/>
                <w:w w:val="87"/>
              </w:rPr>
              <w:t>August 29,</w:t>
            </w: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2"/>
              </w:rPr>
              <w:t>Markets for</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8"/>
              </w:rPr>
              <w:t>Observable</w:t>
            </w:r>
          </w:p>
        </w:tc>
        <w:tc>
          <w:tcPr>
            <w:tcW w:w="160" w:type="dxa"/>
            <w:vAlign w:val="bottom"/>
          </w:tcPr>
          <w:p>
            <w:pPr>
              <w:spacing w:after="0"/>
              <w:rPr>
                <w:sz w:val="12"/>
                <w:szCs w:val="12"/>
                <w:color w:val="auto"/>
              </w:rPr>
            </w:pPr>
          </w:p>
        </w:tc>
        <w:tc>
          <w:tcPr>
            <w:tcW w:w="940" w:type="dxa"/>
            <w:vAlign w:val="bottom"/>
          </w:tcPr>
          <w:p>
            <w:pPr>
              <w:jc w:val="center"/>
              <w:ind w:right="60"/>
              <w:spacing w:after="0"/>
              <w:rPr>
                <w:sz w:val="20"/>
                <w:szCs w:val="20"/>
                <w:color w:val="auto"/>
              </w:rPr>
            </w:pPr>
            <w:r>
              <w:rPr>
                <w:rFonts w:ascii="Arial" w:cs="Arial" w:eastAsia="Arial" w:hAnsi="Arial"/>
                <w:sz w:val="12"/>
                <w:szCs w:val="12"/>
                <w:b w:val="1"/>
                <w:bCs w:val="1"/>
                <w:color w:val="auto"/>
                <w:w w:val="94"/>
              </w:rPr>
              <w:t>Inputs</w:t>
            </w:r>
          </w:p>
        </w:tc>
      </w:tr>
      <w:tr>
        <w:trPr>
          <w:trHeight w:val="157"/>
        </w:trPr>
        <w:tc>
          <w:tcPr>
            <w:tcW w:w="4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28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2009</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Identical Assets</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Inputs</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33"/>
        </w:trPr>
        <w:tc>
          <w:tcPr>
            <w:tcW w:w="49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w:t>
            </w:r>
          </w:p>
        </w:tc>
        <w:tc>
          <w:tcPr>
            <w:tcW w:w="28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36,566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36,566</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ind w:left="300"/>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w:t>
            </w:r>
          </w:p>
        </w:tc>
      </w:tr>
      <w:tr>
        <w:trPr>
          <w:trHeight w:val="144"/>
        </w:trPr>
        <w:tc>
          <w:tcPr>
            <w:tcW w:w="4940" w:type="dxa"/>
            <w:vAlign w:val="bottom"/>
          </w:tcPr>
          <w:p>
            <w:pPr>
              <w:spacing w:after="0"/>
              <w:rPr>
                <w:sz w:val="20"/>
                <w:szCs w:val="20"/>
                <w:color w:val="auto"/>
              </w:rPr>
            </w:pPr>
            <w:r>
              <w:rPr>
                <w:rFonts w:ascii="Arial" w:cs="Arial" w:eastAsia="Arial" w:hAnsi="Arial"/>
                <w:sz w:val="12"/>
                <w:szCs w:val="12"/>
                <w:color w:val="auto"/>
              </w:rPr>
              <w:t>Short-term investments (includes Put Rights)</w:t>
            </w:r>
          </w:p>
        </w:tc>
        <w:tc>
          <w:tcPr>
            <w:tcW w:w="2880" w:type="dxa"/>
            <w:vAlign w:val="bottom"/>
          </w:tcPr>
          <w:p>
            <w:pPr>
              <w:spacing w:after="0"/>
              <w:rPr>
                <w:sz w:val="12"/>
                <w:szCs w:val="12"/>
                <w:color w:val="auto"/>
              </w:rPr>
            </w:pPr>
          </w:p>
        </w:tc>
        <w:tc>
          <w:tcPr>
            <w:tcW w:w="820" w:type="dxa"/>
            <w:vAlign w:val="bottom"/>
          </w:tcPr>
          <w:p>
            <w:pPr>
              <w:jc w:val="right"/>
              <w:ind w:right="220"/>
              <w:spacing w:after="0"/>
              <w:rPr>
                <w:sz w:val="20"/>
                <w:szCs w:val="20"/>
                <w:color w:val="auto"/>
              </w:rPr>
            </w:pPr>
            <w:r>
              <w:rPr>
                <w:rFonts w:ascii="Arial" w:cs="Arial" w:eastAsia="Arial" w:hAnsi="Arial"/>
                <w:sz w:val="12"/>
                <w:szCs w:val="12"/>
                <w:color w:val="auto"/>
              </w:rPr>
              <w:t>13,500</w:t>
            </w:r>
          </w:p>
        </w:tc>
        <w:tc>
          <w:tcPr>
            <w:tcW w:w="80" w:type="dxa"/>
            <w:vAlign w:val="bottom"/>
          </w:tcPr>
          <w:p>
            <w:pPr>
              <w:spacing w:after="0"/>
              <w:rPr>
                <w:sz w:val="12"/>
                <w:szCs w:val="12"/>
                <w:color w:val="auto"/>
              </w:rPr>
            </w:pPr>
          </w:p>
        </w:tc>
        <w:tc>
          <w:tcPr>
            <w:tcW w:w="86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ind w:left="3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40" w:type="dxa"/>
            <w:vAlign w:val="bottom"/>
          </w:tcPr>
          <w:p>
            <w:pPr>
              <w:jc w:val="right"/>
              <w:ind w:right="280"/>
              <w:spacing w:after="0"/>
              <w:rPr>
                <w:sz w:val="20"/>
                <w:szCs w:val="20"/>
                <w:color w:val="auto"/>
              </w:rPr>
            </w:pPr>
            <w:r>
              <w:rPr>
                <w:rFonts w:ascii="Arial" w:cs="Arial" w:eastAsia="Arial" w:hAnsi="Arial"/>
                <w:sz w:val="12"/>
                <w:szCs w:val="12"/>
                <w:color w:val="auto"/>
              </w:rPr>
              <w:t>13,500</w:t>
            </w:r>
          </w:p>
        </w:tc>
      </w:tr>
      <w:tr>
        <w:trPr>
          <w:trHeight w:val="144"/>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Long-term investments</w:t>
            </w:r>
          </w:p>
        </w:tc>
        <w:tc>
          <w:tcPr>
            <w:tcW w:w="28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19,794</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19,794</w:t>
            </w:r>
          </w:p>
        </w:tc>
      </w:tr>
      <w:tr>
        <w:trPr>
          <w:trHeight w:val="153"/>
        </w:trPr>
        <w:tc>
          <w:tcPr>
            <w:tcW w:w="4940" w:type="dxa"/>
            <w:vAlign w:val="bottom"/>
          </w:tcPr>
          <w:p>
            <w:pPr>
              <w:spacing w:after="0"/>
              <w:rPr>
                <w:sz w:val="20"/>
                <w:szCs w:val="20"/>
                <w:color w:val="auto"/>
              </w:rPr>
            </w:pPr>
            <w:r>
              <w:rPr>
                <w:rFonts w:ascii="Arial" w:cs="Arial" w:eastAsia="Arial" w:hAnsi="Arial"/>
                <w:sz w:val="12"/>
                <w:szCs w:val="12"/>
                <w:color w:val="auto"/>
              </w:rPr>
              <w:t>Assets that fund deferred compensation</w:t>
            </w:r>
          </w:p>
        </w:tc>
        <w:tc>
          <w:tcPr>
            <w:tcW w:w="2880" w:type="dxa"/>
            <w:vAlign w:val="bottom"/>
          </w:tcPr>
          <w:p>
            <w:pPr>
              <w:spacing w:after="0"/>
              <w:rPr>
                <w:sz w:val="13"/>
                <w:szCs w:val="13"/>
                <w:color w:val="auto"/>
              </w:rPr>
            </w:pPr>
          </w:p>
        </w:tc>
        <w:tc>
          <w:tcPr>
            <w:tcW w:w="820" w:type="dxa"/>
            <w:vAlign w:val="bottom"/>
          </w:tcPr>
          <w:p>
            <w:pPr>
              <w:jc w:val="right"/>
              <w:ind w:right="220"/>
              <w:spacing w:after="0"/>
              <w:rPr>
                <w:sz w:val="20"/>
                <w:szCs w:val="20"/>
                <w:color w:val="auto"/>
              </w:rPr>
            </w:pPr>
            <w:r>
              <w:rPr>
                <w:rFonts w:ascii="Arial" w:cs="Arial" w:eastAsia="Arial" w:hAnsi="Arial"/>
                <w:sz w:val="12"/>
                <w:szCs w:val="12"/>
                <w:color w:val="auto"/>
              </w:rPr>
              <w:t>10,858</w:t>
            </w:r>
          </w:p>
        </w:tc>
        <w:tc>
          <w:tcPr>
            <w:tcW w:w="80" w:type="dxa"/>
            <w:vAlign w:val="bottom"/>
          </w:tcPr>
          <w:p>
            <w:pPr>
              <w:spacing w:after="0"/>
              <w:rPr>
                <w:sz w:val="13"/>
                <w:szCs w:val="13"/>
                <w:color w:val="auto"/>
              </w:rPr>
            </w:pPr>
          </w:p>
        </w:tc>
        <w:tc>
          <w:tcPr>
            <w:tcW w:w="860" w:type="dxa"/>
            <w:vAlign w:val="bottom"/>
          </w:tcPr>
          <w:p>
            <w:pPr>
              <w:jc w:val="right"/>
              <w:ind w:right="160"/>
              <w:spacing w:after="0"/>
              <w:rPr>
                <w:sz w:val="20"/>
                <w:szCs w:val="20"/>
                <w:color w:val="auto"/>
              </w:rPr>
            </w:pPr>
            <w:r>
              <w:rPr>
                <w:rFonts w:ascii="Arial" w:cs="Arial" w:eastAsia="Arial" w:hAnsi="Arial"/>
                <w:sz w:val="12"/>
                <w:szCs w:val="12"/>
                <w:color w:val="auto"/>
              </w:rPr>
              <w:t>10,858</w:t>
            </w:r>
          </w:p>
        </w:tc>
        <w:tc>
          <w:tcPr>
            <w:tcW w:w="140" w:type="dxa"/>
            <w:vAlign w:val="bottom"/>
          </w:tcPr>
          <w:p>
            <w:pPr>
              <w:spacing w:after="0"/>
              <w:rPr>
                <w:sz w:val="13"/>
                <w:szCs w:val="13"/>
                <w:color w:val="auto"/>
              </w:rPr>
            </w:pPr>
          </w:p>
        </w:tc>
        <w:tc>
          <w:tcPr>
            <w:tcW w:w="660" w:type="dxa"/>
            <w:vAlign w:val="bottom"/>
          </w:tcPr>
          <w:p>
            <w:pPr>
              <w:ind w:left="3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40" w:type="dxa"/>
            <w:vAlign w:val="bottom"/>
          </w:tcPr>
          <w:p>
            <w:pPr>
              <w:jc w:val="right"/>
              <w:ind w:right="280"/>
              <w:spacing w:after="0"/>
              <w:rPr>
                <w:sz w:val="20"/>
                <w:szCs w:val="20"/>
                <w:color w:val="auto"/>
              </w:rPr>
            </w:pPr>
            <w:r>
              <w:rPr>
                <w:rFonts w:ascii="Arial" w:cs="Arial" w:eastAsia="Arial" w:hAnsi="Arial"/>
                <w:sz w:val="12"/>
                <w:szCs w:val="12"/>
                <w:color w:val="auto"/>
              </w:rPr>
              <w:t>—</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between the beginning and ending balances of items measured at fair value on a recurring basis in the table above that used significant unobservable inputs (Level 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80" w:type="dxa"/>
            <w:vAlign w:val="bottom"/>
          </w:tcPr>
          <w:p>
            <w:pPr>
              <w:spacing w:after="0"/>
              <w:rPr>
                <w:sz w:val="13"/>
                <w:szCs w:val="13"/>
                <w:color w:val="auto"/>
              </w:rPr>
            </w:pPr>
          </w:p>
        </w:tc>
        <w:tc>
          <w:tcPr>
            <w:tcW w:w="1680" w:type="dxa"/>
            <w:vAlign w:val="bottom"/>
            <w:tcBorders>
              <w:bottom w:val="single" w:sz="8" w:color="auto"/>
            </w:tcBorders>
            <w:gridSpan w:val="2"/>
          </w:tcPr>
          <w:p>
            <w:pPr>
              <w:ind w:left="440"/>
              <w:spacing w:after="0"/>
              <w:rPr>
                <w:sz w:val="20"/>
                <w:szCs w:val="20"/>
                <w:color w:val="auto"/>
              </w:rPr>
            </w:pPr>
            <w:r>
              <w:rPr>
                <w:rFonts w:ascii="Arial" w:cs="Arial" w:eastAsia="Arial" w:hAnsi="Arial"/>
                <w:sz w:val="12"/>
                <w:szCs w:val="12"/>
                <w:b w:val="1"/>
                <w:bCs w:val="1"/>
                <w:color w:val="auto"/>
              </w:rPr>
              <w:t>Quarter Ended</w:t>
            </w:r>
          </w:p>
        </w:tc>
        <w:tc>
          <w:tcPr>
            <w:tcW w:w="1720" w:type="dxa"/>
            <w:vAlign w:val="bottom"/>
            <w:tcBorders>
              <w:bottom w:val="single" w:sz="8" w:color="auto"/>
            </w:tcBorders>
            <w:gridSpan w:val="2"/>
          </w:tcPr>
          <w:p>
            <w:pPr>
              <w:ind w:left="380"/>
              <w:spacing w:after="0"/>
              <w:rPr>
                <w:sz w:val="20"/>
                <w:szCs w:val="20"/>
                <w:color w:val="auto"/>
              </w:rPr>
            </w:pPr>
            <w:r>
              <w:rPr>
                <w:rFonts w:ascii="Arial" w:cs="Arial" w:eastAsia="Arial" w:hAnsi="Arial"/>
                <w:sz w:val="12"/>
                <w:szCs w:val="12"/>
                <w:b w:val="1"/>
                <w:bCs w:val="1"/>
                <w:color w:val="auto"/>
              </w:rPr>
              <w:t>Six Months Ended</w:t>
            </w:r>
          </w:p>
        </w:tc>
      </w:tr>
      <w:tr>
        <w:trPr>
          <w:trHeight w:val="120"/>
        </w:trPr>
        <w:tc>
          <w:tcPr>
            <w:tcW w:w="808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February 27,</w:t>
            </w: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5"/>
              </w:rPr>
              <w:t>February 28,</w:t>
            </w:r>
          </w:p>
        </w:tc>
        <w:tc>
          <w:tcPr>
            <w:tcW w:w="8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February 27,</w:t>
            </w:r>
          </w:p>
        </w:tc>
        <w:tc>
          <w:tcPr>
            <w:tcW w:w="8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February 28,</w:t>
            </w:r>
          </w:p>
        </w:tc>
      </w:tr>
      <w:tr>
        <w:trPr>
          <w:trHeight w:val="160"/>
        </w:trPr>
        <w:tc>
          <w:tcPr>
            <w:tcW w:w="8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2010</w:t>
            </w: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2009</w:t>
            </w: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2010</w:t>
            </w: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2009</w:t>
            </w:r>
          </w:p>
        </w:tc>
      </w:tr>
    </w:tbl>
    <w:p>
      <w:pPr>
        <w:sectPr>
          <w:pgSz w:w="11900" w:h="16900" w:orient="portrait"/>
          <w:cols w:equalWidth="0" w:num="1">
            <w:col w:w="11480"/>
          </w:cols>
          <w:pgMar w:left="220" w:top="140" w:right="199" w:bottom="0" w:gutter="0" w:footer="0" w:header="0"/>
        </w:sectPr>
      </w:pPr>
    </w:p>
    <w:bookmarkStart w:id="3" w:name="page4"/>
    <w:bookmarkEnd w:id="3"/>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period</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33,306</w:t>
            </w: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32,750</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33,294</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37,538</w:t>
            </w:r>
          </w:p>
        </w:tc>
      </w:tr>
      <w:tr>
        <w:trPr>
          <w:trHeight w:val="144"/>
        </w:trPr>
        <w:tc>
          <w:tcPr>
            <w:tcW w:w="8080" w:type="dxa"/>
            <w:vAlign w:val="bottom"/>
          </w:tcPr>
          <w:p>
            <w:pPr>
              <w:spacing w:after="0"/>
              <w:rPr>
                <w:sz w:val="20"/>
                <w:szCs w:val="20"/>
                <w:color w:val="auto"/>
              </w:rPr>
            </w:pPr>
            <w:r>
              <w:rPr>
                <w:rFonts w:ascii="Arial" w:cs="Arial" w:eastAsia="Arial" w:hAnsi="Arial"/>
                <w:sz w:val="12"/>
                <w:szCs w:val="12"/>
                <w:color w:val="auto"/>
              </w:rPr>
              <w:t>Net realized gain (loss) included in earnings</w:t>
            </w:r>
          </w:p>
        </w:tc>
        <w:tc>
          <w:tcPr>
            <w:tcW w:w="160" w:type="dxa"/>
            <w:vAlign w:val="bottom"/>
          </w:tcPr>
          <w:p>
            <w:pPr>
              <w:spacing w:after="0"/>
              <w:rPr>
                <w:sz w:val="12"/>
                <w:szCs w:val="12"/>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167</w:t>
            </w:r>
          </w:p>
        </w:tc>
        <w:tc>
          <w:tcPr>
            <w:tcW w:w="280" w:type="dxa"/>
            <w:vAlign w:val="bottom"/>
          </w:tcPr>
          <w:p>
            <w:pPr>
              <w:spacing w:after="0"/>
              <w:rPr>
                <w:sz w:val="12"/>
                <w:szCs w:val="1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680" w:type="dxa"/>
            <w:vAlign w:val="bottom"/>
          </w:tcPr>
          <w:p>
            <w:pPr>
              <w:jc w:val="right"/>
              <w:ind w:right="120"/>
              <w:spacing w:after="0"/>
              <w:rPr>
                <w:sz w:val="20"/>
                <w:szCs w:val="20"/>
                <w:color w:val="auto"/>
              </w:rPr>
            </w:pPr>
            <w:r>
              <w:rPr>
                <w:rFonts w:ascii="Arial" w:cs="Arial" w:eastAsia="Arial" w:hAnsi="Arial"/>
                <w:sz w:val="12"/>
                <w:szCs w:val="12"/>
                <w:color w:val="auto"/>
              </w:rPr>
              <w:t>(27)</w:t>
            </w:r>
          </w:p>
        </w:tc>
      </w:tr>
      <w:tr>
        <w:trPr>
          <w:trHeight w:val="144"/>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Net change included in other comprehensive income</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(58)</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559</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154</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1,365</w:t>
            </w:r>
          </w:p>
        </w:tc>
      </w:tr>
      <w:tr>
        <w:trPr>
          <w:trHeight w:val="144"/>
        </w:trPr>
        <w:tc>
          <w:tcPr>
            <w:tcW w:w="8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Sales</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(4,500)</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(4,700)</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(5,400)</w:t>
            </w:r>
          </w:p>
        </w:tc>
      </w:tr>
      <w:tr>
        <w:trPr>
          <w:trHeight w:val="140"/>
        </w:trPr>
        <w:tc>
          <w:tcPr>
            <w:tcW w:w="80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end of period</w:t>
            </w: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28,748</w:t>
            </w:r>
          </w:p>
        </w:tc>
        <w:tc>
          <w:tcPr>
            <w:tcW w:w="28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33,476</w:t>
            </w:r>
          </w:p>
        </w:tc>
        <w:tc>
          <w:tcPr>
            <w:tcW w:w="28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28,748</w:t>
            </w:r>
          </w:p>
        </w:tc>
        <w:tc>
          <w:tcPr>
            <w:tcW w:w="26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33,476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methods and assumptions were used to estimate the fair value of each class of financial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Equivalents</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The carrying value of cash equivalents approximates fair value as maturities are less than three months. Our cash equivalents are comprised of money market funds traded in an active market with no restrictions and are classified as Level 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Long-Term and Short-Term Investments</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Our debt securities are comprised of Auction Rate Securities (ARS) and Put Rights (each as defined and described in Note 4). Our short-term and long-term ARS related investments are classified as Level 3 as quoted prices were unavailable due to events described in Note 4. Due to limited market information, we utilized a discounted cash flow (DCF) model to derive an estimate of fair value at February 27, 2010.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Marketable Equity Securities</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Our marketable equity securities are measured at fair value using quoted market prices and primarily consist of equity-based mutual funds. They are classified as Level 1 as they are traded in an active market for which closing stock prices are readily available. These securities fund the deferred compensation program and are presented as other assets in the accompanying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Investments</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 xml:space="preserve">We own investments in marketable securities that have been designated as available for sale or trading securities in accordance with ASC Topic 320, </w:t>
      </w:r>
      <w:r>
        <w:rPr>
          <w:rFonts w:ascii="Arial" w:cs="Arial" w:eastAsia="Arial" w:hAnsi="Arial"/>
          <w:sz w:val="12"/>
          <w:szCs w:val="12"/>
          <w:i w:val="1"/>
          <w:iCs w:val="1"/>
          <w:color w:val="auto"/>
        </w:rPr>
        <w:t>Investments-Debt and Equity Securities</w:t>
      </w:r>
      <w:r>
        <w:rPr>
          <w:rFonts w:ascii="Arial" w:cs="Arial" w:eastAsia="Arial" w:hAnsi="Arial"/>
          <w:sz w:val="12"/>
          <w:szCs w:val="12"/>
          <w:color w:val="auto"/>
        </w:rPr>
        <w:t>. At February 27, 2010, we held $29 million (par value) of investments comprised of tax-exempt ARS, which are variable-rate debt securities and have a long-term maturity with the interest rate being reset through Dutch auctions.</w:t>
      </w:r>
    </w:p>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default. As of the date of this report, we have continued to receive interest payments on the ARS in accordance with their terms. We believe we will ultimately be able to liquidate our ARS related investments without significant loss primarily due to the collateral securing our ARS and the legal settlement agreement we previously entered into with UBS AG (UBS). Our UBS settlement allows for a portion of our ARS to be redeemed at par as early as June 30, 2010. However, the remaining portfolio could take u ntil final maturity of the ARS (up to 25 years) to realize the par value of our investments. Due to the changes and uncertainty in the ARS market, we believe the recovery period for these investments is likely to be longer than 12 months and as a result, we have classified these investments as long-term as of February 27, 2010. Our short-term ARS investments of $9 million relate to the UBS portion of our portfolio including the rights to require UBS to purchase (the Put Rights) at par value at any time during a two-year sale period beginning June 30, 2010.</w:t>
      </w:r>
    </w:p>
    <w:p>
      <w:pPr>
        <w:spacing w:after="0" w:line="158" w:lineRule="exact"/>
        <w:rPr>
          <w:sz w:val="20"/>
          <w:szCs w:val="20"/>
          <w:color w:val="auto"/>
        </w:rPr>
      </w:pPr>
    </w:p>
    <w:p>
      <w:pPr>
        <w:ind w:right="80"/>
        <w:spacing w:after="0" w:line="290" w:lineRule="auto"/>
        <w:rPr>
          <w:sz w:val="20"/>
          <w:szCs w:val="20"/>
          <w:color w:val="auto"/>
        </w:rPr>
      </w:pPr>
      <w:r>
        <w:rPr>
          <w:rFonts w:ascii="Arial" w:cs="Arial" w:eastAsia="Arial" w:hAnsi="Arial"/>
          <w:sz w:val="11"/>
          <w:szCs w:val="11"/>
          <w:color w:val="auto"/>
        </w:rPr>
        <w:t>The terms of the UBS settlement agreement also allowed us to borrow on a portion of our portfolio at no net cost and as a result, we borrowed $6.3 million under this arrangement, which is presented as short-term ARS borrowings on our balance sheet. We have the ability to maintain the no net cost loans until the securities are liquidated or they reach the June 2010 put date. During the second fiscal quarter, UBS elected to redeem one security that had a par value of $4.5 million. Terms of the settlement agreement required us to repay a portion of the outstanding borrowings. This requirement resulted in a $2.8 million reduction to our short-term borrowings with the remaining $1.7 million being returned to us in cash. In addition, short-term ARS investments of $200,000 not part of the UBS portfolio were redeemed by the issuer at par in December 2009.</w:t>
      </w:r>
    </w:p>
    <w:p>
      <w:pPr>
        <w:spacing w:after="0" w:line="136"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At February 27, 2010, there was insufficient observable ARS market information available to determine the fair value of our ARS investments, including the Put Rights. We recorded a temporary impairment of $252,000 related to our long-term ARS investments of $20.0 million (par value) that were not part of the UBS settlement as of February 27, 2010.</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Inventories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Inventories are valued at the lower of cost or market, with cost being determined under the last-in, first-out (LIFO) method and market defined as net realizable value.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80" w:type="dxa"/>
            <w:vAlign w:val="bottom"/>
            <w:gridSpan w:val="2"/>
          </w:tcPr>
          <w:p>
            <w:pPr>
              <w:spacing w:after="0"/>
              <w:rPr>
                <w:sz w:val="20"/>
                <w:szCs w:val="20"/>
                <w:color w:val="auto"/>
              </w:rPr>
            </w:pPr>
            <w:r>
              <w:rPr>
                <w:rFonts w:ascii="Arial" w:cs="Arial" w:eastAsia="Arial" w:hAnsi="Arial"/>
                <w:sz w:val="12"/>
                <w:szCs w:val="12"/>
                <w:color w:val="auto"/>
              </w:rPr>
              <w:t>Inventories consist of the following:</w:t>
            </w:r>
          </w:p>
        </w:tc>
        <w:tc>
          <w:tcPr>
            <w:tcW w:w="4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48"/>
        </w:trPr>
        <w:tc>
          <w:tcPr>
            <w:tcW w:w="84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2"/>
              </w:rPr>
              <w:t>February 27,</w:t>
            </w:r>
          </w:p>
        </w:tc>
        <w:tc>
          <w:tcPr>
            <w:tcW w:w="120" w:type="dxa"/>
            <w:vAlign w:val="bottom"/>
          </w:tcPr>
          <w:p>
            <w:pPr>
              <w:spacing w:after="0"/>
              <w:rPr>
                <w:sz w:val="21"/>
                <w:szCs w:val="21"/>
                <w:color w:val="auto"/>
              </w:rPr>
            </w:pPr>
          </w:p>
        </w:tc>
        <w:tc>
          <w:tcPr>
            <w:tcW w:w="740" w:type="dxa"/>
            <w:vAlign w:val="bottom"/>
          </w:tcPr>
          <w:p>
            <w:pPr>
              <w:jc w:val="center"/>
              <w:ind w:right="60"/>
              <w:spacing w:after="0"/>
              <w:rPr>
                <w:sz w:val="20"/>
                <w:szCs w:val="20"/>
                <w:color w:val="auto"/>
              </w:rPr>
            </w:pPr>
            <w:r>
              <w:rPr>
                <w:rFonts w:ascii="Arial" w:cs="Arial" w:eastAsia="Arial" w:hAnsi="Arial"/>
                <w:sz w:val="12"/>
                <w:szCs w:val="12"/>
                <w:b w:val="1"/>
                <w:bCs w:val="1"/>
                <w:color w:val="auto"/>
                <w:w w:val="87"/>
              </w:rPr>
              <w:t>August 29,</w:t>
            </w:r>
          </w:p>
        </w:tc>
      </w:tr>
      <w:tr>
        <w:trPr>
          <w:trHeight w:val="157"/>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(In thousands)</w:t>
            </w:r>
          </w:p>
        </w:tc>
        <w:tc>
          <w:tcPr>
            <w:tcW w:w="4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2010</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2009</w:t>
            </w:r>
          </w:p>
        </w:tc>
      </w:tr>
      <w:tr>
        <w:trPr>
          <w:trHeight w:val="133"/>
        </w:trPr>
        <w:tc>
          <w:tcPr>
            <w:tcW w:w="54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Finished goods</w:t>
            </w:r>
          </w:p>
        </w:tc>
        <w:tc>
          <w:tcPr>
            <w:tcW w:w="44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28,999</w:t>
            </w: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18,709</w:t>
            </w:r>
          </w:p>
        </w:tc>
      </w:tr>
      <w:tr>
        <w:trPr>
          <w:trHeight w:val="144"/>
        </w:trPr>
        <w:tc>
          <w:tcPr>
            <w:tcW w:w="5480" w:type="dxa"/>
            <w:vAlign w:val="bottom"/>
            <w:gridSpan w:val="2"/>
          </w:tcPr>
          <w:p>
            <w:pPr>
              <w:spacing w:after="0"/>
              <w:rPr>
                <w:sz w:val="20"/>
                <w:szCs w:val="20"/>
                <w:color w:val="auto"/>
              </w:rPr>
            </w:pPr>
            <w:r>
              <w:rPr>
                <w:rFonts w:ascii="Arial" w:cs="Arial" w:eastAsia="Arial" w:hAnsi="Arial"/>
                <w:sz w:val="12"/>
                <w:szCs w:val="12"/>
                <w:color w:val="auto"/>
              </w:rPr>
              <w:t>Work-in-process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32,431</w:t>
            </w:r>
          </w:p>
        </w:tc>
        <w:tc>
          <w:tcPr>
            <w:tcW w:w="120" w:type="dxa"/>
            <w:vAlign w:val="bottom"/>
          </w:tcPr>
          <w:p>
            <w:pPr>
              <w:spacing w:after="0"/>
              <w:rPr>
                <w:sz w:val="12"/>
                <w:szCs w:val="12"/>
                <w:color w:val="auto"/>
              </w:rPr>
            </w:pP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24,982</w:t>
            </w:r>
          </w:p>
        </w:tc>
      </w:tr>
      <w:tr>
        <w:trPr>
          <w:trHeight w:val="144"/>
        </w:trPr>
        <w:tc>
          <w:tcPr>
            <w:tcW w:w="5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Raw materials</w:t>
            </w:r>
          </w:p>
        </w:tc>
        <w:tc>
          <w:tcPr>
            <w:tcW w:w="4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29,137</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33,505</w:t>
            </w:r>
          </w:p>
        </w:tc>
      </w:tr>
      <w:tr>
        <w:trPr>
          <w:trHeight w:val="133"/>
        </w:trPr>
        <w:tc>
          <w:tcPr>
            <w:tcW w:w="8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140"/>
              <w:spacing w:after="0" w:line="133" w:lineRule="exact"/>
              <w:rPr>
                <w:sz w:val="20"/>
                <w:szCs w:val="20"/>
                <w:color w:val="auto"/>
              </w:rPr>
            </w:pPr>
            <w:r>
              <w:rPr>
                <w:rFonts w:ascii="Arial" w:cs="Arial" w:eastAsia="Arial" w:hAnsi="Arial"/>
                <w:sz w:val="12"/>
                <w:szCs w:val="12"/>
                <w:color w:val="auto"/>
              </w:rPr>
              <w:t>90,567</w:t>
            </w:r>
          </w:p>
        </w:tc>
        <w:tc>
          <w:tcPr>
            <w:tcW w:w="120" w:type="dxa"/>
            <w:vAlign w:val="bottom"/>
          </w:tcPr>
          <w:p>
            <w:pPr>
              <w:spacing w:after="0"/>
              <w:rPr>
                <w:sz w:val="11"/>
                <w:szCs w:val="11"/>
                <w:color w:val="auto"/>
              </w:rPr>
            </w:pPr>
          </w:p>
        </w:tc>
        <w:tc>
          <w:tcPr>
            <w:tcW w:w="740" w:type="dxa"/>
            <w:vAlign w:val="bottom"/>
          </w:tcPr>
          <w:p>
            <w:pPr>
              <w:jc w:val="right"/>
              <w:ind w:right="180"/>
              <w:spacing w:after="0" w:line="133" w:lineRule="exact"/>
              <w:rPr>
                <w:sz w:val="20"/>
                <w:szCs w:val="20"/>
                <w:color w:val="auto"/>
              </w:rPr>
            </w:pPr>
            <w:r>
              <w:rPr>
                <w:rFonts w:ascii="Arial" w:cs="Arial" w:eastAsia="Arial" w:hAnsi="Arial"/>
                <w:sz w:val="12"/>
                <w:szCs w:val="12"/>
                <w:color w:val="auto"/>
              </w:rPr>
              <w:t>77,196</w:t>
            </w:r>
          </w:p>
        </w:tc>
      </w:tr>
      <w:tr>
        <w:trPr>
          <w:trHeight w:val="144"/>
        </w:trPr>
        <w:tc>
          <w:tcPr>
            <w:tcW w:w="5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LIFO reserve</w:t>
            </w:r>
          </w:p>
        </w:tc>
        <w:tc>
          <w:tcPr>
            <w:tcW w:w="4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(30,743)</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(30,346)</w:t>
            </w:r>
          </w:p>
        </w:tc>
      </w:tr>
      <w:tr>
        <w:trPr>
          <w:trHeight w:val="140"/>
        </w:trPr>
        <w:tc>
          <w:tcPr>
            <w:tcW w:w="5480" w:type="dxa"/>
            <w:vAlign w:val="bottom"/>
            <w:gridSpan w:val="2"/>
          </w:tcPr>
          <w:p>
            <w:pPr>
              <w:spacing w:after="0" w:line="133" w:lineRule="exact"/>
              <w:rPr>
                <w:sz w:val="20"/>
                <w:szCs w:val="20"/>
                <w:color w:val="auto"/>
              </w:rPr>
            </w:pPr>
            <w:r>
              <w:rPr>
                <w:rFonts w:ascii="Arial" w:cs="Arial" w:eastAsia="Arial" w:hAnsi="Arial"/>
                <w:sz w:val="12"/>
                <w:szCs w:val="12"/>
                <w:color w:val="auto"/>
              </w:rPr>
              <w:t>Total inventories</w:t>
            </w:r>
          </w:p>
        </w:tc>
        <w:tc>
          <w:tcPr>
            <w:tcW w:w="43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rPr>
              <w:t>59,824</w:t>
            </w:r>
          </w:p>
        </w:tc>
        <w:tc>
          <w:tcPr>
            <w:tcW w:w="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rPr>
              <w:t>46,850</w:t>
            </w:r>
          </w:p>
        </w:tc>
      </w:tr>
      <w:tr>
        <w:trPr>
          <w:trHeight w:val="459"/>
        </w:trPr>
        <w:tc>
          <w:tcPr>
            <w:tcW w:w="8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360" w:type="dxa"/>
            <w:vAlign w:val="bottom"/>
          </w:tcPr>
          <w:p>
            <w:pPr>
              <w:jc w:val="right"/>
              <w:ind w:right="4020"/>
              <w:spacing w:after="0"/>
              <w:rPr>
                <w:sz w:val="20"/>
                <w:szCs w:val="20"/>
                <w:color w:val="auto"/>
              </w:rPr>
            </w:pPr>
            <w:r>
              <w:rPr>
                <w:rFonts w:ascii="Arial" w:cs="Arial" w:eastAsia="Arial" w:hAnsi="Arial"/>
                <w:sz w:val="12"/>
                <w:szCs w:val="12"/>
                <w:color w:val="auto"/>
              </w:rPr>
              <w:t>6</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840" w:type="dxa"/>
            <w:vAlign w:val="bottom"/>
            <w:tcBorders>
              <w:bottom w:val="single" w:sz="8" w:color="9A9A9A"/>
            </w:tcBorders>
          </w:tcPr>
          <w:p>
            <w:pPr>
              <w:spacing w:after="0"/>
              <w:rPr>
                <w:sz w:val="21"/>
                <w:szCs w:val="21"/>
                <w:color w:val="auto"/>
              </w:rPr>
            </w:pPr>
          </w:p>
        </w:tc>
        <w:tc>
          <w:tcPr>
            <w:tcW w:w="4640" w:type="dxa"/>
            <w:vAlign w:val="bottom"/>
            <w:tcBorders>
              <w:bottom w:val="single" w:sz="8" w:color="9A9A9A"/>
            </w:tcBorders>
          </w:tcPr>
          <w:p>
            <w:pPr>
              <w:spacing w:after="0"/>
              <w:rPr>
                <w:sz w:val="21"/>
                <w:szCs w:val="21"/>
                <w:color w:val="auto"/>
              </w:rPr>
            </w:pPr>
          </w:p>
        </w:tc>
        <w:tc>
          <w:tcPr>
            <w:tcW w:w="43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7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r>
      <w:tr>
        <w:trPr>
          <w:trHeight w:val="349"/>
        </w:trPr>
        <w:tc>
          <w:tcPr>
            <w:tcW w:w="5480" w:type="dxa"/>
            <w:vAlign w:val="bottom"/>
            <w:gridSpan w:val="2"/>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3"/>
        </w:trPr>
        <w:tc>
          <w:tcPr>
            <w:tcW w:w="5480" w:type="dxa"/>
            <w:vAlign w:val="bottom"/>
            <w:gridSpan w:val="2"/>
          </w:tcPr>
          <w:p>
            <w:pPr>
              <w:spacing w:after="0"/>
              <w:rPr>
                <w:sz w:val="20"/>
                <w:szCs w:val="20"/>
                <w:color w:val="auto"/>
              </w:rPr>
            </w:pPr>
            <w:r>
              <w:rPr>
                <w:rFonts w:ascii="Arial" w:cs="Arial" w:eastAsia="Arial" w:hAnsi="Arial"/>
                <w:sz w:val="12"/>
                <w:szCs w:val="12"/>
                <w:b w:val="1"/>
                <w:bCs w:val="1"/>
                <w:color w:val="auto"/>
              </w:rPr>
              <w:t>NOTE 6: Property, Plant and Equipment</w:t>
            </w: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5"/>
        </w:trPr>
        <w:tc>
          <w:tcPr>
            <w:tcW w:w="5480" w:type="dxa"/>
            <w:vAlign w:val="bottom"/>
            <w:gridSpan w:val="2"/>
          </w:tcPr>
          <w:p>
            <w:pPr>
              <w:spacing w:after="0"/>
              <w:rPr>
                <w:sz w:val="20"/>
                <w:szCs w:val="20"/>
                <w:color w:val="auto"/>
              </w:rPr>
            </w:pPr>
            <w:r>
              <w:rPr>
                <w:rFonts w:ascii="Arial" w:cs="Arial" w:eastAsia="Arial" w:hAnsi="Arial"/>
                <w:sz w:val="12"/>
                <w:szCs w:val="12"/>
                <w:color w:val="auto"/>
                <w:w w:val="93"/>
              </w:rPr>
              <w:t>Property, plant and equipment is stated at cost, net of accumulated depreciation and consists of the following:</w:t>
            </w: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7"/>
        </w:trPr>
        <w:tc>
          <w:tcPr>
            <w:tcW w:w="84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2"/>
              </w:rPr>
              <w:t>February 27,</w:t>
            </w:r>
          </w:p>
        </w:tc>
        <w:tc>
          <w:tcPr>
            <w:tcW w:w="120" w:type="dxa"/>
            <w:vAlign w:val="bottom"/>
          </w:tcPr>
          <w:p>
            <w:pPr>
              <w:spacing w:after="0"/>
              <w:rPr>
                <w:sz w:val="22"/>
                <w:szCs w:val="22"/>
                <w:color w:val="auto"/>
              </w:rPr>
            </w:pPr>
          </w:p>
        </w:tc>
        <w:tc>
          <w:tcPr>
            <w:tcW w:w="740" w:type="dxa"/>
            <w:vAlign w:val="bottom"/>
          </w:tcPr>
          <w:p>
            <w:pPr>
              <w:jc w:val="center"/>
              <w:ind w:right="60"/>
              <w:spacing w:after="0"/>
              <w:rPr>
                <w:sz w:val="20"/>
                <w:szCs w:val="20"/>
                <w:color w:val="auto"/>
              </w:rPr>
            </w:pPr>
            <w:r>
              <w:rPr>
                <w:rFonts w:ascii="Arial" w:cs="Arial" w:eastAsia="Arial" w:hAnsi="Arial"/>
                <w:sz w:val="12"/>
                <w:szCs w:val="12"/>
                <w:b w:val="1"/>
                <w:bCs w:val="1"/>
                <w:color w:val="auto"/>
                <w:w w:val="87"/>
              </w:rPr>
              <w:t>August 29,</w:t>
            </w:r>
          </w:p>
        </w:tc>
      </w:tr>
      <w:tr>
        <w:trPr>
          <w:trHeight w:val="157"/>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(In thousands)</w:t>
            </w:r>
          </w:p>
        </w:tc>
        <w:tc>
          <w:tcPr>
            <w:tcW w:w="4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2010</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2009</w:t>
            </w:r>
          </w:p>
        </w:tc>
      </w:tr>
      <w:tr>
        <w:trPr>
          <w:trHeight w:val="133"/>
        </w:trPr>
        <w:tc>
          <w:tcPr>
            <w:tcW w:w="54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Land</w:t>
            </w:r>
          </w:p>
        </w:tc>
        <w:tc>
          <w:tcPr>
            <w:tcW w:w="44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772</w:t>
            </w: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772</w:t>
            </w:r>
          </w:p>
        </w:tc>
      </w:tr>
      <w:tr>
        <w:trPr>
          <w:trHeight w:val="144"/>
        </w:trPr>
        <w:tc>
          <w:tcPr>
            <w:tcW w:w="5480" w:type="dxa"/>
            <w:vAlign w:val="bottom"/>
            <w:gridSpan w:val="2"/>
          </w:tcPr>
          <w:p>
            <w:pPr>
              <w:spacing w:after="0"/>
              <w:rPr>
                <w:sz w:val="20"/>
                <w:szCs w:val="20"/>
                <w:color w:val="auto"/>
              </w:rPr>
            </w:pPr>
            <w:r>
              <w:rPr>
                <w:rFonts w:ascii="Arial" w:cs="Arial" w:eastAsia="Arial" w:hAnsi="Arial"/>
                <w:sz w:val="12"/>
                <w:szCs w:val="12"/>
                <w:color w:val="auto"/>
              </w:rPr>
              <w:t>Buildings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49,352</w:t>
            </w:r>
          </w:p>
        </w:tc>
        <w:tc>
          <w:tcPr>
            <w:tcW w:w="120" w:type="dxa"/>
            <w:vAlign w:val="bottom"/>
          </w:tcPr>
          <w:p>
            <w:pPr>
              <w:spacing w:after="0"/>
              <w:rPr>
                <w:sz w:val="12"/>
                <w:szCs w:val="12"/>
                <w:color w:val="auto"/>
              </w:rPr>
            </w:pPr>
          </w:p>
        </w:tc>
        <w:tc>
          <w:tcPr>
            <w:tcW w:w="740" w:type="dxa"/>
            <w:vAlign w:val="bottom"/>
          </w:tcPr>
          <w:p>
            <w:pPr>
              <w:jc w:val="right"/>
              <w:ind w:right="180"/>
              <w:spacing w:after="0"/>
              <w:rPr>
                <w:sz w:val="20"/>
                <w:szCs w:val="20"/>
                <w:color w:val="auto"/>
              </w:rPr>
            </w:pPr>
            <w:r>
              <w:rPr>
                <w:rFonts w:ascii="Arial" w:cs="Arial" w:eastAsia="Arial" w:hAnsi="Arial"/>
                <w:sz w:val="12"/>
                <w:szCs w:val="12"/>
                <w:color w:val="auto"/>
              </w:rPr>
              <w:t>49,220</w:t>
            </w:r>
          </w:p>
        </w:tc>
      </w:tr>
      <w:tr>
        <w:trPr>
          <w:trHeight w:val="144"/>
        </w:trPr>
        <w:tc>
          <w:tcPr>
            <w:tcW w:w="5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Machinery and equipment</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91,642</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92,625</w:t>
            </w:r>
          </w:p>
        </w:tc>
      </w:tr>
      <w:tr>
        <w:trPr>
          <w:trHeight w:val="144"/>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Transportation equipment</w:t>
            </w:r>
          </w:p>
        </w:tc>
        <w:tc>
          <w:tcPr>
            <w:tcW w:w="43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3,368</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3,457</w:t>
            </w:r>
          </w:p>
        </w:tc>
      </w:tr>
      <w:tr>
        <w:trPr>
          <w:trHeight w:val="133"/>
        </w:trPr>
        <w:tc>
          <w:tcPr>
            <w:tcW w:w="840" w:type="dxa"/>
            <w:vAlign w:val="bottom"/>
            <w:shd w:val="clear" w:color="auto" w:fill="CCEEFF"/>
          </w:tcPr>
          <w:p>
            <w:pPr>
              <w:spacing w:after="0"/>
              <w:rPr>
                <w:sz w:val="11"/>
                <w:szCs w:val="11"/>
                <w:color w:val="auto"/>
              </w:rPr>
            </w:pPr>
          </w:p>
        </w:tc>
        <w:tc>
          <w:tcPr>
            <w:tcW w:w="4640" w:type="dxa"/>
            <w:vAlign w:val="bottom"/>
            <w:shd w:val="clear" w:color="auto" w:fill="CCEEFF"/>
          </w:tcPr>
          <w:p>
            <w:pPr>
              <w:spacing w:after="0"/>
              <w:rPr>
                <w:sz w:val="11"/>
                <w:szCs w:val="11"/>
                <w:color w:val="auto"/>
              </w:rPr>
            </w:pPr>
          </w:p>
        </w:tc>
        <w:tc>
          <w:tcPr>
            <w:tcW w:w="4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145,134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146,074</w:t>
            </w:r>
          </w:p>
        </w:tc>
      </w:tr>
      <w:tr>
        <w:trPr>
          <w:trHeight w:val="144"/>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accumulated depreciation</w:t>
            </w:r>
          </w:p>
        </w:tc>
        <w:tc>
          <w:tcPr>
            <w:tcW w:w="43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(119,488)</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(118,034)</w:t>
            </w:r>
          </w:p>
        </w:tc>
      </w:tr>
      <w:tr>
        <w:trPr>
          <w:trHeight w:val="140"/>
        </w:trPr>
        <w:tc>
          <w:tcPr>
            <w:tcW w:w="548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property, plant and equipment, net</w:t>
            </w:r>
          </w:p>
        </w:tc>
        <w:tc>
          <w:tcPr>
            <w:tcW w:w="43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25,646</w:t>
            </w:r>
          </w:p>
        </w:tc>
        <w:tc>
          <w:tcPr>
            <w:tcW w:w="1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28,040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-1596390</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-1596390</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Credit Facility</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On October 13, 2009, we entered into a Loan and Security Agreement (the "Loan Agreement") with Burdale Capital Finance, Inc., as Agent. The Loan Agreement provides for an initial $20.0 million revolving credit facility, based on eligible accounts receivable and eligible inventory, expiring on October 13, 2012, unless terminated earlier in accordance with its terms. The Loan Agreement contains no financial covenant restric tions for borrowings up to $12.5 million; provided that borrowings cannot exceed the Asset Coverage Amount (as defined in the Loan Agreement) divided by 2.25. The Loan Agreement also includes a framework to expand the size of the facility up to $50.0 million, based on mutually agreeable covenants to be determined at the time of expansion. No borrowings have been made under the Loan Agreement as of the date of this report. We intend to use any loan proceeds from the Loan Agreement for working capital and for other general corporate purposes, if needed.</w:t>
      </w:r>
    </w:p>
    <w:p>
      <w:pPr>
        <w:spacing w:after="0" w:line="15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Interest on loans made under the Loan Agreement will be based on the greater of LIBOR or a base rate of 2.0 percent plus a margin of 4.0 percent or the greater of prime rate or 4.25 percent plus a margin of 3.0 percent. The unused line fee associated with this Loan Agreement is 1.25 percent per annum. Additionally, under certain circumstances, we will be required to pay an early termination fee ranging from 1 - 3 percent of the maximum credit available under the Loan Agreement if we terminate the Loan Agreement prior to October 13, 2012.</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Warranty</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provide our motor home customers a comprehensive 12-month/15,000-mile warranty on the Class A, Class B and Class C coaches, and a 3-year/36,000-mile structural warranty on Class A and Class C sidewalls and floors. We have also incurred costs for certain warranty-type expenses which occurred after the normal warranty period. We have voluntarily agreed to pay such costs to help protect the reputation of our products and the goodwill of our customers. We record our warranty liabilities based on our estimate of the amounts necessary to settle future and existing claims on products sold as of the balance sheet date. We also incur costs as a result of additional service actions not covered by our warranties, including product recalls and customer satisfaction actions.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00" w:type="dxa"/>
            <w:vAlign w:val="bottom"/>
          </w:tcPr>
          <w:p>
            <w:pPr>
              <w:spacing w:after="0"/>
              <w:rPr>
                <w:sz w:val="20"/>
                <w:szCs w:val="20"/>
                <w:color w:val="auto"/>
              </w:rPr>
            </w:pPr>
            <w:r>
              <w:rPr>
                <w:rFonts w:ascii="Arial" w:cs="Arial" w:eastAsia="Arial" w:hAnsi="Arial"/>
                <w:sz w:val="12"/>
                <w:szCs w:val="12"/>
                <w:color w:val="auto"/>
              </w:rPr>
              <w:t>Changes in our product warranty liability are as follows:</w:t>
            </w:r>
          </w:p>
        </w:tc>
        <w:tc>
          <w:tcPr>
            <w:tcW w:w="1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840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Quarter Ended</w:t>
            </w:r>
          </w:p>
        </w:tc>
        <w:tc>
          <w:tcPr>
            <w:tcW w:w="154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0"/>
              </w:rPr>
              <w:t>Six Months Ended</w:t>
            </w:r>
          </w:p>
        </w:tc>
        <w:tc>
          <w:tcPr>
            <w:tcW w:w="0" w:type="dxa"/>
            <w:vAlign w:val="bottom"/>
          </w:tcPr>
          <w:p>
            <w:pPr>
              <w:spacing w:after="0"/>
              <w:rPr>
                <w:sz w:val="1"/>
                <w:szCs w:val="1"/>
                <w:color w:val="auto"/>
              </w:rPr>
            </w:pPr>
          </w:p>
        </w:tc>
      </w:tr>
      <w:tr>
        <w:trPr>
          <w:trHeight w:val="146"/>
        </w:trPr>
        <w:tc>
          <w:tcPr>
            <w:tcW w:w="8400" w:type="dxa"/>
            <w:vAlign w:val="bottom"/>
            <w:vMerge w:val="continue"/>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7"/>
              </w:rPr>
              <w:t>February 27, February 28,</w:t>
            </w: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4"/>
              </w:rPr>
              <w:t>February 27, February 28,</w:t>
            </w:r>
          </w:p>
        </w:tc>
        <w:tc>
          <w:tcPr>
            <w:tcW w:w="0" w:type="dxa"/>
            <w:vAlign w:val="bottom"/>
          </w:tcPr>
          <w:p>
            <w:pPr>
              <w:spacing w:after="0"/>
              <w:rPr>
                <w:sz w:val="1"/>
                <w:szCs w:val="1"/>
                <w:color w:val="auto"/>
              </w:rPr>
            </w:pPr>
          </w:p>
        </w:tc>
      </w:tr>
    </w:tbl>
    <w:p>
      <w:pPr>
        <w:sectPr>
          <w:pgSz w:w="11900" w:h="16863" w:orient="portrait"/>
          <w:cols w:equalWidth="0" w:num="1">
            <w:col w:w="11480"/>
          </w:cols>
          <w:pgMar w:left="220" w:top="140" w:right="1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8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jc w:val="right"/>
              <w:ind w:right="120"/>
              <w:spacing w:after="0"/>
              <w:rPr>
                <w:sz w:val="20"/>
                <w:szCs w:val="20"/>
                <w:color w:val="auto"/>
              </w:rPr>
            </w:pPr>
            <w:r>
              <w:rPr>
                <w:rFonts w:ascii="Arial" w:cs="Arial" w:eastAsia="Arial" w:hAnsi="Arial"/>
                <w:sz w:val="12"/>
                <w:szCs w:val="12"/>
                <w:b w:val="1"/>
                <w:bCs w:val="1"/>
                <w:color w:val="auto"/>
              </w:rPr>
              <w:t>2010</w:t>
            </w:r>
          </w:p>
        </w:tc>
        <w:tc>
          <w:tcPr>
            <w:tcW w:w="220" w:type="dxa"/>
            <w:vAlign w:val="bottom"/>
          </w:tcPr>
          <w:p>
            <w:pPr>
              <w:spacing w:after="0"/>
              <w:rPr>
                <w:sz w:val="8"/>
                <w:szCs w:val="8"/>
                <w:color w:val="auto"/>
              </w:rPr>
            </w:pPr>
          </w:p>
        </w:tc>
        <w:tc>
          <w:tcPr>
            <w:tcW w:w="540" w:type="dxa"/>
            <w:vAlign w:val="bottom"/>
            <w:vMerge w:val="restart"/>
          </w:tcPr>
          <w:p>
            <w:pPr>
              <w:jc w:val="right"/>
              <w:ind w:right="140"/>
              <w:spacing w:after="0"/>
              <w:rPr>
                <w:sz w:val="20"/>
                <w:szCs w:val="20"/>
                <w:color w:val="auto"/>
              </w:rPr>
            </w:pPr>
            <w:r>
              <w:rPr>
                <w:rFonts w:ascii="Arial" w:cs="Arial" w:eastAsia="Arial" w:hAnsi="Arial"/>
                <w:sz w:val="12"/>
                <w:szCs w:val="12"/>
                <w:b w:val="1"/>
                <w:bCs w:val="1"/>
                <w:color w:val="auto"/>
              </w:rPr>
              <w:t>2009</w:t>
            </w:r>
          </w:p>
        </w:tc>
        <w:tc>
          <w:tcPr>
            <w:tcW w:w="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80"/>
              <w:spacing w:after="0"/>
              <w:rPr>
                <w:sz w:val="20"/>
                <w:szCs w:val="20"/>
                <w:color w:val="auto"/>
              </w:rPr>
            </w:pPr>
            <w:r>
              <w:rPr>
                <w:rFonts w:ascii="Arial" w:cs="Arial" w:eastAsia="Arial" w:hAnsi="Arial"/>
                <w:sz w:val="12"/>
                <w:szCs w:val="12"/>
                <w:b w:val="1"/>
                <w:bCs w:val="1"/>
                <w:color w:val="auto"/>
              </w:rPr>
              <w:t>2010</w:t>
            </w:r>
          </w:p>
        </w:tc>
        <w:tc>
          <w:tcPr>
            <w:tcW w:w="220" w:type="dxa"/>
            <w:vAlign w:val="bottom"/>
          </w:tcPr>
          <w:p>
            <w:pPr>
              <w:spacing w:after="0"/>
              <w:rPr>
                <w:sz w:val="8"/>
                <w:szCs w:val="8"/>
                <w:color w:val="auto"/>
              </w:rPr>
            </w:pPr>
          </w:p>
        </w:tc>
        <w:tc>
          <w:tcPr>
            <w:tcW w:w="62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43"/>
        </w:trPr>
        <w:tc>
          <w:tcPr>
            <w:tcW w:w="84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vMerge w:val="continue"/>
          </w:tcPr>
          <w:p>
            <w:pPr>
              <w:spacing w:after="0"/>
              <w:rPr>
                <w:sz w:val="3"/>
                <w:szCs w:val="3"/>
                <w:color w:val="auto"/>
              </w:rPr>
            </w:pPr>
          </w:p>
        </w:tc>
        <w:tc>
          <w:tcPr>
            <w:tcW w:w="20" w:type="dxa"/>
            <w:vAlign w:val="bottom"/>
            <w:tcBorders>
              <w:bottom w:val="single" w:sz="8" w:color="auto"/>
            </w:tcBorders>
            <w:vMerge w:val="continue"/>
          </w:tcPr>
          <w:p>
            <w:pPr>
              <w:spacing w:after="0"/>
              <w:rPr>
                <w:sz w:val="3"/>
                <w:szCs w:val="3"/>
                <w:color w:val="auto"/>
              </w:rPr>
            </w:pPr>
          </w:p>
        </w:tc>
        <w:tc>
          <w:tcPr>
            <w:tcW w:w="20" w:type="dxa"/>
            <w:vAlign w:val="bottom"/>
            <w:tcBorders>
              <w:bottom w:val="single" w:sz="8" w:color="auto"/>
            </w:tcBorders>
            <w:vMerge w:val="continue"/>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7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Balance at beginning of period</w:t>
            </w:r>
          </w:p>
        </w:tc>
        <w:tc>
          <w:tcPr>
            <w:tcW w:w="3860" w:type="dxa"/>
            <w:vAlign w:val="bottom"/>
            <w:gridSpan w:val="2"/>
            <w:shd w:val="clear" w:color="auto" w:fill="CCEEFF"/>
          </w:tcPr>
          <w:p>
            <w:pPr>
              <w:jc w:val="right"/>
              <w:ind w:right="50"/>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6,180</w:t>
            </w:r>
          </w:p>
        </w:tc>
        <w:tc>
          <w:tcPr>
            <w:tcW w:w="2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8,705</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6,408</w:t>
            </w:r>
          </w:p>
        </w:tc>
        <w:tc>
          <w:tcPr>
            <w:tcW w:w="2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9,859</w:t>
            </w:r>
          </w:p>
        </w:tc>
        <w:tc>
          <w:tcPr>
            <w:tcW w:w="0" w:type="dxa"/>
            <w:vAlign w:val="bottom"/>
          </w:tcPr>
          <w:p>
            <w:pPr>
              <w:spacing w:after="0"/>
              <w:rPr>
                <w:sz w:val="1"/>
                <w:szCs w:val="1"/>
                <w:color w:val="auto"/>
              </w:rPr>
            </w:pPr>
          </w:p>
        </w:tc>
      </w:tr>
      <w:tr>
        <w:trPr>
          <w:trHeight w:val="144"/>
        </w:trPr>
        <w:tc>
          <w:tcPr>
            <w:tcW w:w="4700" w:type="dxa"/>
            <w:vAlign w:val="bottom"/>
            <w:gridSpan w:val="2"/>
          </w:tcPr>
          <w:p>
            <w:pPr>
              <w:spacing w:after="0"/>
              <w:rPr>
                <w:sz w:val="20"/>
                <w:szCs w:val="20"/>
                <w:color w:val="auto"/>
              </w:rPr>
            </w:pPr>
            <w:r>
              <w:rPr>
                <w:rFonts w:ascii="Arial" w:cs="Arial" w:eastAsia="Arial" w:hAnsi="Arial"/>
                <w:sz w:val="12"/>
                <w:szCs w:val="12"/>
                <w:color w:val="auto"/>
              </w:rPr>
              <w:t>Provision</w:t>
            </w: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1,352</w:t>
            </w:r>
          </w:p>
        </w:tc>
        <w:tc>
          <w:tcPr>
            <w:tcW w:w="220" w:type="dxa"/>
            <w:vAlign w:val="bottom"/>
          </w:tcPr>
          <w:p>
            <w:pPr>
              <w:spacing w:after="0"/>
              <w:rPr>
                <w:sz w:val="12"/>
                <w:szCs w:val="12"/>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428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2,481</w:t>
            </w:r>
          </w:p>
        </w:tc>
        <w:tc>
          <w:tcPr>
            <w:tcW w:w="220" w:type="dxa"/>
            <w:vAlign w:val="bottom"/>
          </w:tcPr>
          <w:p>
            <w:pPr>
              <w:spacing w:after="0"/>
              <w:rPr>
                <w:sz w:val="12"/>
                <w:szCs w:val="12"/>
                <w:color w:val="auto"/>
              </w:rPr>
            </w:pPr>
          </w:p>
        </w:tc>
        <w:tc>
          <w:tcPr>
            <w:tcW w:w="620" w:type="dxa"/>
            <w:vAlign w:val="bottom"/>
          </w:tcPr>
          <w:p>
            <w:pPr>
              <w:jc w:val="right"/>
              <w:ind w:right="120"/>
              <w:spacing w:after="0"/>
              <w:rPr>
                <w:sz w:val="20"/>
                <w:szCs w:val="20"/>
                <w:color w:val="auto"/>
              </w:rPr>
            </w:pPr>
            <w:r>
              <w:rPr>
                <w:rFonts w:ascii="Arial" w:cs="Arial" w:eastAsia="Arial" w:hAnsi="Arial"/>
                <w:sz w:val="12"/>
                <w:szCs w:val="12"/>
                <w:color w:val="auto"/>
              </w:rPr>
              <w:t>1,580</w:t>
            </w:r>
          </w:p>
        </w:tc>
        <w:tc>
          <w:tcPr>
            <w:tcW w:w="0" w:type="dxa"/>
            <w:vAlign w:val="bottom"/>
          </w:tcPr>
          <w:p>
            <w:pPr>
              <w:spacing w:after="0"/>
              <w:rPr>
                <w:sz w:val="1"/>
                <w:szCs w:val="1"/>
                <w:color w:val="auto"/>
              </w:rPr>
            </w:pPr>
          </w:p>
        </w:tc>
      </w:tr>
      <w:tr>
        <w:trPr>
          <w:trHeight w:val="144"/>
        </w:trPr>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Claims paid</w:t>
            </w:r>
          </w:p>
        </w:tc>
        <w:tc>
          <w:tcPr>
            <w:tcW w:w="37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(965)</w:t>
            </w: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(1,581)</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(2,322)</w:t>
            </w: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(3,887)</w:t>
            </w:r>
          </w:p>
        </w:tc>
        <w:tc>
          <w:tcPr>
            <w:tcW w:w="0" w:type="dxa"/>
            <w:vAlign w:val="bottom"/>
          </w:tcPr>
          <w:p>
            <w:pPr>
              <w:spacing w:after="0"/>
              <w:rPr>
                <w:sz w:val="1"/>
                <w:szCs w:val="1"/>
                <w:color w:val="auto"/>
              </w:rPr>
            </w:pPr>
          </w:p>
        </w:tc>
      </w:tr>
      <w:tr>
        <w:trPr>
          <w:trHeight w:val="140"/>
        </w:trPr>
        <w:tc>
          <w:tcPr>
            <w:tcW w:w="4700" w:type="dxa"/>
            <w:vAlign w:val="bottom"/>
            <w:gridSpan w:val="2"/>
          </w:tcPr>
          <w:p>
            <w:pPr>
              <w:spacing w:after="0" w:line="133" w:lineRule="exact"/>
              <w:rPr>
                <w:sz w:val="20"/>
                <w:szCs w:val="20"/>
                <w:color w:val="auto"/>
              </w:rPr>
            </w:pPr>
            <w:r>
              <w:rPr>
                <w:rFonts w:ascii="Arial" w:cs="Arial" w:eastAsia="Arial" w:hAnsi="Arial"/>
                <w:sz w:val="12"/>
                <w:szCs w:val="12"/>
                <w:color w:val="auto"/>
              </w:rPr>
              <w:t>Balance at end of period</w:t>
            </w:r>
          </w:p>
        </w:tc>
        <w:tc>
          <w:tcPr>
            <w:tcW w:w="370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rPr>
              <w:t>6,567</w:t>
            </w:r>
          </w:p>
        </w:tc>
        <w:tc>
          <w:tcPr>
            <w:tcW w:w="22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7,552</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6,567</w:t>
            </w:r>
          </w:p>
        </w:tc>
        <w:tc>
          <w:tcPr>
            <w:tcW w:w="2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rPr>
              <w:t>7,552</w:t>
            </w:r>
          </w:p>
        </w:tc>
        <w:tc>
          <w:tcPr>
            <w:tcW w:w="0" w:type="dxa"/>
            <w:vAlign w:val="bottom"/>
          </w:tcPr>
          <w:p>
            <w:pPr>
              <w:spacing w:after="0"/>
              <w:rPr>
                <w:sz w:val="1"/>
                <w:szCs w:val="1"/>
                <w:color w:val="auto"/>
              </w:rPr>
            </w:pPr>
          </w:p>
        </w:tc>
      </w:tr>
      <w:tr>
        <w:trPr>
          <w:trHeight w:val="450"/>
        </w:trPr>
        <w:tc>
          <w:tcPr>
            <w:tcW w:w="8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00" w:type="dxa"/>
            <w:vAlign w:val="bottom"/>
          </w:tcPr>
          <w:p>
            <w:pPr>
              <w:jc w:val="right"/>
              <w:ind w:right="2580"/>
              <w:spacing w:after="0"/>
              <w:rPr>
                <w:sz w:val="20"/>
                <w:szCs w:val="20"/>
                <w:color w:val="auto"/>
              </w:rPr>
            </w:pPr>
            <w:r>
              <w:rPr>
                <w:rFonts w:ascii="Arial" w:cs="Arial" w:eastAsia="Arial" w:hAnsi="Arial"/>
                <w:sz w:val="12"/>
                <w:szCs w:val="12"/>
                <w:color w:val="auto"/>
              </w:rPr>
              <w:t>7</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Borders>
              <w:bottom w:val="single" w:sz="8" w:color="9A9A9A"/>
            </w:tcBorders>
          </w:tcPr>
          <w:p>
            <w:pPr>
              <w:spacing w:after="0"/>
              <w:rPr>
                <w:sz w:val="20"/>
                <w:szCs w:val="20"/>
                <w:color w:val="auto"/>
              </w:rPr>
            </w:pPr>
          </w:p>
        </w:tc>
        <w:tc>
          <w:tcPr>
            <w:tcW w:w="3860" w:type="dxa"/>
            <w:vAlign w:val="bottom"/>
            <w:tcBorders>
              <w:bottom w:val="single" w:sz="8" w:color="9A9A9A"/>
            </w:tcBorders>
          </w:tcPr>
          <w:p>
            <w:pPr>
              <w:spacing w:after="0"/>
              <w:rPr>
                <w:sz w:val="20"/>
                <w:szCs w:val="20"/>
                <w:color w:val="auto"/>
              </w:rPr>
            </w:pPr>
          </w:p>
        </w:tc>
        <w:tc>
          <w:tcPr>
            <w:tcW w:w="37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4700" w:type="dxa"/>
            <w:vAlign w:val="bottom"/>
            <w:gridSpan w:val="2"/>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700" w:type="dxa"/>
            <w:vAlign w:val="bottom"/>
            <w:gridSpan w:val="2"/>
          </w:tcPr>
          <w:p>
            <w:pPr>
              <w:spacing w:after="0"/>
              <w:rPr>
                <w:sz w:val="20"/>
                <w:szCs w:val="20"/>
                <w:color w:val="auto"/>
              </w:rPr>
            </w:pPr>
            <w:r>
              <w:rPr>
                <w:rFonts w:ascii="Arial" w:cs="Arial" w:eastAsia="Arial" w:hAnsi="Arial"/>
                <w:sz w:val="12"/>
                <w:szCs w:val="12"/>
                <w:b w:val="1"/>
                <w:bCs w:val="1"/>
                <w:color w:val="auto"/>
              </w:rPr>
              <w:t>NOTE 9: Employee and Retiree Benefits</w:t>
            </w: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700" w:type="dxa"/>
            <w:vAlign w:val="bottom"/>
            <w:gridSpan w:val="2"/>
          </w:tcPr>
          <w:p>
            <w:pPr>
              <w:spacing w:after="0"/>
              <w:rPr>
                <w:sz w:val="20"/>
                <w:szCs w:val="20"/>
                <w:color w:val="auto"/>
              </w:rPr>
            </w:pPr>
            <w:r>
              <w:rPr>
                <w:rFonts w:ascii="Arial" w:cs="Arial" w:eastAsia="Arial" w:hAnsi="Arial"/>
                <w:sz w:val="12"/>
                <w:szCs w:val="12"/>
                <w:color w:val="auto"/>
              </w:rPr>
              <w:t>Postretirement health care and deferred compensation benefits are as follows:</w:t>
            </w: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9"/>
              </w:rPr>
              <w:t>February 27,</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August 29,</w:t>
            </w:r>
          </w:p>
        </w:tc>
        <w:tc>
          <w:tcPr>
            <w:tcW w:w="0" w:type="dxa"/>
            <w:vAlign w:val="bottom"/>
          </w:tcPr>
          <w:p>
            <w:pPr>
              <w:spacing w:after="0"/>
              <w:rPr>
                <w:sz w:val="1"/>
                <w:szCs w:val="1"/>
                <w:color w:val="auto"/>
              </w:rPr>
            </w:pPr>
          </w:p>
        </w:tc>
      </w:tr>
      <w:tr>
        <w:trPr>
          <w:trHeight w:val="157"/>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(In thousands)</w:t>
            </w:r>
          </w:p>
        </w:tc>
        <w:tc>
          <w:tcPr>
            <w:tcW w:w="3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97"/>
              </w:rPr>
              <w:t>2010</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133"/>
        </w:trPr>
        <w:tc>
          <w:tcPr>
            <w:tcW w:w="470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Postretirement health care benefit cost</w:t>
            </w:r>
          </w:p>
        </w:tc>
        <w:tc>
          <w:tcPr>
            <w:tcW w:w="3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gridSpan w:val="4"/>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87"/>
              </w:rPr>
              <w:t>36,117</w:t>
            </w:r>
          </w:p>
        </w:tc>
        <w:tc>
          <w:tcPr>
            <w:tcW w:w="22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7"/>
              </w:rPr>
              <w:t>35,312</w:t>
            </w:r>
          </w:p>
        </w:tc>
        <w:tc>
          <w:tcPr>
            <w:tcW w:w="0" w:type="dxa"/>
            <w:vAlign w:val="bottom"/>
          </w:tcPr>
          <w:p>
            <w:pPr>
              <w:spacing w:after="0"/>
              <w:rPr>
                <w:sz w:val="1"/>
                <w:szCs w:val="1"/>
                <w:color w:val="auto"/>
              </w:rPr>
            </w:pPr>
          </w:p>
        </w:tc>
      </w:tr>
      <w:tr>
        <w:trPr>
          <w:trHeight w:val="144"/>
        </w:trPr>
        <w:tc>
          <w:tcPr>
            <w:tcW w:w="4700" w:type="dxa"/>
            <w:vAlign w:val="bottom"/>
            <w:gridSpan w:val="2"/>
          </w:tcPr>
          <w:p>
            <w:pPr>
              <w:spacing w:after="0"/>
              <w:rPr>
                <w:sz w:val="20"/>
                <w:szCs w:val="20"/>
                <w:color w:val="auto"/>
              </w:rPr>
            </w:pPr>
            <w:r>
              <w:rPr>
                <w:rFonts w:ascii="Arial" w:cs="Arial" w:eastAsia="Arial" w:hAnsi="Arial"/>
                <w:sz w:val="12"/>
                <w:szCs w:val="12"/>
                <w:color w:val="auto"/>
              </w:rPr>
              <w:t>Non-qualified deferred compensation</w:t>
            </w: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60"/>
              <w:spacing w:after="0"/>
              <w:rPr>
                <w:sz w:val="20"/>
                <w:szCs w:val="20"/>
                <w:color w:val="auto"/>
              </w:rPr>
            </w:pPr>
            <w:r>
              <w:rPr>
                <w:rFonts w:ascii="Arial" w:cs="Arial" w:eastAsia="Arial" w:hAnsi="Arial"/>
                <w:sz w:val="12"/>
                <w:szCs w:val="12"/>
                <w:color w:val="auto"/>
                <w:w w:val="87"/>
              </w:rPr>
              <w:t>25,716</w:t>
            </w:r>
          </w:p>
        </w:tc>
        <w:tc>
          <w:tcPr>
            <w:tcW w:w="220" w:type="dxa"/>
            <w:vAlign w:val="bottom"/>
          </w:tcPr>
          <w:p>
            <w:pPr>
              <w:spacing w:after="0"/>
              <w:rPr>
                <w:sz w:val="12"/>
                <w:szCs w:val="12"/>
                <w:color w:val="auto"/>
              </w:rPr>
            </w:pPr>
          </w:p>
        </w:tc>
        <w:tc>
          <w:tcPr>
            <w:tcW w:w="620" w:type="dxa"/>
            <w:vAlign w:val="bottom"/>
          </w:tcPr>
          <w:p>
            <w:pPr>
              <w:jc w:val="right"/>
              <w:ind w:right="180"/>
              <w:spacing w:after="0"/>
              <w:rPr>
                <w:sz w:val="20"/>
                <w:szCs w:val="20"/>
                <w:color w:val="auto"/>
              </w:rPr>
            </w:pPr>
            <w:r>
              <w:rPr>
                <w:rFonts w:ascii="Arial" w:cs="Arial" w:eastAsia="Arial" w:hAnsi="Arial"/>
                <w:sz w:val="12"/>
                <w:szCs w:val="12"/>
                <w:color w:val="auto"/>
                <w:w w:val="97"/>
              </w:rPr>
              <w:t>26,092</w:t>
            </w:r>
          </w:p>
        </w:tc>
        <w:tc>
          <w:tcPr>
            <w:tcW w:w="0" w:type="dxa"/>
            <w:vAlign w:val="bottom"/>
          </w:tcPr>
          <w:p>
            <w:pPr>
              <w:spacing w:after="0"/>
              <w:rPr>
                <w:sz w:val="1"/>
                <w:szCs w:val="1"/>
                <w:color w:val="auto"/>
              </w:rPr>
            </w:pPr>
          </w:p>
        </w:tc>
      </w:tr>
      <w:tr>
        <w:trPr>
          <w:trHeight w:val="144"/>
        </w:trPr>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Executive share option plan liability</w:t>
            </w: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9,041</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8,444</w:t>
            </w:r>
          </w:p>
        </w:tc>
        <w:tc>
          <w:tcPr>
            <w:tcW w:w="0" w:type="dxa"/>
            <w:vAlign w:val="bottom"/>
          </w:tcPr>
          <w:p>
            <w:pPr>
              <w:spacing w:after="0"/>
              <w:rPr>
                <w:sz w:val="1"/>
                <w:szCs w:val="1"/>
                <w:color w:val="auto"/>
              </w:rPr>
            </w:pPr>
          </w:p>
        </w:tc>
      </w:tr>
      <w:tr>
        <w:trPr>
          <w:trHeight w:val="144"/>
        </w:trPr>
        <w:tc>
          <w:tcPr>
            <w:tcW w:w="4700" w:type="dxa"/>
            <w:vAlign w:val="bottom"/>
            <w:gridSpan w:val="2"/>
          </w:tcPr>
          <w:p>
            <w:pPr>
              <w:spacing w:after="0"/>
              <w:rPr>
                <w:sz w:val="20"/>
                <w:szCs w:val="20"/>
                <w:color w:val="auto"/>
              </w:rPr>
            </w:pPr>
            <w:r>
              <w:rPr>
                <w:rFonts w:ascii="Arial" w:cs="Arial" w:eastAsia="Arial" w:hAnsi="Arial"/>
                <w:sz w:val="12"/>
                <w:szCs w:val="12"/>
                <w:color w:val="auto"/>
              </w:rPr>
              <w:t>SERP benefit liability</w:t>
            </w: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60"/>
              <w:spacing w:after="0"/>
              <w:rPr>
                <w:sz w:val="20"/>
                <w:szCs w:val="20"/>
                <w:color w:val="auto"/>
              </w:rPr>
            </w:pPr>
            <w:r>
              <w:rPr>
                <w:rFonts w:ascii="Arial" w:cs="Arial" w:eastAsia="Arial" w:hAnsi="Arial"/>
                <w:sz w:val="12"/>
                <w:szCs w:val="12"/>
                <w:color w:val="auto"/>
              </w:rPr>
              <w:t>3,355</w:t>
            </w:r>
          </w:p>
        </w:tc>
        <w:tc>
          <w:tcPr>
            <w:tcW w:w="220" w:type="dxa"/>
            <w:vAlign w:val="bottom"/>
          </w:tcPr>
          <w:p>
            <w:pPr>
              <w:spacing w:after="0"/>
              <w:rPr>
                <w:sz w:val="12"/>
                <w:szCs w:val="12"/>
                <w:color w:val="auto"/>
              </w:rPr>
            </w:pP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3,259</w:t>
            </w:r>
          </w:p>
        </w:tc>
        <w:tc>
          <w:tcPr>
            <w:tcW w:w="0" w:type="dxa"/>
            <w:vAlign w:val="bottom"/>
          </w:tcPr>
          <w:p>
            <w:pPr>
              <w:spacing w:after="0"/>
              <w:rPr>
                <w:sz w:val="1"/>
                <w:szCs w:val="1"/>
                <w:color w:val="auto"/>
              </w:rPr>
            </w:pPr>
          </w:p>
        </w:tc>
      </w:tr>
      <w:tr>
        <w:trPr>
          <w:trHeight w:val="144"/>
        </w:trPr>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Executive deferred compensation</w:t>
            </w: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68</w:t>
            </w: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33"/>
        </w:trPr>
        <w:tc>
          <w:tcPr>
            <w:tcW w:w="4700" w:type="dxa"/>
            <w:vAlign w:val="bottom"/>
            <w:gridSpan w:val="2"/>
          </w:tcPr>
          <w:p>
            <w:pPr>
              <w:spacing w:after="0" w:line="133" w:lineRule="exact"/>
              <w:rPr>
                <w:sz w:val="20"/>
                <w:szCs w:val="20"/>
                <w:color w:val="auto"/>
              </w:rPr>
            </w:pPr>
            <w:r>
              <w:rPr>
                <w:rFonts w:ascii="Arial" w:cs="Arial" w:eastAsia="Arial" w:hAnsi="Arial"/>
                <w:sz w:val="12"/>
                <w:szCs w:val="12"/>
                <w:color w:val="auto"/>
              </w:rPr>
              <w:t>Total postretirement health care and deferred compensation benefits</w:t>
            </w:r>
          </w:p>
        </w:tc>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160"/>
              <w:spacing w:after="0" w:line="133" w:lineRule="exact"/>
              <w:rPr>
                <w:sz w:val="20"/>
                <w:szCs w:val="20"/>
                <w:color w:val="auto"/>
              </w:rPr>
            </w:pPr>
            <w:r>
              <w:rPr>
                <w:rFonts w:ascii="Arial" w:cs="Arial" w:eastAsia="Arial" w:hAnsi="Arial"/>
                <w:sz w:val="12"/>
                <w:szCs w:val="12"/>
                <w:color w:val="auto"/>
                <w:w w:val="87"/>
              </w:rPr>
              <w:t>74,297</w:t>
            </w:r>
          </w:p>
        </w:tc>
        <w:tc>
          <w:tcPr>
            <w:tcW w:w="220" w:type="dxa"/>
            <w:vAlign w:val="bottom"/>
          </w:tcPr>
          <w:p>
            <w:pPr>
              <w:spacing w:after="0"/>
              <w:rPr>
                <w:sz w:val="11"/>
                <w:szCs w:val="11"/>
                <w:color w:val="auto"/>
              </w:rPr>
            </w:pPr>
          </w:p>
        </w:tc>
        <w:tc>
          <w:tcPr>
            <w:tcW w:w="620" w:type="dxa"/>
            <w:vAlign w:val="bottom"/>
          </w:tcPr>
          <w:p>
            <w:pPr>
              <w:jc w:val="right"/>
              <w:ind w:right="180"/>
              <w:spacing w:after="0" w:line="133" w:lineRule="exact"/>
              <w:rPr>
                <w:sz w:val="20"/>
                <w:szCs w:val="20"/>
                <w:color w:val="auto"/>
              </w:rPr>
            </w:pPr>
            <w:r>
              <w:rPr>
                <w:rFonts w:ascii="Arial" w:cs="Arial" w:eastAsia="Arial" w:hAnsi="Arial"/>
                <w:sz w:val="12"/>
                <w:szCs w:val="12"/>
                <w:color w:val="auto"/>
                <w:w w:val="97"/>
              </w:rPr>
              <w:t>73,166</w:t>
            </w:r>
          </w:p>
        </w:tc>
        <w:tc>
          <w:tcPr>
            <w:tcW w:w="0" w:type="dxa"/>
            <w:vAlign w:val="bottom"/>
          </w:tcPr>
          <w:p>
            <w:pPr>
              <w:spacing w:after="0"/>
              <w:rPr>
                <w:sz w:val="1"/>
                <w:szCs w:val="1"/>
                <w:color w:val="auto"/>
              </w:rPr>
            </w:pPr>
          </w:p>
        </w:tc>
      </w:tr>
      <w:tr>
        <w:trPr>
          <w:trHeight w:val="144"/>
        </w:trPr>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3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94"/>
              </w:rPr>
              <w:t>(4,024)</w:t>
            </w: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(3,997)</w:t>
            </w:r>
          </w:p>
        </w:tc>
        <w:tc>
          <w:tcPr>
            <w:tcW w:w="0" w:type="dxa"/>
            <w:vAlign w:val="bottom"/>
          </w:tcPr>
          <w:p>
            <w:pPr>
              <w:spacing w:after="0"/>
              <w:rPr>
                <w:sz w:val="1"/>
                <w:szCs w:val="1"/>
                <w:color w:val="auto"/>
              </w:rPr>
            </w:pPr>
          </w:p>
        </w:tc>
      </w:tr>
      <w:tr>
        <w:trPr>
          <w:trHeight w:val="140"/>
        </w:trPr>
        <w:tc>
          <w:tcPr>
            <w:tcW w:w="4700" w:type="dxa"/>
            <w:vAlign w:val="bottom"/>
            <w:gridSpan w:val="2"/>
          </w:tcPr>
          <w:p>
            <w:pPr>
              <w:spacing w:after="0" w:line="133" w:lineRule="exact"/>
              <w:rPr>
                <w:sz w:val="20"/>
                <w:szCs w:val="20"/>
                <w:color w:val="auto"/>
              </w:rPr>
            </w:pPr>
            <w:r>
              <w:rPr>
                <w:rFonts w:ascii="Arial" w:cs="Arial" w:eastAsia="Arial" w:hAnsi="Arial"/>
                <w:sz w:val="12"/>
                <w:szCs w:val="12"/>
                <w:color w:val="auto"/>
              </w:rPr>
              <w:t>Long-term postretirement health care and deferred compensation benefits</w:t>
            </w: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gridSpan w:val="2"/>
          </w:tcPr>
          <w:p>
            <w:pPr>
              <w:jc w:val="right"/>
              <w:spacing w:after="0"/>
              <w:rPr>
                <w:sz w:val="20"/>
                <w:szCs w:val="20"/>
                <w:color w:val="auto"/>
              </w:rPr>
            </w:pPr>
            <w:r>
              <w:rPr>
                <w:rFonts w:ascii="Arial" w:cs="Arial" w:eastAsia="Arial" w:hAnsi="Arial"/>
                <w:sz w:val="5"/>
                <w:szCs w:val="5"/>
                <w:color w:val="auto"/>
                <w:w w:val="70"/>
              </w:rPr>
              <w:t>$</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w w:val="87"/>
              </w:rPr>
              <w:t>70,273</w:t>
            </w:r>
          </w:p>
        </w:tc>
        <w:tc>
          <w:tcPr>
            <w:tcW w:w="2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w w:val="97"/>
              </w:rPr>
              <w:t>69,169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-1682115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-1682115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Postretirement Health Care Benefits</w:t>
      </w:r>
    </w:p>
    <w:p>
      <w:pPr>
        <w:spacing w:after="0" w:line="15" w:lineRule="exact"/>
        <w:rPr>
          <w:sz w:val="20"/>
          <w:szCs w:val="20"/>
          <w:color w:val="auto"/>
        </w:rPr>
      </w:pPr>
    </w:p>
    <w:p>
      <w:pPr>
        <w:ind w:right="120"/>
        <w:spacing w:after="0" w:line="306" w:lineRule="auto"/>
        <w:rPr>
          <w:sz w:val="20"/>
          <w:szCs w:val="20"/>
          <w:color w:val="auto"/>
        </w:rPr>
      </w:pPr>
      <w:r>
        <w:rPr>
          <w:rFonts w:ascii="Arial" w:cs="Arial" w:eastAsia="Arial" w:hAnsi="Arial"/>
          <w:sz w:val="11"/>
          <w:szCs w:val="11"/>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60" w:type="dxa"/>
            <w:vAlign w:val="bottom"/>
          </w:tcPr>
          <w:p>
            <w:pPr>
              <w:spacing w:after="0"/>
              <w:rPr>
                <w:sz w:val="20"/>
                <w:szCs w:val="20"/>
                <w:color w:val="auto"/>
              </w:rPr>
            </w:pPr>
            <w:r>
              <w:rPr>
                <w:rFonts w:ascii="Arial" w:cs="Arial" w:eastAsia="Arial" w:hAnsi="Arial"/>
                <w:sz w:val="12"/>
                <w:szCs w:val="12"/>
                <w:color w:val="auto"/>
              </w:rPr>
              <w:t>Net periodic postretirement health care benefit income consisted of the following components:</w:t>
            </w: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70"/>
        </w:trPr>
        <w:tc>
          <w:tcPr>
            <w:tcW w:w="63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rPr>
              <w:t>Quarter Ended</w:t>
            </w:r>
          </w:p>
        </w:tc>
        <w:tc>
          <w:tcPr>
            <w:tcW w:w="1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Six Months Ended</w:t>
            </w:r>
          </w:p>
        </w:tc>
      </w:tr>
      <w:tr>
        <w:trPr>
          <w:trHeight w:val="120"/>
        </w:trPr>
        <w:tc>
          <w:tcPr>
            <w:tcW w:w="6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27,</w:t>
            </w:r>
          </w:p>
        </w:tc>
        <w:tc>
          <w:tcPr>
            <w:tcW w:w="10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28,</w:t>
            </w:r>
          </w:p>
        </w:tc>
        <w:tc>
          <w:tcPr>
            <w:tcW w:w="10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27,</w:t>
            </w:r>
          </w:p>
        </w:tc>
        <w:tc>
          <w:tcPr>
            <w:tcW w:w="100" w:type="dxa"/>
            <w:vAlign w:val="bottom"/>
          </w:tcPr>
          <w:p>
            <w:pPr>
              <w:spacing w:after="0"/>
              <w:rPr>
                <w:sz w:val="10"/>
                <w:szCs w:val="10"/>
                <w:color w:val="auto"/>
              </w:rPr>
            </w:pPr>
          </w:p>
        </w:tc>
        <w:tc>
          <w:tcPr>
            <w:tcW w:w="760" w:type="dxa"/>
            <w:vAlign w:val="bottom"/>
          </w:tcPr>
          <w:p>
            <w:pPr>
              <w:jc w:val="right"/>
              <w:ind w:right="40"/>
              <w:spacing w:after="0" w:line="121" w:lineRule="exact"/>
              <w:rPr>
                <w:sz w:val="20"/>
                <w:szCs w:val="20"/>
                <w:color w:val="auto"/>
              </w:rPr>
            </w:pPr>
            <w:r>
              <w:rPr>
                <w:rFonts w:ascii="Arial" w:cs="Arial" w:eastAsia="Arial" w:hAnsi="Arial"/>
                <w:sz w:val="12"/>
                <w:szCs w:val="12"/>
                <w:b w:val="1"/>
                <w:bCs w:val="1"/>
                <w:color w:val="auto"/>
                <w:w w:val="89"/>
              </w:rPr>
              <w:t>February 28,</w:t>
            </w:r>
          </w:p>
        </w:tc>
      </w:tr>
      <w:tr>
        <w:trPr>
          <w:trHeight w:val="157"/>
        </w:trPr>
        <w:tc>
          <w:tcPr>
            <w:tcW w:w="6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1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2009</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2010</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2009</w:t>
            </w:r>
          </w:p>
        </w:tc>
      </w:tr>
      <w:tr>
        <w:trPr>
          <w:trHeight w:val="133"/>
        </w:trPr>
        <w:tc>
          <w:tcPr>
            <w:tcW w:w="63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Interest cost</w:t>
            </w:r>
          </w:p>
        </w:tc>
        <w:tc>
          <w:tcPr>
            <w:tcW w:w="19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495</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530</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989</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1,060</w:t>
            </w:r>
          </w:p>
        </w:tc>
      </w:tr>
      <w:tr>
        <w:trPr>
          <w:trHeight w:val="144"/>
        </w:trPr>
        <w:tc>
          <w:tcPr>
            <w:tcW w:w="6360" w:type="dxa"/>
            <w:vAlign w:val="bottom"/>
          </w:tcPr>
          <w:p>
            <w:pPr>
              <w:spacing w:after="0"/>
              <w:rPr>
                <w:sz w:val="20"/>
                <w:szCs w:val="20"/>
                <w:color w:val="auto"/>
              </w:rPr>
            </w:pPr>
            <w:r>
              <w:rPr>
                <w:rFonts w:ascii="Arial" w:cs="Arial" w:eastAsia="Arial" w:hAnsi="Arial"/>
                <w:sz w:val="12"/>
                <w:szCs w:val="12"/>
                <w:color w:val="auto"/>
              </w:rPr>
              <w:t>Service cost</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147</w:t>
            </w:r>
          </w:p>
        </w:tc>
        <w:tc>
          <w:tcPr>
            <w:tcW w:w="10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278</w:t>
            </w:r>
          </w:p>
        </w:tc>
        <w:tc>
          <w:tcPr>
            <w:tcW w:w="100" w:type="dxa"/>
            <w:vAlign w:val="bottom"/>
          </w:tcPr>
          <w:p>
            <w:pPr>
              <w:spacing w:after="0"/>
              <w:rPr>
                <w:sz w:val="12"/>
                <w:szCs w:val="12"/>
                <w:color w:val="auto"/>
              </w:rPr>
            </w:pP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295</w:t>
            </w:r>
          </w:p>
        </w:tc>
      </w:tr>
      <w:tr>
        <w:trPr>
          <w:trHeight w:val="144"/>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Net amortization and deferral</w:t>
            </w:r>
          </w:p>
        </w:tc>
        <w:tc>
          <w:tcPr>
            <w:tcW w:w="18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(831)</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(874)</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(1,662)</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(1,749)</w:t>
            </w:r>
          </w:p>
        </w:tc>
      </w:tr>
      <w:tr>
        <w:trPr>
          <w:trHeight w:val="140"/>
        </w:trPr>
        <w:tc>
          <w:tcPr>
            <w:tcW w:w="6360" w:type="dxa"/>
            <w:vAlign w:val="bottom"/>
          </w:tcPr>
          <w:p>
            <w:pPr>
              <w:spacing w:after="0" w:line="133" w:lineRule="exact"/>
              <w:rPr>
                <w:sz w:val="20"/>
                <w:szCs w:val="20"/>
                <w:color w:val="auto"/>
              </w:rPr>
            </w:pPr>
            <w:r>
              <w:rPr>
                <w:rFonts w:ascii="Arial" w:cs="Arial" w:eastAsia="Arial" w:hAnsi="Arial"/>
                <w:sz w:val="12"/>
                <w:szCs w:val="12"/>
                <w:color w:val="auto"/>
              </w:rPr>
              <w:t>Net periodic postretirement benefit income</w:t>
            </w:r>
          </w:p>
        </w:tc>
        <w:tc>
          <w:tcPr>
            <w:tcW w:w="18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rPr>
              <w:t>(198)</w:t>
            </w: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rPr>
              <w:t>(197)</w:t>
            </w: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rPr>
              <w:t>(395)</w:t>
            </w: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rPr>
              <w:t>(394)</w:t>
            </w:r>
          </w:p>
        </w:tc>
      </w:tr>
      <w:tr>
        <w:trPr>
          <w:trHeight w:val="144"/>
        </w:trPr>
        <w:tc>
          <w:tcPr>
            <w:tcW w:w="6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Payments for postretirement health care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278</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461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409</w:t>
            </w:r>
          </w:p>
        </w:tc>
      </w:tr>
      <w:tr>
        <w:trPr>
          <w:trHeight w:val="27"/>
        </w:trPr>
        <w:tc>
          <w:tcPr>
            <w:tcW w:w="63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135"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For accounting purposes, we recognized income from the plan for both the second quarter and six months of both Fiscal 2010 and Fiscal 2009 due to the amortization of the cost savings from an amendment effective September 2004, which amended our postretirement health care benefit by establishing a maximum employer contribution amount.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Contingent Liabilities and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Repurchase Commitments</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50" w:lineRule="exact"/>
        <w:rPr>
          <w:sz w:val="20"/>
          <w:szCs w:val="20"/>
          <w:color w:val="auto"/>
        </w:rPr>
      </w:pPr>
    </w:p>
    <w:p>
      <w:pPr>
        <w:jc w:val="both"/>
        <w:ind w:right="200"/>
        <w:spacing w:after="0" w:line="298" w:lineRule="auto"/>
        <w:rPr>
          <w:sz w:val="20"/>
          <w:szCs w:val="20"/>
          <w:color w:val="auto"/>
        </w:rPr>
      </w:pPr>
      <w:r>
        <w:rPr>
          <w:rFonts w:ascii="Arial" w:cs="Arial" w:eastAsia="Arial" w:hAnsi="Arial"/>
          <w:sz w:val="11"/>
          <w:szCs w:val="11"/>
          <w:color w:val="auto"/>
        </w:rPr>
        <w:t>Our repurchase agreements provide that, in the event of default by the dealer on the agreement to pay the lending institution, we will repurchase the financed merchandise.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Our contingent liability on these repurchase agreements was approximately $129.4 million and $90.6 million at February 27, 2010 and August 29, 2009, respectively.</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$3.4 million and $3.1 million at February 27, 2010 and August 29, 2009, respectively.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8"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Based on the repurchase exposure as previously described, we established an associated loss reserve. Accrued loss on repurchases was $1.4 million as of February 27, 2010 and $1.2 million as of August 29, 2009. A summary of recent repurchase activity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rPr>
              <w:t>Quarter Ended</w:t>
            </w: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Six Months Ended</w:t>
            </w:r>
          </w:p>
        </w:tc>
      </w:tr>
      <w:tr>
        <w:trPr>
          <w:trHeight w:val="120"/>
        </w:trPr>
        <w:tc>
          <w:tcPr>
            <w:tcW w:w="46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27,</w:t>
            </w:r>
          </w:p>
        </w:tc>
        <w:tc>
          <w:tcPr>
            <w:tcW w:w="10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28,</w:t>
            </w:r>
          </w:p>
        </w:tc>
        <w:tc>
          <w:tcPr>
            <w:tcW w:w="10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27,</w:t>
            </w:r>
          </w:p>
        </w:tc>
        <w:tc>
          <w:tcPr>
            <w:tcW w:w="100" w:type="dxa"/>
            <w:vAlign w:val="bottom"/>
          </w:tcPr>
          <w:p>
            <w:pPr>
              <w:spacing w:after="0"/>
              <w:rPr>
                <w:sz w:val="10"/>
                <w:szCs w:val="10"/>
                <w:color w:val="auto"/>
              </w:rPr>
            </w:pPr>
          </w:p>
        </w:tc>
        <w:tc>
          <w:tcPr>
            <w:tcW w:w="760" w:type="dxa"/>
            <w:vAlign w:val="bottom"/>
          </w:tcPr>
          <w:p>
            <w:pPr>
              <w:jc w:val="right"/>
              <w:ind w:right="40"/>
              <w:spacing w:after="0" w:line="121" w:lineRule="exact"/>
              <w:rPr>
                <w:sz w:val="20"/>
                <w:szCs w:val="20"/>
                <w:color w:val="auto"/>
              </w:rPr>
            </w:pPr>
            <w:r>
              <w:rPr>
                <w:rFonts w:ascii="Arial" w:cs="Arial" w:eastAsia="Arial" w:hAnsi="Arial"/>
                <w:sz w:val="12"/>
                <w:szCs w:val="12"/>
                <w:b w:val="1"/>
                <w:bCs w:val="1"/>
                <w:color w:val="auto"/>
                <w:w w:val="89"/>
              </w:rPr>
              <w:t>February 28,</w:t>
            </w:r>
          </w:p>
        </w:tc>
      </w:tr>
      <w:tr>
        <w:trPr>
          <w:trHeight w:val="157"/>
        </w:trPr>
        <w:tc>
          <w:tcPr>
            <w:tcW w:w="4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(Dollars in thousands)</w:t>
            </w:r>
          </w:p>
        </w:tc>
        <w:tc>
          <w:tcPr>
            <w:tcW w:w="3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2009</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2010</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2009</w:t>
            </w:r>
          </w:p>
        </w:tc>
      </w:tr>
      <w:tr>
        <w:trPr>
          <w:trHeight w:val="133"/>
        </w:trPr>
        <w:tc>
          <w:tcPr>
            <w:tcW w:w="46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Inventory repurchased</w:t>
            </w:r>
          </w:p>
        </w:tc>
        <w:tc>
          <w:tcPr>
            <w:tcW w:w="3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4"/>
        </w:trPr>
        <w:tc>
          <w:tcPr>
            <w:tcW w:w="4660" w:type="dxa"/>
            <w:vAlign w:val="bottom"/>
          </w:tcPr>
          <w:p>
            <w:pPr>
              <w:ind w:left="140"/>
              <w:spacing w:after="0"/>
              <w:rPr>
                <w:sz w:val="20"/>
                <w:szCs w:val="20"/>
                <w:color w:val="auto"/>
              </w:rPr>
            </w:pPr>
            <w:r>
              <w:rPr>
                <w:rFonts w:ascii="Arial" w:cs="Arial" w:eastAsia="Arial" w:hAnsi="Arial"/>
                <w:sz w:val="12"/>
                <w:szCs w:val="12"/>
                <w:color w:val="auto"/>
              </w:rPr>
              <w:t>Units</w:t>
            </w:r>
          </w:p>
        </w:tc>
        <w:tc>
          <w:tcPr>
            <w:tcW w:w="3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72</w:t>
            </w:r>
          </w:p>
        </w:tc>
      </w:tr>
      <w:tr>
        <w:trPr>
          <w:trHeight w:val="144"/>
        </w:trPr>
        <w:tc>
          <w:tcPr>
            <w:tcW w:w="46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Dollars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1,559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6,468</w:t>
            </w:r>
          </w:p>
        </w:tc>
      </w:tr>
      <w:tr>
        <w:trPr>
          <w:trHeight w:val="144"/>
        </w:trPr>
        <w:tc>
          <w:tcPr>
            <w:tcW w:w="4660" w:type="dxa"/>
            <w:vAlign w:val="bottom"/>
          </w:tcPr>
          <w:p>
            <w:pPr>
              <w:spacing w:after="0"/>
              <w:rPr>
                <w:sz w:val="20"/>
                <w:szCs w:val="20"/>
                <w:color w:val="auto"/>
              </w:rPr>
            </w:pPr>
            <w:r>
              <w:rPr>
                <w:rFonts w:ascii="Arial" w:cs="Arial" w:eastAsia="Arial" w:hAnsi="Arial"/>
                <w:sz w:val="12"/>
                <w:szCs w:val="12"/>
                <w:color w:val="auto"/>
              </w:rPr>
              <w:t>Inventory resold</w:t>
            </w:r>
          </w:p>
        </w:tc>
        <w:tc>
          <w:tcPr>
            <w:tcW w:w="3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46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Units</w:t>
            </w:r>
          </w:p>
        </w:tc>
        <w:tc>
          <w:tcPr>
            <w:tcW w:w="3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70</w:t>
            </w:r>
          </w:p>
        </w:tc>
      </w:tr>
      <w:tr>
        <w:trPr>
          <w:trHeight w:val="144"/>
        </w:trPr>
        <w:tc>
          <w:tcPr>
            <w:tcW w:w="4660" w:type="dxa"/>
            <w:vAlign w:val="bottom"/>
          </w:tcPr>
          <w:p>
            <w:pPr>
              <w:ind w:left="140"/>
              <w:spacing w:after="0"/>
              <w:rPr>
                <w:sz w:val="20"/>
                <w:szCs w:val="20"/>
                <w:color w:val="auto"/>
              </w:rPr>
            </w:pPr>
            <w:r>
              <w:rPr>
                <w:rFonts w:ascii="Arial" w:cs="Arial" w:eastAsia="Arial" w:hAnsi="Arial"/>
                <w:sz w:val="12"/>
                <w:szCs w:val="12"/>
                <w:color w:val="auto"/>
              </w:rPr>
              <w:t>Cash collected</w:t>
            </w:r>
          </w:p>
        </w:tc>
        <w:tc>
          <w:tcPr>
            <w:tcW w:w="36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106</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1,906</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252</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5,243</w:t>
            </w:r>
          </w:p>
        </w:tc>
      </w:tr>
      <w:tr>
        <w:trPr>
          <w:trHeight w:val="144"/>
        </w:trPr>
        <w:tc>
          <w:tcPr>
            <w:tcW w:w="46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recognized</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477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956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Litigation</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Income Taxes</w:t>
      </w:r>
    </w:p>
    <w:p>
      <w:pPr>
        <w:spacing w:after="0" w:line="136"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 xml:space="preserve">We account for income taxes under 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(ASC 740).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 of February 27, 2010, and August 29, 2009, we have applied a full valuation allowance of $44.6 million and $45.3 million, respectively, against our deferred tax assets. ASC 740 requires that companies assess whether valuation allowances should be established against their deferred tax assets based on the consideration of all available evidence, using a “more-likely-than- 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This loss, combined with uncertain near-term market and economic conditions, reduced our ability to rely on our projections of any future taxable income in determining whether a valuation allowance is appropriate. Accordingly, we have concluded that a full valuation allowance on our deferred tax assets was needed. We will continue to assess the likelihood that our deferred tax assets will be realizable, and our valuation allowance will be adjusted accordingly, which could materially i mpact our financial position and results of operations.</w:t>
      </w:r>
    </w:p>
    <w:p>
      <w:pPr>
        <w:spacing w:after="0" w:line="158"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On November 6, 2009, the President of the United States signed into law the Worker, Homeownership, and Business Assistance Act of 2009, which expands the net operating loss (NOL) carryback period from two to five years, allowing us to carryback all Fiscal 2009 NOLs. As a result, we recorded a tax benefit of $4.8 million related to the portion of the 2009 NOL that was previously not able to be carried back and reduced the associated valuation allowance. We filed our carryback tax return in December 2009 and received our federal refund of $21.9 million during our second quarter of Fiscal 2010.</w:t>
      </w:r>
    </w:p>
    <w:p>
      <w:pPr>
        <w:spacing w:after="0" w:line="150"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We file tax returns in the U.S. federal jurisdiction, as well as various international and state jurisdictions. Our federal income tax returns for Fiscal 2006 through Fiscal 2008 were under examination by the IRS as of the end of the second quarter of 2010. Subsequent to quarter end, we received notification from the IRS that their exam was complete; no material adjustments were noted as a result of the exam.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 ally, various state and local jurisdictions conduct audits, therefore, a variety of other years are subject to state and local jurisdiction review.</w:t>
      </w:r>
    </w:p>
    <w:p>
      <w:pPr>
        <w:sectPr>
          <w:pgSz w:w="11900" w:h="16838" w:orient="portrait"/>
          <w:cols w:equalWidth="0" w:num="1">
            <w:col w:w="11480"/>
          </w:cols>
          <w:pgMar w:left="220" w:top="127" w:right="199" w:bottom="0" w:gutter="0" w:footer="0" w:header="0"/>
        </w:sectPr>
      </w:pPr>
    </w:p>
    <w:bookmarkStart w:id="5" w:name="page6"/>
    <w:bookmarkEnd w:id="5"/>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As of February 27, 2010, our total unrecognized tax benefits were $8.0 million, all of which, if recognized, would positively affect our effective tax rate as all of the deferred tax assets associated with these positions have a full valuation allowance established against them. It is our policy to recognize interest and penalties accrued relative to unrecognized tax benefits into tax expense. As of February 27, 2010, we had accrued $2.7 million in interest and penalties. Changes in our total unrecognized tax benefits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Six Months Ended</w:t>
            </w:r>
          </w:p>
        </w:tc>
      </w:tr>
      <w:tr>
        <w:trPr>
          <w:trHeight w:val="120"/>
        </w:trPr>
        <w:tc>
          <w:tcPr>
            <w:tcW w:w="60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27,</w:t>
            </w:r>
          </w:p>
        </w:tc>
        <w:tc>
          <w:tcPr>
            <w:tcW w:w="100" w:type="dxa"/>
            <w:vAlign w:val="bottom"/>
          </w:tcPr>
          <w:p>
            <w:pPr>
              <w:spacing w:after="0"/>
              <w:rPr>
                <w:sz w:val="10"/>
                <w:szCs w:val="10"/>
                <w:color w:val="auto"/>
              </w:rPr>
            </w:pPr>
          </w:p>
        </w:tc>
        <w:tc>
          <w:tcPr>
            <w:tcW w:w="760" w:type="dxa"/>
            <w:vAlign w:val="bottom"/>
          </w:tcPr>
          <w:p>
            <w:pPr>
              <w:jc w:val="right"/>
              <w:ind w:right="40"/>
              <w:spacing w:after="0" w:line="121" w:lineRule="exact"/>
              <w:rPr>
                <w:sz w:val="20"/>
                <w:szCs w:val="20"/>
                <w:color w:val="auto"/>
              </w:rPr>
            </w:pPr>
            <w:r>
              <w:rPr>
                <w:rFonts w:ascii="Arial" w:cs="Arial" w:eastAsia="Arial" w:hAnsi="Arial"/>
                <w:sz w:val="12"/>
                <w:szCs w:val="12"/>
                <w:b w:val="1"/>
                <w:bCs w:val="1"/>
                <w:color w:val="auto"/>
                <w:w w:val="89"/>
              </w:rPr>
              <w:t>February 28,</w:t>
            </w:r>
          </w:p>
        </w:tc>
      </w:tr>
      <w:tr>
        <w:trPr>
          <w:trHeight w:val="157"/>
        </w:trPr>
        <w:tc>
          <w:tcPr>
            <w:tcW w:w="6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3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2010</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2009</w:t>
            </w:r>
          </w:p>
        </w:tc>
      </w:tr>
      <w:tr>
        <w:trPr>
          <w:trHeight w:val="133"/>
        </w:trPr>
        <w:tc>
          <w:tcPr>
            <w:tcW w:w="6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 beginning of period</w:t>
            </w:r>
          </w:p>
        </w:tc>
        <w:tc>
          <w:tcPr>
            <w:tcW w:w="38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(9,012)</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(9,470)</w:t>
            </w: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Gross increases - tax positions in a prior period</w:t>
            </w:r>
          </w:p>
        </w:tc>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2"/>
                <w:szCs w:val="12"/>
                <w:color w:val="auto"/>
              </w:rPr>
            </w:pP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33</w:t>
            </w: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Gross decreases - tax positions in a prior period</w:t>
            </w:r>
          </w:p>
        </w:tc>
        <w:tc>
          <w:tcPr>
            <w:tcW w:w="3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805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288</w:t>
            </w: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Gross increases - current period tax positions</w:t>
            </w:r>
          </w:p>
        </w:tc>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2"/>
                <w:szCs w:val="12"/>
                <w:color w:val="auto"/>
              </w:rPr>
            </w:pP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206</w:t>
            </w: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Settlements</w:t>
            </w:r>
          </w:p>
        </w:tc>
        <w:tc>
          <w:tcPr>
            <w:tcW w:w="3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416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144"/>
        </w:trPr>
        <w:tc>
          <w:tcPr>
            <w:tcW w:w="60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Lapse of statute of limitations</w:t>
            </w:r>
          </w:p>
        </w:tc>
        <w:tc>
          <w:tcPr>
            <w:tcW w:w="37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r>
      <w:tr>
        <w:trPr>
          <w:trHeight w:val="140"/>
        </w:trPr>
        <w:tc>
          <w:tcPr>
            <w:tcW w:w="60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end of period</w:t>
            </w:r>
          </w:p>
        </w:tc>
        <w:tc>
          <w:tcPr>
            <w:tcW w:w="37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(8,014)</w:t>
            </w:r>
          </w:p>
        </w:tc>
        <w:tc>
          <w:tcPr>
            <w:tcW w:w="1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(8,943)</w:t>
            </w:r>
          </w:p>
        </w:tc>
      </w:tr>
    </w:tbl>
    <w:p>
      <w:pPr>
        <w:spacing w:after="0" w:line="135"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We anticipate there could be a potential decrease in unrecognized tax benefits of approximately $2.0 million within the next twelve months from expected settlements or payments of uncertain tax positions. Actual results may differ materially from this estimate.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60" w:type="dxa"/>
            <w:vAlign w:val="bottom"/>
            <w:gridSpan w:val="2"/>
          </w:tcPr>
          <w:p>
            <w:pPr>
              <w:spacing w:after="0"/>
              <w:rPr>
                <w:sz w:val="20"/>
                <w:szCs w:val="20"/>
                <w:color w:val="auto"/>
              </w:rPr>
            </w:pPr>
            <w:r>
              <w:rPr>
                <w:rFonts w:ascii="Arial" w:cs="Arial" w:eastAsia="Arial" w:hAnsi="Arial"/>
                <w:sz w:val="12"/>
                <w:szCs w:val="12"/>
                <w:b w:val="1"/>
                <w:bCs w:val="1"/>
                <w:color w:val="auto"/>
              </w:rPr>
              <w:t>NOTE 12: Income Per Share</w:t>
            </w: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6060" w:type="dxa"/>
            <w:vAlign w:val="bottom"/>
            <w:gridSpan w:val="2"/>
          </w:tcPr>
          <w:p>
            <w:pPr>
              <w:spacing w:after="0"/>
              <w:rPr>
                <w:sz w:val="20"/>
                <w:szCs w:val="20"/>
                <w:color w:val="auto"/>
              </w:rPr>
            </w:pPr>
            <w:r>
              <w:rPr>
                <w:rFonts w:ascii="Arial" w:cs="Arial" w:eastAsia="Arial" w:hAnsi="Arial"/>
                <w:sz w:val="12"/>
                <w:szCs w:val="12"/>
                <w:color w:val="auto"/>
              </w:rPr>
              <w:t>The following table reflects the calculation of basic and diluted income per share:</w:t>
            </w: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rPr>
              <w:t>Quarter Ended</w:t>
            </w:r>
          </w:p>
        </w:tc>
        <w:tc>
          <w:tcPr>
            <w:tcW w:w="1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27,</w:t>
            </w:r>
          </w:p>
        </w:tc>
        <w:tc>
          <w:tcPr>
            <w:tcW w:w="10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28,</w:t>
            </w:r>
          </w:p>
        </w:tc>
        <w:tc>
          <w:tcPr>
            <w:tcW w:w="10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9"/>
              </w:rPr>
              <w:t>February 27,</w:t>
            </w:r>
          </w:p>
        </w:tc>
        <w:tc>
          <w:tcPr>
            <w:tcW w:w="100" w:type="dxa"/>
            <w:vAlign w:val="bottom"/>
          </w:tcPr>
          <w:p>
            <w:pPr>
              <w:spacing w:after="0"/>
              <w:rPr>
                <w:sz w:val="10"/>
                <w:szCs w:val="10"/>
                <w:color w:val="auto"/>
              </w:rPr>
            </w:pPr>
          </w:p>
        </w:tc>
        <w:tc>
          <w:tcPr>
            <w:tcW w:w="760" w:type="dxa"/>
            <w:vAlign w:val="bottom"/>
          </w:tcPr>
          <w:p>
            <w:pPr>
              <w:jc w:val="right"/>
              <w:ind w:right="40"/>
              <w:spacing w:after="0" w:line="121" w:lineRule="exact"/>
              <w:rPr>
                <w:sz w:val="20"/>
                <w:szCs w:val="20"/>
                <w:color w:val="auto"/>
              </w:rPr>
            </w:pPr>
            <w:r>
              <w:rPr>
                <w:rFonts w:ascii="Arial" w:cs="Arial" w:eastAsia="Arial" w:hAnsi="Arial"/>
                <w:sz w:val="12"/>
                <w:szCs w:val="12"/>
                <w:b w:val="1"/>
                <w:bCs w:val="1"/>
                <w:color w:val="auto"/>
                <w:w w:val="89"/>
              </w:rPr>
              <w:t>February 28,</w:t>
            </w:r>
          </w:p>
        </w:tc>
        <w:tc>
          <w:tcPr>
            <w:tcW w:w="0" w:type="dxa"/>
            <w:vAlign w:val="bottom"/>
          </w:tcPr>
          <w:p>
            <w:pPr>
              <w:spacing w:after="0"/>
              <w:rPr>
                <w:sz w:val="1"/>
                <w:szCs w:val="1"/>
                <w:color w:val="auto"/>
              </w:rPr>
            </w:pPr>
          </w:p>
        </w:tc>
      </w:tr>
      <w:tr>
        <w:trPr>
          <w:trHeight w:val="157"/>
        </w:trPr>
        <w:tc>
          <w:tcPr>
            <w:tcW w:w="606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 share data)</w:t>
            </w: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200"/>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3"/>
                <w:szCs w:val="13"/>
                <w:color w:val="auto"/>
              </w:rPr>
            </w:pPr>
          </w:p>
        </w:tc>
        <w:tc>
          <w:tcPr>
            <w:tcW w:w="720" w:type="dxa"/>
            <w:vAlign w:val="bottom"/>
          </w:tcPr>
          <w:p>
            <w:pPr>
              <w:jc w:val="right"/>
              <w:ind w:right="20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3"/>
                <w:szCs w:val="13"/>
                <w:color w:val="auto"/>
              </w:rPr>
            </w:pPr>
          </w:p>
        </w:tc>
        <w:tc>
          <w:tcPr>
            <w:tcW w:w="720" w:type="dxa"/>
            <w:vAlign w:val="bottom"/>
          </w:tcPr>
          <w:p>
            <w:pPr>
              <w:jc w:val="right"/>
              <w:ind w:right="200"/>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3"/>
                <w:szCs w:val="13"/>
                <w:color w:val="auto"/>
              </w:rPr>
            </w:pPr>
          </w:p>
        </w:tc>
        <w:tc>
          <w:tcPr>
            <w:tcW w:w="760" w:type="dxa"/>
            <w:vAlign w:val="bottom"/>
          </w:tcPr>
          <w:p>
            <w:pPr>
              <w:jc w:val="right"/>
              <w:ind w:right="240"/>
              <w:spacing w:after="0"/>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Income (loss) per share - basic:</w:t>
            </w:r>
          </w:p>
        </w:tc>
        <w:tc>
          <w:tcPr>
            <w:tcW w:w="2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40" w:type="dxa"/>
            <w:vAlign w:val="bottom"/>
          </w:tcPr>
          <w:p>
            <w:pPr>
              <w:spacing w:after="0"/>
              <w:rPr>
                <w:sz w:val="20"/>
                <w:szCs w:val="20"/>
                <w:color w:val="auto"/>
              </w:rPr>
            </w:pPr>
            <w:r>
              <w:rPr>
                <w:rFonts w:ascii="Arial" w:cs="Arial" w:eastAsia="Arial" w:hAnsi="Arial"/>
                <w:sz w:val="12"/>
                <w:szCs w:val="12"/>
                <w:color w:val="auto"/>
              </w:rPr>
              <w:t>Net income (loss)</w:t>
            </w:r>
          </w:p>
        </w:tc>
        <w:tc>
          <w:tcPr>
            <w:tcW w:w="2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706</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(10,381)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(638)</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(19,977)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Weighted average shares outstanding</w:t>
            </w:r>
          </w:p>
        </w:tc>
        <w:tc>
          <w:tcPr>
            <w:tcW w:w="2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29,080</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29,037</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29,077</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29,032</w:t>
            </w:r>
          </w:p>
        </w:tc>
        <w:tc>
          <w:tcPr>
            <w:tcW w:w="0" w:type="dxa"/>
            <w:vAlign w:val="bottom"/>
          </w:tcPr>
          <w:p>
            <w:pPr>
              <w:spacing w:after="0"/>
              <w:rPr>
                <w:sz w:val="1"/>
                <w:szCs w:val="1"/>
                <w:color w:val="auto"/>
              </w:rPr>
            </w:pPr>
          </w:p>
        </w:tc>
      </w:tr>
      <w:tr>
        <w:trPr>
          <w:trHeight w:val="140"/>
        </w:trPr>
        <w:tc>
          <w:tcPr>
            <w:tcW w:w="6060" w:type="dxa"/>
            <w:vAlign w:val="bottom"/>
            <w:gridSpan w:val="2"/>
          </w:tcPr>
          <w:p>
            <w:pPr>
              <w:spacing w:after="0" w:line="133" w:lineRule="exact"/>
              <w:rPr>
                <w:sz w:val="20"/>
                <w:szCs w:val="20"/>
                <w:color w:val="auto"/>
              </w:rPr>
            </w:pPr>
            <w:r>
              <w:rPr>
                <w:rFonts w:ascii="Arial" w:cs="Arial" w:eastAsia="Arial" w:hAnsi="Arial"/>
                <w:sz w:val="12"/>
                <w:szCs w:val="12"/>
                <w:color w:val="auto"/>
              </w:rPr>
              <w:t>Net income (loss) per share - basic</w:t>
            </w:r>
          </w:p>
        </w:tc>
        <w:tc>
          <w:tcPr>
            <w:tcW w:w="2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40"/>
              <w:spacing w:after="0" w:line="133" w:lineRule="exact"/>
              <w:rPr>
                <w:sz w:val="20"/>
                <w:szCs w:val="20"/>
                <w:color w:val="auto"/>
              </w:rPr>
            </w:pPr>
            <w:r>
              <w:rPr>
                <w:rFonts w:ascii="Arial" w:cs="Arial" w:eastAsia="Arial" w:hAnsi="Arial"/>
                <w:sz w:val="12"/>
                <w:szCs w:val="12"/>
                <w:color w:val="auto"/>
              </w:rPr>
              <w:t>0.02</w:t>
            </w:r>
          </w:p>
        </w:tc>
        <w:tc>
          <w:tcPr>
            <w:tcW w:w="1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(0.36)</w:t>
            </w:r>
          </w:p>
        </w:tc>
        <w:tc>
          <w:tcPr>
            <w:tcW w:w="1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(0.02)</w:t>
            </w:r>
          </w:p>
        </w:tc>
        <w:tc>
          <w:tcPr>
            <w:tcW w:w="1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40"/>
              <w:spacing w:after="0" w:line="133" w:lineRule="exact"/>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4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40" w:type="dxa"/>
            <w:vAlign w:val="bottom"/>
          </w:tcPr>
          <w:p>
            <w:pPr>
              <w:spacing w:after="0"/>
              <w:rPr>
                <w:sz w:val="20"/>
                <w:szCs w:val="20"/>
                <w:color w:val="auto"/>
              </w:rPr>
            </w:pPr>
            <w:r>
              <w:rPr>
                <w:rFonts w:ascii="Arial" w:cs="Arial" w:eastAsia="Arial" w:hAnsi="Arial"/>
                <w:sz w:val="12"/>
                <w:szCs w:val="12"/>
                <w:color w:val="auto"/>
              </w:rPr>
              <w:t>Income (loss) per share - assuming dilution:</w:t>
            </w:r>
          </w:p>
        </w:tc>
        <w:tc>
          <w:tcPr>
            <w:tcW w:w="2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706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(10,381)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(638)</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(19,977)</w:t>
            </w:r>
          </w:p>
        </w:tc>
        <w:tc>
          <w:tcPr>
            <w:tcW w:w="0" w:type="dxa"/>
            <w:vAlign w:val="bottom"/>
          </w:tcPr>
          <w:p>
            <w:pPr>
              <w:spacing w:after="0"/>
              <w:rPr>
                <w:sz w:val="1"/>
                <w:szCs w:val="1"/>
                <w:color w:val="auto"/>
              </w:rPr>
            </w:pPr>
          </w:p>
        </w:tc>
      </w:tr>
      <w:tr>
        <w:trPr>
          <w:trHeight w:val="133"/>
        </w:trPr>
        <w:tc>
          <w:tcPr>
            <w:tcW w:w="6060" w:type="dxa"/>
            <w:vAlign w:val="bottom"/>
            <w:gridSpan w:val="2"/>
          </w:tcPr>
          <w:p>
            <w:pPr>
              <w:spacing w:after="0" w:line="133" w:lineRule="exact"/>
              <w:rPr>
                <w:sz w:val="20"/>
                <w:szCs w:val="20"/>
                <w:color w:val="auto"/>
              </w:rPr>
            </w:pPr>
            <w:r>
              <w:rPr>
                <w:rFonts w:ascii="Arial" w:cs="Arial" w:eastAsia="Arial" w:hAnsi="Arial"/>
                <w:sz w:val="12"/>
                <w:szCs w:val="12"/>
                <w:color w:val="auto"/>
              </w:rPr>
              <w:t>Weighted average shares outstanding</w:t>
            </w:r>
          </w:p>
        </w:tc>
        <w:tc>
          <w:tcPr>
            <w:tcW w:w="2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rPr>
              <w:t>29,080</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rPr>
              <w:t>29,037</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rPr>
              <w:t>29,077</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rPr>
              <w:t>29,032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Dilutive impact of options and awards outstanding</w:t>
            </w:r>
          </w:p>
        </w:tc>
        <w:tc>
          <w:tcPr>
            <w:tcW w:w="2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33"/>
        </w:trPr>
        <w:tc>
          <w:tcPr>
            <w:tcW w:w="6060" w:type="dxa"/>
            <w:vAlign w:val="bottom"/>
            <w:gridSpan w:val="2"/>
          </w:tcPr>
          <w:p>
            <w:pPr>
              <w:spacing w:after="0" w:line="133" w:lineRule="exact"/>
              <w:rPr>
                <w:sz w:val="20"/>
                <w:szCs w:val="20"/>
                <w:color w:val="auto"/>
              </w:rPr>
            </w:pPr>
            <w:r>
              <w:rPr>
                <w:rFonts w:ascii="Arial" w:cs="Arial" w:eastAsia="Arial" w:hAnsi="Arial"/>
                <w:sz w:val="12"/>
                <w:szCs w:val="12"/>
                <w:color w:val="auto"/>
              </w:rPr>
              <w:t>Weighted average shares and potential dilutive shares outstanding</w:t>
            </w: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140"/>
              <w:spacing w:after="0" w:line="133" w:lineRule="exact"/>
              <w:rPr>
                <w:sz w:val="20"/>
                <w:szCs w:val="20"/>
                <w:color w:val="auto"/>
              </w:rPr>
            </w:pPr>
            <w:r>
              <w:rPr>
                <w:rFonts w:ascii="Arial" w:cs="Arial" w:eastAsia="Arial" w:hAnsi="Arial"/>
                <w:sz w:val="12"/>
                <w:szCs w:val="12"/>
                <w:color w:val="auto"/>
              </w:rPr>
              <w:t>29,091</w:t>
            </w:r>
          </w:p>
        </w:tc>
        <w:tc>
          <w:tcPr>
            <w:tcW w:w="100" w:type="dxa"/>
            <w:vAlign w:val="bottom"/>
          </w:tcPr>
          <w:p>
            <w:pPr>
              <w:spacing w:after="0"/>
              <w:rPr>
                <w:sz w:val="11"/>
                <w:szCs w:val="11"/>
                <w:color w:val="auto"/>
              </w:rPr>
            </w:pPr>
          </w:p>
        </w:tc>
        <w:tc>
          <w:tcPr>
            <w:tcW w:w="720" w:type="dxa"/>
            <w:vAlign w:val="bottom"/>
          </w:tcPr>
          <w:p>
            <w:pPr>
              <w:jc w:val="right"/>
              <w:ind w:right="140"/>
              <w:spacing w:after="0" w:line="133" w:lineRule="exact"/>
              <w:rPr>
                <w:sz w:val="20"/>
                <w:szCs w:val="20"/>
                <w:color w:val="auto"/>
              </w:rPr>
            </w:pPr>
            <w:r>
              <w:rPr>
                <w:rFonts w:ascii="Arial" w:cs="Arial" w:eastAsia="Arial" w:hAnsi="Arial"/>
                <w:sz w:val="12"/>
                <w:szCs w:val="12"/>
                <w:color w:val="auto"/>
              </w:rPr>
              <w:t>29,046</w:t>
            </w:r>
          </w:p>
        </w:tc>
        <w:tc>
          <w:tcPr>
            <w:tcW w:w="100" w:type="dxa"/>
            <w:vAlign w:val="bottom"/>
          </w:tcPr>
          <w:p>
            <w:pPr>
              <w:spacing w:after="0"/>
              <w:rPr>
                <w:sz w:val="11"/>
                <w:szCs w:val="11"/>
                <w:color w:val="auto"/>
              </w:rPr>
            </w:pPr>
          </w:p>
        </w:tc>
        <w:tc>
          <w:tcPr>
            <w:tcW w:w="720" w:type="dxa"/>
            <w:vAlign w:val="bottom"/>
          </w:tcPr>
          <w:p>
            <w:pPr>
              <w:jc w:val="right"/>
              <w:ind w:right="140"/>
              <w:spacing w:after="0" w:line="133" w:lineRule="exact"/>
              <w:rPr>
                <w:sz w:val="20"/>
                <w:szCs w:val="20"/>
                <w:color w:val="auto"/>
              </w:rPr>
            </w:pPr>
            <w:r>
              <w:rPr>
                <w:rFonts w:ascii="Arial" w:cs="Arial" w:eastAsia="Arial" w:hAnsi="Arial"/>
                <w:sz w:val="12"/>
                <w:szCs w:val="12"/>
                <w:color w:val="auto"/>
              </w:rPr>
              <w:t>29,088</w:t>
            </w:r>
          </w:p>
        </w:tc>
        <w:tc>
          <w:tcPr>
            <w:tcW w:w="100" w:type="dxa"/>
            <w:vAlign w:val="bottom"/>
          </w:tcPr>
          <w:p>
            <w:pPr>
              <w:spacing w:after="0"/>
              <w:rPr>
                <w:sz w:val="11"/>
                <w:szCs w:val="11"/>
                <w:color w:val="auto"/>
              </w:rPr>
            </w:pPr>
          </w:p>
        </w:tc>
        <w:tc>
          <w:tcPr>
            <w:tcW w:w="760" w:type="dxa"/>
            <w:vAlign w:val="bottom"/>
          </w:tcPr>
          <w:p>
            <w:pPr>
              <w:jc w:val="right"/>
              <w:ind w:right="180"/>
              <w:spacing w:after="0" w:line="133" w:lineRule="exact"/>
              <w:rPr>
                <w:sz w:val="20"/>
                <w:szCs w:val="20"/>
                <w:color w:val="auto"/>
              </w:rPr>
            </w:pPr>
            <w:r>
              <w:rPr>
                <w:rFonts w:ascii="Arial" w:cs="Arial" w:eastAsia="Arial" w:hAnsi="Arial"/>
                <w:sz w:val="12"/>
                <w:szCs w:val="12"/>
                <w:color w:val="auto"/>
              </w:rPr>
              <w:t>29,041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income (loss) per share - assuming dilution</w:t>
            </w:r>
          </w:p>
        </w:tc>
        <w:tc>
          <w:tcPr>
            <w:tcW w:w="2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0.02</w:t>
            </w: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(0.36)</w:t>
            </w: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(0.02)</w:t>
            </w: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At the end of the second quarters of Fiscal 2010 and Fiscal 2009, there were options outstanding to purchase 951,615 shares and 1,018,732 shares, respectively, of common stock at an average price of $28.18 and $27.30, respectively, which were not included in the computation of diluted income per share because they are considered anti-dilutive under the treasury stock method per ASC 260.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80" w:type="dxa"/>
            <w:vAlign w:val="bottom"/>
          </w:tcPr>
          <w:p>
            <w:pPr>
              <w:spacing w:after="0"/>
              <w:rPr>
                <w:sz w:val="20"/>
                <w:szCs w:val="20"/>
                <w:color w:val="auto"/>
              </w:rPr>
            </w:pPr>
            <w:r>
              <w:rPr>
                <w:rFonts w:ascii="Arial" w:cs="Arial" w:eastAsia="Arial" w:hAnsi="Arial"/>
                <w:sz w:val="12"/>
                <w:szCs w:val="12"/>
                <w:b w:val="1"/>
                <w:bCs w:val="1"/>
                <w:color w:val="auto"/>
              </w:rPr>
              <w:t>NOTE 13: Comprehensive Income</w:t>
            </w:r>
          </w:p>
        </w:tc>
        <w:tc>
          <w:tcPr>
            <w:tcW w:w="2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315"/>
        </w:trPr>
        <w:tc>
          <w:tcPr>
            <w:tcW w:w="5580" w:type="dxa"/>
            <w:vAlign w:val="bottom"/>
          </w:tcPr>
          <w:p>
            <w:pPr>
              <w:spacing w:after="0"/>
              <w:rPr>
                <w:sz w:val="20"/>
                <w:szCs w:val="20"/>
                <w:color w:val="auto"/>
              </w:rPr>
            </w:pPr>
            <w:r>
              <w:rPr>
                <w:rFonts w:ascii="Arial" w:cs="Arial" w:eastAsia="Arial" w:hAnsi="Arial"/>
                <w:sz w:val="12"/>
                <w:szCs w:val="12"/>
                <w:color w:val="auto"/>
              </w:rPr>
              <w:t>Comprehensive income, net of tax, consists of:</w:t>
            </w: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1"/>
        </w:trPr>
        <w:tc>
          <w:tcPr>
            <w:tcW w:w="55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Quarter Ended</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Six Months Ended</w:t>
            </w:r>
          </w:p>
        </w:tc>
      </w:tr>
      <w:tr>
        <w:trPr>
          <w:trHeight w:val="120"/>
        </w:trPr>
        <w:tc>
          <w:tcPr>
            <w:tcW w:w="55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60" w:type="dxa"/>
            <w:vAlign w:val="bottom"/>
            <w:gridSpan w:val="2"/>
          </w:tcPr>
          <w:p>
            <w:pPr>
              <w:jc w:val="right"/>
              <w:spacing w:after="0" w:line="121" w:lineRule="exact"/>
              <w:rPr>
                <w:sz w:val="20"/>
                <w:szCs w:val="20"/>
                <w:color w:val="auto"/>
              </w:rPr>
            </w:pPr>
            <w:r>
              <w:rPr>
                <w:rFonts w:ascii="Arial" w:cs="Arial" w:eastAsia="Arial" w:hAnsi="Arial"/>
                <w:sz w:val="12"/>
                <w:szCs w:val="12"/>
                <w:b w:val="1"/>
                <w:bCs w:val="1"/>
                <w:color w:val="auto"/>
                <w:w w:val="98"/>
              </w:rPr>
              <w:t>February 27,</w:t>
            </w:r>
          </w:p>
        </w:tc>
        <w:tc>
          <w:tcPr>
            <w:tcW w:w="800" w:type="dxa"/>
            <w:vAlign w:val="bottom"/>
            <w:gridSpan w:val="2"/>
          </w:tcPr>
          <w:p>
            <w:pPr>
              <w:jc w:val="right"/>
              <w:spacing w:after="0" w:line="121" w:lineRule="exact"/>
              <w:rPr>
                <w:sz w:val="20"/>
                <w:szCs w:val="20"/>
                <w:color w:val="auto"/>
              </w:rPr>
            </w:pPr>
            <w:r>
              <w:rPr>
                <w:rFonts w:ascii="Arial" w:cs="Arial" w:eastAsia="Arial" w:hAnsi="Arial"/>
                <w:sz w:val="12"/>
                <w:szCs w:val="12"/>
                <w:b w:val="1"/>
                <w:bCs w:val="1"/>
                <w:color w:val="auto"/>
              </w:rPr>
              <w:t>February 28,</w:t>
            </w:r>
          </w:p>
        </w:tc>
        <w:tc>
          <w:tcPr>
            <w:tcW w:w="780" w:type="dxa"/>
            <w:vAlign w:val="bottom"/>
            <w:gridSpan w:val="2"/>
          </w:tcPr>
          <w:p>
            <w:pPr>
              <w:jc w:val="right"/>
              <w:spacing w:after="0" w:line="121" w:lineRule="exact"/>
              <w:rPr>
                <w:sz w:val="20"/>
                <w:szCs w:val="20"/>
                <w:color w:val="auto"/>
              </w:rPr>
            </w:pPr>
            <w:r>
              <w:rPr>
                <w:rFonts w:ascii="Arial" w:cs="Arial" w:eastAsia="Arial" w:hAnsi="Arial"/>
                <w:sz w:val="12"/>
                <w:szCs w:val="12"/>
                <w:b w:val="1"/>
                <w:bCs w:val="1"/>
                <w:color w:val="auto"/>
              </w:rPr>
              <w:t>February 27,</w:t>
            </w:r>
          </w:p>
        </w:tc>
        <w:tc>
          <w:tcPr>
            <w:tcW w:w="840" w:type="dxa"/>
            <w:vAlign w:val="bottom"/>
            <w:gridSpan w:val="2"/>
          </w:tcPr>
          <w:p>
            <w:pPr>
              <w:jc w:val="right"/>
              <w:ind w:right="20"/>
              <w:spacing w:after="0" w:line="121" w:lineRule="exact"/>
              <w:rPr>
                <w:sz w:val="20"/>
                <w:szCs w:val="20"/>
                <w:color w:val="auto"/>
              </w:rPr>
            </w:pPr>
            <w:r>
              <w:rPr>
                <w:rFonts w:ascii="Arial" w:cs="Arial" w:eastAsia="Arial" w:hAnsi="Arial"/>
                <w:sz w:val="12"/>
                <w:szCs w:val="12"/>
                <w:b w:val="1"/>
                <w:bCs w:val="1"/>
                <w:color w:val="auto"/>
              </w:rPr>
              <w:t>February 28,</w:t>
            </w:r>
          </w:p>
        </w:tc>
      </w:tr>
      <w:tr>
        <w:trPr>
          <w:trHeight w:val="157"/>
        </w:trPr>
        <w:tc>
          <w:tcPr>
            <w:tcW w:w="5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2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2010</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2009</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2010</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2009</w:t>
            </w:r>
          </w:p>
        </w:tc>
      </w:tr>
      <w:tr>
        <w:trPr>
          <w:trHeight w:val="133"/>
        </w:trPr>
        <w:tc>
          <w:tcPr>
            <w:tcW w:w="55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income (loss)</w:t>
            </w:r>
          </w:p>
        </w:tc>
        <w:tc>
          <w:tcPr>
            <w:tcW w:w="2900" w:type="dxa"/>
            <w:vAlign w:val="bottom"/>
            <w:gridSpan w:val="2"/>
            <w:shd w:val="clear" w:color="auto" w:fill="CCEEFF"/>
          </w:tcPr>
          <w:p>
            <w:pPr>
              <w:jc w:val="right"/>
              <w:ind w:right="65"/>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706</w:t>
            </w:r>
          </w:p>
        </w:tc>
        <w:tc>
          <w:tcPr>
            <w:tcW w:w="1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(10,381)</w:t>
            </w:r>
          </w:p>
        </w:tc>
        <w:tc>
          <w:tcPr>
            <w:tcW w:w="20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(638)</w:t>
            </w:r>
          </w:p>
        </w:tc>
        <w:tc>
          <w:tcPr>
            <w:tcW w:w="1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(19,977)</w:t>
            </w:r>
          </w:p>
        </w:tc>
      </w:tr>
      <w:tr>
        <w:trPr>
          <w:trHeight w:val="144"/>
        </w:trPr>
        <w:tc>
          <w:tcPr>
            <w:tcW w:w="5580" w:type="dxa"/>
            <w:vAlign w:val="bottom"/>
          </w:tcPr>
          <w:p>
            <w:pPr>
              <w:spacing w:after="0"/>
              <w:rPr>
                <w:sz w:val="20"/>
                <w:szCs w:val="20"/>
                <w:color w:val="auto"/>
              </w:rPr>
            </w:pPr>
            <w:r>
              <w:rPr>
                <w:rFonts w:ascii="Arial" w:cs="Arial" w:eastAsia="Arial" w:hAnsi="Arial"/>
                <w:sz w:val="12"/>
                <w:szCs w:val="12"/>
                <w:color w:val="auto"/>
              </w:rPr>
              <w:t>Change in temporary impairment of investments, net of tax</w:t>
            </w: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(36)</w:t>
            </w:r>
          </w:p>
        </w:tc>
        <w:tc>
          <w:tcPr>
            <w:tcW w:w="180" w:type="dxa"/>
            <w:vAlign w:val="bottom"/>
          </w:tcPr>
          <w:p>
            <w:pPr>
              <w:spacing w:after="0"/>
              <w:rPr>
                <w:sz w:val="12"/>
                <w:szCs w:val="12"/>
                <w:color w:val="auto"/>
              </w:rPr>
            </w:pPr>
          </w:p>
        </w:tc>
        <w:tc>
          <w:tcPr>
            <w:tcW w:w="620" w:type="dxa"/>
            <w:vAlign w:val="bottom"/>
          </w:tcPr>
          <w:p>
            <w:pPr>
              <w:jc w:val="right"/>
              <w:ind w:right="120"/>
              <w:spacing w:after="0"/>
              <w:rPr>
                <w:sz w:val="20"/>
                <w:szCs w:val="20"/>
                <w:color w:val="auto"/>
              </w:rPr>
            </w:pPr>
            <w:r>
              <w:rPr>
                <w:rFonts w:ascii="Arial" w:cs="Arial" w:eastAsia="Arial" w:hAnsi="Arial"/>
                <w:sz w:val="12"/>
                <w:szCs w:val="12"/>
                <w:color w:val="auto"/>
              </w:rPr>
              <w:t>388</w:t>
            </w:r>
          </w:p>
        </w:tc>
        <w:tc>
          <w:tcPr>
            <w:tcW w:w="200" w:type="dxa"/>
            <w:vAlign w:val="bottom"/>
          </w:tcPr>
          <w:p>
            <w:pPr>
              <w:spacing w:after="0"/>
              <w:rPr>
                <w:sz w:val="12"/>
                <w:szCs w:val="12"/>
                <w:color w:val="auto"/>
              </w:rPr>
            </w:pPr>
          </w:p>
        </w:tc>
        <w:tc>
          <w:tcPr>
            <w:tcW w:w="580" w:type="dxa"/>
            <w:vAlign w:val="bottom"/>
          </w:tcPr>
          <w:p>
            <w:pPr>
              <w:jc w:val="right"/>
              <w:ind w:right="100"/>
              <w:spacing w:after="0"/>
              <w:rPr>
                <w:sz w:val="20"/>
                <w:szCs w:val="20"/>
                <w:color w:val="auto"/>
              </w:rPr>
            </w:pPr>
            <w:r>
              <w:rPr>
                <w:rFonts w:ascii="Arial" w:cs="Arial" w:eastAsia="Arial" w:hAnsi="Arial"/>
                <w:sz w:val="12"/>
                <w:szCs w:val="12"/>
                <w:color w:val="auto"/>
              </w:rPr>
              <w:t>97</w:t>
            </w:r>
          </w:p>
        </w:tc>
        <w:tc>
          <w:tcPr>
            <w:tcW w:w="180" w:type="dxa"/>
            <w:vAlign w:val="bottom"/>
          </w:tcPr>
          <w:p>
            <w:pPr>
              <w:spacing w:after="0"/>
              <w:rPr>
                <w:sz w:val="12"/>
                <w:szCs w:val="12"/>
                <w:color w:val="auto"/>
              </w:rPr>
            </w:pPr>
          </w:p>
        </w:tc>
        <w:tc>
          <w:tcPr>
            <w:tcW w:w="660" w:type="dxa"/>
            <w:vAlign w:val="bottom"/>
          </w:tcPr>
          <w:p>
            <w:pPr>
              <w:jc w:val="right"/>
              <w:ind w:right="160"/>
              <w:spacing w:after="0"/>
              <w:rPr>
                <w:sz w:val="20"/>
                <w:szCs w:val="20"/>
                <w:color w:val="auto"/>
              </w:rPr>
            </w:pPr>
            <w:r>
              <w:rPr>
                <w:rFonts w:ascii="Arial" w:cs="Arial" w:eastAsia="Arial" w:hAnsi="Arial"/>
                <w:sz w:val="12"/>
                <w:szCs w:val="12"/>
                <w:color w:val="auto"/>
              </w:rPr>
              <w:t>851</w:t>
            </w: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prior service credit</w:t>
            </w:r>
          </w:p>
        </w:tc>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(656)</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(1,289)</w:t>
            </w:r>
          </w:p>
        </w:tc>
      </w:tr>
      <w:tr>
        <w:trPr>
          <w:trHeight w:val="144"/>
        </w:trPr>
        <w:tc>
          <w:tcPr>
            <w:tcW w:w="5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Amortization of actuarial loss</w:t>
            </w:r>
          </w:p>
        </w:tc>
        <w:tc>
          <w:tcPr>
            <w:tcW w:w="27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137</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110</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274</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216</w:t>
            </w:r>
          </w:p>
        </w:tc>
      </w:tr>
      <w:tr>
        <w:trPr>
          <w:trHeight w:val="140"/>
        </w:trPr>
        <w:tc>
          <w:tcPr>
            <w:tcW w:w="55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Comprehensive income (loss)</w:t>
            </w:r>
          </w:p>
        </w:tc>
        <w:tc>
          <w:tcPr>
            <w:tcW w:w="27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155</w:t>
            </w:r>
          </w:p>
        </w:tc>
        <w:tc>
          <w:tcPr>
            <w:tcW w:w="1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(10,539)</w:t>
            </w:r>
          </w:p>
        </w:tc>
        <w:tc>
          <w:tcPr>
            <w:tcW w:w="20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(1,571)</w:t>
            </w:r>
          </w:p>
        </w:tc>
        <w:tc>
          <w:tcPr>
            <w:tcW w:w="1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(20,199)</w:t>
            </w: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Subsequent Event</w:t>
      </w:r>
    </w:p>
    <w:p>
      <w:pPr>
        <w:spacing w:after="0" w:line="181"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We filed a shelf registration statement on Form S-3 (the Registration Statement) which was declared effective by the SEC on March 31, 2010. We have the ability to offer to sell up to $35 million of our common stock in one or more offerings pursuant to the Registration Statement. Currently, there are no plans to offer and sell the common stock under the Registration Statement; however, we believe that it will provide us with the flexibility to act on an expedited basis to access another source of liquidity in addition to the alternatives already in place. The terms of any offering under the Registration Statement will be established at the time of such offering.</w:t>
      </w:r>
    </w:p>
    <w:p>
      <w:pPr>
        <w:spacing w:after="0" w:line="132" w:lineRule="exact"/>
        <w:rPr>
          <w:sz w:val="20"/>
          <w:szCs w:val="20"/>
          <w:color w:val="auto"/>
        </w:rPr>
      </w:pPr>
    </w:p>
    <w:p>
      <w:pPr>
        <w:ind w:right="560"/>
        <w:spacing w:after="0" w:line="276" w:lineRule="auto"/>
        <w:rPr>
          <w:sz w:val="20"/>
          <w:szCs w:val="20"/>
          <w:color w:val="auto"/>
        </w:rPr>
      </w:pPr>
      <w:r>
        <w:rPr>
          <w:rFonts w:ascii="Arial" w:cs="Arial" w:eastAsia="Arial" w:hAnsi="Arial"/>
          <w:sz w:val="12"/>
          <w:szCs w:val="12"/>
          <w:color w:val="auto"/>
        </w:rPr>
        <w:t>We evaluated all events or transactions occurring between the balance sheet date and the date of issuance of the financial statements that would require recognition or disclosure in the financial statements. There were no material subsequent events, except as described above.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It is suggested that this management's discussion be read in conjunction with the Management's Discussion and Analysis included in our Annual Report to Shareholders for the year ended August 29, 2009.</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Information</w:t>
      </w:r>
    </w:p>
    <w:p>
      <w:pPr>
        <w:spacing w:after="0" w:line="181" w:lineRule="exact"/>
        <w:rPr>
          <w:sz w:val="20"/>
          <w:szCs w:val="20"/>
          <w:color w:val="auto"/>
        </w:rPr>
      </w:pPr>
    </w:p>
    <w:p>
      <w:pPr>
        <w:ind w:right="40"/>
        <w:spacing w:after="0" w:line="305" w:lineRule="auto"/>
        <w:rPr>
          <w:sz w:val="20"/>
          <w:szCs w:val="20"/>
          <w:color w:val="auto"/>
        </w:rPr>
      </w:pPr>
      <w:r>
        <w:rPr>
          <w:rFonts w:ascii="Arial" w:cs="Arial" w:eastAsia="Arial" w:hAnsi="Arial"/>
          <w:sz w:val="10"/>
          <w:szCs w:val="10"/>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 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and other factors which may be disclosed throughout this report. Although we believe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that the expectations reflected in the “forward-looking statements” </w:t>
      </w:r>
      <w:r>
        <w:rPr>
          <w:rFonts w:ascii="Arial" w:cs="Arial" w:eastAsia="Arial" w:hAnsi="Arial"/>
          <w:sz w:val="13"/>
          <w:szCs w:val="13"/>
          <w:color w:val="auto"/>
        </w:rPr>
        <w:t>are reasonable, we cannot guarantee future results, levels of activity, performance or achievements. Undue reliance should not be placed on</w:t>
      </w:r>
    </w:p>
    <w:p>
      <w:pPr>
        <w:spacing w:after="0" w:line="28" w:lineRule="exact"/>
        <w:rPr>
          <w:sz w:val="20"/>
          <w:szCs w:val="20"/>
          <w:color w:val="auto"/>
        </w:rPr>
      </w:pPr>
    </w:p>
    <w:p>
      <w:pPr>
        <w:ind w:right="420"/>
        <w:spacing w:after="0" w:line="230" w:lineRule="auto"/>
        <w:rPr>
          <w:sz w:val="20"/>
          <w:szCs w:val="20"/>
          <w:color w:val="auto"/>
        </w:rPr>
      </w:pPr>
      <w:r>
        <w:rPr>
          <w:rFonts w:ascii="Arial" w:cs="Arial" w:eastAsia="Arial" w:hAnsi="Arial"/>
          <w:sz w:val="14"/>
          <w:szCs w:val="14"/>
          <w:color w:val="auto"/>
        </w:rPr>
        <w:t xml:space="preserve">these </w:t>
      </w:r>
      <w:r>
        <w:rPr>
          <w:rFonts w:ascii="Arial" w:cs="Arial" w:eastAsia="Arial" w:hAnsi="Arial"/>
          <w:sz w:val="12"/>
          <w:szCs w:val="12"/>
          <w:color w:val="auto"/>
        </w:rPr>
        <w:t>“forward-looking statements,” which speak only as of the date of this report. We undertake no obligation to publicly update or revise any “forward-looking statements” whether as a result of new information, future events or</w:t>
      </w:r>
      <w:r>
        <w:rPr>
          <w:rFonts w:ascii="Arial" w:cs="Arial" w:eastAsia="Arial" w:hAnsi="Arial"/>
          <w:sz w:val="14"/>
          <w:szCs w:val="14"/>
          <w:color w:val="auto"/>
        </w:rPr>
        <w:t xml:space="preserve"> </w:t>
      </w:r>
      <w:r>
        <w:rPr>
          <w:rFonts w:ascii="Arial" w:cs="Arial" w:eastAsia="Arial" w:hAnsi="Arial"/>
          <w:sz w:val="12"/>
          <w:szCs w:val="12"/>
          <w:color w:val="auto"/>
        </w:rPr>
        <w:t>otherwise, except as required by law or the rules of the New York Stock Exchange.</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Executive Overview</w:t>
      </w:r>
    </w:p>
    <w:p>
      <w:pPr>
        <w:spacing w:after="0" w:line="15"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Winnebago Industries, Inc. is the leading U.S. manufacturer of motor homes with a proud history of manufacturing recreation vehicles for more than 50 years. Our strategy is to manufacture quality motor homes in a profitable manner. We produce all of our motor homes in highly vertically integrated manufacturing facilities in the state of Iowa. We primarily distribute our products through independent dealers throughout the United States and Canada, who then retail the products to the end consumer. In Calendar 2009, we led the industry in combined retail unit market share of Class A and Class C motor homes in the U.S., a position that we have held for the past nine calendar years. In Calendar 2009, we held the number three position in retail unit market share for Class B motor homes.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180" w:type="dxa"/>
            <w:vAlign w:val="bottom"/>
          </w:tcPr>
          <w:p>
            <w:pPr>
              <w:spacing w:after="0"/>
              <w:rPr>
                <w:sz w:val="20"/>
                <w:szCs w:val="20"/>
                <w:color w:val="auto"/>
              </w:rPr>
            </w:pPr>
            <w:r>
              <w:rPr>
                <w:rFonts w:ascii="Arial" w:cs="Arial" w:eastAsia="Arial" w:hAnsi="Arial"/>
                <w:sz w:val="12"/>
                <w:szCs w:val="12"/>
                <w:color w:val="auto"/>
              </w:rPr>
              <w:t>Our retail market share, as reported by Statistical Surveys, Inc. (Statistical Surveys), for the past three calendar years is as follows:</w:t>
            </w: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61"/>
        </w:trPr>
        <w:tc>
          <w:tcPr>
            <w:tcW w:w="91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Calendar Year</w:t>
            </w:r>
          </w:p>
        </w:tc>
        <w:tc>
          <w:tcPr>
            <w:tcW w:w="640" w:type="dxa"/>
            <w:vAlign w:val="bottom"/>
            <w:tcBorders>
              <w:bottom w:val="single" w:sz="8" w:color="auto"/>
            </w:tcBorders>
          </w:tcPr>
          <w:p>
            <w:pPr>
              <w:spacing w:after="0"/>
              <w:rPr>
                <w:sz w:val="22"/>
                <w:szCs w:val="22"/>
                <w:color w:val="auto"/>
              </w:rPr>
            </w:pPr>
          </w:p>
        </w:tc>
      </w:tr>
      <w:tr>
        <w:trPr>
          <w:trHeight w:val="133"/>
        </w:trPr>
        <w:tc>
          <w:tcPr>
            <w:tcW w:w="9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260"/>
              <w:spacing w:after="0" w:line="133" w:lineRule="exact"/>
              <w:rPr>
                <w:sz w:val="20"/>
                <w:szCs w:val="20"/>
                <w:color w:val="auto"/>
              </w:rPr>
            </w:pPr>
            <w:r>
              <w:rPr>
                <w:rFonts w:ascii="Arial" w:cs="Arial" w:eastAsia="Arial" w:hAnsi="Arial"/>
                <w:sz w:val="12"/>
                <w:szCs w:val="12"/>
                <w:b w:val="1"/>
                <w:bCs w:val="1"/>
                <w:color w:val="auto"/>
              </w:rPr>
              <w:t>2009</w:t>
            </w:r>
          </w:p>
        </w:tc>
        <w:tc>
          <w:tcPr>
            <w:tcW w:w="980" w:type="dxa"/>
            <w:vAlign w:val="bottom"/>
            <w:tcBorders>
              <w:bottom w:val="single" w:sz="8" w:color="auto"/>
            </w:tcBorders>
          </w:tcPr>
          <w:p>
            <w:pPr>
              <w:jc w:val="right"/>
              <w:ind w:right="340"/>
              <w:spacing w:after="0" w:line="133" w:lineRule="exact"/>
              <w:rPr>
                <w:sz w:val="20"/>
                <w:szCs w:val="20"/>
                <w:color w:val="auto"/>
              </w:rPr>
            </w:pPr>
            <w:r>
              <w:rPr>
                <w:rFonts w:ascii="Arial" w:cs="Arial" w:eastAsia="Arial" w:hAnsi="Arial"/>
                <w:sz w:val="12"/>
                <w:szCs w:val="12"/>
                <w:b w:val="1"/>
                <w:bCs w:val="1"/>
                <w:color w:val="auto"/>
              </w:rPr>
              <w:t>2008</w:t>
            </w:r>
          </w:p>
        </w:tc>
        <w:tc>
          <w:tcPr>
            <w:tcW w:w="64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b w:val="1"/>
                <w:bCs w:val="1"/>
                <w:color w:val="auto"/>
              </w:rPr>
              <w:t>2007</w:t>
            </w:r>
          </w:p>
        </w:tc>
      </w:tr>
      <w:tr>
        <w:trPr>
          <w:trHeight w:val="133"/>
        </w:trPr>
        <w:tc>
          <w:tcPr>
            <w:tcW w:w="9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Class A gas</w:t>
            </w:r>
          </w:p>
        </w:tc>
        <w:tc>
          <w:tcPr>
            <w:tcW w:w="680" w:type="dxa"/>
            <w:vAlign w:val="bottom"/>
            <w:shd w:val="clear" w:color="auto" w:fill="CCEEFF"/>
          </w:tcPr>
          <w:p>
            <w:pPr>
              <w:ind w:left="260"/>
              <w:spacing w:after="0" w:line="133" w:lineRule="exact"/>
              <w:rPr>
                <w:sz w:val="20"/>
                <w:szCs w:val="20"/>
                <w:color w:val="auto"/>
              </w:rPr>
            </w:pPr>
            <w:r>
              <w:rPr>
                <w:rFonts w:ascii="Arial" w:cs="Arial" w:eastAsia="Arial" w:hAnsi="Arial"/>
                <w:sz w:val="12"/>
                <w:szCs w:val="12"/>
                <w:color w:val="auto"/>
              </w:rPr>
              <w:t>23.0%</w:t>
            </w:r>
          </w:p>
        </w:tc>
        <w:tc>
          <w:tcPr>
            <w:tcW w:w="980" w:type="dxa"/>
            <w:vAlign w:val="bottom"/>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23.3%</w:t>
            </w:r>
          </w:p>
        </w:tc>
        <w:tc>
          <w:tcPr>
            <w:tcW w:w="64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22.1%</w:t>
            </w:r>
          </w:p>
        </w:tc>
      </w:tr>
      <w:tr>
        <w:trPr>
          <w:trHeight w:val="144"/>
        </w:trPr>
        <w:tc>
          <w:tcPr>
            <w:tcW w:w="9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Class A diesel</w:t>
            </w: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11.2%</w:t>
            </w: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8.1%</w:t>
            </w: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9.0%</w:t>
            </w:r>
          </w:p>
        </w:tc>
      </w:tr>
      <w:tr>
        <w:trPr>
          <w:trHeight w:val="133"/>
        </w:trPr>
        <w:tc>
          <w:tcPr>
            <w:tcW w:w="9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Class A</w:t>
            </w:r>
          </w:p>
        </w:tc>
        <w:tc>
          <w:tcPr>
            <w:tcW w:w="680" w:type="dxa"/>
            <w:vAlign w:val="bottom"/>
            <w:shd w:val="clear" w:color="auto" w:fill="CCEEFF"/>
          </w:tcPr>
          <w:p>
            <w:pPr>
              <w:ind w:left="260"/>
              <w:spacing w:after="0" w:line="133" w:lineRule="exact"/>
              <w:rPr>
                <w:sz w:val="20"/>
                <w:szCs w:val="20"/>
                <w:color w:val="auto"/>
              </w:rPr>
            </w:pPr>
            <w:r>
              <w:rPr>
                <w:rFonts w:ascii="Arial" w:cs="Arial" w:eastAsia="Arial" w:hAnsi="Arial"/>
                <w:sz w:val="12"/>
                <w:szCs w:val="12"/>
                <w:color w:val="auto"/>
              </w:rPr>
              <w:t>16.6%</w:t>
            </w:r>
          </w:p>
        </w:tc>
        <w:tc>
          <w:tcPr>
            <w:tcW w:w="980" w:type="dxa"/>
            <w:vAlign w:val="bottom"/>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15.4%</w:t>
            </w:r>
          </w:p>
        </w:tc>
        <w:tc>
          <w:tcPr>
            <w:tcW w:w="64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15.3%</w:t>
            </w:r>
          </w:p>
        </w:tc>
      </w:tr>
      <w:tr>
        <w:trPr>
          <w:trHeight w:val="144"/>
        </w:trPr>
        <w:tc>
          <w:tcPr>
            <w:tcW w:w="9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Class C</w:t>
            </w: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22.9%</w:t>
            </w: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23.0%</w:t>
            </w: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24.0%</w:t>
            </w:r>
          </w:p>
        </w:tc>
      </w:tr>
      <w:tr>
        <w:trPr>
          <w:trHeight w:val="140"/>
        </w:trPr>
        <w:tc>
          <w:tcPr>
            <w:tcW w:w="91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Class A and C</w:t>
            </w:r>
          </w:p>
        </w:tc>
        <w:tc>
          <w:tcPr>
            <w:tcW w:w="680" w:type="dxa"/>
            <w:vAlign w:val="bottom"/>
            <w:tcBorders>
              <w:bottom w:val="single" w:sz="8" w:color="auto"/>
            </w:tcBorders>
            <w:shd w:val="clear" w:color="auto" w:fill="CCEEFF"/>
          </w:tcPr>
          <w:p>
            <w:pPr>
              <w:ind w:left="260"/>
              <w:spacing w:after="0" w:line="133" w:lineRule="exact"/>
              <w:rPr>
                <w:sz w:val="20"/>
                <w:szCs w:val="20"/>
                <w:color w:val="auto"/>
              </w:rPr>
            </w:pPr>
            <w:r>
              <w:rPr>
                <w:rFonts w:ascii="Arial" w:cs="Arial" w:eastAsia="Arial" w:hAnsi="Arial"/>
                <w:sz w:val="12"/>
                <w:szCs w:val="12"/>
                <w:color w:val="auto"/>
              </w:rPr>
              <w:t>19.2%</w:t>
            </w:r>
          </w:p>
        </w:tc>
        <w:tc>
          <w:tcPr>
            <w:tcW w:w="980" w:type="dxa"/>
            <w:vAlign w:val="bottom"/>
            <w:tcBorders>
              <w:bottom w:val="single" w:sz="8" w:color="auto"/>
            </w:tcBorders>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18.5%</w:t>
            </w:r>
          </w:p>
        </w:tc>
        <w:tc>
          <w:tcPr>
            <w:tcW w:w="640" w:type="dxa"/>
            <w:vAlign w:val="bottom"/>
            <w:tcBorders>
              <w:bottom w:val="single" w:sz="8" w:color="auto"/>
            </w:tcBorders>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18.7%</w:t>
            </w:r>
          </w:p>
        </w:tc>
      </w:tr>
      <w:tr>
        <w:trPr>
          <w:trHeight w:val="144"/>
        </w:trPr>
        <w:tc>
          <w:tcPr>
            <w:tcW w:w="9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1"/>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Class B</w:t>
            </w:r>
          </w:p>
        </w:tc>
        <w:tc>
          <w:tcPr>
            <w:tcW w:w="6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17.9%</w:t>
            </w:r>
          </w:p>
        </w:tc>
        <w:tc>
          <w:tcPr>
            <w:tcW w:w="9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3.7%</w:t>
            </w:r>
          </w:p>
        </w:tc>
        <w:tc>
          <w:tcPr>
            <w:tcW w:w="6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bl>
    <w:p>
      <w:pPr>
        <w:sectPr>
          <w:pgSz w:w="11900" w:h="16838" w:orient="portrait"/>
          <w:cols w:equalWidth="0" w:num="1">
            <w:col w:w="11480"/>
          </w:cols>
          <w:pgMar w:left="220" w:top="464" w:right="199" w:bottom="0" w:gutter="0" w:footer="0" w:header="0"/>
        </w:sectPr>
      </w:pPr>
    </w:p>
    <w:bookmarkStart w:id="6" w:name="page7"/>
    <w:bookmarkEnd w:id="6"/>
    <w:p>
      <w:pPr>
        <w:ind w:left="8"/>
        <w:spacing w:after="0"/>
        <w:rPr>
          <w:sz w:val="20"/>
          <w:szCs w:val="20"/>
          <w:color w:val="auto"/>
        </w:rPr>
      </w:pPr>
      <w:r>
        <w:rPr>
          <w:rFonts w:ascii="Arial" w:cs="Arial" w:eastAsia="Arial" w:hAnsi="Arial"/>
          <w:sz w:val="12"/>
          <w:szCs w:val="12"/>
          <w:i w:val="1"/>
          <w:iCs w:val="1"/>
          <w:color w:val="auto"/>
        </w:rPr>
        <w:t>Industry Outlook</w:t>
      </w:r>
    </w:p>
    <w:p>
      <w:pPr>
        <w:spacing w:after="0" w:line="15" w:lineRule="exact"/>
        <w:rPr>
          <w:sz w:val="20"/>
          <w:szCs w:val="20"/>
          <w:color w:val="auto"/>
        </w:rPr>
      </w:pPr>
    </w:p>
    <w:p>
      <w:pPr>
        <w:ind w:left="8" w:right="240"/>
        <w:spacing w:after="0" w:line="306" w:lineRule="auto"/>
        <w:rPr>
          <w:sz w:val="20"/>
          <w:szCs w:val="20"/>
          <w:color w:val="auto"/>
        </w:rPr>
      </w:pPr>
      <w:r>
        <w:rPr>
          <w:rFonts w:ascii="Arial" w:cs="Arial" w:eastAsia="Arial" w:hAnsi="Arial"/>
          <w:sz w:val="11"/>
          <w:szCs w:val="11"/>
          <w:color w:val="auto"/>
        </w:rPr>
        <w:t>As evidenced below, the motorized RV market has been significantly impacted by highly unstable market conditions in the past two years, both from a wholesale and a retail perspective. The tightening of the wholesale and retail credit markets, low consumer confidence, the effect of the global recession and uncertainty related to fuel prices have placed pressure on retail sales and as a result, dealers have significantly reduced their inventory levels.</w:t>
      </w:r>
    </w:p>
    <w:p>
      <w:pPr>
        <w:spacing w:after="0" w:line="1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3177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8" w:lineRule="exact"/>
        <w:rPr>
          <w:sz w:val="20"/>
          <w:szCs w:val="20"/>
          <w:color w:val="auto"/>
        </w:rPr>
      </w:pPr>
    </w:p>
    <w:p>
      <w:pPr>
        <w:ind w:left="8"/>
        <w:spacing w:after="0" w:line="298" w:lineRule="auto"/>
        <w:rPr>
          <w:sz w:val="20"/>
          <w:szCs w:val="20"/>
          <w:color w:val="auto"/>
        </w:rPr>
      </w:pPr>
      <w:r>
        <w:rPr>
          <w:rFonts w:ascii="Arial" w:cs="Arial" w:eastAsia="Arial" w:hAnsi="Arial"/>
          <w:sz w:val="11"/>
          <w:szCs w:val="11"/>
          <w:color w:val="auto"/>
        </w:rPr>
        <w:t>We believe that the bottom of dealer inventory levels was reached during the fourth calendar quarter of 2009, as industry shipments finally began to increase over the prior year in the months of November and December. Retail registrations did not show that same trend, but were approaching nearly flat comparisons over the prior year in the months of November and December of 2009. The current industry outlook for Calendar 2010 per the Recreational Vehicle Industry Association (RVIA) is for wholesale shipments to be at a level similar to the retail activity in Calendar 2009. Prospective retail demand must improve to support this wholesale shipment forecast.</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color w:val="auto"/>
        </w:rPr>
        <w:t>Key statistics for the motor home industry are as follows:</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360" w:type="dxa"/>
            <w:vAlign w:val="bottom"/>
            <w:gridSpan w:val="5"/>
          </w:tcPr>
          <w:p>
            <w:pPr>
              <w:jc w:val="right"/>
              <w:spacing w:after="0"/>
              <w:rPr>
                <w:sz w:val="20"/>
                <w:szCs w:val="20"/>
                <w:color w:val="auto"/>
              </w:rPr>
            </w:pPr>
            <w:r>
              <w:rPr>
                <w:rFonts w:ascii="Arial" w:cs="Arial" w:eastAsia="Arial" w:hAnsi="Arial"/>
                <w:sz w:val="10"/>
                <w:szCs w:val="10"/>
                <w:b w:val="1"/>
                <w:bCs w:val="1"/>
                <w:color w:val="auto"/>
                <w:w w:val="93"/>
              </w:rPr>
              <w:t>Industry A &amp; C Motor Home Wholesale Shipments</w:t>
            </w:r>
            <w:r>
              <w:rPr>
                <w:rFonts w:ascii="Arial" w:cs="Arial" w:eastAsia="Arial" w:hAnsi="Arial"/>
                <w:sz w:val="15"/>
                <w:szCs w:val="15"/>
                <w:b w:val="1"/>
                <w:bCs w:val="1"/>
                <w:color w:val="auto"/>
                <w:w w:val="93"/>
                <w:vertAlign w:val="superscript"/>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ind w:left="120"/>
              <w:spacing w:after="0"/>
              <w:rPr>
                <w:sz w:val="20"/>
                <w:szCs w:val="20"/>
                <w:color w:val="auto"/>
              </w:rPr>
            </w:pPr>
            <w:r>
              <w:rPr>
                <w:rFonts w:ascii="Arial" w:cs="Arial" w:eastAsia="Arial" w:hAnsi="Arial"/>
                <w:sz w:val="10"/>
                <w:szCs w:val="10"/>
                <w:b w:val="1"/>
                <w:bCs w:val="1"/>
                <w:color w:val="auto"/>
                <w:w w:val="94"/>
              </w:rPr>
              <w:t>Industry A &amp; C Motor Home Retail Registrations</w:t>
            </w:r>
            <w:r>
              <w:rPr>
                <w:rFonts w:ascii="Arial" w:cs="Arial" w:eastAsia="Arial" w:hAnsi="Arial"/>
                <w:sz w:val="15"/>
                <w:szCs w:val="15"/>
                <w:b w:val="1"/>
                <w:bCs w:val="1"/>
                <w:color w:val="auto"/>
                <w:w w:val="94"/>
                <w:vertAlign w:val="superscript"/>
              </w:rPr>
              <w:t>(2)</w:t>
            </w:r>
          </w:p>
        </w:tc>
        <w:tc>
          <w:tcPr>
            <w:tcW w:w="0" w:type="dxa"/>
            <w:vAlign w:val="bottom"/>
          </w:tcPr>
          <w:p>
            <w:pPr>
              <w:spacing w:after="0"/>
              <w:rPr>
                <w:sz w:val="1"/>
                <w:szCs w:val="1"/>
                <w:color w:val="auto"/>
              </w:rPr>
            </w:pPr>
          </w:p>
        </w:tc>
      </w:tr>
      <w:tr>
        <w:trPr>
          <w:trHeight w:val="123"/>
        </w:trPr>
        <w:tc>
          <w:tcPr>
            <w:tcW w:w="6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units)</w:t>
            </w: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0"/>
                <w:szCs w:val="10"/>
                <w:b w:val="1"/>
                <w:bCs w:val="1"/>
                <w:color w:val="auto"/>
              </w:rPr>
              <w:t>Calendar Year</w:t>
            </w: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rPr>
              <w:t>Calendar Year</w:t>
            </w:r>
          </w:p>
        </w:tc>
        <w:tc>
          <w:tcPr>
            <w:tcW w:w="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500" w:type="dxa"/>
            <w:vAlign w:val="bottom"/>
            <w:gridSpan w:val="2"/>
            <w:vMerge w:val="continue"/>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2008</w:t>
            </w:r>
          </w:p>
        </w:tc>
        <w:tc>
          <w:tcPr>
            <w:tcW w:w="200" w:type="dxa"/>
            <w:vAlign w:val="bottom"/>
          </w:tcPr>
          <w:p>
            <w:pPr>
              <w:spacing w:after="0"/>
              <w:rPr>
                <w:sz w:val="11"/>
                <w:szCs w:val="11"/>
                <w:color w:val="auto"/>
              </w:rPr>
            </w:pPr>
          </w:p>
        </w:tc>
        <w:tc>
          <w:tcPr>
            <w:tcW w:w="540" w:type="dxa"/>
            <w:vAlign w:val="bottom"/>
          </w:tcPr>
          <w:p>
            <w:pPr>
              <w:jc w:val="right"/>
              <w:ind w:right="61"/>
              <w:spacing w:after="0" w:line="133" w:lineRule="exact"/>
              <w:rPr>
                <w:sz w:val="20"/>
                <w:szCs w:val="20"/>
                <w:color w:val="auto"/>
              </w:rPr>
            </w:pPr>
            <w:r>
              <w:rPr>
                <w:rFonts w:ascii="Arial" w:cs="Arial" w:eastAsia="Arial" w:hAnsi="Arial"/>
                <w:sz w:val="12"/>
                <w:szCs w:val="12"/>
                <w:b w:val="1"/>
                <w:bCs w:val="1"/>
                <w:color w:val="auto"/>
              </w:rPr>
              <w:t>2007</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6"/>
              </w:rPr>
              <w:t>Decrease</w:t>
            </w:r>
          </w:p>
        </w:tc>
        <w:tc>
          <w:tcPr>
            <w:tcW w:w="540" w:type="dxa"/>
            <w:vAlign w:val="bottom"/>
            <w:gridSpan w:val="2"/>
          </w:tcPr>
          <w:p>
            <w:pPr>
              <w:jc w:val="right"/>
              <w:spacing w:after="0" w:line="133" w:lineRule="exact"/>
              <w:rPr>
                <w:sz w:val="20"/>
                <w:szCs w:val="20"/>
                <w:color w:val="auto"/>
              </w:rPr>
            </w:pPr>
            <w:r>
              <w:rPr>
                <w:rFonts w:ascii="Arial" w:cs="Arial" w:eastAsia="Arial" w:hAnsi="Arial"/>
                <w:sz w:val="12"/>
                <w:szCs w:val="12"/>
                <w:b w:val="1"/>
                <w:bCs w:val="1"/>
                <w:color w:val="auto"/>
              </w:rPr>
              <w:t>Change</w:t>
            </w:r>
          </w:p>
        </w:tc>
        <w:tc>
          <w:tcPr>
            <w:tcW w:w="1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2008</w:t>
            </w:r>
          </w:p>
        </w:tc>
        <w:tc>
          <w:tcPr>
            <w:tcW w:w="200" w:type="dxa"/>
            <w:vAlign w:val="bottom"/>
          </w:tcPr>
          <w:p>
            <w:pPr>
              <w:spacing w:after="0"/>
              <w:rPr>
                <w:sz w:val="11"/>
                <w:szCs w:val="11"/>
                <w:color w:val="auto"/>
              </w:rPr>
            </w:pPr>
          </w:p>
        </w:tc>
        <w:tc>
          <w:tcPr>
            <w:tcW w:w="520" w:type="dxa"/>
            <w:vAlign w:val="bottom"/>
          </w:tcPr>
          <w:p>
            <w:pPr>
              <w:jc w:val="right"/>
              <w:ind w:right="41"/>
              <w:spacing w:after="0" w:line="133" w:lineRule="exact"/>
              <w:rPr>
                <w:sz w:val="20"/>
                <w:szCs w:val="20"/>
                <w:color w:val="auto"/>
              </w:rPr>
            </w:pPr>
            <w:r>
              <w:rPr>
                <w:rFonts w:ascii="Arial" w:cs="Arial" w:eastAsia="Arial" w:hAnsi="Arial"/>
                <w:sz w:val="12"/>
                <w:szCs w:val="12"/>
                <w:b w:val="1"/>
                <w:bCs w:val="1"/>
                <w:color w:val="auto"/>
              </w:rPr>
              <w:t>2007</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b w:val="1"/>
                <w:bCs w:val="1"/>
                <w:color w:val="auto"/>
              </w:rPr>
              <w:t>Decrease</w:t>
            </w:r>
          </w:p>
        </w:tc>
        <w:tc>
          <w:tcPr>
            <w:tcW w:w="5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First Quarter</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10,400</w:t>
            </w: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81"/>
              <w:spacing w:after="0" w:line="133" w:lineRule="exact"/>
              <w:rPr>
                <w:sz w:val="20"/>
                <w:szCs w:val="20"/>
                <w:color w:val="auto"/>
              </w:rPr>
            </w:pPr>
            <w:r>
              <w:rPr>
                <w:rFonts w:ascii="Arial" w:cs="Arial" w:eastAsia="Arial" w:hAnsi="Arial"/>
                <w:sz w:val="12"/>
                <w:szCs w:val="12"/>
                <w:color w:val="auto"/>
              </w:rPr>
              <w:t>13,600</w:t>
            </w:r>
          </w:p>
        </w:tc>
        <w:tc>
          <w:tcPr>
            <w:tcW w:w="760" w:type="dxa"/>
            <w:vAlign w:val="bottom"/>
            <w:tcBorders>
              <w:top w:val="single" w:sz="8" w:color="auto"/>
            </w:tcBorders>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(3,200)</w:t>
            </w:r>
          </w:p>
        </w:tc>
        <w:tc>
          <w:tcPr>
            <w:tcW w:w="5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(23.5)%</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8,400</w:t>
            </w: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11,000</w:t>
            </w:r>
          </w:p>
        </w:tc>
        <w:tc>
          <w:tcPr>
            <w:tcW w:w="70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(2,600)</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2"/>
                <w:szCs w:val="12"/>
                <w:color w:val="auto"/>
              </w:rPr>
              <w:t>Second Quarter</w:t>
            </w:r>
          </w:p>
        </w:tc>
        <w:tc>
          <w:tcPr>
            <w:tcW w:w="440" w:type="dxa"/>
            <w:vAlign w:val="bottom"/>
          </w:tcPr>
          <w:p>
            <w:pPr>
              <w:jc w:val="right"/>
              <w:spacing w:after="0"/>
              <w:rPr>
                <w:sz w:val="20"/>
                <w:szCs w:val="20"/>
                <w:color w:val="auto"/>
              </w:rPr>
            </w:pPr>
            <w:r>
              <w:rPr>
                <w:rFonts w:ascii="Arial" w:cs="Arial" w:eastAsia="Arial" w:hAnsi="Arial"/>
                <w:sz w:val="12"/>
                <w:szCs w:val="12"/>
                <w:color w:val="auto"/>
              </w:rPr>
              <w:t>8,600</w:t>
            </w:r>
          </w:p>
        </w:tc>
        <w:tc>
          <w:tcPr>
            <w:tcW w:w="200" w:type="dxa"/>
            <w:vAlign w:val="bottom"/>
          </w:tcPr>
          <w:p>
            <w:pPr>
              <w:spacing w:after="0"/>
              <w:rPr>
                <w:sz w:val="12"/>
                <w:szCs w:val="12"/>
                <w:color w:val="auto"/>
              </w:rPr>
            </w:pPr>
          </w:p>
        </w:tc>
        <w:tc>
          <w:tcPr>
            <w:tcW w:w="540" w:type="dxa"/>
            <w:vAlign w:val="bottom"/>
          </w:tcPr>
          <w:p>
            <w:pPr>
              <w:jc w:val="right"/>
              <w:ind w:right="81"/>
              <w:spacing w:after="0"/>
              <w:rPr>
                <w:sz w:val="20"/>
                <w:szCs w:val="20"/>
                <w:color w:val="auto"/>
              </w:rPr>
            </w:pPr>
            <w:r>
              <w:rPr>
                <w:rFonts w:ascii="Arial" w:cs="Arial" w:eastAsia="Arial" w:hAnsi="Arial"/>
                <w:sz w:val="12"/>
                <w:szCs w:val="12"/>
                <w:color w:val="auto"/>
              </w:rPr>
              <w:t>15,000</w:t>
            </w: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(6,400)</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(42.7)%</w:t>
            </w:r>
          </w:p>
        </w:tc>
        <w:tc>
          <w:tcPr>
            <w:tcW w:w="440" w:type="dxa"/>
            <w:vAlign w:val="bottom"/>
          </w:tcPr>
          <w:p>
            <w:pPr>
              <w:jc w:val="right"/>
              <w:spacing w:after="0"/>
              <w:rPr>
                <w:sz w:val="20"/>
                <w:szCs w:val="20"/>
                <w:color w:val="auto"/>
              </w:rPr>
            </w:pPr>
            <w:r>
              <w:rPr>
                <w:rFonts w:ascii="Arial" w:cs="Arial" w:eastAsia="Arial" w:hAnsi="Arial"/>
                <w:sz w:val="12"/>
                <w:szCs w:val="12"/>
                <w:color w:val="auto"/>
              </w:rPr>
              <w:t>9,400</w:t>
            </w:r>
          </w:p>
        </w:tc>
        <w:tc>
          <w:tcPr>
            <w:tcW w:w="200" w:type="dxa"/>
            <w:vAlign w:val="bottom"/>
          </w:tcPr>
          <w:p>
            <w:pPr>
              <w:spacing w:after="0"/>
              <w:rPr>
                <w:sz w:val="12"/>
                <w:szCs w:val="12"/>
                <w:color w:val="auto"/>
              </w:rPr>
            </w:pPr>
          </w:p>
        </w:tc>
        <w:tc>
          <w:tcPr>
            <w:tcW w:w="520" w:type="dxa"/>
            <w:vAlign w:val="bottom"/>
          </w:tcPr>
          <w:p>
            <w:pPr>
              <w:jc w:val="right"/>
              <w:ind w:right="41"/>
              <w:spacing w:after="0"/>
              <w:rPr>
                <w:sz w:val="20"/>
                <w:szCs w:val="20"/>
                <w:color w:val="auto"/>
              </w:rPr>
            </w:pPr>
            <w:r>
              <w:rPr>
                <w:rFonts w:ascii="Arial" w:cs="Arial" w:eastAsia="Arial" w:hAnsi="Arial"/>
                <w:sz w:val="12"/>
                <w:szCs w:val="12"/>
                <w:color w:val="auto"/>
              </w:rPr>
              <w:t>14,600</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(5,200)</w:t>
            </w:r>
          </w:p>
        </w:tc>
        <w:tc>
          <w:tcPr>
            <w:tcW w:w="520" w:type="dxa"/>
            <w:vAlign w:val="bottom"/>
          </w:tcPr>
          <w:p>
            <w:pPr>
              <w:jc w:val="right"/>
              <w:spacing w:after="0"/>
              <w:rPr>
                <w:sz w:val="20"/>
                <w:szCs w:val="20"/>
                <w:color w:val="auto"/>
              </w:rPr>
            </w:pPr>
            <w:r>
              <w:rPr>
                <w:rFonts w:ascii="Arial" w:cs="Arial" w:eastAsia="Arial" w:hAnsi="Arial"/>
                <w:sz w:val="12"/>
                <w:szCs w:val="12"/>
                <w:color w:val="auto"/>
              </w:rPr>
              <w:t>(35.6)%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2"/>
                <w:szCs w:val="12"/>
                <w:color w:val="auto"/>
              </w:rPr>
              <w:t>Third Quarter</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4,600</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12,400</w:t>
            </w: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(7,800)</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(62.9)%</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11,700</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(5,700)</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2"/>
                <w:szCs w:val="12"/>
                <w:color w:val="auto"/>
              </w:rPr>
              <w:t>Fourth Quarter</w:t>
            </w:r>
          </w:p>
        </w:tc>
        <w:tc>
          <w:tcPr>
            <w:tcW w:w="440" w:type="dxa"/>
            <w:vAlign w:val="bottom"/>
          </w:tcPr>
          <w:p>
            <w:pPr>
              <w:jc w:val="right"/>
              <w:spacing w:after="0"/>
              <w:rPr>
                <w:sz w:val="20"/>
                <w:szCs w:val="20"/>
                <w:color w:val="auto"/>
              </w:rPr>
            </w:pPr>
            <w:r>
              <w:rPr>
                <w:rFonts w:ascii="Arial" w:cs="Arial" w:eastAsia="Arial" w:hAnsi="Arial"/>
                <w:sz w:val="12"/>
                <w:szCs w:val="12"/>
                <w:color w:val="auto"/>
              </w:rPr>
              <w:t>2,800</w:t>
            </w:r>
          </w:p>
        </w:tc>
        <w:tc>
          <w:tcPr>
            <w:tcW w:w="200" w:type="dxa"/>
            <w:vAlign w:val="bottom"/>
          </w:tcPr>
          <w:p>
            <w:pPr>
              <w:spacing w:after="0"/>
              <w:rPr>
                <w:sz w:val="12"/>
                <w:szCs w:val="12"/>
                <w:color w:val="auto"/>
              </w:rPr>
            </w:pPr>
          </w:p>
        </w:tc>
        <w:tc>
          <w:tcPr>
            <w:tcW w:w="540" w:type="dxa"/>
            <w:vAlign w:val="bottom"/>
          </w:tcPr>
          <w:p>
            <w:pPr>
              <w:jc w:val="right"/>
              <w:ind w:right="81"/>
              <w:spacing w:after="0"/>
              <w:rPr>
                <w:sz w:val="20"/>
                <w:szCs w:val="20"/>
                <w:color w:val="auto"/>
              </w:rPr>
            </w:pPr>
            <w:r>
              <w:rPr>
                <w:rFonts w:ascii="Arial" w:cs="Arial" w:eastAsia="Arial" w:hAnsi="Arial"/>
                <w:sz w:val="12"/>
                <w:szCs w:val="12"/>
                <w:color w:val="auto"/>
              </w:rPr>
              <w:t>11,300</w:t>
            </w: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(8,500)</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(75.2)%</w:t>
            </w:r>
          </w:p>
        </w:tc>
        <w:tc>
          <w:tcPr>
            <w:tcW w:w="440" w:type="dxa"/>
            <w:vAlign w:val="bottom"/>
          </w:tcPr>
          <w:p>
            <w:pPr>
              <w:jc w:val="right"/>
              <w:spacing w:after="0"/>
              <w:rPr>
                <w:sz w:val="20"/>
                <w:szCs w:val="20"/>
                <w:color w:val="auto"/>
              </w:rPr>
            </w:pPr>
            <w:r>
              <w:rPr>
                <w:rFonts w:ascii="Arial" w:cs="Arial" w:eastAsia="Arial" w:hAnsi="Arial"/>
                <w:sz w:val="12"/>
                <w:szCs w:val="12"/>
                <w:color w:val="auto"/>
              </w:rPr>
              <w:t>3,900</w:t>
            </w:r>
          </w:p>
        </w:tc>
        <w:tc>
          <w:tcPr>
            <w:tcW w:w="200" w:type="dxa"/>
            <w:vAlign w:val="bottom"/>
          </w:tcPr>
          <w:p>
            <w:pPr>
              <w:spacing w:after="0"/>
              <w:rPr>
                <w:sz w:val="12"/>
                <w:szCs w:val="12"/>
                <w:color w:val="auto"/>
              </w:rPr>
            </w:pPr>
          </w:p>
        </w:tc>
        <w:tc>
          <w:tcPr>
            <w:tcW w:w="520" w:type="dxa"/>
            <w:vAlign w:val="bottom"/>
          </w:tcPr>
          <w:p>
            <w:pPr>
              <w:jc w:val="right"/>
              <w:ind w:right="41"/>
              <w:spacing w:after="0"/>
              <w:rPr>
                <w:sz w:val="20"/>
                <w:szCs w:val="20"/>
                <w:color w:val="auto"/>
              </w:rPr>
            </w:pPr>
            <w:r>
              <w:rPr>
                <w:rFonts w:ascii="Arial" w:cs="Arial" w:eastAsia="Arial" w:hAnsi="Arial"/>
                <w:sz w:val="12"/>
                <w:szCs w:val="12"/>
                <w:color w:val="auto"/>
              </w:rPr>
              <w:t>8,000</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(4,100)</w:t>
            </w:r>
          </w:p>
        </w:tc>
        <w:tc>
          <w:tcPr>
            <w:tcW w:w="520" w:type="dxa"/>
            <w:vAlign w:val="bottom"/>
          </w:tcPr>
          <w:p>
            <w:pPr>
              <w:jc w:val="right"/>
              <w:spacing w:after="0"/>
              <w:rPr>
                <w:sz w:val="20"/>
                <w:szCs w:val="20"/>
                <w:color w:val="auto"/>
              </w:rPr>
            </w:pPr>
            <w:r>
              <w:rPr>
                <w:rFonts w:ascii="Arial" w:cs="Arial" w:eastAsia="Arial" w:hAnsi="Arial"/>
                <w:sz w:val="12"/>
                <w:szCs w:val="12"/>
                <w:color w:val="auto"/>
              </w:rPr>
              <w:t>(51.2)%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26,400</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81"/>
              <w:spacing w:after="0" w:line="133" w:lineRule="exact"/>
              <w:rPr>
                <w:sz w:val="20"/>
                <w:szCs w:val="20"/>
                <w:color w:val="auto"/>
              </w:rPr>
            </w:pPr>
            <w:r>
              <w:rPr>
                <w:rFonts w:ascii="Arial" w:cs="Arial" w:eastAsia="Arial" w:hAnsi="Arial"/>
                <w:sz w:val="12"/>
                <w:szCs w:val="12"/>
                <w:color w:val="auto"/>
              </w:rPr>
              <w:t>52,300</w:t>
            </w:r>
          </w:p>
        </w:tc>
        <w:tc>
          <w:tcPr>
            <w:tcW w:w="760" w:type="dxa"/>
            <w:vAlign w:val="bottom"/>
            <w:tcBorders>
              <w:top w:val="single" w:sz="8" w:color="auto"/>
              <w:bottom w:val="single" w:sz="8" w:color="auto"/>
            </w:tcBorders>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(25,900)</w:t>
            </w:r>
          </w:p>
        </w:tc>
        <w:tc>
          <w:tcPr>
            <w:tcW w:w="54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(49.5)%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27,700</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45,300</w:t>
            </w:r>
          </w:p>
        </w:tc>
        <w:tc>
          <w:tcPr>
            <w:tcW w:w="700" w:type="dxa"/>
            <w:vAlign w:val="bottom"/>
            <w:tcBorders>
              <w:top w:val="single" w:sz="8" w:color="auto"/>
              <w:bottom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(17,600)</w:t>
            </w: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8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(In units)</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2009</w:t>
            </w: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2008</w:t>
            </w:r>
          </w:p>
        </w:tc>
        <w:tc>
          <w:tcPr>
            <w:tcW w:w="760" w:type="dxa"/>
            <w:vAlign w:val="bottom"/>
            <w:shd w:val="clear" w:color="auto" w:fill="CCEEFF"/>
          </w:tcPr>
          <w:p>
            <w:pPr>
              <w:jc w:val="center"/>
              <w:spacing w:after="0" w:line="117" w:lineRule="exact"/>
              <w:rPr>
                <w:sz w:val="20"/>
                <w:szCs w:val="20"/>
                <w:color w:val="auto"/>
              </w:rPr>
            </w:pPr>
            <w:r>
              <w:rPr>
                <w:rFonts w:ascii="Arial" w:cs="Arial" w:eastAsia="Arial" w:hAnsi="Arial"/>
                <w:sz w:val="11"/>
                <w:szCs w:val="11"/>
                <w:b w:val="1"/>
                <w:bCs w:val="1"/>
                <w:color w:val="auto"/>
                <w:w w:val="88"/>
              </w:rPr>
              <w:t>(Decrease)</w:t>
            </w:r>
          </w:p>
        </w:tc>
        <w:tc>
          <w:tcPr>
            <w:tcW w:w="6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Change</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2009</w:t>
            </w:r>
          </w:p>
        </w:tc>
        <w:tc>
          <w:tcPr>
            <w:tcW w:w="2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2008</w:t>
            </w:r>
          </w:p>
        </w:tc>
        <w:tc>
          <w:tcPr>
            <w:tcW w:w="7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Decrease</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Change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w w:val="85"/>
              </w:rPr>
              <w:t>Increase</w:t>
            </w:r>
          </w:p>
        </w:tc>
        <w:tc>
          <w:tcPr>
            <w:tcW w:w="660" w:type="dxa"/>
            <w:vAlign w:val="bottom"/>
            <w:gridSpan w:val="3"/>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First Quarter</w:t>
            </w:r>
          </w:p>
        </w:tc>
        <w:tc>
          <w:tcPr>
            <w:tcW w:w="4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2,200</w:t>
            </w: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81"/>
              <w:spacing w:after="0" w:line="133" w:lineRule="exact"/>
              <w:rPr>
                <w:sz w:val="20"/>
                <w:szCs w:val="20"/>
                <w:color w:val="auto"/>
              </w:rPr>
            </w:pPr>
            <w:r>
              <w:rPr>
                <w:rFonts w:ascii="Arial" w:cs="Arial" w:eastAsia="Arial" w:hAnsi="Arial"/>
                <w:sz w:val="12"/>
                <w:szCs w:val="12"/>
                <w:color w:val="auto"/>
              </w:rPr>
              <w:t>10,400</w:t>
            </w:r>
          </w:p>
        </w:tc>
        <w:tc>
          <w:tcPr>
            <w:tcW w:w="760" w:type="dxa"/>
            <w:vAlign w:val="bottom"/>
            <w:tcBorders>
              <w:top w:val="single" w:sz="8" w:color="auto"/>
            </w:tcBorders>
          </w:tcPr>
          <w:p>
            <w:pPr>
              <w:jc w:val="right"/>
              <w:ind w:right="61"/>
              <w:spacing w:after="0" w:line="133" w:lineRule="exact"/>
              <w:rPr>
                <w:sz w:val="20"/>
                <w:szCs w:val="20"/>
                <w:color w:val="auto"/>
              </w:rPr>
            </w:pPr>
            <w:r>
              <w:rPr>
                <w:rFonts w:ascii="Arial" w:cs="Arial" w:eastAsia="Arial" w:hAnsi="Arial"/>
                <w:sz w:val="12"/>
                <w:szCs w:val="12"/>
                <w:color w:val="auto"/>
              </w:rPr>
              <w:t>(8,200)</w:t>
            </w:r>
          </w:p>
        </w:tc>
        <w:tc>
          <w:tcPr>
            <w:tcW w:w="5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(78.8)%</w:t>
            </w: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4,200</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8,400</w:t>
            </w:r>
          </w:p>
        </w:tc>
        <w:tc>
          <w:tcPr>
            <w:tcW w:w="700" w:type="dxa"/>
            <w:vAlign w:val="bottom"/>
            <w:tcBorders>
              <w:top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rPr>
              <w:t>(4,200)</w:t>
            </w:r>
          </w:p>
        </w:tc>
        <w:tc>
          <w:tcPr>
            <w:tcW w:w="5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2"/>
                <w:szCs w:val="12"/>
                <w:color w:val="auto"/>
              </w:rPr>
              <w:t>Second Quarter</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8,600</w:t>
            </w: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(5,700)</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(66.3)%</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5,800</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9,400</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(3,600)</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2"/>
                <w:szCs w:val="12"/>
                <w:color w:val="auto"/>
              </w:rPr>
              <w:t>Third Quarter</w:t>
            </w:r>
          </w:p>
        </w:tc>
        <w:tc>
          <w:tcPr>
            <w:tcW w:w="440" w:type="dxa"/>
            <w:vAlign w:val="bottom"/>
          </w:tcPr>
          <w:p>
            <w:pPr>
              <w:jc w:val="right"/>
              <w:spacing w:after="0"/>
              <w:rPr>
                <w:sz w:val="20"/>
                <w:szCs w:val="20"/>
                <w:color w:val="auto"/>
              </w:rPr>
            </w:pPr>
            <w:r>
              <w:rPr>
                <w:rFonts w:ascii="Arial" w:cs="Arial" w:eastAsia="Arial" w:hAnsi="Arial"/>
                <w:sz w:val="12"/>
                <w:szCs w:val="12"/>
                <w:color w:val="auto"/>
              </w:rPr>
              <w:t>2,900</w:t>
            </w:r>
          </w:p>
        </w:tc>
        <w:tc>
          <w:tcPr>
            <w:tcW w:w="200" w:type="dxa"/>
            <w:vAlign w:val="bottom"/>
          </w:tcPr>
          <w:p>
            <w:pPr>
              <w:spacing w:after="0"/>
              <w:rPr>
                <w:sz w:val="12"/>
                <w:szCs w:val="12"/>
                <w:color w:val="auto"/>
              </w:rPr>
            </w:pPr>
          </w:p>
        </w:tc>
        <w:tc>
          <w:tcPr>
            <w:tcW w:w="540" w:type="dxa"/>
            <w:vAlign w:val="bottom"/>
          </w:tcPr>
          <w:p>
            <w:pPr>
              <w:jc w:val="right"/>
              <w:ind w:right="81"/>
              <w:spacing w:after="0"/>
              <w:rPr>
                <w:sz w:val="20"/>
                <w:szCs w:val="20"/>
                <w:color w:val="auto"/>
              </w:rPr>
            </w:pPr>
            <w:r>
              <w:rPr>
                <w:rFonts w:ascii="Arial" w:cs="Arial" w:eastAsia="Arial" w:hAnsi="Arial"/>
                <w:sz w:val="12"/>
                <w:szCs w:val="12"/>
                <w:color w:val="auto"/>
              </w:rPr>
              <w:t>4,600</w:t>
            </w: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(1,700)</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(37.0)%</w:t>
            </w:r>
          </w:p>
        </w:tc>
        <w:tc>
          <w:tcPr>
            <w:tcW w:w="440" w:type="dxa"/>
            <w:vAlign w:val="bottom"/>
          </w:tcPr>
          <w:p>
            <w:pPr>
              <w:jc w:val="right"/>
              <w:spacing w:after="0"/>
              <w:rPr>
                <w:sz w:val="20"/>
                <w:szCs w:val="20"/>
                <w:color w:val="auto"/>
              </w:rPr>
            </w:pPr>
            <w:r>
              <w:rPr>
                <w:rFonts w:ascii="Arial" w:cs="Arial" w:eastAsia="Arial" w:hAnsi="Arial"/>
                <w:sz w:val="12"/>
                <w:szCs w:val="12"/>
                <w:color w:val="auto"/>
              </w:rPr>
              <w:t>4,700</w:t>
            </w:r>
          </w:p>
        </w:tc>
        <w:tc>
          <w:tcPr>
            <w:tcW w:w="200" w:type="dxa"/>
            <w:vAlign w:val="bottom"/>
          </w:tcPr>
          <w:p>
            <w:pPr>
              <w:spacing w:after="0"/>
              <w:rPr>
                <w:sz w:val="12"/>
                <w:szCs w:val="12"/>
                <w:color w:val="auto"/>
              </w:rPr>
            </w:pPr>
          </w:p>
        </w:tc>
        <w:tc>
          <w:tcPr>
            <w:tcW w:w="520" w:type="dxa"/>
            <w:vAlign w:val="bottom"/>
          </w:tcPr>
          <w:p>
            <w:pPr>
              <w:jc w:val="right"/>
              <w:ind w:right="41"/>
              <w:spacing w:after="0"/>
              <w:rPr>
                <w:sz w:val="20"/>
                <w:szCs w:val="20"/>
                <w:color w:val="auto"/>
              </w:rPr>
            </w:pPr>
            <w:r>
              <w:rPr>
                <w:rFonts w:ascii="Arial" w:cs="Arial" w:eastAsia="Arial" w:hAnsi="Arial"/>
                <w:sz w:val="12"/>
                <w:szCs w:val="12"/>
                <w:color w:val="auto"/>
              </w:rPr>
              <w:t>6,000</w:t>
            </w:r>
          </w:p>
        </w:tc>
        <w:tc>
          <w:tcPr>
            <w:tcW w:w="700" w:type="dxa"/>
            <w:vAlign w:val="bottom"/>
          </w:tcPr>
          <w:p>
            <w:pPr>
              <w:jc w:val="right"/>
              <w:ind w:right="40"/>
              <w:spacing w:after="0"/>
              <w:rPr>
                <w:sz w:val="20"/>
                <w:szCs w:val="20"/>
                <w:color w:val="auto"/>
              </w:rPr>
            </w:pPr>
            <w:r>
              <w:rPr>
                <w:rFonts w:ascii="Arial" w:cs="Arial" w:eastAsia="Arial" w:hAnsi="Arial"/>
                <w:sz w:val="12"/>
                <w:szCs w:val="12"/>
                <w:color w:val="auto"/>
              </w:rPr>
              <w:t>(1,300)</w:t>
            </w:r>
          </w:p>
        </w:tc>
        <w:tc>
          <w:tcPr>
            <w:tcW w:w="520" w:type="dxa"/>
            <w:vAlign w:val="bottom"/>
          </w:tcPr>
          <w:p>
            <w:pPr>
              <w:jc w:val="right"/>
              <w:spacing w:after="0"/>
              <w:rPr>
                <w:sz w:val="20"/>
                <w:szCs w:val="20"/>
                <w:color w:val="auto"/>
              </w:rPr>
            </w:pPr>
            <w:r>
              <w:rPr>
                <w:rFonts w:ascii="Arial" w:cs="Arial" w:eastAsia="Arial" w:hAnsi="Arial"/>
                <w:sz w:val="12"/>
                <w:szCs w:val="12"/>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2"/>
                <w:szCs w:val="12"/>
                <w:color w:val="auto"/>
              </w:rPr>
              <w:t>Fourth Quarter</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2,800</w:t>
            </w: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1,200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3,500</w:t>
            </w: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3,900</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12,000</w:t>
            </w:r>
          </w:p>
        </w:tc>
        <w:tc>
          <w:tcPr>
            <w:tcW w:w="200" w:type="dxa"/>
            <w:vAlign w:val="bottom"/>
          </w:tcPr>
          <w:p>
            <w:pPr>
              <w:spacing w:after="0"/>
              <w:rPr>
                <w:sz w:val="12"/>
                <w:szCs w:val="12"/>
                <w:color w:val="auto"/>
              </w:rPr>
            </w:pPr>
          </w:p>
        </w:tc>
        <w:tc>
          <w:tcPr>
            <w:tcW w:w="540" w:type="dxa"/>
            <w:vAlign w:val="bottom"/>
          </w:tcPr>
          <w:p>
            <w:pPr>
              <w:jc w:val="right"/>
              <w:ind w:right="81"/>
              <w:spacing w:after="0" w:line="133" w:lineRule="exact"/>
              <w:rPr>
                <w:sz w:val="20"/>
                <w:szCs w:val="20"/>
                <w:color w:val="auto"/>
              </w:rPr>
            </w:pPr>
            <w:r>
              <w:rPr>
                <w:rFonts w:ascii="Arial" w:cs="Arial" w:eastAsia="Arial" w:hAnsi="Arial"/>
                <w:sz w:val="12"/>
                <w:szCs w:val="12"/>
                <w:color w:val="auto"/>
              </w:rPr>
              <w:t>26,400</w:t>
            </w:r>
          </w:p>
        </w:tc>
        <w:tc>
          <w:tcPr>
            <w:tcW w:w="760" w:type="dxa"/>
            <w:vAlign w:val="bottom"/>
          </w:tcPr>
          <w:p>
            <w:pPr>
              <w:jc w:val="right"/>
              <w:ind w:right="61"/>
              <w:spacing w:after="0" w:line="133" w:lineRule="exact"/>
              <w:rPr>
                <w:sz w:val="20"/>
                <w:szCs w:val="20"/>
                <w:color w:val="auto"/>
              </w:rPr>
            </w:pPr>
            <w:r>
              <w:rPr>
                <w:rFonts w:ascii="Arial" w:cs="Arial" w:eastAsia="Arial" w:hAnsi="Arial"/>
                <w:sz w:val="12"/>
                <w:szCs w:val="12"/>
                <w:color w:val="auto"/>
              </w:rPr>
              <w:t>(14,400)</w:t>
            </w:r>
          </w:p>
        </w:tc>
        <w:tc>
          <w:tcPr>
            <w:tcW w:w="5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(54.5)%</w:t>
            </w:r>
          </w:p>
        </w:tc>
        <w:tc>
          <w:tcPr>
            <w:tcW w:w="120" w:type="dxa"/>
            <w:vAlign w:val="bottom"/>
          </w:tcPr>
          <w:p>
            <w:pPr>
              <w:spacing w:after="0"/>
              <w:rPr>
                <w:sz w:val="12"/>
                <w:szCs w:val="12"/>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18,200</w:t>
            </w:r>
          </w:p>
        </w:tc>
        <w:tc>
          <w:tcPr>
            <w:tcW w:w="200" w:type="dxa"/>
            <w:vAlign w:val="bottom"/>
          </w:tcPr>
          <w:p>
            <w:pPr>
              <w:spacing w:after="0"/>
              <w:rPr>
                <w:sz w:val="12"/>
                <w:szCs w:val="12"/>
                <w:color w:val="auto"/>
              </w:rPr>
            </w:pPr>
          </w:p>
        </w:tc>
        <w:tc>
          <w:tcPr>
            <w:tcW w:w="520" w:type="dxa"/>
            <w:vAlign w:val="bottom"/>
          </w:tcPr>
          <w:p>
            <w:pPr>
              <w:jc w:val="right"/>
              <w:ind w:right="41"/>
              <w:spacing w:after="0" w:line="133" w:lineRule="exact"/>
              <w:rPr>
                <w:sz w:val="20"/>
                <w:szCs w:val="20"/>
                <w:color w:val="auto"/>
              </w:rPr>
            </w:pPr>
            <w:r>
              <w:rPr>
                <w:rFonts w:ascii="Arial" w:cs="Arial" w:eastAsia="Arial" w:hAnsi="Arial"/>
                <w:sz w:val="12"/>
                <w:szCs w:val="12"/>
                <w:color w:val="auto"/>
              </w:rPr>
              <w:t>27,700</w:t>
            </w:r>
          </w:p>
        </w:tc>
        <w:tc>
          <w:tcPr>
            <w:tcW w:w="700" w:type="dxa"/>
            <w:vAlign w:val="bottom"/>
          </w:tcPr>
          <w:p>
            <w:pPr>
              <w:jc w:val="right"/>
              <w:ind w:right="40"/>
              <w:spacing w:after="0" w:line="133" w:lineRule="exact"/>
              <w:rPr>
                <w:sz w:val="20"/>
                <w:szCs w:val="20"/>
                <w:color w:val="auto"/>
              </w:rPr>
            </w:pPr>
            <w:r>
              <w:rPr>
                <w:rFonts w:ascii="Arial" w:cs="Arial" w:eastAsia="Arial" w:hAnsi="Arial"/>
                <w:sz w:val="12"/>
                <w:szCs w:val="12"/>
                <w:color w:val="auto"/>
              </w:rPr>
              <w:t>(9,500)</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2010</w:t>
            </w:r>
          </w:p>
        </w:tc>
        <w:tc>
          <w:tcPr>
            <w:tcW w:w="200" w:type="dxa"/>
            <w:vAlign w:val="bottom"/>
          </w:tcPr>
          <w:p>
            <w:pPr>
              <w:spacing w:after="0"/>
              <w:rPr>
                <w:sz w:val="12"/>
                <w:szCs w:val="12"/>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b w:val="1"/>
                <w:bCs w:val="1"/>
                <w:color w:val="auto"/>
              </w:rPr>
              <w:t>2009</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6"/>
              </w:rPr>
              <w:t>Increase</w:t>
            </w:r>
          </w:p>
        </w:tc>
        <w:tc>
          <w:tcPr>
            <w:tcW w:w="6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Change</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2010</w:t>
            </w:r>
          </w:p>
        </w:tc>
        <w:tc>
          <w:tcPr>
            <w:tcW w:w="200" w:type="dxa"/>
            <w:vAlign w:val="bottom"/>
          </w:tcPr>
          <w:p>
            <w:pPr>
              <w:spacing w:after="0"/>
              <w:rPr>
                <w:sz w:val="12"/>
                <w:szCs w:val="12"/>
                <w:color w:val="auto"/>
              </w:rPr>
            </w:pPr>
          </w:p>
        </w:tc>
        <w:tc>
          <w:tcPr>
            <w:tcW w:w="520" w:type="dxa"/>
            <w:vAlign w:val="bottom"/>
          </w:tcPr>
          <w:p>
            <w:pPr>
              <w:jc w:val="right"/>
              <w:ind w:right="41"/>
              <w:spacing w:after="0"/>
              <w:rPr>
                <w:sz w:val="20"/>
                <w:szCs w:val="20"/>
                <w:color w:val="auto"/>
              </w:rPr>
            </w:pPr>
            <w:r>
              <w:rPr>
                <w:rFonts w:ascii="Arial" w:cs="Arial" w:eastAsia="Arial" w:hAnsi="Arial"/>
                <w:sz w:val="12"/>
                <w:szCs w:val="12"/>
                <w:b w:val="1"/>
                <w:bCs w:val="1"/>
                <w:color w:val="auto"/>
              </w:rPr>
              <w:t>2009</w:t>
            </w:r>
          </w:p>
        </w:tc>
        <w:tc>
          <w:tcPr>
            <w:tcW w:w="700" w:type="dxa"/>
            <w:vAlign w:val="bottom"/>
          </w:tcPr>
          <w:p>
            <w:pPr>
              <w:jc w:val="right"/>
              <w:ind w:right="60"/>
              <w:spacing w:after="0"/>
              <w:rPr>
                <w:sz w:val="20"/>
                <w:szCs w:val="20"/>
                <w:color w:val="auto"/>
              </w:rPr>
            </w:pPr>
            <w:r>
              <w:rPr>
                <w:rFonts w:ascii="Arial" w:cs="Arial" w:eastAsia="Arial" w:hAnsi="Arial"/>
                <w:sz w:val="12"/>
                <w:szCs w:val="12"/>
                <w:b w:val="1"/>
                <w:bCs w:val="1"/>
                <w:color w:val="auto"/>
              </w:rPr>
              <w:t>Decrease</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Change</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January</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1,400</w:t>
            </w: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81"/>
              <w:spacing w:after="0" w:line="133" w:lineRule="exact"/>
              <w:rPr>
                <w:sz w:val="20"/>
                <w:szCs w:val="20"/>
                <w:color w:val="auto"/>
              </w:rPr>
            </w:pPr>
            <w:r>
              <w:rPr>
                <w:rFonts w:ascii="Arial" w:cs="Arial" w:eastAsia="Arial" w:hAnsi="Arial"/>
                <w:sz w:val="12"/>
                <w:szCs w:val="12"/>
                <w:color w:val="auto"/>
              </w:rPr>
              <w:t>600</w:t>
            </w:r>
          </w:p>
        </w:tc>
        <w:tc>
          <w:tcPr>
            <w:tcW w:w="760" w:type="dxa"/>
            <w:vAlign w:val="bottom"/>
            <w:tcBorders>
              <w:top w:val="single" w:sz="8" w:color="auto"/>
            </w:tcBorders>
            <w:shd w:val="clear" w:color="auto" w:fill="CCEEFF"/>
          </w:tcPr>
          <w:p>
            <w:pPr>
              <w:jc w:val="right"/>
              <w:ind w:right="101"/>
              <w:spacing w:after="0" w:line="133" w:lineRule="exact"/>
              <w:rPr>
                <w:sz w:val="20"/>
                <w:szCs w:val="20"/>
                <w:color w:val="auto"/>
              </w:rPr>
            </w:pPr>
            <w:r>
              <w:rPr>
                <w:rFonts w:ascii="Arial" w:cs="Arial" w:eastAsia="Arial" w:hAnsi="Arial"/>
                <w:sz w:val="12"/>
                <w:szCs w:val="12"/>
                <w:color w:val="auto"/>
              </w:rPr>
              <w:t>800</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133.3</w:t>
            </w:r>
          </w:p>
        </w:tc>
        <w:tc>
          <w:tcPr>
            <w:tcW w:w="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900</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7"/>
                <w:szCs w:val="7"/>
                <w:b w:val="1"/>
                <w:bCs w:val="1"/>
                <w:color w:val="auto"/>
              </w:rPr>
              <w:t>(4)</w:t>
            </w:r>
          </w:p>
        </w:tc>
        <w:tc>
          <w:tcPr>
            <w:tcW w:w="520" w:type="dxa"/>
            <w:vAlign w:val="bottom"/>
            <w:tcBorders>
              <w:top w:val="single" w:sz="8" w:color="auto"/>
            </w:tcBorders>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rPr>
              <w:t>1,100</w:t>
            </w:r>
          </w:p>
        </w:tc>
        <w:tc>
          <w:tcPr>
            <w:tcW w:w="70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(200)</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2"/>
                <w:szCs w:val="12"/>
                <w:color w:val="auto"/>
              </w:rPr>
              <w:t>February</w:t>
            </w:r>
          </w:p>
        </w:tc>
        <w:tc>
          <w:tcPr>
            <w:tcW w:w="440" w:type="dxa"/>
            <w:vAlign w:val="bottom"/>
          </w:tcPr>
          <w:p>
            <w:pPr>
              <w:jc w:val="right"/>
              <w:spacing w:after="0"/>
              <w:rPr>
                <w:sz w:val="20"/>
                <w:szCs w:val="20"/>
                <w:color w:val="auto"/>
              </w:rPr>
            </w:pPr>
            <w:r>
              <w:rPr>
                <w:rFonts w:ascii="Arial" w:cs="Arial" w:eastAsia="Arial" w:hAnsi="Arial"/>
                <w:sz w:val="12"/>
                <w:szCs w:val="12"/>
                <w:color w:val="auto"/>
              </w:rPr>
              <w:t>1,800</w:t>
            </w:r>
          </w:p>
        </w:tc>
        <w:tc>
          <w:tcPr>
            <w:tcW w:w="200" w:type="dxa"/>
            <w:vAlign w:val="bottom"/>
          </w:tcPr>
          <w:p>
            <w:pPr>
              <w:spacing w:after="0"/>
              <w:rPr>
                <w:sz w:val="12"/>
                <w:szCs w:val="12"/>
                <w:color w:val="auto"/>
              </w:rPr>
            </w:pPr>
          </w:p>
        </w:tc>
        <w:tc>
          <w:tcPr>
            <w:tcW w:w="540" w:type="dxa"/>
            <w:vAlign w:val="bottom"/>
          </w:tcPr>
          <w:p>
            <w:pPr>
              <w:jc w:val="right"/>
              <w:ind w:right="81"/>
              <w:spacing w:after="0"/>
              <w:rPr>
                <w:sz w:val="20"/>
                <w:szCs w:val="20"/>
                <w:color w:val="auto"/>
              </w:rPr>
            </w:pPr>
            <w:r>
              <w:rPr>
                <w:rFonts w:ascii="Arial" w:cs="Arial" w:eastAsia="Arial" w:hAnsi="Arial"/>
                <w:sz w:val="12"/>
                <w:szCs w:val="12"/>
                <w:color w:val="auto"/>
              </w:rPr>
              <w:t>700</w:t>
            </w: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1,100</w:t>
            </w:r>
          </w:p>
        </w:tc>
        <w:tc>
          <w:tcPr>
            <w:tcW w:w="420" w:type="dxa"/>
            <w:vAlign w:val="bottom"/>
          </w:tcPr>
          <w:p>
            <w:pPr>
              <w:jc w:val="right"/>
              <w:spacing w:after="0"/>
              <w:rPr>
                <w:sz w:val="20"/>
                <w:szCs w:val="20"/>
                <w:color w:val="auto"/>
              </w:rPr>
            </w:pPr>
            <w:r>
              <w:rPr>
                <w:rFonts w:ascii="Arial" w:cs="Arial" w:eastAsia="Arial" w:hAnsi="Arial"/>
                <w:sz w:val="12"/>
                <w:szCs w:val="12"/>
                <w:color w:val="auto"/>
              </w:rPr>
              <w:t>157.1</w:t>
            </w:r>
          </w:p>
        </w:tc>
        <w:tc>
          <w:tcPr>
            <w:tcW w:w="12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41"/>
              <w:spacing w:after="0"/>
              <w:rPr>
                <w:sz w:val="20"/>
                <w:szCs w:val="20"/>
                <w:color w:val="auto"/>
              </w:rPr>
            </w:pPr>
            <w:r>
              <w:rPr>
                <w:rFonts w:ascii="Arial" w:cs="Arial" w:eastAsia="Arial" w:hAnsi="Arial"/>
                <w:sz w:val="12"/>
                <w:szCs w:val="12"/>
                <w:color w:val="auto"/>
              </w:rPr>
              <w:t>1,400</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2"/>
                <w:szCs w:val="12"/>
                <w:color w:val="auto"/>
              </w:rPr>
              <w:t>March - December</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15,000</w:t>
            </w: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b w:val="1"/>
                <w:bCs w:val="1"/>
                <w:color w:val="auto"/>
                <w:w w:val="92"/>
              </w:rPr>
              <w:t>(3)</w:t>
            </w:r>
          </w:p>
        </w:tc>
        <w:tc>
          <w:tcPr>
            <w:tcW w:w="5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10,700</w:t>
            </w: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4,300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15,700</w:t>
            </w:r>
          </w:p>
        </w:tc>
        <w:tc>
          <w:tcPr>
            <w:tcW w:w="7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gridSpan w:val="2"/>
          </w:tcPr>
          <w:p>
            <w:pPr>
              <w:spacing w:after="0" w:line="133" w:lineRule="exact"/>
              <w:rPr>
                <w:sz w:val="20"/>
                <w:szCs w:val="20"/>
                <w:color w:val="auto"/>
              </w:rPr>
            </w:pPr>
            <w:r>
              <w:rPr>
                <w:rFonts w:ascii="Arial" w:cs="Arial" w:eastAsia="Arial" w:hAnsi="Arial"/>
                <w:sz w:val="12"/>
                <w:szCs w:val="12"/>
                <w:color w:val="auto"/>
              </w:rPr>
              <w:t>Total</w:t>
            </w: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18,200</w:t>
            </w: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w w:val="92"/>
              </w:rPr>
              <w:t>(3)</w:t>
            </w:r>
          </w:p>
        </w:tc>
        <w:tc>
          <w:tcPr>
            <w:tcW w:w="540" w:type="dxa"/>
            <w:vAlign w:val="bottom"/>
            <w:tcBorders>
              <w:bottom w:val="single" w:sz="8" w:color="auto"/>
            </w:tcBorders>
          </w:tcPr>
          <w:p>
            <w:pPr>
              <w:jc w:val="right"/>
              <w:ind w:right="81"/>
              <w:spacing w:after="0" w:line="133" w:lineRule="exact"/>
              <w:rPr>
                <w:sz w:val="20"/>
                <w:szCs w:val="20"/>
                <w:color w:val="auto"/>
              </w:rPr>
            </w:pPr>
            <w:r>
              <w:rPr>
                <w:rFonts w:ascii="Arial" w:cs="Arial" w:eastAsia="Arial" w:hAnsi="Arial"/>
                <w:sz w:val="12"/>
                <w:szCs w:val="12"/>
                <w:color w:val="auto"/>
              </w:rPr>
              <w:t>12,000</w:t>
            </w:r>
          </w:p>
        </w:tc>
        <w:tc>
          <w:tcPr>
            <w:tcW w:w="760" w:type="dxa"/>
            <w:vAlign w:val="bottom"/>
            <w:tcBorders>
              <w:bottom w:val="single" w:sz="8" w:color="auto"/>
            </w:tcBorders>
          </w:tcPr>
          <w:p>
            <w:pPr>
              <w:jc w:val="right"/>
              <w:ind w:right="101"/>
              <w:spacing w:after="0" w:line="133" w:lineRule="exact"/>
              <w:rPr>
                <w:sz w:val="20"/>
                <w:szCs w:val="20"/>
                <w:color w:val="auto"/>
              </w:rPr>
            </w:pPr>
            <w:r>
              <w:rPr>
                <w:rFonts w:ascii="Arial" w:cs="Arial" w:eastAsia="Arial" w:hAnsi="Arial"/>
                <w:sz w:val="12"/>
                <w:szCs w:val="12"/>
                <w:color w:val="auto"/>
              </w:rPr>
              <w:t>6,200</w:t>
            </w:r>
          </w:p>
        </w:tc>
        <w:tc>
          <w:tcPr>
            <w:tcW w:w="4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51.7</w:t>
            </w:r>
          </w:p>
        </w:tc>
        <w:tc>
          <w:tcPr>
            <w:tcW w:w="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3"/>
              </w:rPr>
              <w:t>%</w:t>
            </w: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1"/>
              <w:spacing w:after="0" w:line="133" w:lineRule="exact"/>
              <w:rPr>
                <w:sz w:val="20"/>
                <w:szCs w:val="20"/>
                <w:color w:val="auto"/>
              </w:rPr>
            </w:pPr>
            <w:r>
              <w:rPr>
                <w:rFonts w:ascii="Arial" w:cs="Arial" w:eastAsia="Arial" w:hAnsi="Arial"/>
                <w:sz w:val="12"/>
                <w:szCs w:val="12"/>
                <w:color w:val="auto"/>
              </w:rPr>
              <w:t>18,200</w:t>
            </w:r>
          </w:p>
        </w:tc>
        <w:tc>
          <w:tcPr>
            <w:tcW w:w="7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8" w:hanging="188"/>
        <w:spacing w:after="0"/>
        <w:tabs>
          <w:tab w:leader="none" w:pos="188" w:val="left"/>
        </w:tabs>
        <w:numPr>
          <w:ilvl w:val="0"/>
          <w:numId w:val="3"/>
        </w:numPr>
        <w:rPr>
          <w:rFonts w:ascii="Arial" w:cs="Arial" w:eastAsia="Arial" w:hAnsi="Arial"/>
          <w:sz w:val="8"/>
          <w:szCs w:val="8"/>
          <w:color w:val="auto"/>
        </w:rPr>
      </w:pPr>
      <w:r>
        <w:rPr>
          <w:rFonts w:ascii="Arial" w:cs="Arial" w:eastAsia="Arial" w:hAnsi="Arial"/>
          <w:sz w:val="8"/>
          <w:szCs w:val="8"/>
          <w:color w:val="auto"/>
        </w:rPr>
        <w:t>Class A and C wholesale shipments as reported by RVIA, rounded to the nearest hundred.</w:t>
      </w:r>
    </w:p>
    <w:p>
      <w:pPr>
        <w:spacing w:after="0" w:line="12" w:lineRule="exact"/>
        <w:rPr>
          <w:rFonts w:ascii="Arial" w:cs="Arial" w:eastAsia="Arial" w:hAnsi="Arial"/>
          <w:sz w:val="8"/>
          <w:szCs w:val="8"/>
          <w:color w:val="auto"/>
        </w:rPr>
      </w:pPr>
    </w:p>
    <w:p>
      <w:pPr>
        <w:ind w:left="188" w:hanging="188"/>
        <w:spacing w:after="0"/>
        <w:tabs>
          <w:tab w:leader="none" w:pos="188" w:val="left"/>
        </w:tabs>
        <w:numPr>
          <w:ilvl w:val="0"/>
          <w:numId w:val="3"/>
        </w:numPr>
        <w:rPr>
          <w:rFonts w:ascii="Arial" w:cs="Arial" w:eastAsia="Arial" w:hAnsi="Arial"/>
          <w:sz w:val="8"/>
          <w:szCs w:val="8"/>
          <w:color w:val="auto"/>
        </w:rPr>
      </w:pPr>
      <w:r>
        <w:rPr>
          <w:rFonts w:ascii="Arial" w:cs="Arial" w:eastAsia="Arial" w:hAnsi="Arial"/>
          <w:sz w:val="8"/>
          <w:szCs w:val="8"/>
          <w:color w:val="auto"/>
        </w:rPr>
        <w:t>Class A and C U.S. retail registrations as reported by Statistical Surveys, rounded to the nearest hundred. Note that retail registrations for Georgia and New Mexico are no longer included for 2009, 2008 and 2007 as complete data was not reported.</w:t>
      </w:r>
    </w:p>
    <w:p>
      <w:pPr>
        <w:spacing w:after="0" w:line="7" w:lineRule="exact"/>
        <w:rPr>
          <w:rFonts w:ascii="Arial" w:cs="Arial" w:eastAsia="Arial" w:hAnsi="Arial"/>
          <w:sz w:val="8"/>
          <w:szCs w:val="8"/>
          <w:color w:val="auto"/>
        </w:rPr>
      </w:pPr>
    </w:p>
    <w:p>
      <w:pPr>
        <w:ind w:left="188" w:hanging="188"/>
        <w:spacing w:after="0"/>
        <w:tabs>
          <w:tab w:leader="none" w:pos="188" w:val="left"/>
        </w:tabs>
        <w:numPr>
          <w:ilvl w:val="0"/>
          <w:numId w:val="3"/>
        </w:numPr>
        <w:rPr>
          <w:rFonts w:ascii="Arial" w:cs="Arial" w:eastAsia="Arial" w:hAnsi="Arial"/>
          <w:sz w:val="8"/>
          <w:szCs w:val="8"/>
          <w:color w:val="auto"/>
        </w:rPr>
      </w:pPr>
      <w:r>
        <w:rPr>
          <w:rFonts w:ascii="Arial" w:cs="Arial" w:eastAsia="Arial" w:hAnsi="Arial"/>
          <w:sz w:val="8"/>
          <w:szCs w:val="8"/>
          <w:color w:val="auto"/>
        </w:rPr>
        <w:t>Based upon forecasted 2010 Class A and C wholesale shipments as reported by RVIA in the Roadsigns Spring 2010 issue.</w:t>
      </w:r>
    </w:p>
    <w:p>
      <w:pPr>
        <w:spacing w:after="0" w:line="7" w:lineRule="exact"/>
        <w:rPr>
          <w:rFonts w:ascii="Arial" w:cs="Arial" w:eastAsia="Arial" w:hAnsi="Arial"/>
          <w:sz w:val="8"/>
          <w:szCs w:val="8"/>
          <w:color w:val="auto"/>
        </w:rPr>
      </w:pPr>
    </w:p>
    <w:p>
      <w:pPr>
        <w:ind w:left="188" w:hanging="188"/>
        <w:spacing w:after="0"/>
        <w:tabs>
          <w:tab w:leader="none" w:pos="188" w:val="left"/>
        </w:tabs>
        <w:numPr>
          <w:ilvl w:val="0"/>
          <w:numId w:val="3"/>
        </w:numPr>
        <w:rPr>
          <w:rFonts w:ascii="Arial" w:cs="Arial" w:eastAsia="Arial" w:hAnsi="Arial"/>
          <w:sz w:val="8"/>
          <w:szCs w:val="8"/>
          <w:color w:val="auto"/>
        </w:rPr>
      </w:pPr>
      <w:r>
        <w:rPr>
          <w:rFonts w:ascii="Arial" w:cs="Arial" w:eastAsia="Arial" w:hAnsi="Arial"/>
          <w:sz w:val="8"/>
          <w:szCs w:val="8"/>
          <w:color w:val="auto"/>
        </w:rPr>
        <w:t>Retail registrations for January 2010 as reported by Statistical Surveys do not include data for Georgia and New Mexico. Statistical Surveys has not issued a projection for 2010 retail demand.</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Company Outlook</w:t>
      </w:r>
    </w:p>
    <w:p>
      <w:pPr>
        <w:spacing w:after="0" w:line="15" w:lineRule="exact"/>
        <w:rPr>
          <w:sz w:val="20"/>
          <w:szCs w:val="20"/>
          <w:color w:val="auto"/>
        </w:rPr>
      </w:pPr>
    </w:p>
    <w:p>
      <w:pPr>
        <w:ind w:left="8" w:right="100"/>
        <w:spacing w:after="0" w:line="281" w:lineRule="auto"/>
        <w:rPr>
          <w:sz w:val="20"/>
          <w:szCs w:val="20"/>
          <w:color w:val="auto"/>
        </w:rPr>
      </w:pPr>
      <w:r>
        <w:rPr>
          <w:rFonts w:ascii="Arial" w:cs="Arial" w:eastAsia="Arial" w:hAnsi="Arial"/>
          <w:sz w:val="11"/>
          <w:szCs w:val="11"/>
          <w:color w:val="auto"/>
        </w:rPr>
        <w:t>Similar to the overall motor home industry, after two years of declining motor home shipments, we have seen improvements in recent quarters in our business as dealers began to re-order product. During the second half of Calendar 2009, we saw a substantial growth in our backlog, which we attributed to the very low level of dealer inventories and the strong acceptance of our Model Year 2010 product lineup. As a result of the increased order activity, we hired approximately 350 hourly employees during the first quarter of Fiscal 2010 and began to increase our weekly production rates in October 2009. This production ramp-up allowed us to ship an additional 315 units in our second quarter as compared to our first quarter of Fiscal 2010, an increase of nearly 4 0 percent. Note that our dealers' inventories increased for the first time in two years during our second fiscal quarter of Fiscal 2010. While we are encouraged with these improvements, the economic outlook remains uncertain and we believe retail sales will be the key driver to sustain our recovery and for continued growth going forward.</w:t>
      </w:r>
    </w:p>
    <w:p>
      <w:pPr>
        <w:spacing w:after="0" w:line="3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3177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 of our key metrics for Class A, B and C motor homes, as previously discussed, are evidenced in the table below:</w:t>
      </w:r>
    </w:p>
    <w:p>
      <w:pPr>
        <w:spacing w:after="0" w:line="119" w:lineRule="exact"/>
        <w:rPr>
          <w:sz w:val="20"/>
          <w:szCs w:val="20"/>
          <w:color w:val="auto"/>
        </w:rPr>
      </w:pPr>
    </w:p>
    <w:p>
      <w:pPr>
        <w:ind w:left="10208"/>
        <w:spacing w:after="0"/>
        <w:rPr>
          <w:sz w:val="20"/>
          <w:szCs w:val="20"/>
          <w:color w:val="auto"/>
        </w:rPr>
      </w:pPr>
      <w:r>
        <w:rPr>
          <w:rFonts w:ascii="Arial" w:cs="Arial" w:eastAsia="Arial" w:hAnsi="Arial"/>
          <w:sz w:val="12"/>
          <w:szCs w:val="12"/>
          <w:b w:val="1"/>
          <w:bCs w:val="1"/>
          <w:color w:val="auto"/>
        </w:rPr>
        <w:t>As of Quarter End</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06"/>
        </w:trPr>
        <w:tc>
          <w:tcPr>
            <w:tcW w:w="7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units and presented in fiscal quarters)</w:t>
            </w:r>
          </w:p>
        </w:tc>
        <w:tc>
          <w:tcPr>
            <w:tcW w:w="540" w:type="dxa"/>
            <w:vAlign w:val="bottom"/>
          </w:tcPr>
          <w:p>
            <w:pPr>
              <w:spacing w:after="0"/>
              <w:rPr>
                <w:sz w:val="9"/>
                <w:szCs w:val="9"/>
                <w:color w:val="auto"/>
              </w:rPr>
            </w:pPr>
          </w:p>
        </w:tc>
        <w:tc>
          <w:tcPr>
            <w:tcW w:w="740" w:type="dxa"/>
            <w:vAlign w:val="bottom"/>
          </w:tcPr>
          <w:p>
            <w:pPr>
              <w:ind w:left="140"/>
              <w:spacing w:after="0" w:line="106" w:lineRule="exact"/>
              <w:rPr>
                <w:sz w:val="20"/>
                <w:szCs w:val="20"/>
                <w:color w:val="auto"/>
              </w:rPr>
            </w:pPr>
            <w:r>
              <w:rPr>
                <w:rFonts w:ascii="Arial" w:cs="Arial" w:eastAsia="Arial" w:hAnsi="Arial"/>
                <w:sz w:val="11"/>
                <w:szCs w:val="11"/>
                <w:b w:val="1"/>
                <w:bCs w:val="1"/>
                <w:color w:val="auto"/>
              </w:rPr>
              <w:t>Wholesale</w:t>
            </w:r>
          </w:p>
        </w:tc>
        <w:tc>
          <w:tcPr>
            <w:tcW w:w="680" w:type="dxa"/>
            <w:vAlign w:val="bottom"/>
            <w:gridSpan w:val="3"/>
          </w:tcPr>
          <w:p>
            <w:pPr>
              <w:jc w:val="center"/>
              <w:ind w:left="101"/>
              <w:spacing w:after="0" w:line="106" w:lineRule="exact"/>
              <w:rPr>
                <w:sz w:val="20"/>
                <w:szCs w:val="20"/>
                <w:color w:val="auto"/>
              </w:rPr>
            </w:pPr>
            <w:r>
              <w:rPr>
                <w:rFonts w:ascii="Arial" w:cs="Arial" w:eastAsia="Arial" w:hAnsi="Arial"/>
                <w:sz w:val="11"/>
                <w:szCs w:val="11"/>
                <w:b w:val="1"/>
                <w:bCs w:val="1"/>
                <w:color w:val="auto"/>
                <w:w w:val="93"/>
              </w:rPr>
              <w:t>Retail</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3"/>
          </w:tcPr>
          <w:p>
            <w:pPr>
              <w:jc w:val="center"/>
              <w:ind w:right="241"/>
              <w:spacing w:after="0" w:line="106" w:lineRule="exact"/>
              <w:rPr>
                <w:sz w:val="20"/>
                <w:szCs w:val="20"/>
                <w:color w:val="auto"/>
              </w:rPr>
            </w:pPr>
            <w:r>
              <w:rPr>
                <w:rFonts w:ascii="Arial" w:cs="Arial" w:eastAsia="Arial" w:hAnsi="Arial"/>
                <w:sz w:val="11"/>
                <w:szCs w:val="11"/>
                <w:b w:val="1"/>
                <w:bCs w:val="1"/>
                <w:color w:val="auto"/>
                <w:w w:val="89"/>
              </w:rPr>
              <w:t>Dealer</w:t>
            </w: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1"/>
              <w:spacing w:after="0" w:line="106" w:lineRule="exact"/>
              <w:rPr>
                <w:sz w:val="20"/>
                <w:szCs w:val="20"/>
                <w:color w:val="auto"/>
              </w:rPr>
            </w:pPr>
            <w:r>
              <w:rPr>
                <w:rFonts w:ascii="Arial" w:cs="Arial" w:eastAsia="Arial" w:hAnsi="Arial"/>
                <w:sz w:val="11"/>
                <w:szCs w:val="11"/>
                <w:b w:val="1"/>
                <w:bCs w:val="1"/>
                <w:color w:val="auto"/>
                <w:w w:val="93"/>
              </w:rPr>
              <w:t>Order</w:t>
            </w:r>
          </w:p>
        </w:tc>
        <w:tc>
          <w:tcPr>
            <w:tcW w:w="3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820" w:type="dxa"/>
            <w:vAlign w:val="bottom"/>
            <w:tcBorders>
              <w:bottom w:val="single" w:sz="8" w:color="auto"/>
            </w:tcBorders>
            <w:gridSpan w:val="2"/>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Deliveries</w:t>
            </w:r>
          </w:p>
        </w:tc>
        <w:tc>
          <w:tcPr>
            <w:tcW w:w="740" w:type="dxa"/>
            <w:vAlign w:val="bottom"/>
            <w:tcBorders>
              <w:bottom w:val="single" w:sz="8" w:color="auto"/>
            </w:tcBorders>
            <w:gridSpan w:val="4"/>
          </w:tcPr>
          <w:p>
            <w:pPr>
              <w:jc w:val="center"/>
              <w:ind w:left="21"/>
              <w:spacing w:after="0"/>
              <w:rPr>
                <w:sz w:val="20"/>
                <w:szCs w:val="20"/>
                <w:color w:val="auto"/>
              </w:rPr>
            </w:pPr>
            <w:r>
              <w:rPr>
                <w:rFonts w:ascii="Arial" w:cs="Arial" w:eastAsia="Arial" w:hAnsi="Arial"/>
                <w:sz w:val="11"/>
                <w:szCs w:val="11"/>
                <w:b w:val="1"/>
                <w:bCs w:val="1"/>
                <w:color w:val="auto"/>
                <w:w w:val="88"/>
              </w:rPr>
              <w:t>Registrations</w:t>
            </w: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1"/>
                <w:szCs w:val="11"/>
                <w:b w:val="1"/>
                <w:bCs w:val="1"/>
                <w:color w:val="auto"/>
                <w:w w:val="92"/>
              </w:rPr>
              <w:t>Inventory</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8"/>
              </w:rPr>
              <w:t>Backlog</w:t>
            </w:r>
          </w:p>
        </w:tc>
        <w:tc>
          <w:tcPr>
            <w:tcW w:w="3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20" w:type="dxa"/>
            <w:vAlign w:val="bottom"/>
            <w:gridSpan w:val="2"/>
          </w:tcPr>
          <w:p>
            <w:pPr>
              <w:spacing w:after="0" w:line="133" w:lineRule="exact"/>
              <w:rPr>
                <w:sz w:val="20"/>
                <w:szCs w:val="20"/>
                <w:color w:val="auto"/>
              </w:rPr>
            </w:pPr>
            <w:r>
              <w:rPr>
                <w:rFonts w:ascii="Arial" w:cs="Arial" w:eastAsia="Arial" w:hAnsi="Arial"/>
                <w:sz w:val="12"/>
                <w:szCs w:val="12"/>
                <w:color w:val="auto"/>
              </w:rPr>
              <w:t>3rd Quarter 2008</w:t>
            </w:r>
          </w:p>
        </w:tc>
        <w:tc>
          <w:tcPr>
            <w:tcW w:w="540" w:type="dxa"/>
            <w:vAlign w:val="bottom"/>
          </w:tcPr>
          <w:p>
            <w:pPr>
              <w:spacing w:after="0"/>
              <w:rPr>
                <w:sz w:val="11"/>
                <w:szCs w:val="11"/>
                <w:color w:val="auto"/>
              </w:rPr>
            </w:pPr>
          </w:p>
        </w:tc>
        <w:tc>
          <w:tcPr>
            <w:tcW w:w="740" w:type="dxa"/>
            <w:vAlign w:val="bottom"/>
          </w:tcPr>
          <w:p>
            <w:pPr>
              <w:jc w:val="right"/>
              <w:ind w:right="201"/>
              <w:spacing w:after="0" w:line="133" w:lineRule="exact"/>
              <w:rPr>
                <w:sz w:val="20"/>
                <w:szCs w:val="20"/>
                <w:color w:val="auto"/>
              </w:rPr>
            </w:pPr>
            <w:r>
              <w:rPr>
                <w:rFonts w:ascii="Arial" w:cs="Arial" w:eastAsia="Arial" w:hAnsi="Arial"/>
                <w:sz w:val="12"/>
                <w:szCs w:val="12"/>
                <w:color w:val="auto"/>
              </w:rPr>
              <w:t>1,627</w:t>
            </w:r>
          </w:p>
        </w:tc>
        <w:tc>
          <w:tcPr>
            <w:tcW w:w="660" w:type="dxa"/>
            <w:vAlign w:val="bottom"/>
            <w:gridSpan w:val="2"/>
          </w:tcPr>
          <w:p>
            <w:pPr>
              <w:jc w:val="right"/>
              <w:ind w:right="140"/>
              <w:spacing w:after="0" w:line="133" w:lineRule="exact"/>
              <w:rPr>
                <w:sz w:val="20"/>
                <w:szCs w:val="20"/>
                <w:color w:val="auto"/>
              </w:rPr>
            </w:pPr>
            <w:r>
              <w:rPr>
                <w:rFonts w:ascii="Arial" w:cs="Arial" w:eastAsia="Arial" w:hAnsi="Arial"/>
                <w:sz w:val="12"/>
                <w:szCs w:val="12"/>
                <w:color w:val="auto"/>
              </w:rPr>
              <w:t>2,123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gridSpan w:val="2"/>
          </w:tcPr>
          <w:p>
            <w:pPr>
              <w:jc w:val="right"/>
              <w:spacing w:after="0" w:line="133" w:lineRule="exact"/>
              <w:rPr>
                <w:sz w:val="20"/>
                <w:szCs w:val="20"/>
                <w:color w:val="auto"/>
              </w:rPr>
            </w:pPr>
            <w:r>
              <w:rPr>
                <w:rFonts w:ascii="Arial" w:cs="Arial" w:eastAsia="Arial" w:hAnsi="Arial"/>
                <w:sz w:val="12"/>
                <w:szCs w:val="12"/>
                <w:color w:val="auto"/>
                <w:w w:val="93"/>
              </w:rPr>
              <w:t>4,341</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jc w:val="right"/>
              <w:spacing w:after="0" w:line="133" w:lineRule="exact"/>
              <w:rPr>
                <w:sz w:val="20"/>
                <w:szCs w:val="20"/>
                <w:color w:val="auto"/>
              </w:rPr>
            </w:pPr>
            <w:r>
              <w:rPr>
                <w:rFonts w:ascii="Arial" w:cs="Arial" w:eastAsia="Arial" w:hAnsi="Arial"/>
                <w:sz w:val="12"/>
                <w:szCs w:val="12"/>
                <w:color w:val="auto"/>
                <w:w w:val="99"/>
              </w:rPr>
              <w:t>1,147</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4th Quarter 2008</w:t>
            </w: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928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1,606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3"/>
              </w:rPr>
              <w:t>3,663</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w:t>
            </w: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1st Quarter 2009</w:t>
            </w:r>
          </w:p>
        </w:tc>
        <w:tc>
          <w:tcPr>
            <w:tcW w:w="540" w:type="dxa"/>
            <w:vAlign w:val="bottom"/>
          </w:tcPr>
          <w:p>
            <w:pPr>
              <w:spacing w:after="0"/>
              <w:rPr>
                <w:sz w:val="12"/>
                <w:szCs w:val="12"/>
                <w:color w:val="auto"/>
              </w:rPr>
            </w:pPr>
          </w:p>
        </w:tc>
        <w:tc>
          <w:tcPr>
            <w:tcW w:w="740" w:type="dxa"/>
            <w:vAlign w:val="bottom"/>
          </w:tcPr>
          <w:p>
            <w:pPr>
              <w:jc w:val="right"/>
              <w:ind w:right="201"/>
              <w:spacing w:after="0"/>
              <w:rPr>
                <w:sz w:val="20"/>
                <w:szCs w:val="20"/>
                <w:color w:val="auto"/>
              </w:rPr>
            </w:pPr>
            <w:r>
              <w:rPr>
                <w:rFonts w:ascii="Arial" w:cs="Arial" w:eastAsia="Arial" w:hAnsi="Arial"/>
                <w:sz w:val="12"/>
                <w:szCs w:val="12"/>
                <w:color w:val="auto"/>
              </w:rPr>
              <w:t>656</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1,050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w w:val="93"/>
              </w:rPr>
              <w:t>3,269</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338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2nd Quarter 2009</w:t>
            </w:r>
          </w:p>
        </w:tc>
        <w:tc>
          <w:tcPr>
            <w:tcW w:w="5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315</w:t>
            </w:r>
          </w:p>
        </w:tc>
        <w:tc>
          <w:tcPr>
            <w:tcW w:w="6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3"/>
              </w:rPr>
              <w:t>2,918</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w:t>
            </w: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Rolling 12 months (March 2008 Through February 2009)</w:t>
            </w:r>
          </w:p>
        </w:tc>
        <w:tc>
          <w:tcPr>
            <w:tcW w:w="5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201"/>
              <w:spacing w:after="0" w:line="133" w:lineRule="exact"/>
              <w:rPr>
                <w:sz w:val="20"/>
                <w:szCs w:val="20"/>
                <w:color w:val="auto"/>
              </w:rPr>
            </w:pPr>
            <w:r>
              <w:rPr>
                <w:rFonts w:ascii="Arial" w:cs="Arial" w:eastAsia="Arial" w:hAnsi="Arial"/>
                <w:sz w:val="12"/>
                <w:szCs w:val="12"/>
                <w:color w:val="auto"/>
              </w:rPr>
              <w:t>3,526</w:t>
            </w:r>
          </w:p>
        </w:tc>
        <w:tc>
          <w:tcPr>
            <w:tcW w:w="660" w:type="dxa"/>
            <w:vAlign w:val="bottom"/>
            <w:tcBorders>
              <w:bottom w:val="single" w:sz="8" w:color="auto"/>
            </w:tcBorders>
            <w:gridSpan w:val="2"/>
          </w:tcPr>
          <w:p>
            <w:pPr>
              <w:jc w:val="right"/>
              <w:ind w:right="140"/>
              <w:spacing w:after="0" w:line="133" w:lineRule="exact"/>
              <w:rPr>
                <w:sz w:val="20"/>
                <w:szCs w:val="20"/>
                <w:color w:val="auto"/>
              </w:rPr>
            </w:pPr>
            <w:r>
              <w:rPr>
                <w:rFonts w:ascii="Arial" w:cs="Arial" w:eastAsia="Arial" w:hAnsi="Arial"/>
                <w:sz w:val="12"/>
                <w:szCs w:val="12"/>
                <w:color w:val="auto"/>
              </w:rPr>
              <w:t>5,445</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3rd Quarter 2009</w:t>
            </w:r>
          </w:p>
        </w:tc>
        <w:tc>
          <w:tcPr>
            <w:tcW w:w="540" w:type="dxa"/>
            <w:vAlign w:val="bottom"/>
          </w:tcPr>
          <w:p>
            <w:pPr>
              <w:spacing w:after="0"/>
              <w:rPr>
                <w:sz w:val="12"/>
                <w:szCs w:val="12"/>
                <w:color w:val="auto"/>
              </w:rPr>
            </w:pPr>
          </w:p>
        </w:tc>
        <w:tc>
          <w:tcPr>
            <w:tcW w:w="740" w:type="dxa"/>
            <w:vAlign w:val="bottom"/>
          </w:tcPr>
          <w:p>
            <w:pPr>
              <w:jc w:val="right"/>
              <w:ind w:right="201"/>
              <w:spacing w:after="0"/>
              <w:rPr>
                <w:sz w:val="20"/>
                <w:szCs w:val="20"/>
                <w:color w:val="auto"/>
              </w:rPr>
            </w:pPr>
            <w:r>
              <w:rPr>
                <w:rFonts w:ascii="Arial" w:cs="Arial" w:eastAsia="Arial" w:hAnsi="Arial"/>
                <w:sz w:val="12"/>
                <w:szCs w:val="12"/>
                <w:color w:val="auto"/>
              </w:rPr>
              <w:t>620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1,214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w w:val="93"/>
              </w:rPr>
              <w:t>2,324</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382</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4th Quarter 2009</w:t>
            </w: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605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1,235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3"/>
              </w:rPr>
              <w:t>1,694</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w:t>
            </w: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1st Quarter 2010</w:t>
            </w:r>
          </w:p>
        </w:tc>
        <w:tc>
          <w:tcPr>
            <w:tcW w:w="540" w:type="dxa"/>
            <w:vAlign w:val="bottom"/>
          </w:tcPr>
          <w:p>
            <w:pPr>
              <w:spacing w:after="0"/>
              <w:rPr>
                <w:sz w:val="12"/>
                <w:szCs w:val="12"/>
                <w:color w:val="auto"/>
              </w:rPr>
            </w:pPr>
          </w:p>
        </w:tc>
        <w:tc>
          <w:tcPr>
            <w:tcW w:w="740" w:type="dxa"/>
            <w:vAlign w:val="bottom"/>
          </w:tcPr>
          <w:p>
            <w:pPr>
              <w:jc w:val="right"/>
              <w:ind w:right="201"/>
              <w:spacing w:after="0"/>
              <w:rPr>
                <w:sz w:val="20"/>
                <w:szCs w:val="20"/>
                <w:color w:val="auto"/>
              </w:rPr>
            </w:pPr>
            <w:r>
              <w:rPr>
                <w:rFonts w:ascii="Arial" w:cs="Arial" w:eastAsia="Arial" w:hAnsi="Arial"/>
                <w:sz w:val="12"/>
                <w:szCs w:val="12"/>
                <w:color w:val="auto"/>
              </w:rPr>
              <w:t>794</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921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w w:val="93"/>
              </w:rPr>
              <w:t>1,567</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1,521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2nd Quarter 2010</w:t>
            </w:r>
          </w:p>
        </w:tc>
        <w:tc>
          <w:tcPr>
            <w:tcW w:w="5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1,109</w:t>
            </w:r>
          </w:p>
        </w:tc>
        <w:tc>
          <w:tcPr>
            <w:tcW w:w="6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654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3"/>
              </w:rPr>
              <w:t>2,022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1,159</w:t>
            </w: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0" w:type="dxa"/>
            <w:vAlign w:val="bottom"/>
          </w:tcPr>
          <w:p>
            <w:pPr>
              <w:ind w:left="220"/>
              <w:spacing w:after="0" w:line="133" w:lineRule="exact"/>
              <w:rPr>
                <w:sz w:val="20"/>
                <w:szCs w:val="20"/>
                <w:color w:val="auto"/>
              </w:rPr>
            </w:pPr>
            <w:r>
              <w:rPr>
                <w:rFonts w:ascii="Arial" w:cs="Arial" w:eastAsia="Arial" w:hAnsi="Arial"/>
                <w:sz w:val="12"/>
                <w:szCs w:val="12"/>
                <w:color w:val="auto"/>
              </w:rPr>
              <w:t>Rolling 12 months (March 2009 Through February 2010)</w:t>
            </w:r>
          </w:p>
        </w:tc>
        <w:tc>
          <w:tcPr>
            <w:tcW w:w="540" w:type="dxa"/>
            <w:vAlign w:val="bottom"/>
          </w:tcPr>
          <w:p>
            <w:pPr>
              <w:spacing w:after="0"/>
              <w:rPr>
                <w:sz w:val="12"/>
                <w:szCs w:val="12"/>
                <w:color w:val="auto"/>
              </w:rPr>
            </w:pPr>
          </w:p>
        </w:tc>
        <w:tc>
          <w:tcPr>
            <w:tcW w:w="740" w:type="dxa"/>
            <w:vAlign w:val="bottom"/>
            <w:tcBorders>
              <w:bottom w:val="single" w:sz="8" w:color="auto"/>
            </w:tcBorders>
          </w:tcPr>
          <w:p>
            <w:pPr>
              <w:jc w:val="right"/>
              <w:ind w:right="201"/>
              <w:spacing w:after="0" w:line="133" w:lineRule="exact"/>
              <w:rPr>
                <w:sz w:val="20"/>
                <w:szCs w:val="20"/>
                <w:color w:val="auto"/>
              </w:rPr>
            </w:pPr>
            <w:r>
              <w:rPr>
                <w:rFonts w:ascii="Arial" w:cs="Arial" w:eastAsia="Arial" w:hAnsi="Arial"/>
                <w:sz w:val="12"/>
                <w:szCs w:val="12"/>
                <w:color w:val="auto"/>
              </w:rPr>
              <w:t>3,128</w:t>
            </w:r>
          </w:p>
        </w:tc>
        <w:tc>
          <w:tcPr>
            <w:tcW w:w="660" w:type="dxa"/>
            <w:vAlign w:val="bottom"/>
            <w:tcBorders>
              <w:bottom w:val="single" w:sz="8" w:color="auto"/>
            </w:tcBorders>
            <w:gridSpan w:val="2"/>
          </w:tcPr>
          <w:p>
            <w:pPr>
              <w:jc w:val="right"/>
              <w:ind w:right="140"/>
              <w:spacing w:after="0" w:line="133" w:lineRule="exact"/>
              <w:rPr>
                <w:sz w:val="20"/>
                <w:szCs w:val="20"/>
                <w:color w:val="auto"/>
              </w:rPr>
            </w:pPr>
            <w:r>
              <w:rPr>
                <w:rFonts w:ascii="Arial" w:cs="Arial" w:eastAsia="Arial" w:hAnsi="Arial"/>
                <w:sz w:val="12"/>
                <w:szCs w:val="12"/>
                <w:color w:val="auto"/>
              </w:rPr>
              <w:t>4,024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7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Key Comparisons:</w:t>
            </w:r>
          </w:p>
        </w:tc>
        <w:tc>
          <w:tcPr>
            <w:tcW w:w="540" w:type="dxa"/>
            <w:vAlign w:val="bottom"/>
          </w:tcPr>
          <w:p>
            <w:pPr>
              <w:spacing w:after="0"/>
              <w:rPr>
                <w:sz w:val="22"/>
                <w:szCs w:val="22"/>
                <w:color w:val="auto"/>
              </w:rPr>
            </w:pP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Wholesale</w:t>
            </w:r>
          </w:p>
        </w:tc>
        <w:tc>
          <w:tcPr>
            <w:tcW w:w="680" w:type="dxa"/>
            <w:vAlign w:val="bottom"/>
            <w:gridSpan w:val="3"/>
          </w:tcPr>
          <w:p>
            <w:pPr>
              <w:jc w:val="center"/>
              <w:ind w:left="101"/>
              <w:spacing w:after="0"/>
              <w:rPr>
                <w:sz w:val="20"/>
                <w:szCs w:val="20"/>
                <w:color w:val="auto"/>
              </w:rPr>
            </w:pPr>
            <w:r>
              <w:rPr>
                <w:rFonts w:ascii="Arial" w:cs="Arial" w:eastAsia="Arial" w:hAnsi="Arial"/>
                <w:sz w:val="11"/>
                <w:szCs w:val="11"/>
                <w:b w:val="1"/>
                <w:bCs w:val="1"/>
                <w:color w:val="auto"/>
                <w:w w:val="93"/>
              </w:rPr>
              <w:t>Retail</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3"/>
          </w:tcPr>
          <w:p>
            <w:pPr>
              <w:jc w:val="center"/>
              <w:ind w:right="241"/>
              <w:spacing w:after="0"/>
              <w:rPr>
                <w:sz w:val="20"/>
                <w:szCs w:val="20"/>
                <w:color w:val="auto"/>
              </w:rPr>
            </w:pPr>
            <w:r>
              <w:rPr>
                <w:rFonts w:ascii="Arial" w:cs="Arial" w:eastAsia="Arial" w:hAnsi="Arial"/>
                <w:sz w:val="11"/>
                <w:szCs w:val="11"/>
                <w:b w:val="1"/>
                <w:bCs w:val="1"/>
                <w:color w:val="auto"/>
                <w:w w:val="89"/>
              </w:rPr>
              <w:t>Dealer</w:t>
            </w:r>
          </w:p>
        </w:tc>
        <w:tc>
          <w:tcPr>
            <w:tcW w:w="40" w:type="dxa"/>
            <w:vAlign w:val="bottom"/>
          </w:tcPr>
          <w:p>
            <w:pPr>
              <w:spacing w:after="0"/>
              <w:rPr>
                <w:sz w:val="22"/>
                <w:szCs w:val="22"/>
                <w:color w:val="auto"/>
              </w:rPr>
            </w:pPr>
          </w:p>
        </w:tc>
        <w:tc>
          <w:tcPr>
            <w:tcW w:w="6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3"/>
              </w:rPr>
              <w:t>Order</w:t>
            </w:r>
          </w:p>
        </w:tc>
        <w:tc>
          <w:tcPr>
            <w:tcW w:w="0" w:type="dxa"/>
            <w:vAlign w:val="bottom"/>
          </w:tcPr>
          <w:p>
            <w:pPr>
              <w:spacing w:after="0"/>
              <w:rPr>
                <w:sz w:val="1"/>
                <w:szCs w:val="1"/>
                <w:color w:val="auto"/>
              </w:rPr>
            </w:pPr>
          </w:p>
        </w:tc>
      </w:tr>
      <w:tr>
        <w:trPr>
          <w:trHeight w:val="135"/>
        </w:trPr>
        <w:tc>
          <w:tcPr>
            <w:tcW w:w="782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Deliveries</w:t>
            </w:r>
          </w:p>
        </w:tc>
        <w:tc>
          <w:tcPr>
            <w:tcW w:w="740" w:type="dxa"/>
            <w:vAlign w:val="bottom"/>
            <w:gridSpan w:val="4"/>
          </w:tcPr>
          <w:p>
            <w:pPr>
              <w:jc w:val="center"/>
              <w:ind w:left="21"/>
              <w:spacing w:after="0"/>
              <w:rPr>
                <w:sz w:val="20"/>
                <w:szCs w:val="20"/>
                <w:color w:val="auto"/>
              </w:rPr>
            </w:pPr>
            <w:r>
              <w:rPr>
                <w:rFonts w:ascii="Arial" w:cs="Arial" w:eastAsia="Arial" w:hAnsi="Arial"/>
                <w:sz w:val="11"/>
                <w:szCs w:val="11"/>
                <w:b w:val="1"/>
                <w:bCs w:val="1"/>
                <w:color w:val="auto"/>
                <w:w w:val="88"/>
              </w:rPr>
              <w:t>Registrations</w:t>
            </w:r>
          </w:p>
        </w:tc>
        <w:tc>
          <w:tcPr>
            <w:tcW w:w="60" w:type="dxa"/>
            <w:vAlign w:val="bottom"/>
          </w:tcPr>
          <w:p>
            <w:pPr>
              <w:spacing w:after="0"/>
              <w:rPr>
                <w:sz w:val="11"/>
                <w:szCs w:val="11"/>
                <w:color w:val="auto"/>
              </w:rPr>
            </w:pPr>
          </w:p>
        </w:tc>
        <w:tc>
          <w:tcPr>
            <w:tcW w:w="880" w:type="dxa"/>
            <w:vAlign w:val="bottom"/>
            <w:gridSpan w:val="4"/>
          </w:tcPr>
          <w:p>
            <w:pPr>
              <w:jc w:val="center"/>
              <w:ind w:right="41"/>
              <w:spacing w:after="0"/>
              <w:rPr>
                <w:sz w:val="20"/>
                <w:szCs w:val="20"/>
                <w:color w:val="auto"/>
              </w:rPr>
            </w:pPr>
            <w:r>
              <w:rPr>
                <w:rFonts w:ascii="Arial" w:cs="Arial" w:eastAsia="Arial" w:hAnsi="Arial"/>
                <w:sz w:val="11"/>
                <w:szCs w:val="11"/>
                <w:b w:val="1"/>
                <w:bCs w:val="1"/>
                <w:color w:val="auto"/>
                <w:w w:val="92"/>
              </w:rPr>
              <w:t>Inventory</w:t>
            </w:r>
          </w:p>
        </w:tc>
        <w:tc>
          <w:tcPr>
            <w:tcW w:w="40" w:type="dxa"/>
            <w:vAlign w:val="bottom"/>
          </w:tcPr>
          <w:p>
            <w:pPr>
              <w:spacing w:after="0"/>
              <w:rPr>
                <w:sz w:val="11"/>
                <w:szCs w:val="11"/>
                <w:color w:val="auto"/>
              </w:rPr>
            </w:pPr>
          </w:p>
        </w:tc>
        <w:tc>
          <w:tcPr>
            <w:tcW w:w="6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4"/>
              </w:rPr>
              <w:t>Backlog</w:t>
            </w:r>
          </w:p>
        </w:tc>
        <w:tc>
          <w:tcPr>
            <w:tcW w:w="0" w:type="dxa"/>
            <w:vAlign w:val="bottom"/>
          </w:tcPr>
          <w:p>
            <w:pPr>
              <w:spacing w:after="0"/>
              <w:rPr>
                <w:sz w:val="1"/>
                <w:szCs w:val="1"/>
                <w:color w:val="auto"/>
              </w:rPr>
            </w:pPr>
          </w:p>
        </w:tc>
      </w:tr>
      <w:tr>
        <w:trPr>
          <w:trHeight w:val="133"/>
        </w:trPr>
        <w:tc>
          <w:tcPr>
            <w:tcW w:w="78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color w:val="auto"/>
              </w:rPr>
              <w:t>Rolling 12 month comparison (February 2010 to February 2009)</w:t>
            </w:r>
          </w:p>
        </w:tc>
        <w:tc>
          <w:tcPr>
            <w:tcW w:w="5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61"/>
              <w:spacing w:after="0" w:line="133" w:lineRule="exact"/>
              <w:rPr>
                <w:sz w:val="20"/>
                <w:szCs w:val="20"/>
                <w:color w:val="auto"/>
              </w:rPr>
            </w:pPr>
            <w:r>
              <w:rPr>
                <w:rFonts w:ascii="Arial" w:cs="Arial" w:eastAsia="Arial" w:hAnsi="Arial"/>
                <w:sz w:val="12"/>
                <w:szCs w:val="12"/>
                <w:color w:val="auto"/>
              </w:rPr>
              <w:t>(398)</w:t>
            </w:r>
          </w:p>
        </w:tc>
        <w:tc>
          <w:tcPr>
            <w:tcW w:w="660" w:type="dxa"/>
            <w:vAlign w:val="bottom"/>
            <w:tcBorders>
              <w:top w:val="single" w:sz="8" w:color="auto"/>
            </w:tcBorders>
            <w:gridSpan w:val="2"/>
          </w:tcPr>
          <w:p>
            <w:pPr>
              <w:jc w:val="right"/>
              <w:ind w:right="100"/>
              <w:spacing w:after="0" w:line="133" w:lineRule="exact"/>
              <w:rPr>
                <w:sz w:val="20"/>
                <w:szCs w:val="20"/>
                <w:color w:val="auto"/>
              </w:rPr>
            </w:pPr>
            <w:r>
              <w:rPr>
                <w:rFonts w:ascii="Arial" w:cs="Arial" w:eastAsia="Arial" w:hAnsi="Arial"/>
                <w:sz w:val="12"/>
                <w:szCs w:val="12"/>
                <w:color w:val="auto"/>
              </w:rPr>
              <w:t>(1,421)</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jc w:val="right"/>
              <w:ind w:right="281"/>
              <w:spacing w:after="0" w:line="133" w:lineRule="exact"/>
              <w:rPr>
                <w:sz w:val="20"/>
                <w:szCs w:val="20"/>
                <w:color w:val="auto"/>
              </w:rPr>
            </w:pPr>
            <w:r>
              <w:rPr>
                <w:rFonts w:ascii="Arial" w:cs="Arial" w:eastAsia="Arial" w:hAnsi="Arial"/>
                <w:sz w:val="12"/>
                <w:szCs w:val="12"/>
                <w:color w:val="auto"/>
              </w:rPr>
              <w:t>(896)</w:t>
            </w: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824</w:t>
            </w: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(11.3)%</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(26.1)%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81"/>
              <w:spacing w:after="0"/>
              <w:rPr>
                <w:sz w:val="20"/>
                <w:szCs w:val="20"/>
                <w:color w:val="auto"/>
              </w:rPr>
            </w:pPr>
            <w:r>
              <w:rPr>
                <w:rFonts w:ascii="Arial" w:cs="Arial" w:eastAsia="Arial" w:hAnsi="Arial"/>
                <w:sz w:val="12"/>
                <w:szCs w:val="12"/>
                <w:color w:val="auto"/>
                <w:w w:val="99"/>
              </w:rPr>
              <w:t>(30.7)%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246.0</w:t>
            </w: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820" w:type="dxa"/>
            <w:vAlign w:val="bottom"/>
            <w:gridSpan w:val="2"/>
          </w:tcPr>
          <w:p>
            <w:pPr>
              <w:spacing w:after="0"/>
              <w:rPr>
                <w:sz w:val="20"/>
                <w:szCs w:val="20"/>
                <w:color w:val="auto"/>
              </w:rPr>
            </w:pPr>
            <w:r>
              <w:rPr>
                <w:rFonts w:ascii="Arial" w:cs="Arial" w:eastAsia="Arial" w:hAnsi="Arial"/>
                <w:sz w:val="12"/>
                <w:szCs w:val="12"/>
                <w:color w:val="auto"/>
              </w:rPr>
              <w:t>2nd quarter 2010 as compared to 2nd quarter 2009</w:t>
            </w:r>
          </w:p>
        </w:tc>
        <w:tc>
          <w:tcPr>
            <w:tcW w:w="54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2"/>
                <w:szCs w:val="12"/>
                <w:color w:val="auto"/>
              </w:rPr>
              <w:t>794</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tcPr>
          <w:p>
            <w:pPr>
              <w:jc w:val="right"/>
              <w:ind w:right="281"/>
              <w:spacing w:after="0"/>
              <w:rPr>
                <w:sz w:val="20"/>
                <w:szCs w:val="20"/>
                <w:color w:val="auto"/>
              </w:rPr>
            </w:pPr>
            <w:r>
              <w:rPr>
                <w:rFonts w:ascii="Arial" w:cs="Arial" w:eastAsia="Arial" w:hAnsi="Arial"/>
                <w:sz w:val="12"/>
                <w:szCs w:val="12"/>
                <w:color w:val="auto"/>
              </w:rPr>
              <w:t>(896)</w:t>
            </w:r>
          </w:p>
        </w:tc>
        <w:tc>
          <w:tcPr>
            <w:tcW w:w="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824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252.1 %</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81"/>
              <w:spacing w:after="0"/>
              <w:rPr>
                <w:sz w:val="20"/>
                <w:szCs w:val="20"/>
                <w:color w:val="auto"/>
              </w:rPr>
            </w:pPr>
            <w:r>
              <w:rPr>
                <w:rFonts w:ascii="Arial" w:cs="Arial" w:eastAsia="Arial" w:hAnsi="Arial"/>
                <w:sz w:val="12"/>
                <w:szCs w:val="12"/>
                <w:color w:val="auto"/>
                <w:w w:val="99"/>
              </w:rPr>
              <w:t>(30.7)%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246.0 %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820" w:type="dxa"/>
            <w:vAlign w:val="bottom"/>
            <w:gridSpan w:val="2"/>
          </w:tcPr>
          <w:p>
            <w:pPr>
              <w:spacing w:after="0"/>
              <w:rPr>
                <w:sz w:val="20"/>
                <w:szCs w:val="20"/>
                <w:color w:val="auto"/>
              </w:rPr>
            </w:pPr>
            <w:r>
              <w:rPr>
                <w:rFonts w:ascii="Arial" w:cs="Arial" w:eastAsia="Arial" w:hAnsi="Arial"/>
                <w:sz w:val="12"/>
                <w:szCs w:val="12"/>
                <w:color w:val="auto"/>
              </w:rPr>
              <w:t>2nd quarter 2010 as compared to 1st quarter 2010</w:t>
            </w:r>
          </w:p>
        </w:tc>
        <w:tc>
          <w:tcPr>
            <w:tcW w:w="54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2"/>
                <w:szCs w:val="12"/>
                <w:color w:val="auto"/>
              </w:rPr>
              <w:t>315</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(267)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455</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(362)</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39.7 %</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(29.0)%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7820" w:type="dxa"/>
            <w:vAlign w:val="bottom"/>
            <w:gridSpan w:val="2"/>
          </w:tcPr>
          <w:p>
            <w:pPr>
              <w:spacing w:after="0"/>
              <w:rPr>
                <w:sz w:val="20"/>
                <w:szCs w:val="20"/>
                <w:color w:val="auto"/>
              </w:rPr>
            </w:pPr>
            <w:r>
              <w:rPr>
                <w:rFonts w:ascii="Arial" w:cs="Arial" w:eastAsia="Arial" w:hAnsi="Arial"/>
                <w:sz w:val="12"/>
                <w:szCs w:val="12"/>
                <w:color w:val="auto"/>
              </w:rPr>
              <w:t>Order backlog for our motor homes and dealer inventory levels is as follows: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4"/>
          </w:tcPr>
          <w:p>
            <w:pPr>
              <w:ind w:left="400"/>
              <w:spacing w:after="0"/>
              <w:rPr>
                <w:sz w:val="20"/>
                <w:szCs w:val="20"/>
                <w:color w:val="auto"/>
              </w:rPr>
            </w:pPr>
            <w:r>
              <w:rPr>
                <w:rFonts w:ascii="Arial" w:cs="Arial" w:eastAsia="Arial" w:hAnsi="Arial"/>
                <w:sz w:val="12"/>
                <w:szCs w:val="12"/>
                <w:b w:val="1"/>
                <w:bCs w:val="1"/>
                <w:color w:val="auto"/>
                <w:w w:val="99"/>
              </w:rPr>
              <w:t>As Of</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280" w:type="dxa"/>
            <w:vAlign w:val="bottom"/>
            <w:tcBorders>
              <w:bottom w:val="single" w:sz="8" w:color="auto"/>
            </w:tcBorders>
            <w:gridSpan w:val="2"/>
          </w:tcPr>
          <w:p>
            <w:pPr>
              <w:jc w:val="right"/>
              <w:ind w:right="101"/>
              <w:spacing w:after="0" w:line="133" w:lineRule="exact"/>
              <w:rPr>
                <w:sz w:val="20"/>
                <w:szCs w:val="20"/>
                <w:color w:val="auto"/>
              </w:rPr>
            </w:pPr>
            <w:r>
              <w:rPr>
                <w:rFonts w:ascii="Arial" w:cs="Arial" w:eastAsia="Arial" w:hAnsi="Arial"/>
                <w:sz w:val="12"/>
                <w:szCs w:val="12"/>
                <w:b w:val="1"/>
                <w:bCs w:val="1"/>
                <w:color w:val="auto"/>
              </w:rPr>
              <w:t>February 27, 2010</w:t>
            </w:r>
          </w:p>
        </w:tc>
        <w:tc>
          <w:tcPr>
            <w:tcW w:w="1300" w:type="dxa"/>
            <w:vAlign w:val="bottom"/>
            <w:tcBorders>
              <w:bottom w:val="single" w:sz="8" w:color="auto"/>
            </w:tcBorders>
            <w:gridSpan w:val="8"/>
          </w:tcPr>
          <w:p>
            <w:pPr>
              <w:jc w:val="right"/>
              <w:ind w:right="166"/>
              <w:spacing w:after="0" w:line="133" w:lineRule="exact"/>
              <w:rPr>
                <w:sz w:val="20"/>
                <w:szCs w:val="20"/>
                <w:color w:val="auto"/>
              </w:rPr>
            </w:pPr>
            <w:r>
              <w:rPr>
                <w:rFonts w:ascii="Arial" w:cs="Arial" w:eastAsia="Arial" w:hAnsi="Arial"/>
                <w:sz w:val="12"/>
                <w:szCs w:val="12"/>
                <w:b w:val="1"/>
                <w:bCs w:val="1"/>
                <w:color w:val="auto"/>
              </w:rPr>
              <w:t>February 28, 2009</w:t>
            </w: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jc w:val="right"/>
              <w:ind w:right="61"/>
              <w:spacing w:after="0" w:line="88" w:lineRule="exact"/>
              <w:rPr>
                <w:sz w:val="20"/>
                <w:szCs w:val="20"/>
                <w:color w:val="auto"/>
              </w:rPr>
            </w:pPr>
            <w:r>
              <w:rPr>
                <w:rFonts w:ascii="Arial" w:cs="Arial" w:eastAsia="Arial" w:hAnsi="Arial"/>
                <w:sz w:val="10"/>
                <w:szCs w:val="10"/>
                <w:b w:val="1"/>
                <w:bCs w:val="1"/>
                <w:color w:val="auto"/>
              </w:rPr>
              <w:t>Product</w:t>
            </w: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gridSpan w:val="5"/>
          </w:tcPr>
          <w:p>
            <w:pPr>
              <w:jc w:val="right"/>
              <w:ind w:right="186"/>
              <w:spacing w:after="0" w:line="88" w:lineRule="exact"/>
              <w:rPr>
                <w:sz w:val="20"/>
                <w:szCs w:val="20"/>
                <w:color w:val="auto"/>
              </w:rPr>
            </w:pPr>
            <w:r>
              <w:rPr>
                <w:rFonts w:ascii="Arial" w:cs="Arial" w:eastAsia="Arial" w:hAnsi="Arial"/>
                <w:sz w:val="10"/>
                <w:szCs w:val="10"/>
                <w:b w:val="1"/>
                <w:bCs w:val="1"/>
                <w:color w:val="auto"/>
                <w:w w:val="95"/>
              </w:rPr>
              <w:t>Product</w:t>
            </w:r>
          </w:p>
        </w:tc>
        <w:tc>
          <w:tcPr>
            <w:tcW w:w="420" w:type="dxa"/>
            <w:vAlign w:val="bottom"/>
            <w:gridSpan w:val="2"/>
          </w:tcPr>
          <w:p>
            <w:pPr>
              <w:jc w:val="right"/>
              <w:spacing w:after="0" w:line="88" w:lineRule="exact"/>
              <w:rPr>
                <w:sz w:val="20"/>
                <w:szCs w:val="20"/>
                <w:color w:val="auto"/>
              </w:rPr>
            </w:pPr>
            <w:r>
              <w:rPr>
                <w:rFonts w:ascii="Arial" w:cs="Arial" w:eastAsia="Arial" w:hAnsi="Arial"/>
                <w:sz w:val="10"/>
                <w:szCs w:val="10"/>
                <w:b w:val="1"/>
                <w:bCs w:val="1"/>
                <w:color w:val="auto"/>
                <w:w w:val="93"/>
              </w:rPr>
              <w:t>Increase</w:t>
            </w: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Units</w:t>
            </w:r>
          </w:p>
        </w:tc>
        <w:tc>
          <w:tcPr>
            <w:tcW w:w="740" w:type="dxa"/>
            <w:vAlign w:val="bottom"/>
          </w:tcPr>
          <w:p>
            <w:pPr>
              <w:jc w:val="right"/>
              <w:ind w:right="161"/>
              <w:spacing w:after="0"/>
              <w:rPr>
                <w:sz w:val="20"/>
                <w:szCs w:val="20"/>
                <w:color w:val="auto"/>
              </w:rPr>
            </w:pPr>
            <w:r>
              <w:rPr>
                <w:rFonts w:ascii="Arial" w:cs="Arial" w:eastAsia="Arial" w:hAnsi="Arial"/>
                <w:sz w:val="11"/>
                <w:szCs w:val="11"/>
                <w:b w:val="1"/>
                <w:bCs w:val="1"/>
                <w:color w:val="auto"/>
              </w:rPr>
              <w:t>Mix</w:t>
            </w:r>
          </w:p>
        </w:tc>
        <w:tc>
          <w:tcPr>
            <w:tcW w:w="68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Units</w:t>
            </w:r>
          </w:p>
        </w:tc>
        <w:tc>
          <w:tcPr>
            <w:tcW w:w="60" w:type="dxa"/>
            <w:vAlign w:val="bottom"/>
          </w:tcPr>
          <w:p>
            <w:pPr>
              <w:spacing w:after="0"/>
              <w:rPr>
                <w:sz w:val="13"/>
                <w:szCs w:val="13"/>
                <w:color w:val="auto"/>
              </w:rPr>
            </w:pPr>
          </w:p>
        </w:tc>
        <w:tc>
          <w:tcPr>
            <w:tcW w:w="260" w:type="dxa"/>
            <w:vAlign w:val="bottom"/>
            <w:gridSpan w:val="2"/>
          </w:tcPr>
          <w:p>
            <w:pPr>
              <w:ind w:left="40"/>
              <w:spacing w:after="0"/>
              <w:rPr>
                <w:sz w:val="20"/>
                <w:szCs w:val="20"/>
                <w:color w:val="auto"/>
              </w:rPr>
            </w:pPr>
            <w:r>
              <w:rPr>
                <w:rFonts w:ascii="Arial" w:cs="Arial" w:eastAsia="Arial" w:hAnsi="Arial"/>
                <w:sz w:val="11"/>
                <w:szCs w:val="11"/>
                <w:b w:val="1"/>
                <w:bCs w:val="1"/>
                <w:color w:val="auto"/>
              </w:rPr>
              <w:t>Mix</w:t>
            </w:r>
          </w:p>
        </w:tc>
        <w:tc>
          <w:tcPr>
            <w:tcW w:w="180" w:type="dxa"/>
            <w:vAlign w:val="bottom"/>
          </w:tcPr>
          <w:p>
            <w:pPr>
              <w:spacing w:after="0"/>
              <w:rPr>
                <w:sz w:val="13"/>
                <w:szCs w:val="13"/>
                <w:color w:val="auto"/>
              </w:rPr>
            </w:pPr>
          </w:p>
        </w:tc>
        <w:tc>
          <w:tcPr>
            <w:tcW w:w="1220" w:type="dxa"/>
            <w:vAlign w:val="bottom"/>
            <w:gridSpan w:val="6"/>
          </w:tcPr>
          <w:p>
            <w:pPr>
              <w:ind w:left="80"/>
              <w:spacing w:after="0"/>
              <w:rPr>
                <w:sz w:val="20"/>
                <w:szCs w:val="20"/>
                <w:color w:val="auto"/>
              </w:rPr>
            </w:pPr>
            <w:r>
              <w:rPr>
                <w:rFonts w:ascii="Arial" w:cs="Arial" w:eastAsia="Arial" w:hAnsi="Arial"/>
                <w:sz w:val="11"/>
                <w:szCs w:val="11"/>
                <w:b w:val="1"/>
                <w:bCs w:val="1"/>
                <w:color w:val="auto"/>
              </w:rPr>
              <w:t xml:space="preserve">(Decrease)   </w:t>
            </w: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Class A gas</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372</w:t>
            </w:r>
          </w:p>
        </w:tc>
        <w:tc>
          <w:tcPr>
            <w:tcW w:w="740" w:type="dxa"/>
            <w:vAlign w:val="bottom"/>
            <w:tcBorders>
              <w:top w:val="single" w:sz="8" w:color="auto"/>
            </w:tcBorders>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32.1%</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67</w:t>
            </w: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gridSpan w:val="3"/>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w w:val="93"/>
              </w:rPr>
              <w:t>20.0%</w:t>
            </w: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305</w:t>
            </w:r>
          </w:p>
        </w:tc>
        <w:tc>
          <w:tcPr>
            <w:tcW w:w="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455.2 %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Class A diesel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w:t>
            </w: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22.7%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2"/>
                <w:szCs w:val="12"/>
                <w:color w:val="auto"/>
              </w:rPr>
              <w:t>8.1%</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w:t>
            </w: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874.1 %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Class A</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635</w:t>
            </w:r>
          </w:p>
        </w:tc>
        <w:tc>
          <w:tcPr>
            <w:tcW w:w="740" w:type="dxa"/>
            <w:vAlign w:val="bottom"/>
            <w:shd w:val="clear" w:color="auto" w:fill="CCEEFF"/>
          </w:tcPr>
          <w:p>
            <w:pPr>
              <w:jc w:val="right"/>
              <w:ind w:right="61"/>
              <w:spacing w:after="0" w:line="133" w:lineRule="exact"/>
              <w:rPr>
                <w:sz w:val="20"/>
                <w:szCs w:val="20"/>
                <w:color w:val="auto"/>
              </w:rPr>
            </w:pPr>
            <w:r>
              <w:rPr>
                <w:rFonts w:ascii="Arial" w:cs="Arial" w:eastAsia="Arial" w:hAnsi="Arial"/>
                <w:sz w:val="12"/>
                <w:szCs w:val="12"/>
                <w:color w:val="auto"/>
              </w:rPr>
              <w:t>54.8%</w:t>
            </w: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94</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41"/>
              <w:spacing w:after="0" w:line="133" w:lineRule="exact"/>
              <w:rPr>
                <w:sz w:val="20"/>
                <w:szCs w:val="20"/>
                <w:color w:val="auto"/>
              </w:rPr>
            </w:pPr>
            <w:r>
              <w:rPr>
                <w:rFonts w:ascii="Arial" w:cs="Arial" w:eastAsia="Arial" w:hAnsi="Arial"/>
                <w:sz w:val="12"/>
                <w:szCs w:val="12"/>
                <w:color w:val="auto"/>
                <w:w w:val="93"/>
              </w:rPr>
              <w:t>28.1%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541</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575.5 %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Class B</w:t>
            </w:r>
          </w:p>
        </w:tc>
        <w:tc>
          <w:tcPr>
            <w:tcW w:w="540" w:type="dxa"/>
            <w:vAlign w:val="bottom"/>
          </w:tcPr>
          <w:p>
            <w:pPr>
              <w:jc w:val="right"/>
              <w:spacing w:after="0"/>
              <w:rPr>
                <w:sz w:val="20"/>
                <w:szCs w:val="20"/>
                <w:color w:val="auto"/>
              </w:rPr>
            </w:pPr>
            <w:r>
              <w:rPr>
                <w:rFonts w:ascii="Arial" w:cs="Arial" w:eastAsia="Arial" w:hAnsi="Arial"/>
                <w:sz w:val="12"/>
                <w:szCs w:val="12"/>
                <w:color w:val="auto"/>
              </w:rPr>
              <w:t>16</w:t>
            </w: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1.4%</w:t>
            </w:r>
          </w:p>
        </w:tc>
        <w:tc>
          <w:tcPr>
            <w:tcW w:w="480" w:type="dxa"/>
            <w:vAlign w:val="bottom"/>
          </w:tcPr>
          <w:p>
            <w:pPr>
              <w:jc w:val="right"/>
              <w:spacing w:after="0"/>
              <w:rPr>
                <w:sz w:val="20"/>
                <w:szCs w:val="20"/>
                <w:color w:val="auto"/>
              </w:rPr>
            </w:pPr>
            <w:r>
              <w:rPr>
                <w:rFonts w:ascii="Arial" w:cs="Arial" w:eastAsia="Arial" w:hAnsi="Arial"/>
                <w:sz w:val="12"/>
                <w:szCs w:val="12"/>
                <w:color w:val="auto"/>
              </w:rPr>
              <w:t>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ind w:right="41"/>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w:t>
            </w: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77.8 %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Class C</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508</w:t>
            </w: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43.8%</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3"/>
            <w:shd w:val="clear" w:color="auto" w:fill="CCEEFF"/>
          </w:tcPr>
          <w:p>
            <w:pPr>
              <w:jc w:val="right"/>
              <w:ind w:right="41"/>
              <w:spacing w:after="0"/>
              <w:rPr>
                <w:sz w:val="20"/>
                <w:szCs w:val="20"/>
                <w:color w:val="auto"/>
              </w:rPr>
            </w:pPr>
            <w:r>
              <w:rPr>
                <w:rFonts w:ascii="Arial" w:cs="Arial" w:eastAsia="Arial" w:hAnsi="Arial"/>
                <w:sz w:val="12"/>
                <w:szCs w:val="12"/>
                <w:color w:val="auto"/>
                <w:w w:val="93"/>
              </w:rPr>
              <w:t>69.2%</w:t>
            </w: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w:t>
            </w:r>
          </w:p>
        </w:tc>
        <w:tc>
          <w:tcPr>
            <w:tcW w:w="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119.0 %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820" w:type="dxa"/>
            <w:vAlign w:val="bottom"/>
            <w:gridSpan w:val="2"/>
          </w:tcPr>
          <w:p>
            <w:pPr>
              <w:spacing w:after="0" w:line="133" w:lineRule="exact"/>
              <w:rPr>
                <w:sz w:val="20"/>
                <w:szCs w:val="20"/>
                <w:color w:val="auto"/>
              </w:rPr>
            </w:pPr>
            <w:r>
              <w:rPr>
                <w:rFonts w:ascii="Arial" w:cs="Arial" w:eastAsia="Arial" w:hAnsi="Arial"/>
                <w:sz w:val="12"/>
                <w:szCs w:val="12"/>
                <w:color w:val="auto"/>
              </w:rPr>
              <w:t>Total backlog</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1,159</w:t>
            </w:r>
          </w:p>
        </w:tc>
        <w:tc>
          <w:tcPr>
            <w:tcW w:w="740" w:type="dxa"/>
            <w:vAlign w:val="bottom"/>
          </w:tcPr>
          <w:p>
            <w:pPr>
              <w:jc w:val="right"/>
              <w:ind w:right="61"/>
              <w:spacing w:after="0" w:line="133" w:lineRule="exact"/>
              <w:rPr>
                <w:sz w:val="20"/>
                <w:szCs w:val="20"/>
                <w:color w:val="auto"/>
              </w:rPr>
            </w:pPr>
            <w:r>
              <w:rPr>
                <w:rFonts w:ascii="Arial" w:cs="Arial" w:eastAsia="Arial" w:hAnsi="Arial"/>
                <w:sz w:val="12"/>
                <w:szCs w:val="12"/>
                <w:color w:val="auto"/>
              </w:rPr>
              <w:t>100.0%</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335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4"/>
          </w:tcPr>
          <w:p>
            <w:pPr>
              <w:jc w:val="right"/>
              <w:ind w:right="41"/>
              <w:spacing w:after="0" w:line="133" w:lineRule="exact"/>
              <w:rPr>
                <w:sz w:val="20"/>
                <w:szCs w:val="20"/>
                <w:color w:val="auto"/>
              </w:rPr>
            </w:pPr>
            <w:r>
              <w:rPr>
                <w:rFonts w:ascii="Arial" w:cs="Arial" w:eastAsia="Arial" w:hAnsi="Arial"/>
                <w:sz w:val="12"/>
                <w:szCs w:val="12"/>
                <w:color w:val="auto"/>
                <w:w w:val="93"/>
              </w:rPr>
              <w:t>100.0%</w:t>
            </w:r>
          </w:p>
        </w:tc>
        <w:tc>
          <w:tcPr>
            <w:tcW w:w="120" w:type="dxa"/>
            <w:vAlign w:val="bottom"/>
          </w:tcPr>
          <w:p>
            <w:pPr>
              <w:spacing w:after="0"/>
              <w:rPr>
                <w:sz w:val="12"/>
                <w:szCs w:val="12"/>
                <w:color w:val="auto"/>
              </w:rPr>
            </w:pPr>
          </w:p>
        </w:tc>
        <w:tc>
          <w:tcPr>
            <w:tcW w:w="380" w:type="dxa"/>
            <w:vAlign w:val="bottom"/>
          </w:tcPr>
          <w:p>
            <w:pPr>
              <w:jc w:val="right"/>
              <w:spacing w:after="0" w:line="133" w:lineRule="exact"/>
              <w:rPr>
                <w:sz w:val="20"/>
                <w:szCs w:val="20"/>
                <w:color w:val="auto"/>
              </w:rPr>
            </w:pPr>
            <w:r>
              <w:rPr>
                <w:rFonts w:ascii="Arial" w:cs="Arial" w:eastAsia="Arial" w:hAnsi="Arial"/>
                <w:sz w:val="12"/>
                <w:szCs w:val="12"/>
                <w:color w:val="auto"/>
              </w:rPr>
              <w:t>824</w:t>
            </w:r>
          </w:p>
        </w:tc>
        <w:tc>
          <w:tcPr>
            <w:tcW w:w="40" w:type="dxa"/>
            <w:vAlign w:val="bottom"/>
          </w:tcPr>
          <w:p>
            <w:pPr>
              <w:spacing w:after="0"/>
              <w:rPr>
                <w:sz w:val="12"/>
                <w:szCs w:val="12"/>
                <w:color w:val="auto"/>
              </w:rPr>
            </w:pPr>
          </w:p>
        </w:tc>
        <w:tc>
          <w:tcPr>
            <w:tcW w:w="6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246.0 %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820" w:type="dxa"/>
            <w:vAlign w:val="bottom"/>
            <w:gridSpan w:val="2"/>
          </w:tcPr>
          <w:p>
            <w:pPr>
              <w:spacing w:after="0" w:line="153" w:lineRule="exact"/>
              <w:rPr>
                <w:sz w:val="20"/>
                <w:szCs w:val="20"/>
                <w:color w:val="auto"/>
              </w:rPr>
            </w:pPr>
            <w:r>
              <w:rPr>
                <w:rFonts w:ascii="Arial" w:cs="Arial" w:eastAsia="Arial" w:hAnsi="Arial"/>
                <w:sz w:val="10"/>
                <w:szCs w:val="10"/>
                <w:color w:val="auto"/>
              </w:rPr>
              <w:t xml:space="preserve">Total approximate revenue dollars (in thousands) </w:t>
            </w:r>
            <w:r>
              <w:rPr>
                <w:rFonts w:ascii="Arial" w:cs="Arial" w:eastAsia="Arial" w:hAnsi="Arial"/>
                <w:sz w:val="17"/>
                <w:szCs w:val="17"/>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2"/>
                <w:szCs w:val="12"/>
                <w:color w:val="auto"/>
                <w:w w:val="86"/>
              </w:rPr>
              <w:t>$ 110,916</w:t>
            </w:r>
          </w:p>
        </w:tc>
        <w:tc>
          <w:tcPr>
            <w:tcW w:w="7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9"/>
              </w:rPr>
              <w:t>$ 27,389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2"/>
              </w:rPr>
              <w:t>83,527</w:t>
            </w:r>
          </w:p>
        </w:tc>
        <w:tc>
          <w:tcPr>
            <w:tcW w:w="4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2"/>
                <w:szCs w:val="12"/>
                <w:color w:val="auto"/>
              </w:rPr>
              <w:t>305.0 %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820" w:type="dxa"/>
            <w:vAlign w:val="bottom"/>
            <w:gridSpan w:val="2"/>
          </w:tcPr>
          <w:p>
            <w:pPr>
              <w:spacing w:after="0"/>
              <w:rPr>
                <w:sz w:val="20"/>
                <w:szCs w:val="20"/>
                <w:color w:val="auto"/>
              </w:rPr>
            </w:pPr>
            <w:r>
              <w:rPr>
                <w:rFonts w:ascii="Arial" w:cs="Arial" w:eastAsia="Arial" w:hAnsi="Arial"/>
                <w:sz w:val="12"/>
                <w:szCs w:val="12"/>
                <w:color w:val="auto"/>
              </w:rPr>
              <w:t>Dealer inventory (units)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2,022</w:t>
            </w:r>
          </w:p>
        </w:tc>
        <w:tc>
          <w:tcPr>
            <w:tcW w:w="74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2,918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(896)</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(30.7)%</w:t>
            </w:r>
          </w:p>
        </w:tc>
        <w:tc>
          <w:tcPr>
            <w:tcW w:w="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 w:hanging="182"/>
        <w:spacing w:after="0"/>
        <w:tabs>
          <w:tab w:leader="none" w:pos="268" w:val="left"/>
        </w:tabs>
        <w:numPr>
          <w:ilvl w:val="0"/>
          <w:numId w:val="4"/>
        </w:numPr>
        <w:rPr>
          <w:rFonts w:ascii="Arial" w:cs="Arial" w:eastAsia="Arial" w:hAnsi="Arial"/>
          <w:sz w:val="8"/>
          <w:szCs w:val="8"/>
          <w:color w:val="auto"/>
        </w:rPr>
      </w:pPr>
      <w:r>
        <w:rPr>
          <w:rFonts w:ascii="Arial" w:cs="Arial" w:eastAsia="Arial" w:hAnsi="Arial"/>
          <w:sz w:val="8"/>
          <w:szCs w:val="8"/>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3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3177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Results of Operations</w:t>
      </w:r>
    </w:p>
    <w:p>
      <w:pPr>
        <w:sectPr>
          <w:pgSz w:w="11900" w:h="16838" w:orient="portrait"/>
          <w:cols w:equalWidth="0" w:num="1">
            <w:col w:w="11488"/>
          </w:cols>
          <w:pgMar w:left="212" w:top="275"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8"/>
        </w:trPr>
        <w:tc>
          <w:tcPr>
            <w:tcW w:w="7220" w:type="dxa"/>
            <w:vAlign w:val="bottom"/>
            <w:gridSpan w:val="2"/>
          </w:tcPr>
          <w:p>
            <w:pPr>
              <w:spacing w:after="0"/>
              <w:rPr>
                <w:sz w:val="20"/>
                <w:szCs w:val="20"/>
                <w:color w:val="auto"/>
              </w:rPr>
            </w:pPr>
            <w:r>
              <w:rPr>
                <w:rFonts w:ascii="Arial" w:cs="Arial" w:eastAsia="Arial" w:hAnsi="Arial"/>
                <w:sz w:val="12"/>
                <w:szCs w:val="12"/>
                <w:b w:val="1"/>
                <w:bCs w:val="1"/>
                <w:color w:val="auto"/>
              </w:rPr>
              <w:t>Current Quarter Compared to the Comparable Quarter Last Year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220" w:type="dxa"/>
            <w:vAlign w:val="bottom"/>
            <w:gridSpan w:val="2"/>
          </w:tcPr>
          <w:p>
            <w:pPr>
              <w:spacing w:after="0"/>
              <w:rPr>
                <w:sz w:val="20"/>
                <w:szCs w:val="20"/>
                <w:color w:val="auto"/>
              </w:rPr>
            </w:pPr>
            <w:r>
              <w:rPr>
                <w:rFonts w:ascii="Arial" w:cs="Arial" w:eastAsia="Arial" w:hAnsi="Arial"/>
                <w:sz w:val="12"/>
                <w:szCs w:val="12"/>
                <w:color w:val="auto"/>
              </w:rPr>
              <w:t>The following is an analysis of changes in key items included in the statements of operations: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 except percent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Quarter Ended</w:t>
            </w: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72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w w:val="98"/>
              </w:rPr>
              <w:t>February 27,</w:t>
            </w:r>
          </w:p>
        </w:tc>
        <w:tc>
          <w:tcPr>
            <w:tcW w:w="600" w:type="dxa"/>
            <w:vAlign w:val="bottom"/>
            <w:gridSpan w:val="2"/>
          </w:tcPr>
          <w:p>
            <w:pPr>
              <w:jc w:val="right"/>
              <w:ind w:right="60"/>
              <w:spacing w:after="0" w:line="121" w:lineRule="exact"/>
              <w:rPr>
                <w:sz w:val="20"/>
                <w:szCs w:val="20"/>
                <w:color w:val="auto"/>
              </w:rPr>
            </w:pPr>
            <w:r>
              <w:rPr>
                <w:rFonts w:ascii="Arial" w:cs="Arial" w:eastAsia="Arial" w:hAnsi="Arial"/>
                <w:sz w:val="12"/>
                <w:szCs w:val="12"/>
                <w:b w:val="1"/>
                <w:bCs w:val="1"/>
                <w:color w:val="auto"/>
              </w:rPr>
              <w:t>% of</w:t>
            </w:r>
          </w:p>
        </w:tc>
        <w:tc>
          <w:tcPr>
            <w:tcW w:w="80" w:type="dxa"/>
            <w:vAlign w:val="bottom"/>
          </w:tcPr>
          <w:p>
            <w:pPr>
              <w:spacing w:after="0"/>
              <w:rPr>
                <w:sz w:val="10"/>
                <w:szCs w:val="10"/>
                <w:color w:val="auto"/>
              </w:rPr>
            </w:pPr>
          </w:p>
        </w:tc>
        <w:tc>
          <w:tcPr>
            <w:tcW w:w="74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w w:val="95"/>
              </w:rPr>
              <w:t>February 28,</w:t>
            </w:r>
          </w:p>
        </w:tc>
        <w:tc>
          <w:tcPr>
            <w:tcW w:w="50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ind w:right="80"/>
              <w:spacing w:after="0" w:line="121" w:lineRule="exact"/>
              <w:rPr>
                <w:sz w:val="20"/>
                <w:szCs w:val="20"/>
                <w:color w:val="auto"/>
              </w:rPr>
            </w:pPr>
            <w:r>
              <w:rPr>
                <w:rFonts w:ascii="Arial" w:cs="Arial" w:eastAsia="Arial" w:hAnsi="Arial"/>
                <w:sz w:val="12"/>
                <w:szCs w:val="12"/>
                <w:b w:val="1"/>
                <w:bCs w:val="1"/>
                <w:color w:val="auto"/>
              </w:rPr>
              <w:t>Increase</w:t>
            </w:r>
          </w:p>
        </w:tc>
        <w:tc>
          <w:tcPr>
            <w:tcW w:w="4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and per share data)</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2010</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Revenues</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2009</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Revenues</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1"/>
              </w:rPr>
              <w:t>(Decrease)</w:t>
            </w:r>
          </w:p>
        </w:tc>
        <w:tc>
          <w:tcPr>
            <w:tcW w:w="62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revenues</w:t>
            </w:r>
          </w:p>
        </w:tc>
        <w:tc>
          <w:tcPr>
            <w:tcW w:w="180" w:type="dxa"/>
            <w:vAlign w:val="bottom"/>
            <w:gridSpan w:val="2"/>
            <w:shd w:val="clear" w:color="auto" w:fill="CCEEFF"/>
          </w:tcPr>
          <w:p>
            <w:pPr>
              <w:jc w:val="right"/>
              <w:ind w:right="5"/>
              <w:spacing w:after="0" w:line="133"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110,529</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31,808</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100.0</w:t>
            </w:r>
          </w:p>
        </w:tc>
        <w:tc>
          <w:tcPr>
            <w:tcW w:w="1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w w:val="74"/>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78,721</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247.5</w:t>
            </w: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Cost of goods sold</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105,745</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43,600</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137.1</w:t>
            </w: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62,145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Gross profit (deficit)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4,784</w:t>
            </w: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4.3</w:t>
            </w: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(11,792)</w:t>
            </w: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(37.1)%</w:t>
            </w: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16,576</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140.6</w:t>
            </w:r>
          </w:p>
        </w:tc>
        <w:tc>
          <w:tcPr>
            <w:tcW w:w="1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33"/>
        </w:trPr>
        <w:tc>
          <w:tcPr>
            <w:tcW w:w="7220" w:type="dxa"/>
            <w:vAlign w:val="bottom"/>
            <w:gridSpan w:val="2"/>
          </w:tcPr>
          <w:p>
            <w:pPr>
              <w:spacing w:after="0" w:line="133" w:lineRule="exact"/>
              <w:rPr>
                <w:sz w:val="20"/>
                <w:szCs w:val="20"/>
                <w:color w:val="auto"/>
              </w:rPr>
            </w:pPr>
            <w:r>
              <w:rPr>
                <w:rFonts w:ascii="Arial" w:cs="Arial" w:eastAsia="Arial" w:hAnsi="Arial"/>
                <w:sz w:val="12"/>
                <w:szCs w:val="12"/>
                <w:color w:val="auto"/>
              </w:rPr>
              <w:t>Selling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3,102</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2.8</w:t>
            </w: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2,816</w:t>
            </w:r>
          </w:p>
        </w:tc>
        <w:tc>
          <w:tcPr>
            <w:tcW w:w="1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8.8</w:t>
            </w:r>
          </w:p>
        </w:tc>
        <w:tc>
          <w:tcPr>
            <w:tcW w:w="180" w:type="dxa"/>
            <w:vAlign w:val="bottom"/>
          </w:tcPr>
          <w:p>
            <w:pPr>
              <w:jc w:val="right"/>
              <w:ind w:right="20"/>
              <w:spacing w:after="0" w:line="133" w:lineRule="exact"/>
              <w:rPr>
                <w:sz w:val="20"/>
                <w:szCs w:val="20"/>
                <w:color w:val="auto"/>
              </w:rPr>
            </w:pPr>
            <w:r>
              <w:rPr>
                <w:rFonts w:ascii="Arial" w:cs="Arial" w:eastAsia="Arial" w:hAnsi="Arial"/>
                <w:sz w:val="12"/>
                <w:szCs w:val="12"/>
                <w:color w:val="auto"/>
                <w:w w:val="74"/>
              </w:rPr>
              <w:t>%</w:t>
            </w:r>
          </w:p>
        </w:tc>
        <w:tc>
          <w:tcPr>
            <w:tcW w:w="60" w:type="dxa"/>
            <w:vAlign w:val="bottom"/>
          </w:tcPr>
          <w:p>
            <w:pPr>
              <w:spacing w:after="0"/>
              <w:rPr>
                <w:sz w:val="11"/>
                <w:szCs w:val="11"/>
                <w:color w:val="auto"/>
              </w:rPr>
            </w:pPr>
          </w:p>
        </w:tc>
        <w:tc>
          <w:tcPr>
            <w:tcW w:w="660" w:type="dxa"/>
            <w:vAlign w:val="bottom"/>
          </w:tcPr>
          <w:p>
            <w:pPr>
              <w:jc w:val="right"/>
              <w:ind w:right="120"/>
              <w:spacing w:after="0" w:line="133" w:lineRule="exact"/>
              <w:rPr>
                <w:sz w:val="20"/>
                <w:szCs w:val="20"/>
                <w:color w:val="auto"/>
              </w:rPr>
            </w:pPr>
            <w:r>
              <w:rPr>
                <w:rFonts w:ascii="Arial" w:cs="Arial" w:eastAsia="Arial" w:hAnsi="Arial"/>
                <w:sz w:val="12"/>
                <w:szCs w:val="12"/>
                <w:color w:val="auto"/>
              </w:rPr>
              <w:t>286</w:t>
            </w: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10.2</w:t>
            </w: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4"/>
        </w:trPr>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3,540</w:t>
            </w: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4,003</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(463)</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33"/>
        </w:trPr>
        <w:tc>
          <w:tcPr>
            <w:tcW w:w="722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Total operating expenses</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6,642</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6.0</w:t>
            </w:r>
          </w:p>
        </w:tc>
        <w:tc>
          <w:tcPr>
            <w:tcW w:w="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3"/>
              </w:rPr>
              <w:t>%</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6,819</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21.4</w:t>
            </w:r>
          </w:p>
        </w:tc>
        <w:tc>
          <w:tcPr>
            <w:tcW w:w="18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(177)</w:t>
            </w:r>
          </w:p>
        </w:tc>
        <w:tc>
          <w:tcPr>
            <w:tcW w:w="62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Operating loss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(1,858)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(18,611)</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(58.5)%</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16,753</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90.0</w:t>
            </w: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Financial income</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364</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(269)</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Loss before income taxes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(1,494)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(17,978)</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(56.5)%</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16,484</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91.7</w:t>
            </w: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Benefit for taxes</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(2,200)</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(7,597)</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(23.9)%</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5,397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0"/>
        </w:trPr>
        <w:tc>
          <w:tcPr>
            <w:tcW w:w="722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income (loss)</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706</w:t>
            </w: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0.6</w:t>
            </w: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18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(10,381)</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(32.6)%</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11,087</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106.8</w:t>
            </w:r>
          </w:p>
        </w:tc>
        <w:tc>
          <w:tcPr>
            <w:tcW w:w="1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income (lose) per share</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0.38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38"/>
        </w:trPr>
        <w:tc>
          <w:tcPr>
            <w:tcW w:w="7220" w:type="dxa"/>
            <w:vAlign w:val="bottom"/>
            <w:tcBorders>
              <w:top w:val="single" w:sz="8" w:color="CCEEFF"/>
            </w:tcBorders>
            <w:gridSpan w:val="2"/>
          </w:tcPr>
          <w:p>
            <w:pPr>
              <w:spacing w:after="0" w:line="132" w:lineRule="exact"/>
              <w:rPr>
                <w:sz w:val="20"/>
                <w:szCs w:val="20"/>
                <w:color w:val="auto"/>
              </w:rPr>
            </w:pPr>
            <w:r>
              <w:rPr>
                <w:rFonts w:ascii="Arial" w:cs="Arial" w:eastAsia="Arial" w:hAnsi="Arial"/>
                <w:sz w:val="12"/>
                <w:szCs w:val="12"/>
                <w:color w:val="auto"/>
              </w:rPr>
              <w:t>Fully diluted average shares outstanding</w:t>
            </w: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29,091</w:t>
            </w:r>
          </w:p>
        </w:tc>
        <w:tc>
          <w:tcPr>
            <w:tcW w:w="1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29,046</w:t>
            </w:r>
          </w:p>
        </w:tc>
        <w:tc>
          <w:tcPr>
            <w:tcW w:w="1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32" w:lineRule="exact"/>
              <w:rPr>
                <w:sz w:val="20"/>
                <w:szCs w:val="20"/>
                <w:color w:val="auto"/>
              </w:rPr>
            </w:pPr>
            <w:r>
              <w:rPr>
                <w:rFonts w:ascii="Arial" w:cs="Arial" w:eastAsia="Arial" w:hAnsi="Arial"/>
                <w:sz w:val="12"/>
                <w:szCs w:val="12"/>
                <w:color w:val="auto"/>
              </w:rPr>
              <w:t>45</w:t>
            </w:r>
          </w:p>
        </w:tc>
        <w:tc>
          <w:tcPr>
            <w:tcW w:w="4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0.2</w:t>
            </w:r>
          </w:p>
        </w:tc>
        <w:tc>
          <w:tcPr>
            <w:tcW w:w="1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88"/>
        </w:trPr>
        <w:tc>
          <w:tcPr>
            <w:tcW w:w="7220" w:type="dxa"/>
            <w:vAlign w:val="bottom"/>
            <w:gridSpan w:val="2"/>
          </w:tcPr>
          <w:p>
            <w:pPr>
              <w:spacing w:after="0"/>
              <w:rPr>
                <w:sz w:val="20"/>
                <w:szCs w:val="20"/>
                <w:color w:val="auto"/>
              </w:rPr>
            </w:pPr>
            <w:r>
              <w:rPr>
                <w:rFonts w:ascii="Arial" w:cs="Arial" w:eastAsia="Arial" w:hAnsi="Arial"/>
                <w:sz w:val="12"/>
                <w:szCs w:val="12"/>
                <w:color w:val="auto"/>
              </w:rPr>
              <w:t>Unit deliveries consisted of the following:</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Quarter Ended</w:t>
            </w: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20" w:type="dxa"/>
            <w:vAlign w:val="bottom"/>
            <w:gridSpan w:val="4"/>
          </w:tcPr>
          <w:p>
            <w:pPr>
              <w:ind w:left="40"/>
              <w:spacing w:after="0" w:line="121" w:lineRule="exact"/>
              <w:rPr>
                <w:sz w:val="20"/>
                <w:szCs w:val="20"/>
                <w:color w:val="auto"/>
              </w:rPr>
            </w:pPr>
            <w:r>
              <w:rPr>
                <w:rFonts w:ascii="Arial" w:cs="Arial" w:eastAsia="Arial" w:hAnsi="Arial"/>
                <w:sz w:val="12"/>
                <w:szCs w:val="12"/>
                <w:b w:val="1"/>
                <w:bCs w:val="1"/>
                <w:color w:val="auto"/>
              </w:rPr>
              <w:t>February 27,</w:t>
            </w:r>
          </w:p>
        </w:tc>
        <w:tc>
          <w:tcPr>
            <w:tcW w:w="600" w:type="dxa"/>
            <w:vAlign w:val="bottom"/>
            <w:gridSpan w:val="2"/>
          </w:tcPr>
          <w:p>
            <w:pPr>
              <w:jc w:val="right"/>
              <w:ind w:right="60"/>
              <w:spacing w:after="0" w:line="121" w:lineRule="exact"/>
              <w:rPr>
                <w:sz w:val="20"/>
                <w:szCs w:val="20"/>
                <w:color w:val="auto"/>
              </w:rPr>
            </w:pPr>
            <w:r>
              <w:rPr>
                <w:rFonts w:ascii="Arial" w:cs="Arial" w:eastAsia="Arial" w:hAnsi="Arial"/>
                <w:sz w:val="12"/>
                <w:szCs w:val="12"/>
                <w:b w:val="1"/>
                <w:bCs w:val="1"/>
                <w:color w:val="auto"/>
              </w:rPr>
              <w:t>Product</w:t>
            </w:r>
          </w:p>
        </w:tc>
        <w:tc>
          <w:tcPr>
            <w:tcW w:w="820" w:type="dxa"/>
            <w:vAlign w:val="bottom"/>
            <w:gridSpan w:val="4"/>
          </w:tcPr>
          <w:p>
            <w:pPr>
              <w:ind w:left="20"/>
              <w:spacing w:after="0" w:line="121" w:lineRule="exact"/>
              <w:rPr>
                <w:sz w:val="20"/>
                <w:szCs w:val="20"/>
                <w:color w:val="auto"/>
              </w:rPr>
            </w:pPr>
            <w:r>
              <w:rPr>
                <w:rFonts w:ascii="Arial" w:cs="Arial" w:eastAsia="Arial" w:hAnsi="Arial"/>
                <w:sz w:val="12"/>
                <w:szCs w:val="12"/>
                <w:b w:val="1"/>
                <w:bCs w:val="1"/>
                <w:color w:val="auto"/>
              </w:rPr>
              <w:t>February 28,</w:t>
            </w:r>
          </w:p>
        </w:tc>
        <w:tc>
          <w:tcPr>
            <w:tcW w:w="50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96"/>
              </w:rPr>
              <w:t>Product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jc w:val="right"/>
              <w:ind w:right="20"/>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(In units)</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2010</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Mix</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2009</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Mix</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6"/>
              </w:rPr>
              <w:t>Increase</w:t>
            </w: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Class A gas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378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34.1%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77</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24.4%</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301</w:t>
            </w:r>
          </w:p>
        </w:tc>
        <w:tc>
          <w:tcPr>
            <w:tcW w:w="62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390.9%</w:t>
            </w:r>
          </w:p>
        </w:tc>
        <w:tc>
          <w:tcPr>
            <w:tcW w:w="0" w:type="dxa"/>
            <w:vAlign w:val="bottom"/>
          </w:tcPr>
          <w:p>
            <w:pPr>
              <w:spacing w:after="0"/>
              <w:rPr>
                <w:sz w:val="1"/>
                <w:szCs w:val="1"/>
                <w:color w:val="auto"/>
              </w:rPr>
            </w:pPr>
          </w:p>
        </w:tc>
      </w:tr>
      <w:tr>
        <w:trPr>
          <w:trHeight w:val="14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Class A diesel</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254</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22.9%</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45</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209</w:t>
            </w:r>
          </w:p>
        </w:tc>
        <w:tc>
          <w:tcPr>
            <w:tcW w:w="62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color w:val="auto"/>
              </w:rPr>
              <w:t>464.4%</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Class A</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632</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57.0%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122</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38.7%</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510</w:t>
            </w:r>
          </w:p>
        </w:tc>
        <w:tc>
          <w:tcPr>
            <w:tcW w:w="62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418.0%</w:t>
            </w:r>
          </w:p>
        </w:tc>
        <w:tc>
          <w:tcPr>
            <w:tcW w:w="0" w:type="dxa"/>
            <w:vAlign w:val="bottom"/>
          </w:tcPr>
          <w:p>
            <w:pPr>
              <w:spacing w:after="0"/>
              <w:rPr>
                <w:sz w:val="1"/>
                <w:szCs w:val="1"/>
                <w:color w:val="auto"/>
              </w:rPr>
            </w:pPr>
          </w:p>
        </w:tc>
      </w:tr>
      <w:tr>
        <w:trPr>
          <w:trHeight w:val="144"/>
        </w:trPr>
        <w:tc>
          <w:tcPr>
            <w:tcW w:w="7220" w:type="dxa"/>
            <w:vAlign w:val="bottom"/>
            <w:gridSpan w:val="2"/>
          </w:tcPr>
          <w:p>
            <w:pPr>
              <w:spacing w:after="0"/>
              <w:rPr>
                <w:sz w:val="20"/>
                <w:szCs w:val="20"/>
                <w:color w:val="auto"/>
              </w:rPr>
            </w:pPr>
            <w:r>
              <w:rPr>
                <w:rFonts w:ascii="Arial" w:cs="Arial" w:eastAsia="Arial" w:hAnsi="Arial"/>
                <w:sz w:val="12"/>
                <w:szCs w:val="12"/>
                <w:color w:val="auto"/>
              </w:rPr>
              <w:t>Class B</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64</w:t>
            </w:r>
          </w:p>
        </w:tc>
        <w:tc>
          <w:tcPr>
            <w:tcW w:w="1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40"/>
              <w:spacing w:after="0"/>
              <w:rPr>
                <w:sz w:val="20"/>
                <w:szCs w:val="20"/>
                <w:color w:val="auto"/>
              </w:rPr>
            </w:pPr>
            <w:r>
              <w:rPr>
                <w:rFonts w:ascii="Arial" w:cs="Arial" w:eastAsia="Arial" w:hAnsi="Arial"/>
                <w:sz w:val="12"/>
                <w:szCs w:val="12"/>
                <w:color w:val="auto"/>
              </w:rPr>
              <w:t>56</w:t>
            </w:r>
          </w:p>
        </w:tc>
        <w:tc>
          <w:tcPr>
            <w:tcW w:w="620" w:type="dxa"/>
            <w:vAlign w:val="bottom"/>
            <w:gridSpan w:val="2"/>
          </w:tcPr>
          <w:p>
            <w:pPr>
              <w:ind w:left="120"/>
              <w:spacing w:after="0"/>
              <w:rPr>
                <w:sz w:val="20"/>
                <w:szCs w:val="20"/>
                <w:color w:val="auto"/>
              </w:rPr>
            </w:pPr>
            <w:r>
              <w:rPr>
                <w:rFonts w:ascii="Arial" w:cs="Arial" w:eastAsia="Arial" w:hAnsi="Arial"/>
                <w:sz w:val="12"/>
                <w:szCs w:val="12"/>
                <w:color w:val="auto"/>
              </w:rPr>
              <w:t>700.0%</w:t>
            </w:r>
          </w:p>
        </w:tc>
        <w:tc>
          <w:tcPr>
            <w:tcW w:w="0" w:type="dxa"/>
            <w:vAlign w:val="bottom"/>
          </w:tcPr>
          <w:p>
            <w:pPr>
              <w:spacing w:after="0"/>
              <w:rPr>
                <w:sz w:val="1"/>
                <w:szCs w:val="1"/>
                <w:color w:val="auto"/>
              </w:rPr>
            </w:pPr>
          </w:p>
        </w:tc>
      </w:tr>
      <w:tr>
        <w:trPr>
          <w:trHeight w:val="144"/>
        </w:trPr>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Class C</w:t>
            </w: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413</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37.2%</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185</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58.7%</w:t>
            </w:r>
          </w:p>
        </w:tc>
        <w:tc>
          <w:tcPr>
            <w:tcW w:w="1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228</w:t>
            </w:r>
          </w:p>
        </w:tc>
        <w:tc>
          <w:tcPr>
            <w:tcW w:w="62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2"/>
                <w:szCs w:val="12"/>
                <w:color w:val="auto"/>
              </w:rPr>
              <w:t>123.2%</w:t>
            </w:r>
          </w:p>
        </w:tc>
        <w:tc>
          <w:tcPr>
            <w:tcW w:w="0" w:type="dxa"/>
            <w:vAlign w:val="bottom"/>
          </w:tcPr>
          <w:p>
            <w:pPr>
              <w:spacing w:after="0"/>
              <w:rPr>
                <w:sz w:val="1"/>
                <w:szCs w:val="1"/>
                <w:color w:val="auto"/>
              </w:rPr>
            </w:pPr>
          </w:p>
        </w:tc>
      </w:tr>
      <w:tr>
        <w:trPr>
          <w:trHeight w:val="140"/>
        </w:trPr>
        <w:tc>
          <w:tcPr>
            <w:tcW w:w="7220" w:type="dxa"/>
            <w:vAlign w:val="bottom"/>
            <w:gridSpan w:val="2"/>
          </w:tcPr>
          <w:p>
            <w:pPr>
              <w:spacing w:after="0" w:line="133" w:lineRule="exact"/>
              <w:rPr>
                <w:sz w:val="20"/>
                <w:szCs w:val="20"/>
                <w:color w:val="auto"/>
              </w:rPr>
            </w:pPr>
            <w:r>
              <w:rPr>
                <w:rFonts w:ascii="Arial" w:cs="Arial" w:eastAsia="Arial" w:hAnsi="Arial"/>
                <w:sz w:val="12"/>
                <w:szCs w:val="12"/>
                <w:color w:val="auto"/>
              </w:rPr>
              <w:t>Total deliveries</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w w:val="99"/>
              </w:rPr>
              <w:t>1,109</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60"/>
              <w:spacing w:after="0" w:line="133" w:lineRule="exact"/>
              <w:rPr>
                <w:sz w:val="20"/>
                <w:szCs w:val="20"/>
                <w:color w:val="auto"/>
              </w:rPr>
            </w:pPr>
            <w:r>
              <w:rPr>
                <w:rFonts w:ascii="Arial" w:cs="Arial" w:eastAsia="Arial" w:hAnsi="Arial"/>
                <w:sz w:val="12"/>
                <w:szCs w:val="12"/>
                <w:color w:val="auto"/>
              </w:rPr>
              <w:t>100.0%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rPr>
              <w:t>315</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100.0%</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rPr>
              <w:t>794</w:t>
            </w:r>
          </w:p>
        </w:tc>
        <w:tc>
          <w:tcPr>
            <w:tcW w:w="620" w:type="dxa"/>
            <w:vAlign w:val="bottom"/>
            <w:tcBorders>
              <w:bottom w:val="single" w:sz="8" w:color="auto"/>
            </w:tcBorders>
            <w:gridSpan w:val="2"/>
          </w:tcPr>
          <w:p>
            <w:pPr>
              <w:ind w:left="120"/>
              <w:spacing w:after="0" w:line="133" w:lineRule="exact"/>
              <w:rPr>
                <w:sz w:val="20"/>
                <w:szCs w:val="20"/>
                <w:color w:val="auto"/>
              </w:rPr>
            </w:pPr>
            <w:r>
              <w:rPr>
                <w:rFonts w:ascii="Arial" w:cs="Arial" w:eastAsia="Arial" w:hAnsi="Arial"/>
                <w:sz w:val="12"/>
                <w:szCs w:val="12"/>
                <w:color w:val="auto"/>
              </w:rPr>
              <w:t>252.1%</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Net revenues for the second quarter of Fiscal 2010 increased $78.7 million, or 247.5 percent, compared to the second </w:t>
      </w:r>
      <w:r>
        <w:rPr>
          <w:rFonts w:ascii="Arial" w:cs="Arial" w:eastAsia="Arial" w:hAnsi="Arial"/>
          <w:sz w:val="14"/>
          <w:szCs w:val="14"/>
          <w:color w:val="auto"/>
        </w:rPr>
        <w:t>quarter of Fiscal 2009, due to the following:</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Volume increase: The primary reason for the net revenue increase was due to an increase in unit deliveries of 252.1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-59690</wp:posOffset>
            </wp:positionV>
            <wp:extent cx="4826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4" w:lineRule="exact"/>
        <w:rPr>
          <w:sz w:val="20"/>
          <w:szCs w:val="20"/>
          <w:color w:val="auto"/>
        </w:rPr>
      </w:pPr>
    </w:p>
    <w:p>
      <w:pPr>
        <w:ind w:left="460" w:right="200"/>
        <w:spacing w:after="0" w:line="266" w:lineRule="auto"/>
        <w:rPr>
          <w:sz w:val="20"/>
          <w:szCs w:val="20"/>
          <w:color w:val="auto"/>
        </w:rPr>
      </w:pPr>
      <w:r>
        <w:rPr>
          <w:rFonts w:ascii="Arial" w:cs="Arial" w:eastAsia="Arial" w:hAnsi="Arial"/>
          <w:sz w:val="12"/>
          <w:szCs w:val="12"/>
          <w:color w:val="auto"/>
        </w:rPr>
        <w:t>Pricing and mix: Our motor home average selling price (ASP), net of discounts, increased 8.2 percent. The increase in our ASP was due to a decrease of product discounts offered at the wholesale level and a shift in our mix to higher-priced product as our sales mix was more heavily weighted to Class A product as compared to the comparable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-166370</wp:posOffset>
            </wp:positionV>
            <wp:extent cx="4826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460" w:right="40"/>
        <w:spacing w:after="0" w:line="266" w:lineRule="auto"/>
        <w:rPr>
          <w:sz w:val="20"/>
          <w:szCs w:val="20"/>
          <w:color w:val="auto"/>
        </w:rPr>
      </w:pPr>
      <w:r>
        <w:rPr>
          <w:rFonts w:ascii="Arial" w:cs="Arial" w:eastAsia="Arial" w:hAnsi="Arial"/>
          <w:sz w:val="12"/>
          <w:szCs w:val="12"/>
          <w:color w:val="auto"/>
        </w:rPr>
        <w:t>Repurchases: Our repurchase loss provision, which is a deduction from gross revenue, decreased 4.2 percent (as a percentage of revenue) during the quarter, or $1.2 million. We repurchased one motor home and resold two during the quarter, incurring actual losses of $25,000. Further discussion of our repurchase activity is included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-166370</wp:posOffset>
            </wp:positionV>
            <wp:extent cx="4826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1"/>
          <w:szCs w:val="11"/>
          <w:color w:val="auto"/>
        </w:rPr>
        <w:t>Promotional incentives: Our retail and other incentives decreased 4.2 percent (as a percent of net revenues). In the prior year, we had more retail incentive programs in place to help stimulate dealer retail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-52705</wp:posOffset>
            </wp:positionV>
            <wp:extent cx="4826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87"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Cost of products sold was $105.7 million, or 95.7 percent of net revenues for the second quarter of Fiscal 2010 compared to $43.6 million, or 137.1 percent of net revenues for the second quarter of Fiscal 2009. Variable costs (material, labor, variable overhead, delivery, and warranty) increased $60.7 million as a result of the increased number of motor homes sold. As a percent of revenues, however, variable costs decreas ed to 86.4 percent of net revenues for the second quarter of Fiscal 2010 from 109.3 percent for the second quarter of Fiscal 2009. This decrease in percentage is due to reduced ma terial and labor costs and improved labor efficiencies, both resulting from production volume increases. Fixed overhead (manufacturing support labor, depreciation and facility costs) and research and development-related costs increased $1.5 million to 9.3 percent, as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8"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percentage of net revenues, for the second quarter of Fiscal 2010 as compared to 27.7 percent of net revenues for the second quarter of Fiscal 2009. The decrease in percentage was due to greater absorption of fixed costs resulting from higher production volumes.</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When all factors as described above are considered, gross profit was 4.3 percent of net revenues for the second quarter of Fiscal 2010 compared to a gross deficit of 37.1 percent during the </w:t>
      </w:r>
      <w:r>
        <w:rPr>
          <w:rFonts w:ascii="Arial" w:cs="Arial" w:eastAsia="Arial" w:hAnsi="Arial"/>
          <w:sz w:val="13"/>
          <w:szCs w:val="13"/>
          <w:color w:val="auto"/>
        </w:rPr>
        <w:t>second</w:t>
      </w:r>
      <w:r>
        <w:rPr>
          <w:rFonts w:ascii="Arial" w:cs="Arial" w:eastAsia="Arial" w:hAnsi="Arial"/>
          <w:sz w:val="11"/>
          <w:szCs w:val="11"/>
          <w:color w:val="auto"/>
        </w:rPr>
        <w:t xml:space="preserve"> quarter of Fiscal 2009.</w:t>
      </w:r>
    </w:p>
    <w:p>
      <w:pPr>
        <w:spacing w:after="0" w:line="162" w:lineRule="exact"/>
        <w:rPr>
          <w:sz w:val="20"/>
          <w:szCs w:val="20"/>
          <w:color w:val="auto"/>
        </w:rPr>
      </w:pPr>
    </w:p>
    <w:p>
      <w:pPr>
        <w:ind w:right="460"/>
        <w:spacing w:after="0" w:line="323" w:lineRule="auto"/>
        <w:rPr>
          <w:sz w:val="20"/>
          <w:szCs w:val="20"/>
          <w:color w:val="auto"/>
        </w:rPr>
      </w:pPr>
      <w:r>
        <w:rPr>
          <w:rFonts w:ascii="Arial" w:cs="Arial" w:eastAsia="Arial" w:hAnsi="Arial"/>
          <w:sz w:val="11"/>
          <w:szCs w:val="11"/>
          <w:color w:val="auto"/>
        </w:rPr>
        <w:t>Selling expenses increased $286,000, or 10.2 percent, during the second quarter of Fiscal 2010. The increase was due to $210,000 in labor-related expenses and $185,000 in advertising expenses, partially offset by certain spending reductions. As a percentage of net revenues, selling expenses decreased 6.0 percent, from 8.8 percent to 2.8 percent for the second quarter of Fiscal 2009 and Fiscal 2010, respectively.</w:t>
      </w:r>
    </w:p>
    <w:p>
      <w:pPr>
        <w:spacing w:after="0" w:line="119"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General and administrative expenses decreased $463,000, or 11.6 percent, during the second quarter of Fiscal 2010 and, as a percentage of net revenues were 3.2 percent and 12.6 percent for the second quarters of Fiscal 2010 and Fiscal 2009, respectively. This decrease, in dollars was due to reductions of $485,000 in legal expenses, $120,000 less expense associated with our idled facilities and other spending reductions, partially offset by an increase of $388,000 in product liability expense.</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Financial income decreased $269,000, or 42.5 percent, during the second quarter of Fiscal 2010. This was primarily due to increased fees of $115,000 on our Loan Agreement with Burdale Capital Finance, Inc. and a $105,000 reduction in the impairme nt on our ARS. See Notes 4 and 7.</w:t>
      </w:r>
    </w:p>
    <w:p>
      <w:pPr>
        <w:spacing w:after="0" w:line="142" w:lineRule="exact"/>
        <w:rPr>
          <w:sz w:val="20"/>
          <w:szCs w:val="20"/>
          <w:color w:val="auto"/>
        </w:rPr>
      </w:pPr>
    </w:p>
    <w:p>
      <w:pPr>
        <w:ind w:right="580"/>
        <w:spacing w:after="0" w:line="276" w:lineRule="auto"/>
        <w:rPr>
          <w:sz w:val="20"/>
          <w:szCs w:val="20"/>
          <w:color w:val="auto"/>
        </w:rPr>
      </w:pPr>
      <w:r>
        <w:rPr>
          <w:rFonts w:ascii="Arial" w:cs="Arial" w:eastAsia="Arial" w:hAnsi="Arial"/>
          <w:sz w:val="12"/>
          <w:szCs w:val="12"/>
          <w:color w:val="auto"/>
        </w:rPr>
        <w:t>The overall effective income tax rate for the second quarter of Fiscal 2010 was a benefit of 147.3 percent compared to a benefit rate of 42.3 percent for the second quarter of Fiscal 2009. The following table breaks down the two aforementioned tax rates: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9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rPr>
              <w:t>Quarter Ended</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89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160"/>
              <w:spacing w:after="0" w:line="133" w:lineRule="exact"/>
              <w:rPr>
                <w:sz w:val="20"/>
                <w:szCs w:val="20"/>
                <w:color w:val="auto"/>
              </w:rPr>
            </w:pPr>
            <w:r>
              <w:rPr>
                <w:rFonts w:ascii="Arial" w:cs="Arial" w:eastAsia="Arial" w:hAnsi="Arial"/>
                <w:sz w:val="12"/>
                <w:szCs w:val="12"/>
                <w:b w:val="1"/>
                <w:bCs w:val="1"/>
                <w:color w:val="auto"/>
                <w:w w:val="98"/>
              </w:rPr>
              <w:t>February 27, 2010</w:t>
            </w: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ind w:right="80"/>
              <w:spacing w:after="0" w:line="133" w:lineRule="exact"/>
              <w:rPr>
                <w:sz w:val="20"/>
                <w:szCs w:val="20"/>
                <w:color w:val="auto"/>
              </w:rPr>
            </w:pPr>
            <w:r>
              <w:rPr>
                <w:rFonts w:ascii="Arial" w:cs="Arial" w:eastAsia="Arial" w:hAnsi="Arial"/>
                <w:sz w:val="12"/>
                <w:szCs w:val="12"/>
                <w:b w:val="1"/>
                <w:bCs w:val="1"/>
                <w:color w:val="auto"/>
                <w:w w:val="98"/>
              </w:rPr>
              <w:t>February 28, 2009</w:t>
            </w:r>
          </w:p>
        </w:tc>
        <w:tc>
          <w:tcPr>
            <w:tcW w:w="20" w:type="dxa"/>
            <w:vAlign w:val="bottom"/>
          </w:tcPr>
          <w:p>
            <w:pPr>
              <w:spacing w:after="0"/>
              <w:rPr>
                <w:sz w:val="11"/>
                <w:szCs w:val="11"/>
                <w:color w:val="auto"/>
              </w:rPr>
            </w:pPr>
          </w:p>
        </w:tc>
      </w:tr>
      <w:tr>
        <w:trPr>
          <w:trHeight w:val="120"/>
        </w:trPr>
        <w:tc>
          <w:tcPr>
            <w:tcW w:w="8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right"/>
              <w:ind w:right="60"/>
              <w:spacing w:after="0" w:line="121" w:lineRule="exact"/>
              <w:rPr>
                <w:sz w:val="20"/>
                <w:szCs w:val="20"/>
                <w:color w:val="auto"/>
              </w:rPr>
            </w:pPr>
            <w:r>
              <w:rPr>
                <w:rFonts w:ascii="Arial" w:cs="Arial" w:eastAsia="Arial" w:hAnsi="Arial"/>
                <w:sz w:val="12"/>
                <w:szCs w:val="12"/>
                <w:b w:val="1"/>
                <w:bCs w:val="1"/>
                <w:color w:val="auto"/>
              </w:rPr>
              <w:t>Effective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Effective</w:t>
            </w:r>
          </w:p>
        </w:tc>
        <w:tc>
          <w:tcPr>
            <w:tcW w:w="20" w:type="dxa"/>
            <w:vAlign w:val="bottom"/>
          </w:tcPr>
          <w:p>
            <w:pPr>
              <w:spacing w:after="0"/>
              <w:rPr>
                <w:sz w:val="10"/>
                <w:szCs w:val="10"/>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60" w:type="dxa"/>
            <w:vAlign w:val="bottom"/>
          </w:tcPr>
          <w:p>
            <w:pPr>
              <w:spacing w:after="0"/>
              <w:rPr>
                <w:sz w:val="13"/>
                <w:szCs w:val="13"/>
                <w:color w:val="auto"/>
              </w:rPr>
            </w:pPr>
          </w:p>
        </w:tc>
        <w:tc>
          <w:tcPr>
            <w:tcW w:w="580" w:type="dxa"/>
            <w:vAlign w:val="bottom"/>
          </w:tcPr>
          <w:p>
            <w:pPr>
              <w:jc w:val="right"/>
              <w:ind w:right="100"/>
              <w:spacing w:after="0"/>
              <w:rPr>
                <w:sz w:val="20"/>
                <w:szCs w:val="20"/>
                <w:color w:val="auto"/>
              </w:rPr>
            </w:pPr>
            <w:r>
              <w:rPr>
                <w:rFonts w:ascii="Arial" w:cs="Arial" w:eastAsia="Arial" w:hAnsi="Arial"/>
                <w:sz w:val="12"/>
                <w:szCs w:val="12"/>
                <w:b w:val="1"/>
                <w:bCs w:val="1"/>
                <w:color w:val="auto"/>
                <w:w w:val="88"/>
              </w:rPr>
              <w:t>Amount</w:t>
            </w:r>
          </w:p>
        </w:tc>
        <w:tc>
          <w:tcPr>
            <w:tcW w:w="660" w:type="dxa"/>
            <w:vAlign w:val="bottom"/>
          </w:tcPr>
          <w:p>
            <w:pPr>
              <w:jc w:val="right"/>
              <w:ind w:right="160"/>
              <w:spacing w:after="0"/>
              <w:rPr>
                <w:sz w:val="20"/>
                <w:szCs w:val="20"/>
                <w:color w:val="auto"/>
              </w:rPr>
            </w:pPr>
            <w:r>
              <w:rPr>
                <w:rFonts w:ascii="Arial" w:cs="Arial" w:eastAsia="Arial" w:hAnsi="Arial"/>
                <w:sz w:val="12"/>
                <w:szCs w:val="12"/>
                <w:b w:val="1"/>
                <w:bCs w:val="1"/>
                <w:color w:val="auto"/>
              </w:rPr>
              <w:t>Rate</w:t>
            </w:r>
          </w:p>
        </w:tc>
        <w:tc>
          <w:tcPr>
            <w:tcW w:w="120" w:type="dxa"/>
            <w:vAlign w:val="bottom"/>
          </w:tcPr>
          <w:p>
            <w:pPr>
              <w:spacing w:after="0"/>
              <w:rPr>
                <w:sz w:val="13"/>
                <w:szCs w:val="13"/>
                <w:color w:val="auto"/>
              </w:rPr>
            </w:pPr>
          </w:p>
        </w:tc>
        <w:tc>
          <w:tcPr>
            <w:tcW w:w="560" w:type="dxa"/>
            <w:vAlign w:val="bottom"/>
          </w:tcPr>
          <w:p>
            <w:pPr>
              <w:jc w:val="right"/>
              <w:ind w:right="80"/>
              <w:spacing w:after="0"/>
              <w:rPr>
                <w:sz w:val="20"/>
                <w:szCs w:val="20"/>
                <w:color w:val="auto"/>
              </w:rPr>
            </w:pPr>
            <w:r>
              <w:rPr>
                <w:rFonts w:ascii="Arial" w:cs="Arial" w:eastAsia="Arial" w:hAnsi="Arial"/>
                <w:sz w:val="12"/>
                <w:szCs w:val="12"/>
                <w:b w:val="1"/>
                <w:bCs w:val="1"/>
                <w:color w:val="auto"/>
                <w:w w:val="88"/>
              </w:rPr>
              <w:t>Amount</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Rate</w:t>
            </w:r>
          </w:p>
        </w:tc>
      </w:tr>
      <w:tr>
        <w:trPr>
          <w:trHeight w:val="133"/>
        </w:trPr>
        <w:tc>
          <w:tcPr>
            <w:tcW w:w="89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Tax benefit before discrete items</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(928)</w:t>
            </w:r>
          </w:p>
        </w:tc>
        <w:tc>
          <w:tcPr>
            <w:tcW w:w="66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(62.1)%</w:t>
            </w:r>
          </w:p>
        </w:tc>
        <w:tc>
          <w:tcPr>
            <w:tcW w:w="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(7,221)</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(40.2)%</w:t>
            </w:r>
          </w:p>
        </w:tc>
        <w:tc>
          <w:tcPr>
            <w:tcW w:w="20" w:type="dxa"/>
            <w:vAlign w:val="bottom"/>
          </w:tcPr>
          <w:p>
            <w:pPr>
              <w:spacing w:after="0"/>
              <w:rPr>
                <w:sz w:val="11"/>
                <w:szCs w:val="11"/>
                <w:color w:val="auto"/>
              </w:rPr>
            </w:pPr>
          </w:p>
        </w:tc>
      </w:tr>
      <w:tr>
        <w:trPr>
          <w:trHeight w:val="144"/>
        </w:trPr>
        <w:tc>
          <w:tcPr>
            <w:tcW w:w="8900" w:type="dxa"/>
            <w:vAlign w:val="bottom"/>
          </w:tcPr>
          <w:p>
            <w:pPr>
              <w:spacing w:after="0"/>
              <w:rPr>
                <w:sz w:val="20"/>
                <w:szCs w:val="20"/>
                <w:color w:val="auto"/>
              </w:rPr>
            </w:pPr>
            <w:r>
              <w:rPr>
                <w:rFonts w:ascii="Arial" w:cs="Arial" w:eastAsia="Arial" w:hAnsi="Arial"/>
                <w:sz w:val="12"/>
                <w:szCs w:val="12"/>
                <w:color w:val="auto"/>
              </w:rPr>
              <w:t>Discrete items: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8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in valuation allowance</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1,189</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79.5 %</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8900" w:type="dxa"/>
            <w:vAlign w:val="bottom"/>
          </w:tcPr>
          <w:p>
            <w:pPr>
              <w:spacing w:after="0"/>
              <w:rPr>
                <w:sz w:val="20"/>
                <w:szCs w:val="20"/>
                <w:color w:val="auto"/>
              </w:rPr>
            </w:pPr>
            <w:r>
              <w:rPr>
                <w:rFonts w:ascii="Arial" w:cs="Arial" w:eastAsia="Arial" w:hAnsi="Arial"/>
                <w:sz w:val="12"/>
                <w:szCs w:val="12"/>
                <w:color w:val="auto"/>
              </w:rPr>
              <w:t>Uncertain tax positions settlements and adjustments</w:t>
            </w:r>
          </w:p>
        </w:tc>
        <w:tc>
          <w:tcPr>
            <w:tcW w:w="6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(882)</w:t>
            </w: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(59.0)%</w:t>
            </w:r>
          </w:p>
        </w:tc>
        <w:tc>
          <w:tcPr>
            <w:tcW w:w="120" w:type="dxa"/>
            <w:vAlign w:val="bottom"/>
          </w:tcPr>
          <w:p>
            <w:pPr>
              <w:spacing w:after="0"/>
              <w:rPr>
                <w:sz w:val="12"/>
                <w:szCs w:val="12"/>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8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Tax planning initiatives</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(1,576)</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(105.5)%</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(376)</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 w:type="dxa"/>
            <w:vAlign w:val="bottom"/>
          </w:tcPr>
          <w:p>
            <w:pPr>
              <w:spacing w:after="0"/>
              <w:rPr>
                <w:sz w:val="12"/>
                <w:szCs w:val="12"/>
                <w:color w:val="auto"/>
              </w:rPr>
            </w:pPr>
          </w:p>
        </w:tc>
      </w:tr>
      <w:tr>
        <w:trPr>
          <w:trHeight w:val="144"/>
        </w:trPr>
        <w:tc>
          <w:tcPr>
            <w:tcW w:w="89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0"/>
        </w:trPr>
        <w:tc>
          <w:tcPr>
            <w:tcW w:w="89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benefit for taxes</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(2,200)</w:t>
            </w:r>
          </w:p>
        </w:tc>
        <w:tc>
          <w:tcPr>
            <w:tcW w:w="66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(147.3)%</w:t>
            </w:r>
          </w:p>
        </w:tc>
        <w:tc>
          <w:tcPr>
            <w:tcW w:w="1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(7,597)</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(42.3)%</w:t>
            </w:r>
          </w:p>
        </w:tc>
        <w:tc>
          <w:tcPr>
            <w:tcW w:w="20" w:type="dxa"/>
            <w:vAlign w:val="bottom"/>
          </w:tcPr>
          <w:p>
            <w:pPr>
              <w:spacing w:after="0"/>
              <w:rPr>
                <w:sz w:val="12"/>
                <w:szCs w:val="1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benefit before discrete items</w:t>
      </w:r>
    </w:p>
    <w:p>
      <w:pPr>
        <w:spacing w:after="0" w:line="15"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 xml:space="preserve">The overall effective income tax benefit rate for the quarter ended February 27, 2010 was 62.1 percent compared to the effective tax benefit rate of 40.2 percent </w:t>
      </w:r>
      <w:r>
        <w:rPr>
          <w:rFonts w:ascii="Arial" w:cs="Arial" w:eastAsia="Arial" w:hAnsi="Arial"/>
          <w:sz w:val="14"/>
          <w:szCs w:val="14"/>
          <w:color w:val="auto"/>
        </w:rPr>
        <w:t>for the quarter ended</w:t>
      </w:r>
      <w:r>
        <w:rPr>
          <w:rFonts w:ascii="Arial" w:cs="Arial" w:eastAsia="Arial" w:hAnsi="Arial"/>
          <w:sz w:val="12"/>
          <w:szCs w:val="12"/>
          <w:color w:val="auto"/>
        </w:rPr>
        <w:t xml:space="preserve"> February 28, 2009. The primary reason for the difference in the overall effective rate for the quarter ended February 27, 2010 as compared to the quarter ended February 28, 2009 is the rel ationship between our lower pre-tax loss relative to the permanent financial accounting to taxable income (loss) adjustments. An example of a permanent adjustment would be tax-free income from company-owned life insurance and ARS.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allowance increase</w:t>
      </w:r>
    </w:p>
    <w:p>
      <w:pPr>
        <w:spacing w:after="0" w:line="15" w:lineRule="exact"/>
        <w:rPr>
          <w:sz w:val="20"/>
          <w:szCs w:val="20"/>
          <w:color w:val="auto"/>
        </w:rPr>
      </w:pPr>
    </w:p>
    <w:p>
      <w:pPr>
        <w:ind w:right="300"/>
        <w:spacing w:after="0" w:line="261" w:lineRule="auto"/>
        <w:rPr>
          <w:sz w:val="20"/>
          <w:szCs w:val="20"/>
          <w:color w:val="auto"/>
        </w:rPr>
      </w:pPr>
      <w:r>
        <w:rPr>
          <w:rFonts w:ascii="Arial" w:cs="Arial" w:eastAsia="Arial" w:hAnsi="Arial"/>
          <w:sz w:val="12"/>
          <w:szCs w:val="12"/>
          <w:color w:val="auto"/>
        </w:rPr>
        <w:t>A full valuation allowance of $1.2 million was established in our second quarter of Fiscal 2010 on the increase in deferred tax assets. As a result, no tax benefit was recorded attributable to the net operating losses occurring during the second quarter of Fiscal 2010. For further discussion of income taxes, see Note 11.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Uncertain tax positions settlements and adjustments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Benefits of $882,000 were recorded during the second quarter of Fiscal 2010 as a result of settlements of uncertain tax positions with taxing authorities and other adjustments to uncertain tax positions occurring during the quarter.</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planning initiatives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Benefits of $1.6 million and $376,000 were recorded during the second quarters of Fiscal 2010 and Fiscal 2009, respectively as a result of tax planning initiatives.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Net income was $706,000, or $.02 per diluted share, for the second quarter of Fiscal 2010 compared to net loss of $10.4 million, or $.36 per diluted share, for the second quarter of Fiscal 2009. See Note 12.</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ectPr>
          <w:pgSz w:w="11900" w:h="16838" w:orient="portrait"/>
          <w:cols w:equalWidth="0" w:num="1">
            <w:col w:w="11480"/>
          </w:cols>
          <w:pgMar w:left="220" w:top="290" w:right="199" w:bottom="0" w:gutter="0" w:footer="0" w:header="0"/>
        </w:sectPr>
      </w:pPr>
    </w:p>
    <w:bookmarkStart w:id="8" w:name="page9"/>
    <w:bookmarkEnd w:id="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First Six Months of Fiscal 2010 Compared to the First Six Months of Fiscal 2009</w:t>
            </w: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8500" w:type="dxa"/>
            <w:vAlign w:val="bottom"/>
            <w:gridSpan w:val="7"/>
          </w:tcPr>
          <w:p>
            <w:pPr>
              <w:spacing w:after="0"/>
              <w:rPr>
                <w:sz w:val="20"/>
                <w:szCs w:val="20"/>
                <w:color w:val="auto"/>
              </w:rPr>
            </w:pPr>
            <w:r>
              <w:rPr>
                <w:rFonts w:ascii="Arial" w:cs="Arial" w:eastAsia="Arial" w:hAnsi="Arial"/>
                <w:sz w:val="12"/>
                <w:szCs w:val="12"/>
                <w:color w:val="auto"/>
                <w:w w:val="94"/>
              </w:rPr>
              <w:t>The following is an analysis of changes in key items included in the statements of operations for the six months ended February 27, 2010 compared to February 28, 2009:</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 except percent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Six Months Ended</w:t>
            </w: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72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40"/>
              <w:spacing w:after="0" w:line="121" w:lineRule="exact"/>
              <w:rPr>
                <w:sz w:val="20"/>
                <w:szCs w:val="20"/>
                <w:color w:val="auto"/>
              </w:rPr>
            </w:pPr>
            <w:r>
              <w:rPr>
                <w:rFonts w:ascii="Arial" w:cs="Arial" w:eastAsia="Arial" w:hAnsi="Arial"/>
                <w:sz w:val="12"/>
                <w:szCs w:val="12"/>
                <w:b w:val="1"/>
                <w:bCs w:val="1"/>
                <w:color w:val="auto"/>
                <w:w w:val="98"/>
              </w:rPr>
              <w:t>February 27,</w:t>
            </w:r>
          </w:p>
        </w:tc>
        <w:tc>
          <w:tcPr>
            <w:tcW w:w="620" w:type="dxa"/>
            <w:vAlign w:val="bottom"/>
            <w:gridSpan w:val="2"/>
          </w:tcPr>
          <w:p>
            <w:pPr>
              <w:jc w:val="right"/>
              <w:ind w:right="80"/>
              <w:spacing w:after="0" w:line="121" w:lineRule="exact"/>
              <w:rPr>
                <w:sz w:val="20"/>
                <w:szCs w:val="20"/>
                <w:color w:val="auto"/>
              </w:rPr>
            </w:pPr>
            <w:r>
              <w:rPr>
                <w:rFonts w:ascii="Arial" w:cs="Arial" w:eastAsia="Arial" w:hAnsi="Arial"/>
                <w:sz w:val="12"/>
                <w:szCs w:val="12"/>
                <w:b w:val="1"/>
                <w:bCs w:val="1"/>
                <w:color w:val="auto"/>
              </w:rPr>
              <w:t>% of</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w w:val="95"/>
              </w:rPr>
              <w:t>February 28,</w:t>
            </w:r>
          </w:p>
        </w:tc>
        <w:tc>
          <w:tcPr>
            <w:tcW w:w="4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ind w:right="80"/>
              <w:spacing w:after="0" w:line="121" w:lineRule="exact"/>
              <w:rPr>
                <w:sz w:val="20"/>
                <w:szCs w:val="20"/>
                <w:color w:val="auto"/>
              </w:rPr>
            </w:pPr>
            <w:r>
              <w:rPr>
                <w:rFonts w:ascii="Arial" w:cs="Arial" w:eastAsia="Arial" w:hAnsi="Arial"/>
                <w:sz w:val="12"/>
                <w:szCs w:val="12"/>
                <w:b w:val="1"/>
                <w:bCs w:val="1"/>
                <w:color w:val="auto"/>
              </w:rPr>
              <w:t>Increase</w:t>
            </w:r>
          </w:p>
        </w:tc>
        <w:tc>
          <w:tcPr>
            <w:tcW w:w="4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and per share data)</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2010</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Revenues</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2009</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w w:val="98"/>
              </w:rPr>
              <w:t>Revenues</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1"/>
              </w:rPr>
              <w:t>(Decrease)</w:t>
            </w: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revenues</w:t>
            </w:r>
          </w:p>
        </w:tc>
        <w:tc>
          <w:tcPr>
            <w:tcW w:w="180" w:type="dxa"/>
            <w:vAlign w:val="bottom"/>
            <w:gridSpan w:val="2"/>
            <w:shd w:val="clear" w:color="auto" w:fill="CCEEFF"/>
          </w:tcPr>
          <w:p>
            <w:pPr>
              <w:ind w:left="60"/>
              <w:spacing w:after="0" w:line="133"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191,546</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100.0</w:t>
            </w: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1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101,206</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100.0</w:t>
            </w:r>
          </w:p>
        </w:tc>
        <w:tc>
          <w:tcPr>
            <w:tcW w:w="18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w w:val="74"/>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90,340</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89.3</w:t>
            </w: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Cost of goods sold</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186,238</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121,892</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120.4</w:t>
            </w: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64,346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Gross profit (deficit)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5,308</w:t>
            </w: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2.8</w:t>
            </w:r>
          </w:p>
        </w:tc>
        <w:tc>
          <w:tcPr>
            <w:tcW w:w="1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(20,686)</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(20.4)%</w:t>
            </w: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25,994</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125.7</w:t>
            </w:r>
          </w:p>
        </w:tc>
        <w:tc>
          <w:tcPr>
            <w:tcW w:w="1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33"/>
        </w:trPr>
        <w:tc>
          <w:tcPr>
            <w:tcW w:w="7220" w:type="dxa"/>
            <w:vAlign w:val="bottom"/>
            <w:gridSpan w:val="2"/>
          </w:tcPr>
          <w:p>
            <w:pPr>
              <w:spacing w:after="0" w:line="133" w:lineRule="exact"/>
              <w:rPr>
                <w:sz w:val="20"/>
                <w:szCs w:val="20"/>
                <w:color w:val="auto"/>
              </w:rPr>
            </w:pPr>
            <w:r>
              <w:rPr>
                <w:rFonts w:ascii="Arial" w:cs="Arial" w:eastAsia="Arial" w:hAnsi="Arial"/>
                <w:sz w:val="12"/>
                <w:szCs w:val="12"/>
                <w:color w:val="auto"/>
              </w:rPr>
              <w:t>Selling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6,331</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3.3</w:t>
            </w:r>
          </w:p>
        </w:tc>
        <w:tc>
          <w:tcPr>
            <w:tcW w:w="160" w:type="dxa"/>
            <w:vAlign w:val="bottom"/>
          </w:tcPr>
          <w:p>
            <w:pPr>
              <w:jc w:val="right"/>
              <w:spacing w:after="0" w:line="133" w:lineRule="exact"/>
              <w:rPr>
                <w:sz w:val="20"/>
                <w:szCs w:val="20"/>
                <w:color w:val="auto"/>
              </w:rPr>
            </w:pPr>
            <w:r>
              <w:rPr>
                <w:rFonts w:ascii="Arial" w:cs="Arial" w:eastAsia="Arial" w:hAnsi="Arial"/>
                <w:sz w:val="12"/>
                <w:szCs w:val="12"/>
                <w:color w:val="auto"/>
                <w:w w:val="93"/>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6,481</w:t>
            </w:r>
          </w:p>
        </w:tc>
        <w:tc>
          <w:tcPr>
            <w:tcW w:w="16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6.4</w:t>
            </w:r>
          </w:p>
        </w:tc>
        <w:tc>
          <w:tcPr>
            <w:tcW w:w="180" w:type="dxa"/>
            <w:vAlign w:val="bottom"/>
          </w:tcPr>
          <w:p>
            <w:pPr>
              <w:jc w:val="right"/>
              <w:ind w:right="20"/>
              <w:spacing w:after="0" w:line="133" w:lineRule="exact"/>
              <w:rPr>
                <w:sz w:val="20"/>
                <w:szCs w:val="20"/>
                <w:color w:val="auto"/>
              </w:rPr>
            </w:pPr>
            <w:r>
              <w:rPr>
                <w:rFonts w:ascii="Arial" w:cs="Arial" w:eastAsia="Arial" w:hAnsi="Arial"/>
                <w:sz w:val="12"/>
                <w:szCs w:val="12"/>
                <w:color w:val="auto"/>
                <w:w w:val="74"/>
              </w:rPr>
              <w:t>%</w:t>
            </w:r>
          </w:p>
        </w:tc>
        <w:tc>
          <w:tcPr>
            <w:tcW w:w="60" w:type="dxa"/>
            <w:vAlign w:val="bottom"/>
          </w:tcPr>
          <w:p>
            <w:pPr>
              <w:spacing w:after="0"/>
              <w:rPr>
                <w:sz w:val="11"/>
                <w:szCs w:val="11"/>
                <w:color w:val="auto"/>
              </w:rPr>
            </w:pPr>
          </w:p>
        </w:tc>
        <w:tc>
          <w:tcPr>
            <w:tcW w:w="660" w:type="dxa"/>
            <w:vAlign w:val="bottom"/>
          </w:tcPr>
          <w:p>
            <w:pPr>
              <w:jc w:val="right"/>
              <w:ind w:right="80"/>
              <w:spacing w:after="0" w:line="133" w:lineRule="exact"/>
              <w:rPr>
                <w:sz w:val="20"/>
                <w:szCs w:val="20"/>
                <w:color w:val="auto"/>
              </w:rPr>
            </w:pPr>
            <w:r>
              <w:rPr>
                <w:rFonts w:ascii="Arial" w:cs="Arial" w:eastAsia="Arial" w:hAnsi="Arial"/>
                <w:sz w:val="12"/>
                <w:szCs w:val="12"/>
                <w:color w:val="auto"/>
              </w:rPr>
              <w:t>(150)</w:t>
            </w:r>
          </w:p>
        </w:tc>
        <w:tc>
          <w:tcPr>
            <w:tcW w:w="6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4"/>
        </w:trPr>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6,812</w:t>
            </w: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8,334</w:t>
            </w: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(1,522)</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33"/>
        </w:trPr>
        <w:tc>
          <w:tcPr>
            <w:tcW w:w="722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2"/>
                <w:szCs w:val="12"/>
                <w:color w:val="auto"/>
              </w:rPr>
              <w:t>Total operating expenses</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13,143</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6.9</w:t>
            </w:r>
          </w:p>
        </w:tc>
        <w:tc>
          <w:tcPr>
            <w:tcW w:w="1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3"/>
              </w:rPr>
              <w:t>%</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14,815</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14.6</w:t>
            </w:r>
          </w:p>
        </w:tc>
        <w:tc>
          <w:tcPr>
            <w:tcW w:w="18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(1,672)</w:t>
            </w:r>
          </w:p>
        </w:tc>
        <w:tc>
          <w:tcPr>
            <w:tcW w:w="62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Operating loss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(7,835)</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(35,501)</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(35.0)%</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27,666</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77.9</w:t>
            </w: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Financial income</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1,157</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74"/>
              </w:rPr>
              <w:t>%</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(1,026)</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(88.7)%</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Loss before income taxes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(7,704)</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(34,344)</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(33.9)%</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26,640</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77.6</w:t>
            </w: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Benefit for taxes</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(7,066)</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(3.7)%</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(14,367)</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(14.2)%</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7,301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0"/>
        </w:trPr>
        <w:tc>
          <w:tcPr>
            <w:tcW w:w="722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Net loss</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(638)</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(0.3)%</w:t>
            </w:r>
          </w:p>
        </w:tc>
        <w:tc>
          <w:tcPr>
            <w:tcW w:w="12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(19,977)</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(19.7)%</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19,339</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96.8</w:t>
            </w:r>
          </w:p>
        </w:tc>
        <w:tc>
          <w:tcPr>
            <w:tcW w:w="1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Diluted loss per share</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(0.69)</w:t>
            </w:r>
          </w:p>
        </w:tc>
        <w:tc>
          <w:tcPr>
            <w:tcW w:w="1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0.67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38"/>
        </w:trPr>
        <w:tc>
          <w:tcPr>
            <w:tcW w:w="7220" w:type="dxa"/>
            <w:vAlign w:val="bottom"/>
            <w:gridSpan w:val="2"/>
          </w:tcPr>
          <w:p>
            <w:pPr>
              <w:spacing w:after="0" w:line="132" w:lineRule="exact"/>
              <w:rPr>
                <w:sz w:val="20"/>
                <w:szCs w:val="20"/>
                <w:color w:val="auto"/>
              </w:rPr>
            </w:pPr>
            <w:r>
              <w:rPr>
                <w:rFonts w:ascii="Arial" w:cs="Arial" w:eastAsia="Arial" w:hAnsi="Arial"/>
                <w:sz w:val="12"/>
                <w:szCs w:val="12"/>
                <w:color w:val="auto"/>
              </w:rPr>
              <w:t>Fully diluted average share outstanding</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29,088</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29,041</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0"/>
              <w:spacing w:after="0" w:line="132" w:lineRule="exact"/>
              <w:rPr>
                <w:sz w:val="20"/>
                <w:szCs w:val="20"/>
                <w:color w:val="auto"/>
              </w:rPr>
            </w:pPr>
            <w:r>
              <w:rPr>
                <w:rFonts w:ascii="Arial" w:cs="Arial" w:eastAsia="Arial" w:hAnsi="Arial"/>
                <w:sz w:val="12"/>
                <w:szCs w:val="12"/>
                <w:color w:val="auto"/>
              </w:rPr>
              <w:t>47</w:t>
            </w:r>
          </w:p>
        </w:tc>
        <w:tc>
          <w:tcPr>
            <w:tcW w:w="4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0.2</w:t>
            </w:r>
          </w:p>
        </w:tc>
        <w:tc>
          <w:tcPr>
            <w:tcW w:w="1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315"/>
        </w:trPr>
        <w:tc>
          <w:tcPr>
            <w:tcW w:w="7220" w:type="dxa"/>
            <w:vAlign w:val="bottom"/>
            <w:gridSpan w:val="2"/>
          </w:tcPr>
          <w:p>
            <w:pPr>
              <w:spacing w:after="0"/>
              <w:rPr>
                <w:sz w:val="20"/>
                <w:szCs w:val="20"/>
                <w:color w:val="auto"/>
              </w:rPr>
            </w:pPr>
            <w:r>
              <w:rPr>
                <w:rFonts w:ascii="Arial" w:cs="Arial" w:eastAsia="Arial" w:hAnsi="Arial"/>
                <w:sz w:val="12"/>
                <w:szCs w:val="12"/>
                <w:color w:val="auto"/>
              </w:rPr>
              <w:t>Unit deliveries consisted of the following:</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98"/>
              </w:rPr>
              <w:t>Six Months Ended</w:t>
            </w: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41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20" w:type="dxa"/>
            <w:vAlign w:val="bottom"/>
            <w:gridSpan w:val="4"/>
          </w:tcPr>
          <w:p>
            <w:pPr>
              <w:ind w:left="40"/>
              <w:spacing w:after="0" w:line="121" w:lineRule="exact"/>
              <w:rPr>
                <w:sz w:val="20"/>
                <w:szCs w:val="20"/>
                <w:color w:val="auto"/>
              </w:rPr>
            </w:pPr>
            <w:r>
              <w:rPr>
                <w:rFonts w:ascii="Arial" w:cs="Arial" w:eastAsia="Arial" w:hAnsi="Arial"/>
                <w:sz w:val="12"/>
                <w:szCs w:val="12"/>
                <w:b w:val="1"/>
                <w:bCs w:val="1"/>
                <w:color w:val="auto"/>
              </w:rPr>
              <w:t>February 27,</w:t>
            </w:r>
          </w:p>
        </w:tc>
        <w:tc>
          <w:tcPr>
            <w:tcW w:w="620" w:type="dxa"/>
            <w:vAlign w:val="bottom"/>
            <w:gridSpan w:val="2"/>
          </w:tcPr>
          <w:p>
            <w:pPr>
              <w:jc w:val="right"/>
              <w:ind w:right="80"/>
              <w:spacing w:after="0" w:line="121" w:lineRule="exact"/>
              <w:rPr>
                <w:sz w:val="20"/>
                <w:szCs w:val="20"/>
                <w:color w:val="auto"/>
              </w:rPr>
            </w:pPr>
            <w:r>
              <w:rPr>
                <w:rFonts w:ascii="Arial" w:cs="Arial" w:eastAsia="Arial" w:hAnsi="Arial"/>
                <w:sz w:val="12"/>
                <w:szCs w:val="12"/>
                <w:b w:val="1"/>
                <w:bCs w:val="1"/>
                <w:color w:val="auto"/>
              </w:rPr>
              <w:t>Product</w:t>
            </w:r>
          </w:p>
        </w:tc>
        <w:tc>
          <w:tcPr>
            <w:tcW w:w="820" w:type="dxa"/>
            <w:vAlign w:val="bottom"/>
            <w:gridSpan w:val="4"/>
          </w:tcPr>
          <w:p>
            <w:pPr>
              <w:ind w:left="20"/>
              <w:spacing w:after="0" w:line="121" w:lineRule="exact"/>
              <w:rPr>
                <w:sz w:val="20"/>
                <w:szCs w:val="20"/>
                <w:color w:val="auto"/>
              </w:rPr>
            </w:pPr>
            <w:r>
              <w:rPr>
                <w:rFonts w:ascii="Arial" w:cs="Arial" w:eastAsia="Arial" w:hAnsi="Arial"/>
                <w:sz w:val="12"/>
                <w:szCs w:val="12"/>
                <w:b w:val="1"/>
                <w:bCs w:val="1"/>
                <w:color w:val="auto"/>
              </w:rPr>
              <w:t>February 28,</w:t>
            </w:r>
          </w:p>
        </w:tc>
        <w:tc>
          <w:tcPr>
            <w:tcW w:w="4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92"/>
              </w:rPr>
              <w:t>Product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jc w:val="right"/>
              <w:ind w:right="20"/>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2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(In units)</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2010</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Mix %</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2009</w:t>
            </w: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Mix %</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6"/>
              </w:rPr>
              <w:t>Increase</w:t>
            </w: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Class A gas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613</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242</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371</w:t>
            </w:r>
          </w:p>
        </w:tc>
        <w:tc>
          <w:tcPr>
            <w:tcW w:w="6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153.3%</w:t>
            </w:r>
          </w:p>
        </w:tc>
        <w:tc>
          <w:tcPr>
            <w:tcW w:w="0" w:type="dxa"/>
            <w:vAlign w:val="bottom"/>
          </w:tcPr>
          <w:p>
            <w:pPr>
              <w:spacing w:after="0"/>
              <w:rPr>
                <w:sz w:val="1"/>
                <w:szCs w:val="1"/>
                <w:color w:val="auto"/>
              </w:rPr>
            </w:pPr>
          </w:p>
        </w:tc>
      </w:tr>
      <w:tr>
        <w:trPr>
          <w:trHeight w:val="14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Class A diesel</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434</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22.8%</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163</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271</w:t>
            </w: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166.3%</w:t>
            </w:r>
          </w:p>
        </w:tc>
        <w:tc>
          <w:tcPr>
            <w:tcW w:w="0" w:type="dxa"/>
            <w:vAlign w:val="bottom"/>
          </w:tcPr>
          <w:p>
            <w:pPr>
              <w:spacing w:after="0"/>
              <w:rPr>
                <w:sz w:val="1"/>
                <w:szCs w:val="1"/>
                <w:color w:val="auto"/>
              </w:rPr>
            </w:pPr>
          </w:p>
        </w:tc>
      </w:tr>
      <w:tr>
        <w:trPr>
          <w:trHeight w:val="133"/>
        </w:trPr>
        <w:tc>
          <w:tcPr>
            <w:tcW w:w="7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Total Class A</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1,047</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55.0%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405</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41.7%</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642</w:t>
            </w:r>
          </w:p>
        </w:tc>
        <w:tc>
          <w:tcPr>
            <w:tcW w:w="6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158.5%</w:t>
            </w:r>
          </w:p>
        </w:tc>
        <w:tc>
          <w:tcPr>
            <w:tcW w:w="0" w:type="dxa"/>
            <w:vAlign w:val="bottom"/>
          </w:tcPr>
          <w:p>
            <w:pPr>
              <w:spacing w:after="0"/>
              <w:rPr>
                <w:sz w:val="1"/>
                <w:szCs w:val="1"/>
                <w:color w:val="auto"/>
              </w:rPr>
            </w:pPr>
          </w:p>
        </w:tc>
      </w:tr>
      <w:tr>
        <w:trPr>
          <w:trHeight w:val="144"/>
        </w:trPr>
        <w:tc>
          <w:tcPr>
            <w:tcW w:w="7220" w:type="dxa"/>
            <w:vAlign w:val="bottom"/>
            <w:gridSpan w:val="2"/>
          </w:tcPr>
          <w:p>
            <w:pPr>
              <w:spacing w:after="0"/>
              <w:rPr>
                <w:sz w:val="20"/>
                <w:szCs w:val="20"/>
                <w:color w:val="auto"/>
              </w:rPr>
            </w:pPr>
            <w:r>
              <w:rPr>
                <w:rFonts w:ascii="Arial" w:cs="Arial" w:eastAsia="Arial" w:hAnsi="Arial"/>
                <w:sz w:val="12"/>
                <w:szCs w:val="12"/>
                <w:color w:val="auto"/>
              </w:rPr>
              <w:t>Class B</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126</w:t>
            </w: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6.6%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20"/>
              <w:spacing w:after="0"/>
              <w:rPr>
                <w:sz w:val="20"/>
                <w:szCs w:val="20"/>
                <w:color w:val="auto"/>
              </w:rPr>
            </w:pPr>
            <w:r>
              <w:rPr>
                <w:rFonts w:ascii="Arial" w:cs="Arial" w:eastAsia="Arial" w:hAnsi="Arial"/>
                <w:sz w:val="12"/>
                <w:szCs w:val="12"/>
                <w:color w:val="auto"/>
              </w:rPr>
              <w:t>43</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240"/>
              <w:spacing w:after="0"/>
              <w:rPr>
                <w:sz w:val="20"/>
                <w:szCs w:val="20"/>
                <w:color w:val="auto"/>
              </w:rPr>
            </w:pPr>
            <w:r>
              <w:rPr>
                <w:rFonts w:ascii="Arial" w:cs="Arial" w:eastAsia="Arial" w:hAnsi="Arial"/>
                <w:sz w:val="12"/>
                <w:szCs w:val="12"/>
                <w:color w:val="auto"/>
              </w:rPr>
              <w:t>83</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193.0%</w:t>
            </w:r>
          </w:p>
        </w:tc>
        <w:tc>
          <w:tcPr>
            <w:tcW w:w="0" w:type="dxa"/>
            <w:vAlign w:val="bottom"/>
          </w:tcPr>
          <w:p>
            <w:pPr>
              <w:spacing w:after="0"/>
              <w:rPr>
                <w:sz w:val="1"/>
                <w:szCs w:val="1"/>
                <w:color w:val="auto"/>
              </w:rPr>
            </w:pPr>
          </w:p>
        </w:tc>
      </w:tr>
      <w:tr>
        <w:trPr>
          <w:trHeight w:val="144"/>
        </w:trPr>
        <w:tc>
          <w:tcPr>
            <w:tcW w:w="7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Class C</w:t>
            </w: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730</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38.4%</w:t>
            </w: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523</w:t>
            </w:r>
          </w:p>
        </w:tc>
        <w:tc>
          <w:tcPr>
            <w:tcW w:w="1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53.9%</w:t>
            </w:r>
          </w:p>
        </w:tc>
        <w:tc>
          <w:tcPr>
            <w:tcW w:w="1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207</w:t>
            </w: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39.6%</w:t>
            </w:r>
          </w:p>
        </w:tc>
        <w:tc>
          <w:tcPr>
            <w:tcW w:w="0" w:type="dxa"/>
            <w:vAlign w:val="bottom"/>
          </w:tcPr>
          <w:p>
            <w:pPr>
              <w:spacing w:after="0"/>
              <w:rPr>
                <w:sz w:val="1"/>
                <w:szCs w:val="1"/>
                <w:color w:val="auto"/>
              </w:rPr>
            </w:pPr>
          </w:p>
        </w:tc>
      </w:tr>
      <w:tr>
        <w:trPr>
          <w:trHeight w:val="140"/>
        </w:trPr>
        <w:tc>
          <w:tcPr>
            <w:tcW w:w="7220" w:type="dxa"/>
            <w:vAlign w:val="bottom"/>
            <w:gridSpan w:val="2"/>
          </w:tcPr>
          <w:p>
            <w:pPr>
              <w:spacing w:after="0" w:line="133" w:lineRule="exact"/>
              <w:rPr>
                <w:sz w:val="20"/>
                <w:szCs w:val="20"/>
                <w:color w:val="auto"/>
              </w:rPr>
            </w:pPr>
            <w:r>
              <w:rPr>
                <w:rFonts w:ascii="Arial" w:cs="Arial" w:eastAsia="Arial" w:hAnsi="Arial"/>
                <w:sz w:val="12"/>
                <w:szCs w:val="12"/>
                <w:color w:val="auto"/>
              </w:rPr>
              <w:t>Total deliveries</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w w:val="99"/>
              </w:rPr>
              <w:t>1,903</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80"/>
              <w:spacing w:after="0" w:line="133" w:lineRule="exact"/>
              <w:rPr>
                <w:sz w:val="20"/>
                <w:szCs w:val="20"/>
                <w:color w:val="auto"/>
              </w:rPr>
            </w:pPr>
            <w:r>
              <w:rPr>
                <w:rFonts w:ascii="Arial" w:cs="Arial" w:eastAsia="Arial" w:hAnsi="Arial"/>
                <w:sz w:val="12"/>
                <w:szCs w:val="12"/>
                <w:color w:val="auto"/>
              </w:rPr>
              <w:t>100.0%</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rPr>
              <w:t>971</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100.0%</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rPr>
              <w:t>932</w:t>
            </w:r>
          </w:p>
        </w:tc>
        <w:tc>
          <w:tcPr>
            <w:tcW w:w="620" w:type="dxa"/>
            <w:vAlign w:val="bottom"/>
            <w:tcBorders>
              <w:bottom w:val="single" w:sz="8" w:color="auto"/>
            </w:tcBorders>
            <w:gridSpan w:val="2"/>
          </w:tcPr>
          <w:p>
            <w:pPr>
              <w:jc w:val="right"/>
              <w:ind w:right="60"/>
              <w:spacing w:after="0" w:line="133" w:lineRule="exact"/>
              <w:rPr>
                <w:sz w:val="20"/>
                <w:szCs w:val="20"/>
                <w:color w:val="auto"/>
              </w:rPr>
            </w:pPr>
            <w:r>
              <w:rPr>
                <w:rFonts w:ascii="Arial" w:cs="Arial" w:eastAsia="Arial" w:hAnsi="Arial"/>
                <w:sz w:val="12"/>
                <w:szCs w:val="12"/>
                <w:color w:val="auto"/>
              </w:rPr>
              <w:t>96.0%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Net revenues for the six months ended February 27, 2010 increased $90.3 million, or 89.3 percent</w:t>
      </w:r>
      <w:r>
        <w:rPr>
          <w:rFonts w:ascii="Arial" w:cs="Arial" w:eastAsia="Arial" w:hAnsi="Arial"/>
          <w:sz w:val="14"/>
          <w:szCs w:val="14"/>
          <w:color w:val="auto"/>
        </w:rPr>
        <w:t>, due to the following:</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Volume increase: The primary reason for the net revenue increase was due to an increase in unit deliveries of 96.0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-59690</wp:posOffset>
            </wp:positionV>
            <wp:extent cx="4826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4" w:lineRule="exact"/>
        <w:rPr>
          <w:sz w:val="20"/>
          <w:szCs w:val="20"/>
          <w:color w:val="auto"/>
        </w:rPr>
      </w:pPr>
    </w:p>
    <w:p>
      <w:pPr>
        <w:ind w:left="460" w:right="120"/>
        <w:spacing w:after="0" w:line="266" w:lineRule="auto"/>
        <w:rPr>
          <w:sz w:val="20"/>
          <w:szCs w:val="20"/>
          <w:color w:val="auto"/>
        </w:rPr>
      </w:pPr>
      <w:r>
        <w:rPr>
          <w:rFonts w:ascii="Arial" w:cs="Arial" w:eastAsia="Arial" w:hAnsi="Arial"/>
          <w:sz w:val="12"/>
          <w:szCs w:val="12"/>
          <w:color w:val="auto"/>
        </w:rPr>
        <w:t>Pricing and mix: Our motor home ASP, net of discounts, increased 3.3 percent. The increase in our ASP was due to a decrease of product discounts offered at the wholesale level and a shift in our mix to higher-priced product as our sales mix was more heavily weighted to Class A product as compared to the comparable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-166370</wp:posOffset>
            </wp:positionV>
            <wp:extent cx="4826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460" w:right="180"/>
        <w:spacing w:after="0" w:line="276" w:lineRule="auto"/>
        <w:rPr>
          <w:sz w:val="20"/>
          <w:szCs w:val="20"/>
          <w:color w:val="auto"/>
        </w:rPr>
      </w:pPr>
      <w:r>
        <w:rPr>
          <w:rFonts w:ascii="Arial" w:cs="Arial" w:eastAsia="Arial" w:hAnsi="Arial"/>
          <w:sz w:val="12"/>
          <w:szCs w:val="12"/>
          <w:color w:val="auto"/>
        </w:rPr>
        <w:t>Repurchases: Our repurchase loss provision, which is a deduction from gross revenues, decreased 2.9 percent (as a percentage of net revenues), or $2.8 million. We repurchased three motor homes and resold four motor homes, incurring losses of $41,000. Further discussion of our repurchase activity is included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-173355</wp:posOffset>
            </wp:positionV>
            <wp:extent cx="48260" cy="4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The foregoing factors were partially offset by a decrease in other revenue, as revenues for motor home parts and services and other manufactured products decreased by 16.1 percent.</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Cost of products sold was $186.2 million, or 97.2 percent of net revenues for the first six months of Fiscal 2010 compared to $121 .9 million, or 120.4 percent of net revenues for the comparable period a year ago. Variable costs (material, labor, variable overhead, delivery and warranty) increased $65.9 million as a result of the increased number of motor homes sold. As a percent of revenues, however, variable costs decrea sed to 87.0 percent for the first six months of Fiscal 2010 from 99.6 percent for the same period a year ago. This decrease in percentage is due to reduced material and labor cost s and improved labor efficiencies as a result of production volume increases. Fixed overhead (manufacturing support labor, depreciation and facility costs) and research and development-related costs decreased $1.6 million, and were 10.2 percent of net revenues for the first six months of Fiscal 2010 compared to 20.9 percent of net revenues in the comparable period a year ago. The decrease in percentage was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8"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due to greater absorption of fixed costs resulting from higher production volumes. When all factors as described above are considered, gross profit was $5.3 million, or 2.8 percent, of net revenues for the first six months of Fiscal 20 10 compared to a gross deficit of $20.7 million, or 20.4 percent, of net revenues during the comparable period a year ago.</w:t>
      </w:r>
    </w:p>
    <w:p>
      <w:pPr>
        <w:spacing w:after="0" w:line="142"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Selling expenses decreased $150,000, or 2.3 percent, for the six months ended February 27, 2010 and, as a percent of net revenues, were 3.3 percent and 6.4 percent during the six months of Fiscal 2010 and Fiscal 2009, respectively. Sales incentives increased $165,000, advertising expenses increased $125,000, and were offset by reductions of $195,000 for repurchase unit delivery expenses and other spending reductions.</w:t>
      </w:r>
    </w:p>
    <w:p>
      <w:pPr>
        <w:spacing w:after="0" w:line="92"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color w:val="auto"/>
        </w:rPr>
        <w:t>General and administrative expenses decreased $1.5 million, or 18.3 percent, for the first six months of Fiscal 2010 and, as a percent of net revenues, were 3.6 percent and 8.2 percent during the first six months of Fiscal 2010 and Fiscal 2009, respectively. The decrease in dollars was due to reductions in legal expenses of $895,000, labor-related expenses of $645,000, partially offset by product liability increased expense of $780,000.</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Financial income decreased $1.0 million, or 88.7 percent, for the six months ended February 27, 2010. The decrease in financial income was due primarily to increased credit facility costs and a reduction in investment interest rates.</w:t>
      </w:r>
    </w:p>
    <w:p>
      <w:pPr>
        <w:spacing w:after="0" w:line="16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overall effective income tax rate for the six months ended February 27, 2010 was a benefit of 91.7 percent compared to a benefit of 41.8 percent for the six months ended February 28, 2009. The following table breaks down the two aforementioned tax rates: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2"/>
                <w:szCs w:val="12"/>
                <w:b w:val="1"/>
                <w:bCs w:val="1"/>
                <w:color w:val="auto"/>
              </w:rPr>
              <w:t>Six Months Ended</w:t>
            </w: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56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February 27, 2010</w:t>
            </w: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140"/>
              <w:spacing w:after="0" w:line="133" w:lineRule="exact"/>
              <w:rPr>
                <w:sz w:val="20"/>
                <w:szCs w:val="20"/>
                <w:color w:val="auto"/>
              </w:rPr>
            </w:pPr>
            <w:r>
              <w:rPr>
                <w:rFonts w:ascii="Arial" w:cs="Arial" w:eastAsia="Arial" w:hAnsi="Arial"/>
                <w:sz w:val="12"/>
                <w:szCs w:val="12"/>
                <w:b w:val="1"/>
                <w:bCs w:val="1"/>
                <w:color w:val="auto"/>
              </w:rPr>
              <w:t>February 28, 2009</w:t>
            </w:r>
          </w:p>
        </w:tc>
        <w:tc>
          <w:tcPr>
            <w:tcW w:w="20" w:type="dxa"/>
            <w:vAlign w:val="bottom"/>
          </w:tcPr>
          <w:p>
            <w:pPr>
              <w:spacing w:after="0"/>
              <w:rPr>
                <w:sz w:val="11"/>
                <w:szCs w:val="11"/>
                <w:color w:val="auto"/>
              </w:rPr>
            </w:pPr>
          </w:p>
        </w:tc>
      </w:tr>
      <w:tr>
        <w:trPr>
          <w:trHeight w:val="120"/>
        </w:trPr>
        <w:tc>
          <w:tcPr>
            <w:tcW w:w="56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jc w:val="right"/>
              <w:ind w:right="80"/>
              <w:spacing w:after="0" w:line="121" w:lineRule="exact"/>
              <w:rPr>
                <w:sz w:val="20"/>
                <w:szCs w:val="20"/>
                <w:color w:val="auto"/>
              </w:rPr>
            </w:pPr>
            <w:r>
              <w:rPr>
                <w:rFonts w:ascii="Arial" w:cs="Arial" w:eastAsia="Arial" w:hAnsi="Arial"/>
                <w:sz w:val="12"/>
                <w:szCs w:val="12"/>
                <w:b w:val="1"/>
                <w:bCs w:val="1"/>
                <w:color w:val="auto"/>
              </w:rPr>
              <w:t>Effective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jc w:val="right"/>
              <w:ind w:right="20"/>
              <w:spacing w:after="0" w:line="121" w:lineRule="exact"/>
              <w:rPr>
                <w:sz w:val="20"/>
                <w:szCs w:val="20"/>
                <w:color w:val="auto"/>
              </w:rPr>
            </w:pPr>
            <w:r>
              <w:rPr>
                <w:rFonts w:ascii="Arial" w:cs="Arial" w:eastAsia="Arial" w:hAnsi="Arial"/>
                <w:sz w:val="12"/>
                <w:szCs w:val="12"/>
                <w:b w:val="1"/>
                <w:bCs w:val="1"/>
                <w:color w:val="auto"/>
              </w:rPr>
              <w:t>Effective</w:t>
            </w:r>
          </w:p>
        </w:tc>
        <w:tc>
          <w:tcPr>
            <w:tcW w:w="20" w:type="dxa"/>
            <w:vAlign w:val="bottom"/>
          </w:tcPr>
          <w:p>
            <w:pPr>
              <w:spacing w:after="0"/>
              <w:rPr>
                <w:sz w:val="10"/>
                <w:szCs w:val="10"/>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20"/>
              <w:spacing w:after="0"/>
              <w:rPr>
                <w:sz w:val="20"/>
                <w:szCs w:val="20"/>
                <w:color w:val="auto"/>
              </w:rPr>
            </w:pPr>
            <w:r>
              <w:rPr>
                <w:rFonts w:ascii="Arial" w:cs="Arial" w:eastAsia="Arial" w:hAnsi="Arial"/>
                <w:sz w:val="12"/>
                <w:szCs w:val="12"/>
                <w:b w:val="1"/>
                <w:bCs w:val="1"/>
                <w:color w:val="auto"/>
                <w:w w:val="92"/>
              </w:rPr>
              <w:t>Amount</w:t>
            </w:r>
          </w:p>
        </w:tc>
        <w:tc>
          <w:tcPr>
            <w:tcW w:w="680" w:type="dxa"/>
            <w:vAlign w:val="bottom"/>
          </w:tcPr>
          <w:p>
            <w:pPr>
              <w:ind w:left="200"/>
              <w:spacing w:after="0"/>
              <w:rPr>
                <w:sz w:val="20"/>
                <w:szCs w:val="20"/>
                <w:color w:val="auto"/>
              </w:rPr>
            </w:pPr>
            <w:r>
              <w:rPr>
                <w:rFonts w:ascii="Arial" w:cs="Arial" w:eastAsia="Arial" w:hAnsi="Arial"/>
                <w:sz w:val="12"/>
                <w:szCs w:val="12"/>
                <w:b w:val="1"/>
                <w:bCs w:val="1"/>
                <w:color w:val="auto"/>
              </w:rPr>
              <w:t>Rate</w:t>
            </w:r>
          </w:p>
        </w:tc>
        <w:tc>
          <w:tcPr>
            <w:tcW w:w="140" w:type="dxa"/>
            <w:vAlign w:val="bottom"/>
          </w:tcPr>
          <w:p>
            <w:pPr>
              <w:spacing w:after="0"/>
              <w:rPr>
                <w:sz w:val="13"/>
                <w:szCs w:val="13"/>
                <w:color w:val="auto"/>
              </w:rPr>
            </w:pPr>
          </w:p>
        </w:tc>
        <w:tc>
          <w:tcPr>
            <w:tcW w:w="600" w:type="dxa"/>
            <w:vAlign w:val="bottom"/>
          </w:tcPr>
          <w:p>
            <w:pPr>
              <w:jc w:val="right"/>
              <w:ind w:right="120"/>
              <w:spacing w:after="0"/>
              <w:rPr>
                <w:sz w:val="20"/>
                <w:szCs w:val="20"/>
                <w:color w:val="auto"/>
              </w:rPr>
            </w:pPr>
            <w:r>
              <w:rPr>
                <w:rFonts w:ascii="Arial" w:cs="Arial" w:eastAsia="Arial" w:hAnsi="Arial"/>
                <w:sz w:val="12"/>
                <w:szCs w:val="12"/>
                <w:b w:val="1"/>
                <w:bCs w:val="1"/>
                <w:color w:val="auto"/>
                <w:w w:val="88"/>
              </w:rPr>
              <w:t>Amount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Rate</w:t>
            </w:r>
          </w:p>
        </w:tc>
      </w:tr>
      <w:tr>
        <w:trPr>
          <w:trHeight w:val="133"/>
        </w:trPr>
        <w:tc>
          <w:tcPr>
            <w:tcW w:w="56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Tax benefit before discrete items</w:t>
            </w:r>
          </w:p>
        </w:tc>
        <w:tc>
          <w:tcPr>
            <w:tcW w:w="320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(3,469)</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(45.0)%</w:t>
            </w: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(13,717)</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(39.9)%</w:t>
            </w:r>
          </w:p>
        </w:tc>
        <w:tc>
          <w:tcPr>
            <w:tcW w:w="20" w:type="dxa"/>
            <w:vAlign w:val="bottom"/>
          </w:tcPr>
          <w:p>
            <w:pPr>
              <w:spacing w:after="0"/>
              <w:rPr>
                <w:sz w:val="11"/>
                <w:szCs w:val="11"/>
                <w:color w:val="auto"/>
              </w:rPr>
            </w:pPr>
          </w:p>
        </w:tc>
      </w:tr>
      <w:tr>
        <w:trPr>
          <w:trHeight w:val="144"/>
        </w:trPr>
        <w:tc>
          <w:tcPr>
            <w:tcW w:w="5600" w:type="dxa"/>
            <w:vAlign w:val="bottom"/>
          </w:tcPr>
          <w:p>
            <w:pPr>
              <w:spacing w:after="0"/>
              <w:rPr>
                <w:sz w:val="20"/>
                <w:szCs w:val="20"/>
                <w:color w:val="auto"/>
              </w:rPr>
            </w:pPr>
            <w:r>
              <w:rPr>
                <w:rFonts w:ascii="Arial" w:cs="Arial" w:eastAsia="Arial" w:hAnsi="Arial"/>
                <w:sz w:val="12"/>
                <w:szCs w:val="12"/>
                <w:color w:val="auto"/>
              </w:rPr>
              <w:t>Discrete items:</w:t>
            </w: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Valuation allowance:</w:t>
            </w:r>
          </w:p>
        </w:tc>
        <w:tc>
          <w:tcPr>
            <w:tcW w:w="3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600" w:type="dxa"/>
            <w:vAlign w:val="bottom"/>
          </w:tcPr>
          <w:p>
            <w:pPr>
              <w:ind w:left="320"/>
              <w:spacing w:after="0"/>
              <w:rPr>
                <w:sz w:val="20"/>
                <w:szCs w:val="20"/>
                <w:color w:val="auto"/>
              </w:rPr>
            </w:pPr>
            <w:r>
              <w:rPr>
                <w:rFonts w:ascii="Arial" w:cs="Arial" w:eastAsia="Arial" w:hAnsi="Arial"/>
                <w:sz w:val="12"/>
                <w:szCs w:val="12"/>
                <w:color w:val="auto"/>
              </w:rPr>
              <w:t>Increase</w:t>
            </w: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3,728</w:t>
            </w:r>
          </w:p>
        </w:tc>
        <w:tc>
          <w:tcPr>
            <w:tcW w:w="680" w:type="dxa"/>
            <w:vAlign w:val="bottom"/>
          </w:tcPr>
          <w:p>
            <w:pPr>
              <w:jc w:val="right"/>
              <w:spacing w:after="0"/>
              <w:rPr>
                <w:sz w:val="20"/>
                <w:szCs w:val="20"/>
                <w:color w:val="auto"/>
              </w:rPr>
            </w:pPr>
            <w:r>
              <w:rPr>
                <w:rFonts w:ascii="Arial" w:cs="Arial" w:eastAsia="Arial" w:hAnsi="Arial"/>
                <w:sz w:val="12"/>
                <w:szCs w:val="12"/>
                <w:color w:val="auto"/>
              </w:rPr>
              <w:t>48.4 %</w:t>
            </w:r>
          </w:p>
        </w:tc>
        <w:tc>
          <w:tcPr>
            <w:tcW w:w="14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56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(Decrease)</w:t>
            </w:r>
          </w:p>
        </w:tc>
        <w:tc>
          <w:tcPr>
            <w:tcW w:w="3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(4,784)</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(62.1)%</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5600" w:type="dxa"/>
            <w:vAlign w:val="bottom"/>
          </w:tcPr>
          <w:p>
            <w:pPr>
              <w:spacing w:after="0"/>
              <w:rPr>
                <w:sz w:val="20"/>
                <w:szCs w:val="20"/>
                <w:color w:val="auto"/>
              </w:rPr>
            </w:pPr>
            <w:r>
              <w:rPr>
                <w:rFonts w:ascii="Arial" w:cs="Arial" w:eastAsia="Arial" w:hAnsi="Arial"/>
                <w:sz w:val="12"/>
                <w:szCs w:val="12"/>
                <w:color w:val="auto"/>
              </w:rPr>
              <w:t>Uncertain tax positions settlements and adjustments</w:t>
            </w: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(882)</w:t>
            </w:r>
          </w:p>
        </w:tc>
        <w:tc>
          <w:tcPr>
            <w:tcW w:w="680" w:type="dxa"/>
            <w:vAlign w:val="bottom"/>
          </w:tcPr>
          <w:p>
            <w:pPr>
              <w:jc w:val="right"/>
              <w:spacing w:after="0"/>
              <w:rPr>
                <w:sz w:val="20"/>
                <w:szCs w:val="20"/>
                <w:color w:val="auto"/>
              </w:rPr>
            </w:pPr>
            <w:r>
              <w:rPr>
                <w:rFonts w:ascii="Arial" w:cs="Arial" w:eastAsia="Arial" w:hAnsi="Arial"/>
                <w:sz w:val="12"/>
                <w:szCs w:val="12"/>
                <w:color w:val="auto"/>
              </w:rPr>
              <w:t>(11.4)%</w:t>
            </w:r>
          </w:p>
        </w:tc>
        <w:tc>
          <w:tcPr>
            <w:tcW w:w="14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5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Tax planning initiatives</w:t>
            </w:r>
          </w:p>
        </w:tc>
        <w:tc>
          <w:tcPr>
            <w:tcW w:w="3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(1,576)</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(650)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2"/>
                <w:szCs w:val="12"/>
                <w:color w:val="auto"/>
              </w:rPr>
            </w:pPr>
          </w:p>
        </w:tc>
      </w:tr>
      <w:tr>
        <w:trPr>
          <w:trHeight w:val="14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w:t>
            </w:r>
          </w:p>
        </w:tc>
        <w:tc>
          <w:tcPr>
            <w:tcW w:w="3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0"/>
        </w:trPr>
        <w:tc>
          <w:tcPr>
            <w:tcW w:w="56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benefit for taxes</w:t>
            </w:r>
          </w:p>
        </w:tc>
        <w:tc>
          <w:tcPr>
            <w:tcW w:w="3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(7,067)</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(91.7)%</w:t>
            </w: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(14,367)</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(41.8)%</w:t>
            </w:r>
          </w:p>
        </w:tc>
        <w:tc>
          <w:tcPr>
            <w:tcW w:w="20" w:type="dxa"/>
            <w:vAlign w:val="bottom"/>
          </w:tcPr>
          <w:p>
            <w:pPr>
              <w:spacing w:after="0"/>
              <w:rPr>
                <w:sz w:val="12"/>
                <w:szCs w:val="12"/>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benefit before discrete items</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The overall effective income tax benefit rate for the six months ended February 27, 2010 was 45.0 percent compared to the overall effective tax benefit rate of 39.9 percent for the six months ended February 28, 2009. The primary reason for the difference in the overall effective rate is the relationship between our lower pre-tax loss relative to the permanent financial accounting to taxable income (loss) adjustments for the six months ended February 27, 2010 as compared to the six months ended February 28, 2009. An example of a permanent adjustment would be tax-free income from company-owned life insurance and student loan-related assets.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allowance increase</w:t>
      </w:r>
    </w:p>
    <w:p>
      <w:pPr>
        <w:spacing w:after="0" w:line="15" w:lineRule="exact"/>
        <w:rPr>
          <w:sz w:val="20"/>
          <w:szCs w:val="20"/>
          <w:color w:val="auto"/>
        </w:rPr>
      </w:pPr>
    </w:p>
    <w:p>
      <w:pPr>
        <w:ind w:right="180"/>
        <w:spacing w:after="0" w:line="261" w:lineRule="auto"/>
        <w:rPr>
          <w:sz w:val="20"/>
          <w:szCs w:val="20"/>
          <w:color w:val="auto"/>
        </w:rPr>
      </w:pPr>
      <w:r>
        <w:rPr>
          <w:rFonts w:ascii="Arial" w:cs="Arial" w:eastAsia="Arial" w:hAnsi="Arial"/>
          <w:sz w:val="12"/>
          <w:szCs w:val="12"/>
          <w:color w:val="auto"/>
        </w:rPr>
        <w:t>A full valuation allowance of $3.7 million was established in the first six months of Fiscal 2010 on our increase in deferred tax assets. As a result, no tax benefit was recorded attributable to NOLs occurring during the first six months of Fiscal 2010. For further discussion of income taxes, see Note 11.</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allowance decrease</w:t>
      </w:r>
    </w:p>
    <w:p>
      <w:pPr>
        <w:spacing w:after="0" w:line="15" w:lineRule="exact"/>
        <w:rPr>
          <w:sz w:val="20"/>
          <w:szCs w:val="20"/>
          <w:color w:val="auto"/>
        </w:rPr>
      </w:pPr>
    </w:p>
    <w:p>
      <w:pPr>
        <w:jc w:val="both"/>
        <w:ind w:right="80"/>
        <w:spacing w:after="0" w:line="255" w:lineRule="auto"/>
        <w:rPr>
          <w:sz w:val="20"/>
          <w:szCs w:val="20"/>
          <w:color w:val="auto"/>
        </w:rPr>
      </w:pPr>
      <w:r>
        <w:rPr>
          <w:rFonts w:ascii="Arial" w:cs="Arial" w:eastAsia="Arial" w:hAnsi="Arial"/>
          <w:sz w:val="12"/>
          <w:szCs w:val="12"/>
          <w:color w:val="auto"/>
        </w:rPr>
        <w:t>At the end of Fiscal 2009, we had established a valuation allowance on all deferred tax assets and NOL carryforward assets associated with Fiscal 2009. During our first quarter of Fiscal 2010, the President of the United States signed into law the Worker, Homeownership, and Business Assistance Act of 2009, which expands the carryback period from two to five years, allowing us to carryback all Fiscal 2009 NOL. As a result, we recorded a tax benefit of $4.8 million and reduced the associated valuation allowance due to this beneficial tax law change.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Uncertain tax positions settlements and adjustments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During the first six months of Fiscal 2010, benefits of $882,000 were recorded as a result of settlements of uncertain tax positions with taxing authorities and other adjustments to uncertain tax positions.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128270</wp:posOffset>
            </wp:positionV>
            <wp:extent cx="73177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planning initiatives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Benefits of $1.6 million and $650,000 were recorded as a result of tax planning initiatives recognized during the first six months of Fiscal 2010 and 2009, respectively.</w:t>
      </w:r>
    </w:p>
    <w:p>
      <w:pPr>
        <w:sectPr>
          <w:pgSz w:w="11900" w:h="16871" w:orient="portrait"/>
          <w:cols w:equalWidth="0" w:num="1">
            <w:col w:w="11480"/>
          </w:cols>
          <w:pgMar w:left="220" w:top="281" w:right="199" w:bottom="0" w:gutter="0" w:footer="0" w:header="0"/>
        </w:sectPr>
      </w:pPr>
    </w:p>
    <w:bookmarkStart w:id="9" w:name="page10"/>
    <w:bookmarkEnd w:id="9"/>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Net loss was $638,000, or $.02 per diluted share, for the first six months of Fiscal 2010 compared to net loss of $20.0 million, or $.69 per diluted share, for the first six months of of Fiscal 2009. See Note 12.</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Analysis of Financial Condition, Liquidity and Resources</w:t>
      </w:r>
    </w:p>
    <w:p>
      <w:pPr>
        <w:spacing w:after="0" w:line="154" w:lineRule="exact"/>
        <w:rPr>
          <w:sz w:val="20"/>
          <w:szCs w:val="20"/>
          <w:color w:val="auto"/>
        </w:rPr>
      </w:pPr>
    </w:p>
    <w:p>
      <w:pPr>
        <w:ind w:left="8" w:right="280"/>
        <w:spacing w:after="0" w:line="276" w:lineRule="auto"/>
        <w:rPr>
          <w:sz w:val="20"/>
          <w:szCs w:val="20"/>
          <w:color w:val="auto"/>
        </w:rPr>
      </w:pPr>
      <w:r>
        <w:rPr>
          <w:rFonts w:ascii="Arial" w:cs="Arial" w:eastAsia="Arial" w:hAnsi="Arial"/>
          <w:sz w:val="12"/>
          <w:szCs w:val="12"/>
          <w:color w:val="auto"/>
        </w:rPr>
        <w:t>Cash and cash equivalents totaled $41.6 million and $36.6 million as of February 27, 2010 and August 29, 2009, respectively. Cash and short-term and long-term investments, net of temporary impairments, totaled $28.7 million as of February 27, 2010 and $33.3 million as of August 29, 2009. See Notes 3 and 4.</w:t>
      </w:r>
    </w:p>
    <w:p>
      <w:pPr>
        <w:spacing w:after="0" w:line="115"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Working capital at February 27, 2010 and August 29, 2009 was $78.1 million and $79.5 million, respectively, a decrease of $1.4 million. We currently expect cash on hand, funds generated from operations (if any) and the availability under the credit facility to be sufficient to cover both short-term and long-term operation requirements.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anticipate capital expenditures during the balance of Fiscal 2010 of approximately $1.0 million primarily for manufacturing equipment and facilities which will be funded with cash on hand.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Significant liquidity events in the first six months of Fiscal 2010 include:</w:t>
      </w:r>
    </w:p>
    <w:p>
      <w:pPr>
        <w:spacing w:after="0" w:line="168" w:lineRule="exact"/>
        <w:rPr>
          <w:sz w:val="20"/>
          <w:szCs w:val="20"/>
          <w:color w:val="auto"/>
        </w:rPr>
      </w:pPr>
    </w:p>
    <w:p>
      <w:pPr>
        <w:ind w:left="468" w:right="40"/>
        <w:spacing w:after="0" w:line="266" w:lineRule="auto"/>
        <w:rPr>
          <w:sz w:val="20"/>
          <w:szCs w:val="20"/>
          <w:color w:val="auto"/>
        </w:rPr>
      </w:pPr>
      <w:r>
        <w:rPr>
          <w:rFonts w:ascii="Arial" w:cs="Arial" w:eastAsia="Arial" w:hAnsi="Arial"/>
          <w:sz w:val="12"/>
          <w:szCs w:val="12"/>
          <w:color w:val="auto"/>
        </w:rPr>
        <w:t>Receipt of tax refunds of approximately $23.5 million: As set forth above, the Worker, Homeownership, and Business Assistance Act of 2009, allows us to carryback all of our Fiscal 2009 NOL. We filed our carryback federal tax return in December 2009 and received the entire refund of $21.9 million in January 2010. We also received state refunds of approximately $1.5 million during our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-166370</wp:posOffset>
            </wp:positionV>
            <wp:extent cx="4826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ind w:left="468" w:right="560"/>
        <w:spacing w:after="0" w:line="380" w:lineRule="auto"/>
        <w:rPr>
          <w:sz w:val="20"/>
          <w:szCs w:val="20"/>
          <w:color w:val="auto"/>
        </w:rPr>
      </w:pPr>
      <w:r>
        <w:rPr>
          <w:rFonts w:ascii="Arial" w:cs="Arial" w:eastAsia="Arial" w:hAnsi="Arial"/>
          <w:sz w:val="10"/>
          <w:szCs w:val="10"/>
          <w:color w:val="auto"/>
        </w:rPr>
        <w:t>ARS redemptions: During the second quarter of Fiscal 2010, UBS elected to redeem one of our securities and as a result, we received $1.7 million in proceeds. We have the ability to put the remaining $2.7 million of unencumbered ARS held by UBS to UBS in the fourth quarter of Fiscal 2010. In addition, short-term ARS investments of $200,000, not part of the UBS portfolio, were redeemed by the issuer at par in December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-203200</wp:posOffset>
            </wp:positionV>
            <wp:extent cx="4826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260" cy="48260"/>
                    </a:xfrm>
                    <a:prstGeom prst="rect">
                      <a:avLst/>
                    </a:prstGeom>
                    <a:noFill/>
                  </pic:spPr>
                </pic:pic>
              </a:graphicData>
            </a:graphic>
          </wp:anchor>
        </w:drawing>
      </w:r>
    </w:p>
    <w:p>
      <w:pPr>
        <w:spacing w:after="0" w:line="66"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multiple assets held for sale, including our plane and two manufacturing facilities. Total listing price of these assets is in excess of $10 million.</w:t>
      </w:r>
    </w:p>
    <w:p>
      <w:pPr>
        <w:spacing w:after="0" w:line="150" w:lineRule="exact"/>
        <w:rPr>
          <w:sz w:val="20"/>
          <w:szCs w:val="20"/>
          <w:color w:val="auto"/>
        </w:rPr>
      </w:pPr>
    </w:p>
    <w:p>
      <w:pPr>
        <w:jc w:val="both"/>
        <w:ind w:left="8" w:right="40"/>
        <w:spacing w:after="0" w:line="263" w:lineRule="auto"/>
        <w:rPr>
          <w:sz w:val="20"/>
          <w:szCs w:val="20"/>
          <w:color w:val="auto"/>
        </w:rPr>
      </w:pPr>
      <w:r>
        <w:rPr>
          <w:rFonts w:ascii="Arial" w:cs="Arial" w:eastAsia="Arial" w:hAnsi="Arial"/>
          <w:sz w:val="12"/>
          <w:szCs w:val="12"/>
          <w:color w:val="auto"/>
        </w:rPr>
        <w:t>We also have in place a $20 million revolving credit facility, as described in further detail in Note 7, which allows us to borrow up to $12.5 million without financial covenant restrictions if there is adequate asset coverage.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w:t>
      </w:r>
    </w:p>
    <w:p>
      <w:pPr>
        <w:spacing w:after="0" w:line="123" w:lineRule="exact"/>
        <w:rPr>
          <w:sz w:val="20"/>
          <w:szCs w:val="20"/>
          <w:color w:val="auto"/>
        </w:rPr>
      </w:pPr>
    </w:p>
    <w:p>
      <w:pPr>
        <w:jc w:val="both"/>
        <w:ind w:left="8" w:right="300"/>
        <w:spacing w:after="0" w:line="263" w:lineRule="auto"/>
        <w:rPr>
          <w:sz w:val="20"/>
          <w:szCs w:val="20"/>
          <w:color w:val="auto"/>
        </w:rPr>
      </w:pPr>
      <w:r>
        <w:rPr>
          <w:rFonts w:ascii="Arial" w:cs="Arial" w:eastAsia="Arial" w:hAnsi="Arial"/>
          <w:sz w:val="12"/>
          <w:szCs w:val="12"/>
          <w:color w:val="auto"/>
        </w:rPr>
        <w:t>Lastly, we filed a Registration Statement on Form S-3, which was declared effective by the SEC on March 31, 2010. We have the ability to offer and sell up to $35 million of our common stock in one or more offerings pursuant to the Registration Statement. The Registration Statement will be available for use for three years. We currently have no plans to offer and sell the common stock under the Registration Statement; however, it does provide another source of liquidity in addition to the alternatives already in place.</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Operating Activities</w:t>
      </w:r>
    </w:p>
    <w:p>
      <w:pPr>
        <w:spacing w:after="0" w:line="15" w:lineRule="exact"/>
        <w:rPr>
          <w:sz w:val="20"/>
          <w:szCs w:val="20"/>
          <w:color w:val="auto"/>
        </w:rPr>
      </w:pPr>
    </w:p>
    <w:p>
      <w:pPr>
        <w:ind w:left="8" w:right="120"/>
        <w:spacing w:after="0" w:line="290" w:lineRule="auto"/>
        <w:rPr>
          <w:sz w:val="20"/>
          <w:szCs w:val="20"/>
          <w:color w:val="auto"/>
        </w:rPr>
      </w:pPr>
      <w:r>
        <w:rPr>
          <w:rFonts w:ascii="Arial" w:cs="Arial" w:eastAsia="Arial" w:hAnsi="Arial"/>
          <w:sz w:val="11"/>
          <w:szCs w:val="11"/>
          <w:color w:val="auto"/>
        </w:rPr>
        <w:t>Cash provided by operating activities was $4.9 million for the six months ended February 27, 2010 compared to cash used of $2.3 mi llion for the six months ended February 28, 2009. The combination of a significant decrease in net loss and an improvement in non-cash charges (e.g., depreciation, stock-based compensation) provided $3.0 million of operating cash compared to a usage of $15.5 million in the prior year period. In Fiscal 2010, increases in inventory and accounts receivables were offset by a reduction in income tax receivables and an increase in accounts payable and accrued expenses. In Fiscal 2009, inventories were significantly reduced.</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Investing Activities</w:t>
      </w:r>
    </w:p>
    <w:p>
      <w:pPr>
        <w:spacing w:after="0" w:line="15" w:lineRule="exact"/>
        <w:rPr>
          <w:sz w:val="20"/>
          <w:szCs w:val="20"/>
          <w:color w:val="auto"/>
        </w:rPr>
      </w:pPr>
    </w:p>
    <w:p>
      <w:pPr>
        <w:ind w:left="8" w:right="240"/>
        <w:spacing w:after="0" w:line="261" w:lineRule="auto"/>
        <w:rPr>
          <w:sz w:val="20"/>
          <w:szCs w:val="20"/>
          <w:color w:val="auto"/>
        </w:rPr>
      </w:pPr>
      <w:r>
        <w:rPr>
          <w:rFonts w:ascii="Arial" w:cs="Arial" w:eastAsia="Arial" w:hAnsi="Arial"/>
          <w:sz w:val="12"/>
          <w:szCs w:val="12"/>
          <w:color w:val="auto"/>
        </w:rPr>
        <w:t>Cash provided by investing activities was due primarily to ARS redemptions of $4.7 million in the six months ended February 27, 2010, partially offset by capital spending of $943,000. During the six months ended February 28, 2009, cash provided by investing activities was due to ARS redemptions of $8.5 million partially offset by capital spending of $1.3 million.</w:t>
      </w:r>
    </w:p>
    <w:p>
      <w:pPr>
        <w:spacing w:after="0" w:line="1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128270</wp:posOffset>
            </wp:positionV>
            <wp:extent cx="73177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Financing Activities</w:t>
      </w:r>
    </w:p>
    <w:p>
      <w:pPr>
        <w:spacing w:after="0" w:line="15" w:lineRule="exact"/>
        <w:rPr>
          <w:sz w:val="20"/>
          <w:szCs w:val="20"/>
          <w:color w:val="auto"/>
        </w:rPr>
      </w:pPr>
    </w:p>
    <w:p>
      <w:pPr>
        <w:ind w:left="8" w:right="40"/>
        <w:spacing w:after="0" w:line="261" w:lineRule="auto"/>
        <w:rPr>
          <w:sz w:val="20"/>
          <w:szCs w:val="20"/>
          <w:color w:val="auto"/>
        </w:rPr>
      </w:pPr>
      <w:r>
        <w:rPr>
          <w:rFonts w:ascii="Arial" w:cs="Arial" w:eastAsia="Arial" w:hAnsi="Arial"/>
          <w:sz w:val="12"/>
          <w:szCs w:val="12"/>
          <w:color w:val="auto"/>
        </w:rPr>
        <w:t>Cash used in financing activities of $3.2 million for the six months ended February 27, 2010 was primarily due to a payment on our borrowings on our ARS portfolio of $2.8 million. Cash provided by financing activities for the six months ended February 28, 2009 was due to a borrowing on our ARS portfolio of $9.1 million, partially offset by dividends paid of $3.5 million.</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w:t>
      </w:r>
    </w:p>
    <w:p>
      <w:pPr>
        <w:spacing w:after="0" w:line="154" w:lineRule="exact"/>
        <w:rPr>
          <w:sz w:val="20"/>
          <w:szCs w:val="20"/>
          <w:color w:val="auto"/>
        </w:rPr>
      </w:pPr>
    </w:p>
    <w:p>
      <w:pPr>
        <w:ind w:left="8" w:right="60"/>
        <w:spacing w:after="0" w:line="290" w:lineRule="auto"/>
        <w:rPr>
          <w:sz w:val="20"/>
          <w:szCs w:val="20"/>
          <w:color w:val="auto"/>
        </w:rPr>
      </w:pPr>
      <w:r>
        <w:rPr>
          <w:rFonts w:ascii="Arial" w:cs="Arial" w:eastAsia="Arial" w:hAnsi="Arial"/>
          <w:sz w:val="11"/>
          <w:szCs w:val="11"/>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 tes and such differences could be material.</w:t>
      </w:r>
    </w:p>
    <w:p>
      <w:pPr>
        <w:spacing w:after="0" w:line="109" w:lineRule="exact"/>
        <w:rPr>
          <w:sz w:val="20"/>
          <w:szCs w:val="20"/>
          <w:color w:val="auto"/>
        </w:rPr>
      </w:pPr>
    </w:p>
    <w:p>
      <w:pPr>
        <w:ind w:left="8" w:right="140"/>
        <w:spacing w:after="0" w:line="323" w:lineRule="auto"/>
        <w:rPr>
          <w:sz w:val="20"/>
          <w:szCs w:val="20"/>
          <w:color w:val="auto"/>
        </w:rPr>
      </w:pPr>
      <w:r>
        <w:rPr>
          <w:rFonts w:ascii="Arial" w:cs="Arial" w:eastAsia="Arial" w:hAnsi="Arial"/>
          <w:sz w:val="11"/>
          <w:szCs w:val="11"/>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Revenue Recognition</w:t>
      </w:r>
    </w:p>
    <w:p>
      <w:pPr>
        <w:spacing w:after="0" w:line="15" w:lineRule="exact"/>
        <w:rPr>
          <w:sz w:val="20"/>
          <w:szCs w:val="20"/>
          <w:color w:val="auto"/>
        </w:rPr>
      </w:pPr>
    </w:p>
    <w:p>
      <w:pPr>
        <w:ind w:left="8" w:right="160"/>
        <w:spacing w:after="0" w:line="261" w:lineRule="auto"/>
        <w:rPr>
          <w:sz w:val="20"/>
          <w:szCs w:val="20"/>
          <w:color w:val="auto"/>
        </w:rPr>
      </w:pPr>
      <w:r>
        <w:rPr>
          <w:rFonts w:ascii="Arial" w:cs="Arial" w:eastAsia="Arial" w:hAnsi="Arial"/>
          <w:sz w:val="12"/>
          <w:szCs w:val="12"/>
          <w:color w:val="auto"/>
        </w:rPr>
        <w:t>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23" w:lineRule="exact"/>
        <w:rPr>
          <w:sz w:val="20"/>
          <w:szCs w:val="20"/>
          <w:color w:val="auto"/>
        </w:rPr>
      </w:pPr>
    </w:p>
    <w:p>
      <w:pPr>
        <w:ind w:left="8" w:right="340"/>
        <w:spacing w:after="0" w:line="276" w:lineRule="auto"/>
        <w:rPr>
          <w:sz w:val="20"/>
          <w:szCs w:val="20"/>
          <w:color w:val="auto"/>
        </w:rPr>
      </w:pPr>
      <w:r>
        <w:rPr>
          <w:rFonts w:ascii="Arial" w:cs="Arial" w:eastAsia="Arial" w:hAnsi="Arial"/>
          <w:sz w:val="12"/>
          <w:szCs w:val="12"/>
          <w:color w:val="auto"/>
        </w:rPr>
        <w:t>Revenues from the sales of our Original Equipment Manufacturing (OEM) and motor home-related parts are recorded as the products are shipped from our location. The title of ownership transfers on these products as they leave our location due to the freight terms of F.O.B. - Forest City, Iowa.</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Sales Promotions and Incentives</w:t>
      </w:r>
    </w:p>
    <w:p>
      <w:pPr>
        <w:spacing w:after="0" w:line="15" w:lineRule="exact"/>
        <w:rPr>
          <w:sz w:val="20"/>
          <w:szCs w:val="20"/>
          <w:color w:val="auto"/>
        </w:rPr>
      </w:pPr>
    </w:p>
    <w:p>
      <w:pPr>
        <w:ind w:left="8" w:right="20"/>
        <w:spacing w:after="0" w:line="284" w:lineRule="auto"/>
        <w:rPr>
          <w:sz w:val="20"/>
          <w:szCs w:val="20"/>
          <w:color w:val="auto"/>
        </w:rPr>
      </w:pPr>
      <w:r>
        <w:rPr>
          <w:rFonts w:ascii="Arial" w:cs="Arial" w:eastAsia="Arial" w:hAnsi="Arial"/>
          <w:sz w:val="11"/>
          <w:szCs w:val="11"/>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Repurchase Commitments</w:t>
      </w:r>
    </w:p>
    <w:p>
      <w:pPr>
        <w:spacing w:after="0" w:line="15" w:lineRule="exact"/>
        <w:rPr>
          <w:sz w:val="20"/>
          <w:szCs w:val="20"/>
          <w:color w:val="auto"/>
        </w:rPr>
      </w:pPr>
    </w:p>
    <w:p>
      <w:pPr>
        <w:ind w:left="8" w:right="100"/>
        <w:spacing w:after="0" w:line="280" w:lineRule="auto"/>
        <w:rPr>
          <w:sz w:val="20"/>
          <w:szCs w:val="20"/>
          <w:color w:val="auto"/>
        </w:rPr>
      </w:pPr>
      <w:r>
        <w:rPr>
          <w:rFonts w:ascii="Arial" w:cs="Arial" w:eastAsia="Arial" w:hAnsi="Arial"/>
          <w:sz w:val="11"/>
          <w:szCs w:val="11"/>
          <w:color w:val="auto"/>
        </w:rPr>
        <w:t>It is customary practice for companies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 nations. Our risk of loss is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128270</wp:posOffset>
            </wp:positionV>
            <wp:extent cx="73177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p>
      <w:pPr>
        <w:jc w:val="both"/>
        <w:ind w:left="8" w:right="120"/>
        <w:spacing w:after="0" w:line="310" w:lineRule="auto"/>
        <w:rPr>
          <w:sz w:val="20"/>
          <w:szCs w:val="20"/>
          <w:color w:val="auto"/>
        </w:rPr>
      </w:pPr>
      <w:r>
        <w:rPr>
          <w:rFonts w:ascii="Arial" w:cs="Arial" w:eastAsia="Arial" w:hAnsi="Arial"/>
          <w:sz w:val="10"/>
          <w:szCs w:val="10"/>
          <w:color w:val="auto"/>
        </w:rPr>
        <w:t>Based on these repurchase agreements, we establish an associated loss reserve. This loss reserve is disclosed separately in the balance sheets. Repurchased sales are not recorded as a revenue transaction, but the net difference between the original repurchase price and the resale price is recorded against the loss reserve, which is a deduction from gross revenue. There are two significant assumptions associated with establishing our loss reserve for repurchase commitments:</w:t>
      </w:r>
    </w:p>
    <w:p>
      <w:pPr>
        <w:ind w:left="8" w:right="20" w:hanging="8"/>
        <w:spacing w:after="0" w:line="280" w:lineRule="auto"/>
        <w:tabs>
          <w:tab w:leader="none" w:pos="178"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percentage of dealer inventory that we will be required to repurchase as a result of defaults by the dealer, and (2) the loss that will be incurred, if any, when repurchased inventory is resold. Prior to Fiscal 2009, losses under these agreements were not material. However, the substantial decrease in retail demand for recreation vehicles in the past 12 months and tightened credit standards by lenders have resulted in a significant increase in defaults by our dealers. To the extent that dealers are reducing their inventories, our overall exposure under repurchase agreements is likewise reduced. The percentage of dealer inventory we estimate we will repurchase is based on historical information, current trends and an analysis of dealer inventory aging for all dealers with inventory subject to this obligation. The estimated loss per repurchased unit was based primarily on recent history because until Fiscal 2009, we were generally able to sell repurchased units for minimal losses. During the first three quarters of Fiscal 2009, we incurred significant losses associated with repurchases due to the challenging motor home industry conditions. As a result, we revised our underlying loss reserve estimate assumptions and increased our repurchase loss reserve during Fiscal 2009 based on rapidly changing circumstances. Further discussion of our repurchase commitments is included in Note 1 0.</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Warranty</w:t>
      </w:r>
    </w:p>
    <w:p>
      <w:pPr>
        <w:spacing w:after="0" w:line="15" w:lineRule="exact"/>
        <w:rPr>
          <w:sz w:val="20"/>
          <w:szCs w:val="20"/>
          <w:color w:val="auto"/>
        </w:rPr>
      </w:pPr>
    </w:p>
    <w:p>
      <w:pPr>
        <w:ind w:left="8"/>
        <w:spacing w:after="0" w:line="253" w:lineRule="auto"/>
        <w:rPr>
          <w:sz w:val="20"/>
          <w:szCs w:val="20"/>
          <w:color w:val="auto"/>
        </w:rPr>
      </w:pPr>
      <w:r>
        <w:rPr>
          <w:rFonts w:ascii="Arial" w:cs="Arial" w:eastAsia="Arial" w:hAnsi="Arial"/>
          <w:sz w:val="12"/>
          <w:szCs w:val="12"/>
          <w:color w:val="auto"/>
        </w:rPr>
        <w:t>We provide with the purchase of any new motor home, a comprehensive 12-month/15,000-mile warranty on Class A, Class B and Class C motor homes and a 3-year/36,000-mile warranty on Class A and Class C 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Stock-Based Compensation</w:t>
      </w:r>
    </w:p>
    <w:p>
      <w:pPr>
        <w:spacing w:after="0" w:line="15" w:lineRule="exact"/>
        <w:rPr>
          <w:sz w:val="20"/>
          <w:szCs w:val="20"/>
          <w:color w:val="auto"/>
        </w:rPr>
      </w:pPr>
    </w:p>
    <w:p>
      <w:pPr>
        <w:ind w:left="8" w:right="320"/>
        <w:spacing w:after="0" w:line="261" w:lineRule="auto"/>
        <w:rPr>
          <w:sz w:val="20"/>
          <w:szCs w:val="20"/>
          <w:color w:val="auto"/>
        </w:rPr>
      </w:pPr>
      <w:r>
        <w:rPr>
          <w:rFonts w:ascii="Arial" w:cs="Arial" w:eastAsia="Arial" w:hAnsi="Arial"/>
          <w:sz w:val="12"/>
          <w:szCs w:val="12"/>
          <w:color w:val="auto"/>
        </w:rPr>
        <w:t>Prior to Fiscal 2007, we granted stock options to our key employees and nonemployee directors as part of their compensation. In Fiscal 2007 and 2008, we granted restricted stock awards to key employees and nonemployee directors instead of stock options. No stock options or restricted stock awards were granted in Fiscal 2009 or in the first two quarters of Fiscal 2010.</w:t>
      </w:r>
    </w:p>
    <w:p>
      <w:pPr>
        <w:spacing w:after="0" w:line="123" w:lineRule="exact"/>
        <w:rPr>
          <w:sz w:val="20"/>
          <w:szCs w:val="20"/>
          <w:color w:val="auto"/>
        </w:rPr>
      </w:pPr>
    </w:p>
    <w:p>
      <w:pPr>
        <w:ind w:left="8" w:right="140"/>
        <w:spacing w:after="0" w:line="276" w:lineRule="auto"/>
        <w:rPr>
          <w:sz w:val="20"/>
          <w:szCs w:val="20"/>
          <w:color w:val="auto"/>
        </w:rPr>
      </w:pPr>
      <w:r>
        <w:rPr>
          <w:rFonts w:ascii="Arial" w:cs="Arial" w:eastAsia="Arial" w:hAnsi="Arial"/>
          <w:sz w:val="12"/>
          <w:szCs w:val="12"/>
          <w:color w:val="auto"/>
        </w:rPr>
        <w:t>The amount of stock-based compensation expense incurred and to be incurred in future periods is dependent upon a number of factors, such as the number of options and shares granted, the timing of stock option exercises, the age of the recipient and actual forfeiture rates.</w:t>
      </w:r>
    </w:p>
    <w:p>
      <w:pPr>
        <w:spacing w:after="0" w:line="115" w:lineRule="exact"/>
        <w:rPr>
          <w:sz w:val="20"/>
          <w:szCs w:val="20"/>
          <w:color w:val="auto"/>
        </w:rPr>
      </w:pPr>
    </w:p>
    <w:p>
      <w:pPr>
        <w:ind w:left="8" w:right="80"/>
        <w:spacing w:after="0" w:line="290" w:lineRule="auto"/>
        <w:rPr>
          <w:sz w:val="20"/>
          <w:szCs w:val="20"/>
          <w:color w:val="auto"/>
        </w:rPr>
      </w:pPr>
      <w:r>
        <w:rPr>
          <w:rFonts w:ascii="Arial" w:cs="Arial" w:eastAsia="Arial" w:hAnsi="Arial"/>
          <w:sz w:val="11"/>
          <w:szCs w:val="11"/>
          <w:color w:val="auto"/>
        </w:rPr>
        <w:t>The value of the restricted stock is based on the closing price of our common stock on the date of grant. The fair value of each award is amortized on a straight-line basis over the requisite service period or to an employee's eligible retirement date, if earlier. This amortization method is used because our awards typically vest over three years, beginning one year after date of grant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 y of our awards are made to retirement-eligible employees.</w:t>
      </w:r>
    </w:p>
    <w:p>
      <w:pPr>
        <w:sectPr>
          <w:pgSz w:w="11900" w:h="16840" w:orient="portrait"/>
          <w:cols w:equalWidth="0" w:num="1">
            <w:col w:w="11488"/>
          </w:cols>
          <w:pgMar w:left="212" w:top="275" w:right="199" w:bottom="0" w:gutter="0" w:footer="0" w:header="0"/>
        </w:sectPr>
      </w:pPr>
    </w:p>
    <w:bookmarkStart w:id="10" w:name="page11"/>
    <w:bookmarkEnd w:id="10"/>
    <w:p>
      <w:pPr>
        <w:ind w:left="20"/>
        <w:spacing w:after="0"/>
        <w:rPr>
          <w:sz w:val="20"/>
          <w:szCs w:val="20"/>
          <w:color w:val="auto"/>
        </w:rPr>
      </w:pPr>
      <w:r>
        <w:rPr>
          <w:rFonts w:ascii="Arial" w:cs="Arial" w:eastAsia="Arial" w:hAnsi="Arial"/>
          <w:sz w:val="12"/>
          <w:szCs w:val="12"/>
          <w:i w:val="1"/>
          <w:iCs w:val="1"/>
          <w:color w:val="auto"/>
        </w:rPr>
        <w:t>Unrecognized Tax Benefits</w:t>
      </w:r>
    </w:p>
    <w:p>
      <w:pPr>
        <w:spacing w:after="0" w:line="15" w:lineRule="exact"/>
        <w:rPr>
          <w:sz w:val="20"/>
          <w:szCs w:val="20"/>
          <w:color w:val="auto"/>
        </w:rPr>
      </w:pPr>
    </w:p>
    <w:p>
      <w:pPr>
        <w:ind w:left="20" w:right="20"/>
        <w:spacing w:after="0" w:line="280" w:lineRule="auto"/>
        <w:rPr>
          <w:sz w:val="20"/>
          <w:szCs w:val="20"/>
          <w:color w:val="auto"/>
        </w:rPr>
      </w:pPr>
      <w:r>
        <w:rPr>
          <w:rFonts w:ascii="Arial" w:cs="Arial" w:eastAsia="Arial" w:hAnsi="Arial"/>
          <w:sz w:val="11"/>
          <w:szCs w:val="11"/>
          <w:color w:val="auto"/>
        </w:rPr>
        <w:t>We only recognize tax benefits for filing positions that are considered more likely than not of being sustained under 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 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3177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p>
      <w:pPr>
        <w:ind w:left="20" w:right="60"/>
        <w:spacing w:after="0" w:line="276" w:lineRule="auto"/>
        <w:rPr>
          <w:sz w:val="20"/>
          <w:szCs w:val="20"/>
          <w:color w:val="auto"/>
        </w:rPr>
      </w:pPr>
      <w:r>
        <w:rPr>
          <w:rFonts w:ascii="Arial" w:cs="Arial" w:eastAsia="Arial" w:hAnsi="Arial"/>
          <w:sz w:val="12"/>
          <w:szCs w:val="12"/>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115" w:lineRule="exact"/>
        <w:rPr>
          <w:sz w:val="20"/>
          <w:szCs w:val="20"/>
          <w:color w:val="auto"/>
        </w:rPr>
      </w:pPr>
    </w:p>
    <w:p>
      <w:pPr>
        <w:ind w:left="20" w:right="80"/>
        <w:spacing w:after="0" w:line="298" w:lineRule="auto"/>
        <w:rPr>
          <w:sz w:val="20"/>
          <w:szCs w:val="20"/>
          <w:color w:val="auto"/>
        </w:rPr>
      </w:pPr>
      <w:r>
        <w:rPr>
          <w:rFonts w:ascii="Arial" w:cs="Arial" w:eastAsia="Arial" w:hAnsi="Arial"/>
          <w:sz w:val="11"/>
          <w:szCs w:val="11"/>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Income Taxes</w:t>
      </w:r>
    </w:p>
    <w:p>
      <w:pPr>
        <w:spacing w:after="0" w:line="15" w:lineRule="exact"/>
        <w:rPr>
          <w:sz w:val="20"/>
          <w:szCs w:val="20"/>
          <w:color w:val="auto"/>
        </w:rPr>
      </w:pPr>
    </w:p>
    <w:p>
      <w:pPr>
        <w:ind w:left="20" w:right="40"/>
        <w:spacing w:after="0" w:line="252" w:lineRule="auto"/>
        <w:rPr>
          <w:sz w:val="20"/>
          <w:szCs w:val="20"/>
          <w:color w:val="auto"/>
        </w:rPr>
      </w:pPr>
      <w:r>
        <w:rPr>
          <w:rFonts w:ascii="Arial" w:cs="Arial" w:eastAsia="Arial" w:hAnsi="Arial"/>
          <w:sz w:val="12"/>
          <w:szCs w:val="12"/>
          <w:color w:val="auto"/>
        </w:rPr>
        <w:t>We account for income taxes in accordance with ASC 740. As part of the process of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full valuation allowance to be appropriate. We will continue to assess the likelihood that our deferred tax assets will be realizable at each reporting period and our valuation allowance will be adjusted accordingly, whi ch could materially impact our financial position and results of operations.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Postretirement Benefits Obligations and Costs</w:t>
      </w:r>
    </w:p>
    <w:p>
      <w:pPr>
        <w:spacing w:after="0" w:line="15" w:lineRule="exact"/>
        <w:rPr>
          <w:sz w:val="20"/>
          <w:szCs w:val="20"/>
          <w:color w:val="auto"/>
        </w:rPr>
      </w:pPr>
    </w:p>
    <w:p>
      <w:pPr>
        <w:ind w:left="20"/>
        <w:spacing w:after="0" w:line="306" w:lineRule="auto"/>
        <w:rPr>
          <w:sz w:val="20"/>
          <w:szCs w:val="20"/>
          <w:color w:val="auto"/>
        </w:rPr>
      </w:pPr>
      <w:r>
        <w:rPr>
          <w:rFonts w:ascii="Arial" w:cs="Arial" w:eastAsia="Arial" w:hAnsi="Arial"/>
          <w:sz w:val="11"/>
          <w:szCs w:val="11"/>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Other</w:t>
      </w:r>
    </w:p>
    <w:p>
      <w:pPr>
        <w:spacing w:after="0" w:line="15" w:lineRule="exact"/>
        <w:rPr>
          <w:sz w:val="20"/>
          <w:szCs w:val="20"/>
          <w:color w:val="auto"/>
        </w:rPr>
      </w:pPr>
    </w:p>
    <w:p>
      <w:pPr>
        <w:ind w:left="20" w:right="120"/>
        <w:spacing w:after="0" w:line="361" w:lineRule="auto"/>
        <w:rPr>
          <w:sz w:val="20"/>
          <w:szCs w:val="20"/>
          <w:color w:val="auto"/>
        </w:rPr>
      </w:pPr>
      <w:r>
        <w:rPr>
          <w:rFonts w:ascii="Arial" w:cs="Arial" w:eastAsia="Arial" w:hAnsi="Arial"/>
          <w:sz w:val="10"/>
          <w:szCs w:val="10"/>
          <w:color w:val="auto"/>
        </w:rPr>
        <w:t>We have reserves for other loss exposures, such as litigation, product liability, workers' compensation, employee medical claims, inventory and accounts 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have market risk exposure to our ARS and the related Put Rights, which is described in further detail in Note 4.</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4. Controls and Procedures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5" w:lineRule="exact"/>
        <w:rPr>
          <w:sz w:val="20"/>
          <w:szCs w:val="20"/>
          <w:color w:val="auto"/>
        </w:rPr>
      </w:pPr>
    </w:p>
    <w:p>
      <w:pPr>
        <w:ind w:left="20" w:right="100"/>
        <w:spacing w:after="0" w:line="284" w:lineRule="auto"/>
        <w:rPr>
          <w:sz w:val="20"/>
          <w:szCs w:val="20"/>
          <w:color w:val="auto"/>
        </w:rPr>
      </w:pPr>
      <w:r>
        <w:rPr>
          <w:rFonts w:ascii="Arial" w:cs="Arial" w:eastAsia="Arial" w:hAnsi="Arial"/>
          <w:sz w:val="11"/>
          <w:szCs w:val="11"/>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which, by their nature, can provide only reasonable assurance regarding management's disclosure control objectives.</w:t>
      </w:r>
    </w:p>
    <w:p>
      <w:pPr>
        <w:spacing w:after="0" w:line="113" w:lineRule="exact"/>
        <w:rPr>
          <w:sz w:val="20"/>
          <w:szCs w:val="20"/>
          <w:color w:val="auto"/>
        </w:rPr>
      </w:pPr>
    </w:p>
    <w:p>
      <w:pPr>
        <w:ind w:left="20" w:right="140"/>
        <w:spacing w:after="0" w:line="263" w:lineRule="auto"/>
        <w:rPr>
          <w:sz w:val="20"/>
          <w:szCs w:val="20"/>
          <w:color w:val="auto"/>
        </w:rPr>
      </w:pPr>
      <w:r>
        <w:rPr>
          <w:rFonts w:ascii="Arial" w:cs="Arial" w:eastAsia="Arial" w:hAnsi="Arial"/>
          <w:sz w:val="12"/>
          <w:szCs w:val="12"/>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3177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5" w:lineRule="exact"/>
        <w:rPr>
          <w:sz w:val="20"/>
          <w:szCs w:val="20"/>
          <w:color w:val="auto"/>
        </w:rPr>
      </w:pPr>
    </w:p>
    <w:p>
      <w:pPr>
        <w:ind w:left="20" w:right="160"/>
        <w:spacing w:after="0" w:line="261" w:lineRule="auto"/>
        <w:rPr>
          <w:sz w:val="20"/>
          <w:szCs w:val="20"/>
          <w:color w:val="auto"/>
        </w:rPr>
      </w:pPr>
      <w:r>
        <w:rPr>
          <w:rFonts w:ascii="Arial" w:cs="Arial" w:eastAsia="Arial" w:hAnsi="Arial"/>
          <w:sz w:val="12"/>
          <w:szCs w:val="12"/>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PART II. OTHER INFORMATION</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1. Legal Proceedings</w:t>
      </w:r>
    </w:p>
    <w:p>
      <w:pPr>
        <w:spacing w:after="0" w:line="154" w:lineRule="exact"/>
        <w:rPr>
          <w:sz w:val="20"/>
          <w:szCs w:val="20"/>
          <w:color w:val="auto"/>
        </w:rPr>
      </w:pPr>
    </w:p>
    <w:p>
      <w:pPr>
        <w:ind w:left="20" w:right="80"/>
        <w:spacing w:after="0" w:line="263" w:lineRule="auto"/>
        <w:rPr>
          <w:sz w:val="20"/>
          <w:szCs w:val="20"/>
          <w:color w:val="auto"/>
        </w:rPr>
      </w:pPr>
      <w:r>
        <w:rPr>
          <w:rFonts w:ascii="Arial" w:cs="Arial" w:eastAsia="Arial" w:hAnsi="Arial"/>
          <w:sz w:val="12"/>
          <w:szCs w:val="12"/>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left="20" w:right="100"/>
        <w:spacing w:after="0" w:line="276" w:lineRule="auto"/>
        <w:rPr>
          <w:sz w:val="20"/>
          <w:szCs w:val="20"/>
          <w:color w:val="auto"/>
        </w:rPr>
      </w:pPr>
      <w:r>
        <w:rPr>
          <w:rFonts w:ascii="Arial" w:cs="Arial" w:eastAsia="Arial" w:hAnsi="Arial"/>
          <w:sz w:val="12"/>
          <w:szCs w:val="12"/>
          <w:color w:val="auto"/>
        </w:rPr>
        <w:t>Except as set forth below (and as previously reported in our Quarterly Report on Form 10-Q for the quarter ended November 28, 2009), there have been no material changes in the risk factors disclosed under Part I, Item 1A of our Annual Report on Form 10-K for the year ended August 29, 2009.</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Dependence on Suppliers</w:t>
      </w:r>
    </w:p>
    <w:p>
      <w:pPr>
        <w:spacing w:after="0" w:line="15" w:lineRule="exact"/>
        <w:rPr>
          <w:sz w:val="20"/>
          <w:szCs w:val="20"/>
          <w:color w:val="auto"/>
        </w:rPr>
      </w:pPr>
    </w:p>
    <w:p>
      <w:pPr>
        <w:ind w:left="20" w:right="60"/>
        <w:spacing w:after="0" w:line="281" w:lineRule="auto"/>
        <w:rPr>
          <w:sz w:val="20"/>
          <w:szCs w:val="20"/>
          <w:color w:val="auto"/>
        </w:rPr>
      </w:pPr>
      <w:r>
        <w:rPr>
          <w:rFonts w:ascii="Arial" w:cs="Arial" w:eastAsia="Arial" w:hAnsi="Arial"/>
          <w:sz w:val="11"/>
          <w:szCs w:val="11"/>
          <w:color w:val="auto"/>
        </w:rPr>
        <w:t>Most of our RV components are readily available from numerous sources. However, a few of our components are produced by a small group of quality suppliers. Decisions by our suppliers to decrease production, production delays, or work stoppages by the employees of such suppliers could have a material adverse effect on our ability to produce motor homes and ultimately, on our results of operations. In addition, the current general global economic downturn and the volatility in the credit and capital markets may have caused or may in the future cause a significant decline in sales and revenues and limited liquidity for our suppliers. If these conditions continue or worsen, many of our suppliers’&lt; font style="font-family:Times New Roman;font-size:10pt;color:#000000;line-height:120%"&gt; financial condition could be adversely impacted. As a result, their ability to continue supplying component products for the manufacture of our products could be significantly undermined, which, in turn, could negatively impact our ability to meet our customers’ demand for our products and our results of operations.</w:t>
      </w:r>
    </w:p>
    <w:p>
      <w:pPr>
        <w:spacing w:after="0" w:line="115" w:lineRule="exact"/>
        <w:rPr>
          <w:sz w:val="20"/>
          <w:szCs w:val="20"/>
          <w:color w:val="auto"/>
        </w:rPr>
      </w:pPr>
    </w:p>
    <w:p>
      <w:pPr>
        <w:ind w:left="20" w:right="20"/>
        <w:spacing w:after="0" w:line="259" w:lineRule="auto"/>
        <w:rPr>
          <w:sz w:val="20"/>
          <w:szCs w:val="20"/>
          <w:color w:val="auto"/>
        </w:rPr>
      </w:pPr>
      <w:r>
        <w:rPr>
          <w:rFonts w:ascii="Arial" w:cs="Arial" w:eastAsia="Arial" w:hAnsi="Arial"/>
          <w:sz w:val="12"/>
          <w:szCs w:val="12"/>
          <w:color w:val="auto"/>
        </w:rPr>
        <w:t>In the case of motor home chassis, Ford Motor Company, Freightliner Custom Chassis Corporation, Workhorse Custom Chassis and Chrysler Motors LLC are our major suppliers. Our relationship with our chassis suppliers is similar to our other supplier relationships in that no special contractual commitments are engaged in by either party. Historically, chassis suppliers resort to an industry-wide allocation system during periods when supply is restricted. These allocations have been based on the volume of chassis previously purchased. Sales of motor homes rely on chassis and are affected accordingly. As economic conditions improve and dealers begin to replenish their inventory, there may be a shortage of chassis for a period of time, which would adversely affect our production capacity and results of operations.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54" w:lineRule="exact"/>
        <w:rPr>
          <w:sz w:val="20"/>
          <w:szCs w:val="20"/>
          <w:color w:val="auto"/>
        </w:rPr>
      </w:pPr>
    </w:p>
    <w:p>
      <w:pPr>
        <w:jc w:val="both"/>
        <w:ind w:left="20" w:right="40"/>
        <w:spacing w:after="0" w:line="263" w:lineRule="auto"/>
        <w:rPr>
          <w:sz w:val="20"/>
          <w:szCs w:val="20"/>
          <w:color w:val="auto"/>
        </w:rPr>
      </w:pPr>
      <w:r>
        <w:rPr>
          <w:rFonts w:ascii="Arial" w:cs="Arial" w:eastAsia="Arial" w:hAnsi="Arial"/>
          <w:sz w:val="12"/>
          <w:szCs w:val="12"/>
          <w:color w:val="auto"/>
        </w:rPr>
        <w:t>On December 19, 2007, the Board of Directors authorized the repurchase of outstanding shares of our common stock, depending on market conditions, for an aggregate consideration of up to $60 million. There is no time restriction on this authorization. During the second quarter of Fiscal 2010, there were no shares of our common stock repurchased pursuant to this authorization or otherwise. As of February 27, 2010, there was approximately $59.3 million remaining under this authorization to be used for future repurchases of our common stock.</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3177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5. 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Annual Meeting of Shareholders was held December 15, 2009.</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color w:val="auto"/>
        </w:rPr>
        <w:t>Irvin E. Aal and Joseph W. England were elected directors at the Annual Meeting for terms expiring at the annual meeting following Fiscal 2012.</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Directors whose terms continued after the shareholders meeting:</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44"/>
        </w:trPr>
        <w:tc>
          <w:tcPr>
            <w:tcW w:w="1200" w:type="dxa"/>
            <w:vAlign w:val="bottom"/>
          </w:tcPr>
          <w:p>
            <w:pPr>
              <w:spacing w:after="0"/>
              <w:rPr>
                <w:sz w:val="20"/>
                <w:szCs w:val="20"/>
                <w:color w:val="auto"/>
              </w:rPr>
            </w:pPr>
            <w:r>
              <w:rPr>
                <w:rFonts w:ascii="Arial" w:cs="Arial" w:eastAsia="Arial" w:hAnsi="Arial"/>
                <w:sz w:val="12"/>
                <w:szCs w:val="12"/>
                <w:color w:val="auto"/>
              </w:rPr>
              <w:t>Jerry N. Currie</w:t>
            </w:r>
          </w:p>
        </w:tc>
        <w:tc>
          <w:tcPr>
            <w:tcW w:w="440" w:type="dxa"/>
            <w:vAlign w:val="bottom"/>
          </w:tcPr>
          <w:p>
            <w:pPr>
              <w:jc w:val="right"/>
              <w:spacing w:after="0"/>
              <w:rPr>
                <w:sz w:val="20"/>
                <w:szCs w:val="20"/>
                <w:color w:val="auto"/>
              </w:rPr>
            </w:pPr>
            <w:r>
              <w:rPr>
                <w:rFonts w:ascii="Arial" w:cs="Arial" w:eastAsia="Arial" w:hAnsi="Arial"/>
                <w:sz w:val="12"/>
                <w:szCs w:val="12"/>
                <w:color w:val="auto"/>
              </w:rPr>
              <w:t>(2010)</w:t>
            </w:r>
          </w:p>
        </w:tc>
      </w:tr>
      <w:tr>
        <w:trPr>
          <w:trHeight w:val="153"/>
        </w:trPr>
        <w:tc>
          <w:tcPr>
            <w:tcW w:w="1200" w:type="dxa"/>
            <w:vAlign w:val="bottom"/>
          </w:tcPr>
          <w:p>
            <w:pPr>
              <w:spacing w:after="0"/>
              <w:rPr>
                <w:sz w:val="20"/>
                <w:szCs w:val="20"/>
                <w:color w:val="auto"/>
              </w:rPr>
            </w:pPr>
            <w:r>
              <w:rPr>
                <w:rFonts w:ascii="Arial" w:cs="Arial" w:eastAsia="Arial" w:hAnsi="Arial"/>
                <w:sz w:val="12"/>
                <w:szCs w:val="12"/>
                <w:color w:val="auto"/>
              </w:rPr>
              <w:t>Lawrence A. Erickson</w:t>
            </w:r>
          </w:p>
        </w:tc>
        <w:tc>
          <w:tcPr>
            <w:tcW w:w="440" w:type="dxa"/>
            <w:vAlign w:val="bottom"/>
          </w:tcPr>
          <w:p>
            <w:pPr>
              <w:jc w:val="right"/>
              <w:spacing w:after="0"/>
              <w:rPr>
                <w:sz w:val="20"/>
                <w:szCs w:val="20"/>
                <w:color w:val="auto"/>
              </w:rPr>
            </w:pPr>
            <w:r>
              <w:rPr>
                <w:rFonts w:ascii="Arial" w:cs="Arial" w:eastAsia="Arial" w:hAnsi="Arial"/>
                <w:sz w:val="12"/>
                <w:szCs w:val="12"/>
                <w:color w:val="auto"/>
              </w:rPr>
              <w:t>(2010)</w:t>
            </w:r>
          </w:p>
        </w:tc>
      </w:tr>
    </w:tbl>
    <w:p>
      <w:pPr>
        <w:sectPr>
          <w:pgSz w:w="11900" w:h="16838" w:orient="portrait"/>
          <w:cols w:equalWidth="0" w:num="1">
            <w:col w:w="11500"/>
          </w:cols>
          <w:pgMar w:left="200" w:top="275" w:right="199" w:bottom="0" w:gutter="0" w:footer="0" w:header="0"/>
        </w:sectPr>
      </w:pPr>
    </w:p>
    <w:bookmarkStart w:id="11" w:name="page12"/>
    <w:bookmarkEnd w:id="11"/>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Robert M. Chiusano</w:t>
            </w:r>
          </w:p>
        </w:tc>
        <w:tc>
          <w:tcPr>
            <w:tcW w:w="480" w:type="dxa"/>
            <w:vAlign w:val="bottom"/>
          </w:tcPr>
          <w:p>
            <w:pPr>
              <w:jc w:val="right"/>
              <w:spacing w:after="0"/>
              <w:rPr>
                <w:sz w:val="20"/>
                <w:szCs w:val="20"/>
                <w:color w:val="auto"/>
              </w:rPr>
            </w:pPr>
            <w:r>
              <w:rPr>
                <w:rFonts w:ascii="Arial" w:cs="Arial" w:eastAsia="Arial" w:hAnsi="Arial"/>
                <w:sz w:val="12"/>
                <w:szCs w:val="12"/>
                <w:color w:val="auto"/>
              </w:rPr>
              <w:t>(2010)</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John V. Hanson</w:t>
            </w:r>
          </w:p>
        </w:tc>
        <w:tc>
          <w:tcPr>
            <w:tcW w:w="480" w:type="dxa"/>
            <w:vAlign w:val="bottom"/>
          </w:tcPr>
          <w:p>
            <w:pPr>
              <w:jc w:val="right"/>
              <w:spacing w:after="0"/>
              <w:rPr>
                <w:sz w:val="20"/>
                <w:szCs w:val="20"/>
                <w:color w:val="auto"/>
              </w:rPr>
            </w:pPr>
            <w:r>
              <w:rPr>
                <w:rFonts w:ascii="Arial" w:cs="Arial" w:eastAsia="Arial" w:hAnsi="Arial"/>
                <w:sz w:val="12"/>
                <w:szCs w:val="12"/>
                <w:color w:val="auto"/>
              </w:rPr>
              <w:t>(2011)</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Gerald C. Kitch</w:t>
            </w:r>
          </w:p>
        </w:tc>
        <w:tc>
          <w:tcPr>
            <w:tcW w:w="480" w:type="dxa"/>
            <w:vAlign w:val="bottom"/>
          </w:tcPr>
          <w:p>
            <w:pPr>
              <w:jc w:val="right"/>
              <w:spacing w:after="0"/>
              <w:rPr>
                <w:sz w:val="20"/>
                <w:szCs w:val="20"/>
                <w:color w:val="auto"/>
              </w:rPr>
            </w:pPr>
            <w:r>
              <w:rPr>
                <w:rFonts w:ascii="Arial" w:cs="Arial" w:eastAsia="Arial" w:hAnsi="Arial"/>
                <w:sz w:val="12"/>
                <w:szCs w:val="12"/>
                <w:color w:val="auto"/>
              </w:rPr>
              <w:t>(2011)</w:t>
            </w:r>
          </w:p>
        </w:tc>
      </w:tr>
      <w:tr>
        <w:trPr>
          <w:trHeight w:val="153"/>
        </w:trPr>
        <w:tc>
          <w:tcPr>
            <w:tcW w:w="1160" w:type="dxa"/>
            <w:vAlign w:val="bottom"/>
          </w:tcPr>
          <w:p>
            <w:pPr>
              <w:spacing w:after="0"/>
              <w:rPr>
                <w:sz w:val="20"/>
                <w:szCs w:val="20"/>
                <w:color w:val="auto"/>
              </w:rPr>
            </w:pPr>
            <w:r>
              <w:rPr>
                <w:rFonts w:ascii="Arial" w:cs="Arial" w:eastAsia="Arial" w:hAnsi="Arial"/>
                <w:sz w:val="12"/>
                <w:szCs w:val="12"/>
                <w:color w:val="auto"/>
              </w:rPr>
              <w:t>Robert J. Olson</w:t>
            </w:r>
          </w:p>
        </w:tc>
        <w:tc>
          <w:tcPr>
            <w:tcW w:w="480" w:type="dxa"/>
            <w:vAlign w:val="bottom"/>
          </w:tcPr>
          <w:p>
            <w:pPr>
              <w:jc w:val="right"/>
              <w:spacing w:after="0"/>
              <w:rPr>
                <w:sz w:val="20"/>
                <w:szCs w:val="20"/>
                <w:color w:val="auto"/>
              </w:rPr>
            </w:pPr>
            <w:r>
              <w:rPr>
                <w:rFonts w:ascii="Arial" w:cs="Arial" w:eastAsia="Arial" w:hAnsi="Arial"/>
                <w:sz w:val="12"/>
                <w:szCs w:val="12"/>
                <w:color w:val="auto"/>
              </w:rPr>
              <w:t>(2011)</w:t>
            </w:r>
          </w:p>
        </w:tc>
      </w:tr>
    </w:tbl>
    <w:p>
      <w:pPr>
        <w:spacing w:after="0" w:line="132" w:lineRule="exact"/>
        <w:rPr>
          <w:sz w:val="20"/>
          <w:szCs w:val="20"/>
          <w:color w:val="auto"/>
        </w:rPr>
      </w:pPr>
    </w:p>
    <w:p>
      <w:pPr>
        <w:ind w:left="420"/>
        <w:spacing w:after="0"/>
        <w:rPr>
          <w:sz w:val="20"/>
          <w:szCs w:val="20"/>
          <w:color w:val="auto"/>
        </w:rPr>
      </w:pPr>
      <w:r>
        <w:rPr>
          <w:rFonts w:ascii="Arial" w:cs="Arial" w:eastAsia="Arial" w:hAnsi="Arial"/>
          <w:sz w:val="10"/>
          <w:szCs w:val="10"/>
          <w:color w:val="auto"/>
        </w:rPr>
        <w:t>( ) Represents calendar year of Annual Meeting that individual's term will expire.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breakdown of votes for the election of two directors was as follows:*</w:t>
      </w:r>
    </w:p>
    <w:p>
      <w:pPr>
        <w:spacing w:after="0" w:line="192" w:lineRule="exact"/>
        <w:rPr>
          <w:sz w:val="20"/>
          <w:szCs w:val="20"/>
          <w:color w:val="auto"/>
        </w:rPr>
      </w:pPr>
    </w:p>
    <w:tbl>
      <w:tblPr>
        <w:tblLayout w:type="fixed"/>
        <w:tblInd w:w="420" w:type="dxa"/>
        <w:tblCellMar>
          <w:top w:w="0" w:type="dxa"/>
          <w:left w:w="0" w:type="dxa"/>
          <w:bottom w:w="0" w:type="dxa"/>
          <w:right w:w="0" w:type="dxa"/>
        </w:tblCellMar>
      </w:tblPr>
      <w:tr>
        <w:trPr>
          <w:trHeight w:val="138"/>
        </w:trPr>
        <w:tc>
          <w:tcPr>
            <w:tcW w:w="136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800" w:type="dxa"/>
            <w:vAlign w:val="bottom"/>
            <w:gridSpan w:val="2"/>
          </w:tcPr>
          <w:p>
            <w:pPr>
              <w:jc w:val="center"/>
              <w:ind w:left="40"/>
              <w:spacing w:after="0"/>
              <w:rPr>
                <w:sz w:val="20"/>
                <w:szCs w:val="20"/>
                <w:color w:val="auto"/>
              </w:rPr>
            </w:pPr>
            <w:r>
              <w:rPr>
                <w:rFonts w:ascii="Arial" w:cs="Arial" w:eastAsia="Arial" w:hAnsi="Arial"/>
                <w:sz w:val="12"/>
                <w:szCs w:val="12"/>
                <w:color w:val="auto"/>
                <w:w w:val="87"/>
              </w:rPr>
              <w:t>Votes Cast For</w:t>
            </w:r>
          </w:p>
        </w:tc>
        <w:tc>
          <w:tcPr>
            <w:tcW w:w="2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96"/>
              </w:rPr>
              <w:t>Authority Withheld</w:t>
            </w:r>
          </w:p>
        </w:tc>
      </w:tr>
      <w:tr>
        <w:trPr>
          <w:trHeight w:val="20"/>
        </w:trPr>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42"/>
        </w:trPr>
        <w:tc>
          <w:tcPr>
            <w:tcW w:w="1360" w:type="dxa"/>
            <w:vAlign w:val="bottom"/>
            <w:gridSpan w:val="2"/>
          </w:tcPr>
          <w:p>
            <w:pPr>
              <w:spacing w:after="0"/>
              <w:rPr>
                <w:sz w:val="20"/>
                <w:szCs w:val="20"/>
                <w:color w:val="auto"/>
              </w:rPr>
            </w:pPr>
            <w:r>
              <w:rPr>
                <w:rFonts w:ascii="Arial" w:cs="Arial" w:eastAsia="Arial" w:hAnsi="Arial"/>
                <w:sz w:val="12"/>
                <w:szCs w:val="12"/>
                <w:color w:val="auto"/>
              </w:rPr>
              <w:t>Irvin E. Aal (2012)</w:t>
            </w:r>
          </w:p>
        </w:tc>
        <w:tc>
          <w:tcPr>
            <w:tcW w:w="800" w:type="dxa"/>
            <w:vAlign w:val="bottom"/>
            <w:gridSpan w:val="2"/>
          </w:tcPr>
          <w:p>
            <w:pPr>
              <w:jc w:val="center"/>
              <w:ind w:left="40"/>
              <w:spacing w:after="0"/>
              <w:rPr>
                <w:sz w:val="20"/>
                <w:szCs w:val="20"/>
                <w:color w:val="auto"/>
              </w:rPr>
            </w:pPr>
            <w:r>
              <w:rPr>
                <w:rFonts w:ascii="Arial" w:cs="Arial" w:eastAsia="Arial" w:hAnsi="Arial"/>
                <w:sz w:val="12"/>
                <w:szCs w:val="12"/>
                <w:color w:val="auto"/>
                <w:w w:val="89"/>
              </w:rPr>
              <w:t>24,376,907</w:t>
            </w:r>
          </w:p>
        </w:tc>
        <w:tc>
          <w:tcPr>
            <w:tcW w:w="1140" w:type="dxa"/>
            <w:vAlign w:val="bottom"/>
            <w:gridSpan w:val="2"/>
          </w:tcPr>
          <w:p>
            <w:pPr>
              <w:jc w:val="center"/>
              <w:ind w:left="140"/>
              <w:spacing w:after="0"/>
              <w:rPr>
                <w:sz w:val="20"/>
                <w:szCs w:val="20"/>
                <w:color w:val="auto"/>
              </w:rPr>
            </w:pPr>
            <w:r>
              <w:rPr>
                <w:rFonts w:ascii="Arial" w:cs="Arial" w:eastAsia="Arial" w:hAnsi="Arial"/>
                <w:sz w:val="12"/>
                <w:szCs w:val="12"/>
                <w:color w:val="auto"/>
                <w:w w:val="87"/>
              </w:rPr>
              <w:t>334,017</w:t>
            </w:r>
          </w:p>
        </w:tc>
      </w:tr>
      <w:tr>
        <w:trPr>
          <w:trHeight w:val="153"/>
        </w:trPr>
        <w:tc>
          <w:tcPr>
            <w:tcW w:w="1360" w:type="dxa"/>
            <w:vAlign w:val="bottom"/>
            <w:gridSpan w:val="2"/>
          </w:tcPr>
          <w:p>
            <w:pPr>
              <w:spacing w:after="0"/>
              <w:rPr>
                <w:sz w:val="20"/>
                <w:szCs w:val="20"/>
                <w:color w:val="auto"/>
              </w:rPr>
            </w:pPr>
            <w:r>
              <w:rPr>
                <w:rFonts w:ascii="Arial" w:cs="Arial" w:eastAsia="Arial" w:hAnsi="Arial"/>
                <w:sz w:val="12"/>
                <w:szCs w:val="12"/>
                <w:color w:val="auto"/>
                <w:w w:val="94"/>
              </w:rPr>
              <w:t>Joseph W. England (2012)</w:t>
            </w:r>
          </w:p>
        </w:tc>
        <w:tc>
          <w:tcPr>
            <w:tcW w:w="800" w:type="dxa"/>
            <w:vAlign w:val="bottom"/>
            <w:gridSpan w:val="2"/>
          </w:tcPr>
          <w:p>
            <w:pPr>
              <w:jc w:val="center"/>
              <w:ind w:left="40"/>
              <w:spacing w:after="0"/>
              <w:rPr>
                <w:sz w:val="20"/>
                <w:szCs w:val="20"/>
                <w:color w:val="auto"/>
              </w:rPr>
            </w:pPr>
            <w:r>
              <w:rPr>
                <w:rFonts w:ascii="Arial" w:cs="Arial" w:eastAsia="Arial" w:hAnsi="Arial"/>
                <w:sz w:val="12"/>
                <w:szCs w:val="12"/>
                <w:color w:val="auto"/>
                <w:w w:val="89"/>
              </w:rPr>
              <w:t>24,526,455</w:t>
            </w:r>
          </w:p>
        </w:tc>
        <w:tc>
          <w:tcPr>
            <w:tcW w:w="1140" w:type="dxa"/>
            <w:vAlign w:val="bottom"/>
            <w:gridSpan w:val="2"/>
          </w:tcPr>
          <w:p>
            <w:pPr>
              <w:jc w:val="center"/>
              <w:ind w:left="140"/>
              <w:spacing w:after="0"/>
              <w:rPr>
                <w:sz w:val="20"/>
                <w:szCs w:val="20"/>
                <w:color w:val="auto"/>
              </w:rPr>
            </w:pPr>
            <w:r>
              <w:rPr>
                <w:rFonts w:ascii="Arial" w:cs="Arial" w:eastAsia="Arial" w:hAnsi="Arial"/>
                <w:sz w:val="12"/>
                <w:szCs w:val="12"/>
                <w:color w:val="auto"/>
                <w:w w:val="87"/>
              </w:rPr>
              <w:t>184,469</w:t>
            </w:r>
          </w:p>
        </w:tc>
      </w:tr>
    </w:tbl>
    <w:p>
      <w:pPr>
        <w:spacing w:after="0" w:line="168" w:lineRule="exact"/>
        <w:rPr>
          <w:sz w:val="20"/>
          <w:szCs w:val="20"/>
          <w:color w:val="auto"/>
        </w:rPr>
      </w:pPr>
    </w:p>
    <w:p>
      <w:pPr>
        <w:ind w:left="420"/>
        <w:spacing w:after="0"/>
        <w:rPr>
          <w:sz w:val="20"/>
          <w:szCs w:val="20"/>
          <w:color w:val="auto"/>
        </w:rPr>
      </w:pPr>
      <w:r>
        <w:rPr>
          <w:rFonts w:ascii="Arial" w:cs="Arial" w:eastAsia="Arial" w:hAnsi="Arial"/>
          <w:sz w:val="10"/>
          <w:szCs w:val="10"/>
          <w:color w:val="auto"/>
        </w:rPr>
        <w:t>* There were no broker nonvotes.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Our proposal regarding ratification of the appointment of Deloitte &amp; Touche LLP, as our independent registered public accountants for the fiscal year ending August 28, 2010.*</w:t>
      </w:r>
    </w:p>
    <w:p>
      <w:pPr>
        <w:spacing w:after="0" w:line="276" w:lineRule="exact"/>
        <w:rPr>
          <w:sz w:val="20"/>
          <w:szCs w:val="20"/>
          <w:color w:val="auto"/>
        </w:rPr>
      </w:pPr>
    </w:p>
    <w:tbl>
      <w:tblPr>
        <w:tblLayout w:type="fixed"/>
        <w:tblInd w:w="420" w:type="dxa"/>
        <w:tblCellMar>
          <w:top w:w="0" w:type="dxa"/>
          <w:left w:w="0" w:type="dxa"/>
          <w:bottom w:w="0" w:type="dxa"/>
          <w:right w:w="0" w:type="dxa"/>
        </w:tblCellMar>
      </w:tblPr>
      <w:tr>
        <w:trPr>
          <w:trHeight w:val="138"/>
        </w:trPr>
        <w:tc>
          <w:tcPr>
            <w:tcW w:w="1320" w:type="dxa"/>
            <w:vAlign w:val="bottom"/>
            <w:gridSpan w:val="2"/>
          </w:tcPr>
          <w:p>
            <w:pPr>
              <w:spacing w:after="0"/>
              <w:rPr>
                <w:sz w:val="20"/>
                <w:szCs w:val="20"/>
                <w:color w:val="auto"/>
              </w:rPr>
            </w:pPr>
            <w:r>
              <w:rPr>
                <w:rFonts w:ascii="Arial" w:cs="Arial" w:eastAsia="Arial" w:hAnsi="Arial"/>
                <w:sz w:val="12"/>
                <w:szCs w:val="12"/>
                <w:color w:val="auto"/>
              </w:rPr>
              <w:t>Votes Cast For</w:t>
            </w:r>
          </w:p>
        </w:tc>
        <w:tc>
          <w:tcPr>
            <w:tcW w:w="1380" w:type="dxa"/>
            <w:vAlign w:val="bottom"/>
            <w:gridSpan w:val="3"/>
          </w:tcPr>
          <w:p>
            <w:pPr>
              <w:ind w:left="20"/>
              <w:spacing w:after="0"/>
              <w:rPr>
                <w:sz w:val="20"/>
                <w:szCs w:val="20"/>
                <w:color w:val="auto"/>
              </w:rPr>
            </w:pPr>
            <w:r>
              <w:rPr>
                <w:rFonts w:ascii="Arial" w:cs="Arial" w:eastAsia="Arial" w:hAnsi="Arial"/>
                <w:sz w:val="12"/>
                <w:szCs w:val="12"/>
                <w:color w:val="auto"/>
              </w:rPr>
              <w:t>Votes Cast Against</w:t>
            </w:r>
          </w:p>
        </w:tc>
        <w:tc>
          <w:tcPr>
            <w:tcW w:w="1040" w:type="dxa"/>
            <w:vAlign w:val="bottom"/>
            <w:gridSpan w:val="2"/>
          </w:tcPr>
          <w:p>
            <w:pPr>
              <w:ind w:left="460"/>
              <w:spacing w:after="0"/>
              <w:rPr>
                <w:sz w:val="20"/>
                <w:szCs w:val="20"/>
                <w:color w:val="auto"/>
              </w:rPr>
            </w:pPr>
            <w:r>
              <w:rPr>
                <w:rFonts w:ascii="Arial" w:cs="Arial" w:eastAsia="Arial" w:hAnsi="Arial"/>
                <w:sz w:val="12"/>
                <w:szCs w:val="12"/>
                <w:color w:val="auto"/>
                <w:w w:val="89"/>
              </w:rPr>
              <w:t>Abstentions</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51"/>
        </w:trPr>
        <w:tc>
          <w:tcPr>
            <w:tcW w:w="700" w:type="dxa"/>
            <w:vAlign w:val="bottom"/>
          </w:tcPr>
          <w:p>
            <w:pPr>
              <w:spacing w:after="0"/>
              <w:rPr>
                <w:sz w:val="20"/>
                <w:szCs w:val="20"/>
                <w:color w:val="auto"/>
              </w:rPr>
            </w:pPr>
            <w:r>
              <w:rPr>
                <w:rFonts w:ascii="Arial" w:cs="Arial" w:eastAsia="Arial" w:hAnsi="Arial"/>
                <w:sz w:val="12"/>
                <w:szCs w:val="12"/>
                <w:color w:val="auto"/>
              </w:rPr>
              <w:t>24,616,976</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2"/>
                <w:szCs w:val="12"/>
                <w:color w:val="auto"/>
              </w:rPr>
              <w:t>71,528</w:t>
            </w:r>
          </w:p>
        </w:tc>
        <w:tc>
          <w:tcPr>
            <w:tcW w:w="440" w:type="dxa"/>
            <w:vAlign w:val="bottom"/>
          </w:tcPr>
          <w:p>
            <w:pPr>
              <w:spacing w:after="0"/>
              <w:rPr>
                <w:sz w:val="13"/>
                <w:szCs w:val="13"/>
                <w:color w:val="auto"/>
              </w:rPr>
            </w:pPr>
          </w:p>
        </w:tc>
        <w:tc>
          <w:tcPr>
            <w:tcW w:w="1040" w:type="dxa"/>
            <w:vAlign w:val="bottom"/>
            <w:gridSpan w:val="2"/>
          </w:tcPr>
          <w:p>
            <w:pPr>
              <w:ind w:left="460"/>
              <w:spacing w:after="0"/>
              <w:rPr>
                <w:sz w:val="20"/>
                <w:szCs w:val="20"/>
                <w:color w:val="auto"/>
              </w:rPr>
            </w:pPr>
            <w:r>
              <w:rPr>
                <w:rFonts w:ascii="Arial" w:cs="Arial" w:eastAsia="Arial" w:hAnsi="Arial"/>
                <w:sz w:val="12"/>
                <w:szCs w:val="12"/>
                <w:color w:val="auto"/>
              </w:rPr>
              <w:t>22,420</w:t>
            </w:r>
          </w:p>
        </w:tc>
      </w:tr>
      <w:tr>
        <w:trPr>
          <w:trHeight w:val="289"/>
        </w:trPr>
        <w:tc>
          <w:tcPr>
            <w:tcW w:w="1320" w:type="dxa"/>
            <w:vAlign w:val="bottom"/>
            <w:gridSpan w:val="2"/>
          </w:tcPr>
          <w:p>
            <w:pPr>
              <w:spacing w:after="0"/>
              <w:rPr>
                <w:sz w:val="20"/>
                <w:szCs w:val="20"/>
                <w:color w:val="auto"/>
              </w:rPr>
            </w:pPr>
            <w:r>
              <w:rPr>
                <w:rFonts w:ascii="Arial" w:cs="Arial" w:eastAsia="Arial" w:hAnsi="Arial"/>
                <w:sz w:val="10"/>
                <w:szCs w:val="10"/>
                <w:color w:val="auto"/>
                <w:w w:val="87"/>
              </w:rPr>
              <w:t>* There were no broker nonvotes.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20"/>
                <w:szCs w:val="20"/>
                <w:color w:val="auto"/>
              </w:rPr>
            </w:pPr>
            <w:r>
              <w:rPr>
                <w:rFonts w:ascii="Arial" w:cs="Arial" w:eastAsia="Arial" w:hAnsi="Arial"/>
                <w:sz w:val="12"/>
                <w:szCs w:val="12"/>
                <w:color w:val="auto"/>
              </w:rPr>
              <w:t>3.1(ii)</w:t>
            </w:r>
          </w:p>
        </w:tc>
        <w:tc>
          <w:tcPr>
            <w:tcW w:w="7940" w:type="dxa"/>
            <w:vAlign w:val="bottom"/>
          </w:tcPr>
          <w:p>
            <w:pPr>
              <w:ind w:left="160"/>
              <w:spacing w:after="0"/>
              <w:rPr>
                <w:sz w:val="20"/>
                <w:szCs w:val="20"/>
                <w:color w:val="auto"/>
              </w:rPr>
            </w:pPr>
            <w:r>
              <w:rPr>
                <w:rFonts w:ascii="Arial" w:cs="Arial" w:eastAsia="Arial" w:hAnsi="Arial"/>
                <w:sz w:val="12"/>
                <w:szCs w:val="12"/>
                <w:color w:val="auto"/>
                <w:w w:val="98"/>
              </w:rPr>
              <w:t>Amended By-Laws of the Registrant (incorporated by reference in Exhibit 3.1 of the Registrant's Current Report on Form 8-K dated March 29, 2010).</w:t>
            </w:r>
          </w:p>
        </w:tc>
      </w:tr>
      <w:tr>
        <w:trPr>
          <w:trHeight w:val="189"/>
        </w:trPr>
        <w:tc>
          <w:tcPr>
            <w:tcW w:w="460" w:type="dxa"/>
            <w:vAlign w:val="bottom"/>
          </w:tcPr>
          <w:p>
            <w:pPr>
              <w:spacing w:after="0"/>
              <w:rPr>
                <w:sz w:val="20"/>
                <w:szCs w:val="20"/>
                <w:color w:val="auto"/>
              </w:rPr>
            </w:pPr>
            <w:r>
              <w:rPr>
                <w:rFonts w:ascii="Arial" w:cs="Arial" w:eastAsia="Arial" w:hAnsi="Arial"/>
                <w:sz w:val="12"/>
                <w:szCs w:val="12"/>
                <w:color w:val="auto"/>
              </w:rPr>
              <w:t>31.1</w:t>
            </w:r>
          </w:p>
        </w:tc>
        <w:tc>
          <w:tcPr>
            <w:tcW w:w="7940" w:type="dxa"/>
            <w:vAlign w:val="bottom"/>
          </w:tcPr>
          <w:p>
            <w:pPr>
              <w:ind w:left="160"/>
              <w:spacing w:after="0"/>
              <w:rPr>
                <w:sz w:val="20"/>
                <w:szCs w:val="20"/>
                <w:color w:val="auto"/>
              </w:rPr>
            </w:pPr>
            <w:r>
              <w:rPr>
                <w:rFonts w:ascii="Arial" w:cs="Arial" w:eastAsia="Arial" w:hAnsi="Arial"/>
                <w:sz w:val="12"/>
                <w:szCs w:val="12"/>
                <w:color w:val="auto"/>
              </w:rPr>
              <w:t>Certification by the Chief Executive Officer pursuant to Section 302 of the Sarbanes-Oxley Act of 2002 dated April 6, 2010.</w:t>
            </w:r>
          </w:p>
        </w:tc>
      </w:tr>
      <w:tr>
        <w:trPr>
          <w:trHeight w:val="189"/>
        </w:trPr>
        <w:tc>
          <w:tcPr>
            <w:tcW w:w="460" w:type="dxa"/>
            <w:vAlign w:val="bottom"/>
          </w:tcPr>
          <w:p>
            <w:pPr>
              <w:spacing w:after="0"/>
              <w:rPr>
                <w:sz w:val="20"/>
                <w:szCs w:val="20"/>
                <w:color w:val="auto"/>
              </w:rPr>
            </w:pPr>
            <w:r>
              <w:rPr>
                <w:rFonts w:ascii="Arial" w:cs="Arial" w:eastAsia="Arial" w:hAnsi="Arial"/>
                <w:sz w:val="12"/>
                <w:szCs w:val="12"/>
                <w:color w:val="auto"/>
              </w:rPr>
              <w:t>31.2</w:t>
            </w:r>
          </w:p>
        </w:tc>
        <w:tc>
          <w:tcPr>
            <w:tcW w:w="7940" w:type="dxa"/>
            <w:vAlign w:val="bottom"/>
          </w:tcPr>
          <w:p>
            <w:pPr>
              <w:ind w:left="160"/>
              <w:spacing w:after="0"/>
              <w:rPr>
                <w:sz w:val="20"/>
                <w:szCs w:val="20"/>
                <w:color w:val="auto"/>
              </w:rPr>
            </w:pPr>
            <w:r>
              <w:rPr>
                <w:rFonts w:ascii="Arial" w:cs="Arial" w:eastAsia="Arial" w:hAnsi="Arial"/>
                <w:sz w:val="12"/>
                <w:szCs w:val="12"/>
                <w:color w:val="auto"/>
              </w:rPr>
              <w:t>Certification by the Chief Financial Officer pursuant to Section 302 of the Sarbanes-Oxley Act of 2002 dated April 6, 2010.</w:t>
            </w:r>
          </w:p>
        </w:tc>
      </w:tr>
      <w:tr>
        <w:trPr>
          <w:trHeight w:val="189"/>
        </w:trPr>
        <w:tc>
          <w:tcPr>
            <w:tcW w:w="460" w:type="dxa"/>
            <w:vAlign w:val="bottom"/>
          </w:tcPr>
          <w:p>
            <w:pPr>
              <w:spacing w:after="0"/>
              <w:rPr>
                <w:sz w:val="20"/>
                <w:szCs w:val="20"/>
                <w:color w:val="auto"/>
              </w:rPr>
            </w:pPr>
            <w:r>
              <w:rPr>
                <w:rFonts w:ascii="Arial" w:cs="Arial" w:eastAsia="Arial" w:hAnsi="Arial"/>
                <w:sz w:val="12"/>
                <w:szCs w:val="12"/>
                <w:color w:val="auto"/>
              </w:rPr>
              <w:t>32.1</w:t>
            </w:r>
          </w:p>
        </w:tc>
        <w:tc>
          <w:tcPr>
            <w:tcW w:w="7940" w:type="dxa"/>
            <w:vAlign w:val="bottom"/>
          </w:tcPr>
          <w:p>
            <w:pPr>
              <w:ind w:left="160"/>
              <w:spacing w:after="0"/>
              <w:rPr>
                <w:sz w:val="20"/>
                <w:szCs w:val="20"/>
                <w:color w:val="auto"/>
              </w:rPr>
            </w:pPr>
            <w:r>
              <w:rPr>
                <w:rFonts w:ascii="Arial" w:cs="Arial" w:eastAsia="Arial" w:hAnsi="Arial"/>
                <w:sz w:val="12"/>
                <w:szCs w:val="12"/>
                <w:color w:val="auto"/>
                <w:w w:val="91"/>
              </w:rPr>
              <w:t>Certification by the Chief Executive Officer pursuant to Section 1350, as adopted pursuant to Section 906 of the Sarbanes-Oxley Act of 2002 dated April 6, 2010.</w:t>
            </w:r>
          </w:p>
        </w:tc>
      </w:tr>
      <w:tr>
        <w:trPr>
          <w:trHeight w:val="189"/>
        </w:trPr>
        <w:tc>
          <w:tcPr>
            <w:tcW w:w="460" w:type="dxa"/>
            <w:vAlign w:val="bottom"/>
          </w:tcPr>
          <w:p>
            <w:pPr>
              <w:spacing w:after="0"/>
              <w:rPr>
                <w:sz w:val="20"/>
                <w:szCs w:val="20"/>
                <w:color w:val="auto"/>
              </w:rPr>
            </w:pPr>
            <w:r>
              <w:rPr>
                <w:rFonts w:ascii="Arial" w:cs="Arial" w:eastAsia="Arial" w:hAnsi="Arial"/>
                <w:sz w:val="12"/>
                <w:szCs w:val="12"/>
                <w:color w:val="auto"/>
              </w:rPr>
              <w:t>32.2</w:t>
            </w:r>
          </w:p>
        </w:tc>
        <w:tc>
          <w:tcPr>
            <w:tcW w:w="7940" w:type="dxa"/>
            <w:vAlign w:val="bottom"/>
          </w:tcPr>
          <w:p>
            <w:pPr>
              <w:ind w:left="160"/>
              <w:spacing w:after="0"/>
              <w:rPr>
                <w:sz w:val="20"/>
                <w:szCs w:val="20"/>
                <w:color w:val="auto"/>
              </w:rPr>
            </w:pPr>
            <w:r>
              <w:rPr>
                <w:rFonts w:ascii="Arial" w:cs="Arial" w:eastAsia="Arial" w:hAnsi="Arial"/>
                <w:sz w:val="12"/>
                <w:szCs w:val="12"/>
                <w:color w:val="auto"/>
                <w:w w:val="91"/>
              </w:rPr>
              <w:t>Certification by the Chief Financial Officer pursuant to Section 1350, as adopted pursuant to Section 906 of the Sarbanes-Oxley Act of 2002 dated April 6, 2010.</w:t>
            </w:r>
          </w:p>
        </w:tc>
      </w:tr>
      <w:tr>
        <w:trPr>
          <w:trHeight w:val="405"/>
        </w:trPr>
        <w:tc>
          <w:tcPr>
            <w:tcW w:w="460" w:type="dxa"/>
            <w:vAlign w:val="bottom"/>
          </w:tcPr>
          <w:p>
            <w:pPr>
              <w:spacing w:after="0"/>
              <w:rPr>
                <w:sz w:val="24"/>
                <w:szCs w:val="24"/>
                <w:color w:val="auto"/>
              </w:rPr>
            </w:pPr>
          </w:p>
        </w:tc>
        <w:tc>
          <w:tcPr>
            <w:tcW w:w="7940" w:type="dxa"/>
            <w:vAlign w:val="bottom"/>
          </w:tcPr>
          <w:p>
            <w:pPr>
              <w:ind w:left="5220"/>
              <w:spacing w:after="0"/>
              <w:rPr>
                <w:sz w:val="20"/>
                <w:szCs w:val="20"/>
                <w:color w:val="auto"/>
              </w:rPr>
            </w:pPr>
            <w:r>
              <w:rPr>
                <w:rFonts w:ascii="Arial" w:cs="Arial" w:eastAsia="Arial" w:hAnsi="Arial"/>
                <w:sz w:val="12"/>
                <w:szCs w:val="12"/>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118745</wp:posOffset>
            </wp:positionV>
            <wp:extent cx="73177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8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rPr>
              <w:t>WINNEBAGO INDUSTRIES, INC.</w:t>
            </w:r>
          </w:p>
        </w:tc>
      </w:tr>
      <w:tr>
        <w:trPr>
          <w:trHeight w:val="142"/>
        </w:trPr>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80" w:type="dxa"/>
            <w:vAlign w:val="bottom"/>
          </w:tcPr>
          <w:p>
            <w:pPr>
              <w:ind w:left="1560"/>
              <w:spacing w:after="0"/>
              <w:rPr>
                <w:sz w:val="20"/>
                <w:szCs w:val="20"/>
                <w:color w:val="auto"/>
              </w:rPr>
            </w:pPr>
            <w:r>
              <w:rPr>
                <w:rFonts w:ascii="Arial" w:cs="Arial" w:eastAsia="Arial" w:hAnsi="Arial"/>
                <w:sz w:val="12"/>
                <w:szCs w:val="12"/>
                <w:color w:val="auto"/>
              </w:rPr>
              <w:t>(Registrant)</w:t>
            </w:r>
          </w:p>
        </w:tc>
      </w:tr>
      <w:tr>
        <w:trPr>
          <w:trHeight w:val="279"/>
        </w:trPr>
        <w:tc>
          <w:tcPr>
            <w:tcW w:w="460" w:type="dxa"/>
            <w:vAlign w:val="bottom"/>
          </w:tcPr>
          <w:p>
            <w:pPr>
              <w:spacing w:after="0"/>
              <w:rPr>
                <w:sz w:val="20"/>
                <w:szCs w:val="20"/>
                <w:color w:val="auto"/>
              </w:rPr>
            </w:pPr>
            <w:r>
              <w:rPr>
                <w:rFonts w:ascii="Arial" w:cs="Arial" w:eastAsia="Arial" w:hAnsi="Arial"/>
                <w:sz w:val="12"/>
                <w:szCs w:val="12"/>
                <w:color w:val="auto"/>
              </w:rPr>
              <w:t>Date</w:t>
            </w:r>
          </w:p>
        </w:tc>
        <w:tc>
          <w:tcPr>
            <w:tcW w:w="2000" w:type="dxa"/>
            <w:vAlign w:val="bottom"/>
            <w:gridSpan w:val="2"/>
          </w:tcPr>
          <w:p>
            <w:pPr>
              <w:ind w:left="140"/>
              <w:spacing w:after="0"/>
              <w:rPr>
                <w:sz w:val="20"/>
                <w:szCs w:val="20"/>
                <w:color w:val="auto"/>
              </w:rPr>
            </w:pPr>
            <w:r>
              <w:rPr>
                <w:rFonts w:ascii="Arial" w:cs="Arial" w:eastAsia="Arial" w:hAnsi="Arial"/>
                <w:sz w:val="12"/>
                <w:szCs w:val="12"/>
                <w:color w:val="auto"/>
              </w:rPr>
              <w:t>April 06, 2010</w:t>
            </w:r>
          </w:p>
        </w:tc>
        <w:tc>
          <w:tcPr>
            <w:tcW w:w="3680" w:type="dxa"/>
            <w:vAlign w:val="bottom"/>
          </w:tcPr>
          <w:p>
            <w:pPr>
              <w:spacing w:after="0"/>
              <w:rPr>
                <w:sz w:val="20"/>
                <w:szCs w:val="20"/>
                <w:color w:val="auto"/>
              </w:rPr>
            </w:pPr>
            <w:r>
              <w:rPr>
                <w:rFonts w:ascii="Arial" w:cs="Arial" w:eastAsia="Arial" w:hAnsi="Arial"/>
                <w:sz w:val="12"/>
                <w:szCs w:val="12"/>
                <w:color w:val="auto"/>
              </w:rPr>
              <w:t>/s/ Robert J. Olson</w:t>
            </w:r>
          </w:p>
        </w:tc>
      </w:tr>
      <w:tr>
        <w:trPr>
          <w:trHeight w:val="124"/>
        </w:trPr>
        <w:tc>
          <w:tcPr>
            <w:tcW w:w="4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368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Robert J. Olson</w:t>
            </w:r>
          </w:p>
        </w:tc>
      </w:tr>
      <w:tr>
        <w:trPr>
          <w:trHeight w:val="144"/>
        </w:trPr>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Chairman of the Board, Chief Executive Officer and President</w:t>
            </w:r>
          </w:p>
        </w:tc>
      </w:tr>
      <w:tr>
        <w:trPr>
          <w:trHeight w:val="153"/>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(Principal Executive Officer)</w:t>
            </w:r>
          </w:p>
        </w:tc>
      </w:tr>
      <w:tr>
        <w:trPr>
          <w:trHeight w:val="288"/>
        </w:trPr>
        <w:tc>
          <w:tcPr>
            <w:tcW w:w="460" w:type="dxa"/>
            <w:vAlign w:val="bottom"/>
          </w:tcPr>
          <w:p>
            <w:pPr>
              <w:spacing w:after="0"/>
              <w:rPr>
                <w:sz w:val="20"/>
                <w:szCs w:val="20"/>
                <w:color w:val="auto"/>
              </w:rPr>
            </w:pPr>
            <w:r>
              <w:rPr>
                <w:rFonts w:ascii="Arial" w:cs="Arial" w:eastAsia="Arial" w:hAnsi="Arial"/>
                <w:sz w:val="12"/>
                <w:szCs w:val="12"/>
                <w:color w:val="auto"/>
              </w:rPr>
              <w:t>Date</w:t>
            </w:r>
          </w:p>
        </w:tc>
        <w:tc>
          <w:tcPr>
            <w:tcW w:w="2000" w:type="dxa"/>
            <w:vAlign w:val="bottom"/>
            <w:gridSpan w:val="2"/>
          </w:tcPr>
          <w:p>
            <w:pPr>
              <w:ind w:left="140"/>
              <w:spacing w:after="0"/>
              <w:rPr>
                <w:sz w:val="20"/>
                <w:szCs w:val="20"/>
                <w:color w:val="auto"/>
              </w:rPr>
            </w:pPr>
            <w:r>
              <w:rPr>
                <w:rFonts w:ascii="Arial" w:cs="Arial" w:eastAsia="Arial" w:hAnsi="Arial"/>
                <w:sz w:val="12"/>
                <w:szCs w:val="12"/>
                <w:color w:val="auto"/>
              </w:rPr>
              <w:t>April 06, 2010</w:t>
            </w:r>
          </w:p>
        </w:tc>
        <w:tc>
          <w:tcPr>
            <w:tcW w:w="3680" w:type="dxa"/>
            <w:vAlign w:val="bottom"/>
          </w:tcPr>
          <w:p>
            <w:pPr>
              <w:spacing w:after="0"/>
              <w:rPr>
                <w:sz w:val="20"/>
                <w:szCs w:val="20"/>
                <w:color w:val="auto"/>
              </w:rPr>
            </w:pPr>
            <w:r>
              <w:rPr>
                <w:rFonts w:ascii="Arial" w:cs="Arial" w:eastAsia="Arial" w:hAnsi="Arial"/>
                <w:sz w:val="12"/>
                <w:szCs w:val="12"/>
                <w:color w:val="auto"/>
              </w:rPr>
              <w:t>/s/ Sarah N. Nielsen</w:t>
            </w:r>
          </w:p>
        </w:tc>
      </w:tr>
      <w:tr>
        <w:trPr>
          <w:trHeight w:val="124"/>
        </w:trPr>
        <w:tc>
          <w:tcPr>
            <w:tcW w:w="4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368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Sarah N. Nielsen</w:t>
            </w:r>
          </w:p>
        </w:tc>
      </w:tr>
      <w:tr>
        <w:trPr>
          <w:trHeight w:val="153"/>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2"/>
                <w:szCs w:val="12"/>
                <w:color w:val="auto"/>
              </w:rPr>
              <w:t>Chief Financial Officer (Principal Financial Officer)</w:t>
            </w:r>
          </w:p>
        </w:tc>
      </w:tr>
    </w:tbl>
    <w:p>
      <w:pPr>
        <w:spacing w:after="0" w:line="135"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239"/>
          </w:cols>
          <w:pgMar w:left="220" w:top="131"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4"/>
          <w:szCs w:val="14"/>
          <w:b w:val="1"/>
          <w:bCs w:val="1"/>
          <w:color w:val="auto"/>
        </w:rPr>
        <w:t>Exhibit 31.1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BY CHIEF EXECUTIVE OFFICER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18 U.S.C. SECTION 1350,</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302</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I, Robert J. Olson, Chief Executive Officer of Winnebago Industries, Inc., certify that:</w:t>
      </w:r>
    </w:p>
    <w:p>
      <w:pPr>
        <w:spacing w:after="0" w:line="51" w:lineRule="exact"/>
        <w:rPr>
          <w:sz w:val="20"/>
          <w:szCs w:val="20"/>
          <w:color w:val="auto"/>
        </w:rPr>
      </w:pPr>
    </w:p>
    <w:p>
      <w:pPr>
        <w:ind w:left="1060" w:hanging="537"/>
        <w:spacing w:after="0"/>
        <w:tabs>
          <w:tab w:leader="none" w:pos="10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Winnebago Industries, Inc. (the "Registrant");</w:t>
      </w:r>
    </w:p>
    <w:p>
      <w:pPr>
        <w:spacing w:after="0" w:line="51" w:lineRule="exact"/>
        <w:rPr>
          <w:rFonts w:ascii="Arial" w:cs="Arial" w:eastAsia="Arial" w:hAnsi="Arial"/>
          <w:sz w:val="12"/>
          <w:szCs w:val="12"/>
          <w:color w:val="auto"/>
        </w:rPr>
      </w:pPr>
    </w:p>
    <w:p>
      <w:pPr>
        <w:ind w:left="1060" w:hanging="537"/>
        <w:spacing w:after="0" w:line="276" w:lineRule="auto"/>
        <w:tabs>
          <w:tab w:leader="none" w:pos="1060" w:val="left"/>
        </w:tabs>
        <w:numPr>
          <w:ilvl w:val="0"/>
          <w:numId w:val="6"/>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 w:lineRule="exact"/>
        <w:rPr>
          <w:rFonts w:ascii="Arial" w:cs="Arial" w:eastAsia="Arial" w:hAnsi="Arial"/>
          <w:sz w:val="12"/>
          <w:szCs w:val="12"/>
          <w:color w:val="auto"/>
        </w:rPr>
      </w:pPr>
    </w:p>
    <w:p>
      <w:pPr>
        <w:ind w:left="1060" w:right="60" w:hanging="537"/>
        <w:spacing w:after="0" w:line="276" w:lineRule="auto"/>
        <w:tabs>
          <w:tab w:leader="none" w:pos="1060" w:val="left"/>
        </w:tabs>
        <w:numPr>
          <w:ilvl w:val="0"/>
          <w:numId w:val="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2"/>
          <w:szCs w:val="12"/>
          <w:color w:val="auto"/>
        </w:rPr>
      </w:pPr>
    </w:p>
    <w:p>
      <w:pPr>
        <w:ind w:left="1060" w:right="120" w:hanging="537"/>
        <w:spacing w:after="0" w:line="276" w:lineRule="auto"/>
        <w:tabs>
          <w:tab w:leader="none" w:pos="10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Arial" w:cs="Arial" w:eastAsia="Arial" w:hAnsi="Arial"/>
          <w:sz w:val="12"/>
          <w:szCs w:val="12"/>
          <w:color w:val="auto"/>
        </w:rPr>
      </w:pPr>
    </w:p>
    <w:p>
      <w:pPr>
        <w:ind w:left="1580" w:right="200" w:hanging="525"/>
        <w:spacing w:after="0" w:line="276" w:lineRule="auto"/>
        <w:tabs>
          <w:tab w:leader="none" w:pos="1580" w:val="left"/>
        </w:tabs>
        <w:numPr>
          <w:ilvl w:val="1"/>
          <w:numId w:val="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5" w:lineRule="exact"/>
        <w:rPr>
          <w:rFonts w:ascii="Arial" w:cs="Arial" w:eastAsia="Arial" w:hAnsi="Arial"/>
          <w:sz w:val="12"/>
          <w:szCs w:val="12"/>
          <w:color w:val="auto"/>
        </w:rPr>
      </w:pPr>
    </w:p>
    <w:p>
      <w:pPr>
        <w:ind w:left="1580" w:right="20" w:hanging="525"/>
        <w:spacing w:after="0" w:line="276" w:lineRule="auto"/>
        <w:tabs>
          <w:tab w:leader="none" w:pos="1580" w:val="left"/>
        </w:tabs>
        <w:numPr>
          <w:ilvl w:val="1"/>
          <w:numId w:val="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2"/>
          <w:szCs w:val="12"/>
          <w:color w:val="auto"/>
        </w:rPr>
      </w:pPr>
    </w:p>
    <w:p>
      <w:pPr>
        <w:ind w:left="1580" w:right="20" w:hanging="525"/>
        <w:spacing w:after="0" w:line="276" w:lineRule="auto"/>
        <w:tabs>
          <w:tab w:leader="none" w:pos="1580" w:val="left"/>
        </w:tabs>
        <w:numPr>
          <w:ilvl w:val="1"/>
          <w:numId w:val="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5" w:lineRule="exact"/>
        <w:rPr>
          <w:rFonts w:ascii="Arial" w:cs="Arial" w:eastAsia="Arial" w:hAnsi="Arial"/>
          <w:sz w:val="12"/>
          <w:szCs w:val="12"/>
          <w:color w:val="auto"/>
        </w:rPr>
      </w:pPr>
    </w:p>
    <w:p>
      <w:pPr>
        <w:ind w:left="1580" w:hanging="525"/>
        <w:spacing w:after="0" w:line="276" w:lineRule="auto"/>
        <w:tabs>
          <w:tab w:leader="none" w:pos="1580" w:val="left"/>
        </w:tabs>
        <w:numPr>
          <w:ilvl w:val="1"/>
          <w:numId w:val="6"/>
        </w:numPr>
        <w:rPr>
          <w:rFonts w:ascii="Arial" w:cs="Arial" w:eastAsia="Arial" w:hAnsi="Arial"/>
          <w:sz w:val="12"/>
          <w:szCs w:val="12"/>
          <w:color w:val="auto"/>
        </w:rPr>
      </w:pPr>
      <w:r>
        <w:rPr>
          <w:rFonts w:ascii="Arial" w:cs="Arial" w:eastAsia="Arial" w:hAnsi="Arial"/>
          <w:sz w:val="12"/>
          <w:szCs w:val="12"/>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5" w:lineRule="exact"/>
        <w:rPr>
          <w:rFonts w:ascii="Arial" w:cs="Arial" w:eastAsia="Arial" w:hAnsi="Arial"/>
          <w:sz w:val="12"/>
          <w:szCs w:val="12"/>
          <w:color w:val="auto"/>
        </w:rPr>
      </w:pPr>
    </w:p>
    <w:p>
      <w:pPr>
        <w:ind w:left="1060" w:right="60" w:hanging="537"/>
        <w:spacing w:after="0" w:line="276" w:lineRule="auto"/>
        <w:tabs>
          <w:tab w:leader="none" w:pos="10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2"/>
          <w:szCs w:val="12"/>
          <w:color w:val="auto"/>
        </w:rPr>
      </w:pPr>
    </w:p>
    <w:p>
      <w:pPr>
        <w:ind w:left="1580" w:right="200" w:hanging="525"/>
        <w:spacing w:after="0" w:line="276" w:lineRule="auto"/>
        <w:tabs>
          <w:tab w:leader="none" w:pos="1580" w:val="left"/>
        </w:tabs>
        <w:numPr>
          <w:ilvl w:val="1"/>
          <w:numId w:val="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2"/>
          <w:szCs w:val="12"/>
          <w:color w:val="auto"/>
        </w:rPr>
      </w:pPr>
    </w:p>
    <w:p>
      <w:pPr>
        <w:ind w:left="1580" w:hanging="525"/>
        <w:spacing w:after="0"/>
        <w:tabs>
          <w:tab w:leader="none" w:pos="1580" w:val="left"/>
        </w:tabs>
        <w:numPr>
          <w:ilvl w:val="1"/>
          <w:numId w:val="6"/>
        </w:numPr>
        <w:rPr>
          <w:rFonts w:ascii="Arial" w:cs="Arial" w:eastAsia="Arial" w:hAnsi="Arial"/>
          <w:sz w:val="12"/>
          <w:szCs w:val="12"/>
          <w:color w:val="auto"/>
        </w:rPr>
      </w:pPr>
      <w:r>
        <w:rPr>
          <w:rFonts w:ascii="Arial" w:cs="Arial" w:eastAsia="Arial" w:hAnsi="Arial"/>
          <w:sz w:val="12"/>
          <w:szCs w:val="12"/>
          <w:color w:val="auto"/>
        </w:rPr>
        <w:t>any fraud, whether or not material, that involved management or other employees who have a significant role in the Registrant's internal control over financial reporting.</w:t>
      </w:r>
    </w:p>
    <w:p>
      <w:pPr>
        <w:spacing w:after="0" w:line="294"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420" w:type="dxa"/>
            <w:vAlign w:val="bottom"/>
          </w:tcPr>
          <w:p>
            <w:pPr>
              <w:spacing w:after="0"/>
              <w:rPr>
                <w:sz w:val="20"/>
                <w:szCs w:val="20"/>
                <w:color w:val="auto"/>
              </w:rPr>
            </w:pPr>
            <w:r>
              <w:rPr>
                <w:rFonts w:ascii="Arial" w:cs="Arial" w:eastAsia="Arial" w:hAnsi="Arial"/>
                <w:sz w:val="12"/>
                <w:szCs w:val="12"/>
                <w:color w:val="auto"/>
              </w:rPr>
              <w:t>Date:</w:t>
            </w:r>
          </w:p>
        </w:tc>
        <w:tc>
          <w:tcPr>
            <w:tcW w:w="1060" w:type="dxa"/>
            <w:vAlign w:val="bottom"/>
          </w:tcPr>
          <w:p>
            <w:pPr>
              <w:ind w:left="180"/>
              <w:spacing w:after="0"/>
              <w:rPr>
                <w:sz w:val="20"/>
                <w:szCs w:val="20"/>
                <w:color w:val="auto"/>
              </w:rPr>
            </w:pPr>
            <w:r>
              <w:rPr>
                <w:rFonts w:ascii="Arial" w:cs="Arial" w:eastAsia="Arial" w:hAnsi="Arial"/>
                <w:sz w:val="12"/>
                <w:szCs w:val="12"/>
                <w:color w:val="auto"/>
              </w:rPr>
              <w:t>April 06, 2010</w:t>
            </w:r>
          </w:p>
        </w:tc>
        <w:tc>
          <w:tcPr>
            <w:tcW w:w="5680" w:type="dxa"/>
            <w:vAlign w:val="bottom"/>
            <w:gridSpan w:val="2"/>
          </w:tcPr>
          <w:p>
            <w:pPr>
              <w:ind w:left="3780"/>
              <w:spacing w:after="0"/>
              <w:rPr>
                <w:sz w:val="20"/>
                <w:szCs w:val="20"/>
                <w:color w:val="auto"/>
              </w:rPr>
            </w:pPr>
            <w:r>
              <w:rPr>
                <w:rFonts w:ascii="Arial" w:cs="Arial" w:eastAsia="Arial" w:hAnsi="Arial"/>
                <w:sz w:val="12"/>
                <w:szCs w:val="12"/>
                <w:color w:val="auto"/>
              </w:rPr>
              <w:t>By:  /s/ Robert J. Olson</w:t>
            </w:r>
          </w:p>
        </w:tc>
      </w:tr>
      <w:tr>
        <w:trPr>
          <w:trHeight w:val="124"/>
        </w:trPr>
        <w:tc>
          <w:tcPr>
            <w:tcW w:w="4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160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Robert J. Olson</w:t>
            </w:r>
          </w:p>
        </w:tc>
      </w:tr>
      <w:tr>
        <w:trPr>
          <w:trHeight w:val="153"/>
        </w:trPr>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440"/>
          </w:cols>
          <w:pgMar w:left="220" w:top="13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b w:val="1"/>
          <w:bCs w:val="1"/>
          <w:color w:val="auto"/>
        </w:rPr>
        <w:t>Exhibit 31.2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BY CHIEF FINANCIAL OFFICER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18 U.S.C. SECTION 1350,</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302</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I, Sarah N. Nielsen, Chief Financial Officer of Winnebago Industries, Inc., certify that:</w:t>
      </w:r>
    </w:p>
    <w:p>
      <w:pPr>
        <w:spacing w:after="0" w:line="51" w:lineRule="exact"/>
        <w:rPr>
          <w:sz w:val="20"/>
          <w:szCs w:val="20"/>
          <w:color w:val="auto"/>
        </w:rPr>
      </w:pPr>
    </w:p>
    <w:p>
      <w:pPr>
        <w:ind w:left="1060" w:hanging="537"/>
        <w:spacing w:after="0"/>
        <w:tabs>
          <w:tab w:leader="none" w:pos="10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Winnebago Industries, Inc. (the "Registrant");</w:t>
      </w:r>
    </w:p>
    <w:p>
      <w:pPr>
        <w:spacing w:after="0" w:line="51" w:lineRule="exact"/>
        <w:rPr>
          <w:rFonts w:ascii="Arial" w:cs="Arial" w:eastAsia="Arial" w:hAnsi="Arial"/>
          <w:sz w:val="12"/>
          <w:szCs w:val="12"/>
          <w:color w:val="auto"/>
        </w:rPr>
      </w:pPr>
    </w:p>
    <w:p>
      <w:pPr>
        <w:ind w:left="1060" w:hanging="537"/>
        <w:spacing w:after="0" w:line="276" w:lineRule="auto"/>
        <w:tabs>
          <w:tab w:leader="none" w:pos="1060"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 w:lineRule="exact"/>
        <w:rPr>
          <w:rFonts w:ascii="Arial" w:cs="Arial" w:eastAsia="Arial" w:hAnsi="Arial"/>
          <w:sz w:val="12"/>
          <w:szCs w:val="12"/>
          <w:color w:val="auto"/>
        </w:rPr>
      </w:pPr>
    </w:p>
    <w:p>
      <w:pPr>
        <w:ind w:left="1060" w:right="60" w:hanging="537"/>
        <w:spacing w:after="0" w:line="276" w:lineRule="auto"/>
        <w:tabs>
          <w:tab w:leader="none" w:pos="1060"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2"/>
          <w:szCs w:val="12"/>
          <w:color w:val="auto"/>
        </w:rPr>
      </w:pPr>
    </w:p>
    <w:p>
      <w:pPr>
        <w:ind w:left="1060" w:right="120" w:hanging="537"/>
        <w:spacing w:after="0" w:line="276" w:lineRule="auto"/>
        <w:tabs>
          <w:tab w:leader="none" w:pos="10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Arial" w:cs="Arial" w:eastAsia="Arial" w:hAnsi="Arial"/>
          <w:sz w:val="12"/>
          <w:szCs w:val="12"/>
          <w:color w:val="auto"/>
        </w:rPr>
      </w:pPr>
    </w:p>
    <w:p>
      <w:pPr>
        <w:ind w:left="1580" w:right="200" w:hanging="525"/>
        <w:spacing w:after="0" w:line="276" w:lineRule="auto"/>
        <w:tabs>
          <w:tab w:leader="none" w:pos="1580"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5" w:lineRule="exact"/>
        <w:rPr>
          <w:rFonts w:ascii="Arial" w:cs="Arial" w:eastAsia="Arial" w:hAnsi="Arial"/>
          <w:sz w:val="12"/>
          <w:szCs w:val="12"/>
          <w:color w:val="auto"/>
        </w:rPr>
      </w:pPr>
    </w:p>
    <w:p>
      <w:pPr>
        <w:ind w:left="1580" w:right="20" w:hanging="525"/>
        <w:spacing w:after="0" w:line="276" w:lineRule="auto"/>
        <w:tabs>
          <w:tab w:leader="none" w:pos="1580"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2"/>
          <w:szCs w:val="12"/>
          <w:color w:val="auto"/>
        </w:rPr>
      </w:pPr>
    </w:p>
    <w:p>
      <w:pPr>
        <w:ind w:left="1580" w:right="20" w:hanging="525"/>
        <w:spacing w:after="0" w:line="276" w:lineRule="auto"/>
        <w:tabs>
          <w:tab w:leader="none" w:pos="1580" w:val="left"/>
        </w:tabs>
        <w:numPr>
          <w:ilvl w:val="1"/>
          <w:numId w:val="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5" w:lineRule="exact"/>
        <w:rPr>
          <w:rFonts w:ascii="Arial" w:cs="Arial" w:eastAsia="Arial" w:hAnsi="Arial"/>
          <w:sz w:val="12"/>
          <w:szCs w:val="12"/>
          <w:color w:val="auto"/>
        </w:rPr>
      </w:pPr>
    </w:p>
    <w:p>
      <w:pPr>
        <w:ind w:left="1580" w:hanging="525"/>
        <w:spacing w:after="0" w:line="276" w:lineRule="auto"/>
        <w:tabs>
          <w:tab w:leader="none" w:pos="1580" w:val="left"/>
        </w:tabs>
        <w:numPr>
          <w:ilvl w:val="1"/>
          <w:numId w:val="7"/>
        </w:numPr>
        <w:rPr>
          <w:rFonts w:ascii="Arial" w:cs="Arial" w:eastAsia="Arial" w:hAnsi="Arial"/>
          <w:sz w:val="12"/>
          <w:szCs w:val="12"/>
          <w:color w:val="auto"/>
        </w:rPr>
      </w:pPr>
      <w:r>
        <w:rPr>
          <w:rFonts w:ascii="Arial" w:cs="Arial" w:eastAsia="Arial" w:hAnsi="Arial"/>
          <w:sz w:val="12"/>
          <w:szCs w:val="12"/>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5" w:lineRule="exact"/>
        <w:rPr>
          <w:rFonts w:ascii="Arial" w:cs="Arial" w:eastAsia="Arial" w:hAnsi="Arial"/>
          <w:sz w:val="12"/>
          <w:szCs w:val="12"/>
          <w:color w:val="auto"/>
        </w:rPr>
      </w:pPr>
    </w:p>
    <w:p>
      <w:pPr>
        <w:ind w:left="1060" w:right="60" w:hanging="537"/>
        <w:spacing w:after="0" w:line="276" w:lineRule="auto"/>
        <w:tabs>
          <w:tab w:leader="none" w:pos="10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2"/>
          <w:szCs w:val="12"/>
          <w:color w:val="auto"/>
        </w:rPr>
      </w:pPr>
    </w:p>
    <w:p>
      <w:pPr>
        <w:ind w:left="1580" w:right="200" w:hanging="525"/>
        <w:spacing w:after="0" w:line="276" w:lineRule="auto"/>
        <w:tabs>
          <w:tab w:leader="none" w:pos="1580" w:val="left"/>
        </w:tabs>
        <w:numPr>
          <w:ilvl w:val="1"/>
          <w:numId w:val="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2"/>
          <w:szCs w:val="12"/>
          <w:color w:val="auto"/>
        </w:rPr>
      </w:pPr>
    </w:p>
    <w:p>
      <w:pPr>
        <w:ind w:left="1580" w:hanging="525"/>
        <w:spacing w:after="0"/>
        <w:tabs>
          <w:tab w:leader="none" w:pos="1580" w:val="left"/>
        </w:tabs>
        <w:numPr>
          <w:ilvl w:val="1"/>
          <w:numId w:val="7"/>
        </w:numPr>
        <w:rPr>
          <w:rFonts w:ascii="Arial" w:cs="Arial" w:eastAsia="Arial" w:hAnsi="Arial"/>
          <w:sz w:val="12"/>
          <w:szCs w:val="12"/>
          <w:color w:val="auto"/>
        </w:rPr>
      </w:pPr>
      <w:r>
        <w:rPr>
          <w:rFonts w:ascii="Arial" w:cs="Arial" w:eastAsia="Arial" w:hAnsi="Arial"/>
          <w:sz w:val="12"/>
          <w:szCs w:val="12"/>
          <w:color w:val="auto"/>
        </w:rPr>
        <w:t>any fraud, whether or not material, that involved management or other employees who have a significant role in the Registrant's internal control over financial reporting.</w:t>
      </w:r>
    </w:p>
    <w:p>
      <w:pPr>
        <w:spacing w:after="0" w:line="294"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420" w:type="dxa"/>
            <w:vAlign w:val="bottom"/>
          </w:tcPr>
          <w:p>
            <w:pPr>
              <w:spacing w:after="0"/>
              <w:rPr>
                <w:sz w:val="20"/>
                <w:szCs w:val="20"/>
                <w:color w:val="auto"/>
              </w:rPr>
            </w:pPr>
            <w:r>
              <w:rPr>
                <w:rFonts w:ascii="Arial" w:cs="Arial" w:eastAsia="Arial" w:hAnsi="Arial"/>
                <w:sz w:val="12"/>
                <w:szCs w:val="12"/>
                <w:color w:val="auto"/>
              </w:rPr>
              <w:t>Date:</w:t>
            </w:r>
          </w:p>
        </w:tc>
        <w:tc>
          <w:tcPr>
            <w:tcW w:w="1060" w:type="dxa"/>
            <w:vAlign w:val="bottom"/>
          </w:tcPr>
          <w:p>
            <w:pPr>
              <w:ind w:left="180"/>
              <w:spacing w:after="0"/>
              <w:rPr>
                <w:sz w:val="20"/>
                <w:szCs w:val="20"/>
                <w:color w:val="auto"/>
              </w:rPr>
            </w:pPr>
            <w:r>
              <w:rPr>
                <w:rFonts w:ascii="Arial" w:cs="Arial" w:eastAsia="Arial" w:hAnsi="Arial"/>
                <w:sz w:val="12"/>
                <w:szCs w:val="12"/>
                <w:color w:val="auto"/>
              </w:rPr>
              <w:t>April 06, 2010</w:t>
            </w:r>
          </w:p>
        </w:tc>
        <w:tc>
          <w:tcPr>
            <w:tcW w:w="5680" w:type="dxa"/>
            <w:vAlign w:val="bottom"/>
            <w:gridSpan w:val="2"/>
          </w:tcPr>
          <w:p>
            <w:pPr>
              <w:ind w:left="3780"/>
              <w:spacing w:after="0"/>
              <w:rPr>
                <w:sz w:val="20"/>
                <w:szCs w:val="20"/>
                <w:color w:val="auto"/>
              </w:rPr>
            </w:pPr>
            <w:r>
              <w:rPr>
                <w:rFonts w:ascii="Arial" w:cs="Arial" w:eastAsia="Arial" w:hAnsi="Arial"/>
                <w:sz w:val="12"/>
                <w:szCs w:val="12"/>
                <w:color w:val="auto"/>
              </w:rPr>
              <w:t>By:  /s/ Sarah N. Nielsen</w:t>
            </w:r>
          </w:p>
        </w:tc>
      </w:tr>
      <w:tr>
        <w:trPr>
          <w:trHeight w:val="124"/>
        </w:trPr>
        <w:tc>
          <w:tcPr>
            <w:tcW w:w="4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160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Sarah N. Nielsen</w:t>
            </w:r>
          </w:p>
        </w:tc>
      </w:tr>
      <w:tr>
        <w:trPr>
          <w:trHeight w:val="153"/>
        </w:trPr>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440"/>
          </w:cols>
          <w:pgMar w:left="220" w:top="130" w:right="239" w:bottom="1440" w:gutter="0" w:footer="0" w:header="0"/>
        </w:sectPr>
      </w:pPr>
    </w:p>
    <w:bookmarkStart w:id="14" w:name="page15"/>
    <w:bookmarkEnd w:id="14"/>
    <w:p>
      <w:pPr>
        <w:ind w:left="5360"/>
        <w:spacing w:after="0"/>
        <w:rPr>
          <w:sz w:val="20"/>
          <w:szCs w:val="20"/>
          <w:color w:val="auto"/>
        </w:rPr>
      </w:pPr>
      <w:r>
        <w:rPr>
          <w:rFonts w:ascii="Arial" w:cs="Arial" w:eastAsia="Arial" w:hAnsi="Arial"/>
          <w:sz w:val="14"/>
          <w:szCs w:val="14"/>
          <w:b w:val="1"/>
          <w:bCs w:val="1"/>
          <w:color w:val="auto"/>
        </w:rPr>
        <w:t>Exhibit 32.1</w:t>
      </w:r>
    </w:p>
    <w:p>
      <w:pPr>
        <w:spacing w:after="0" w:line="154"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CERTIFICATION PURSUANT TO SECTION 906</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OF THE SARBANES-OXLEY ACT OF 2002</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(18 U.S.C. SECTION 1350)</w:t>
      </w:r>
    </w:p>
    <w:p>
      <w:pPr>
        <w:spacing w:after="0" w:line="139"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In connection with this Quarterly Report on Form 10-Q of Winnebago Industries, Inc. for the period ended February 27, 2010, I, Robert J. Olson, Chairman of the Board, Chief Executive Officer and President of Winnebago Industries, Inc., certify that pursuant to 18 U.S.C. §1350 as adopted pursuant to §906 of the Sarbanes-Oxley Act of 2002, that:</w:t>
      </w:r>
    </w:p>
    <w:p>
      <w:pPr>
        <w:spacing w:after="0" w:line="133" w:lineRule="exact"/>
        <w:rPr>
          <w:sz w:val="20"/>
          <w:szCs w:val="20"/>
          <w:color w:val="auto"/>
        </w:rPr>
      </w:pPr>
    </w:p>
    <w:p>
      <w:pPr>
        <w:ind w:left="1060" w:hanging="537"/>
        <w:spacing w:after="0" w:line="276" w:lineRule="auto"/>
        <w:tabs>
          <w:tab w:leader="none" w:pos="10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This Quarterly Report on Form 10-Q (“periodic report”) of Winnebago Industries, Inc. (the “issuer”), for the quarter ended February 27, 2010 as filed with the Securities and Exchange Commission on the date of this certificate, which this statement accompanies, fully complies with the requirements of Section 13(a) or 15(d) of the Securities Exchange Act of 1934, and</w:t>
      </w:r>
    </w:p>
    <w:p>
      <w:pPr>
        <w:spacing w:after="0" w:line="15" w:lineRule="exact"/>
        <w:rPr>
          <w:rFonts w:ascii="Arial" w:cs="Arial" w:eastAsia="Arial" w:hAnsi="Arial"/>
          <w:sz w:val="12"/>
          <w:szCs w:val="12"/>
          <w:color w:val="auto"/>
        </w:rPr>
      </w:pPr>
    </w:p>
    <w:p>
      <w:pPr>
        <w:ind w:left="1060" w:hanging="537"/>
        <w:spacing w:after="0"/>
        <w:tabs>
          <w:tab w:leader="none" w:pos="10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information contained in this periodic report fairly represents, in all material respects, the financial condition and results of operations of the issuer.</w:t>
      </w:r>
    </w:p>
    <w:p>
      <w:pPr>
        <w:spacing w:after="0" w:line="294"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1480" w:type="dxa"/>
            <w:vAlign w:val="bottom"/>
            <w:gridSpan w:val="2"/>
          </w:tcPr>
          <w:p>
            <w:pPr>
              <w:spacing w:after="0"/>
              <w:rPr>
                <w:sz w:val="20"/>
                <w:szCs w:val="20"/>
                <w:color w:val="auto"/>
              </w:rPr>
            </w:pPr>
            <w:r>
              <w:rPr>
                <w:rFonts w:ascii="Arial" w:cs="Arial" w:eastAsia="Arial" w:hAnsi="Arial"/>
                <w:sz w:val="12"/>
                <w:szCs w:val="12"/>
                <w:color w:val="auto"/>
              </w:rPr>
              <w:t>Date:   April 06, 2010</w:t>
            </w:r>
          </w:p>
        </w:tc>
        <w:tc>
          <w:tcPr>
            <w:tcW w:w="5680" w:type="dxa"/>
            <w:vAlign w:val="bottom"/>
            <w:gridSpan w:val="2"/>
          </w:tcPr>
          <w:p>
            <w:pPr>
              <w:ind w:left="3780"/>
              <w:spacing w:after="0"/>
              <w:rPr>
                <w:sz w:val="20"/>
                <w:szCs w:val="20"/>
                <w:color w:val="auto"/>
              </w:rPr>
            </w:pPr>
            <w:r>
              <w:rPr>
                <w:rFonts w:ascii="Arial" w:cs="Arial" w:eastAsia="Arial" w:hAnsi="Arial"/>
                <w:sz w:val="12"/>
                <w:szCs w:val="12"/>
                <w:color w:val="auto"/>
              </w:rPr>
              <w:t>By:  /s/ Robert J. Olson</w:t>
            </w:r>
          </w:p>
        </w:tc>
      </w:tr>
      <w:tr>
        <w:trPr>
          <w:trHeight w:val="124"/>
        </w:trPr>
        <w:tc>
          <w:tcPr>
            <w:tcW w:w="4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160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Robert J. Olson</w:t>
            </w:r>
          </w:p>
        </w:tc>
      </w:tr>
      <w:tr>
        <w:trPr>
          <w:trHeight w:val="153"/>
        </w:trPr>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400"/>
          </w:cols>
          <w:pgMar w:left="220" w:top="130" w:right="279" w:bottom="1440" w:gutter="0" w:footer="0" w:header="0"/>
        </w:sectPr>
      </w:pPr>
    </w:p>
    <w:bookmarkStart w:id="15" w:name="page16"/>
    <w:bookmarkEnd w:id="15"/>
    <w:p>
      <w:pPr>
        <w:ind w:left="5360"/>
        <w:spacing w:after="0"/>
        <w:rPr>
          <w:sz w:val="20"/>
          <w:szCs w:val="20"/>
          <w:color w:val="auto"/>
        </w:rPr>
      </w:pPr>
      <w:r>
        <w:rPr>
          <w:rFonts w:ascii="Arial" w:cs="Arial" w:eastAsia="Arial" w:hAnsi="Arial"/>
          <w:sz w:val="14"/>
          <w:szCs w:val="14"/>
          <w:b w:val="1"/>
          <w:bCs w:val="1"/>
          <w:color w:val="auto"/>
        </w:rPr>
        <w:t>Exhibit 32.2</w:t>
      </w:r>
    </w:p>
    <w:p>
      <w:pPr>
        <w:spacing w:after="0" w:line="154"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CERTIFICATION PURSUANT TO SECTION 906</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OF THE SARBANES-OXLEY ACT OF 2002</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(18 U.S.C. SECTION 1350)</w:t>
      </w:r>
    </w:p>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this Quarterly Report on Form 10-Q of Winnebago Industries, Inc. for the period ended February 27, 2010, I, Sarah N. Nielsen, Chief Financial Officer of Winnebago Industries, Inc., certify that pursuant to 18 U.S.C.</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§1350 as adopted pursuant to §906 of the Sarbanes-Oxley Act of 2002, that:</w:t>
      </w:r>
    </w:p>
    <w:p>
      <w:pPr>
        <w:spacing w:after="0" w:line="159" w:lineRule="exact"/>
        <w:rPr>
          <w:sz w:val="20"/>
          <w:szCs w:val="20"/>
          <w:color w:val="auto"/>
        </w:rPr>
      </w:pPr>
    </w:p>
    <w:p>
      <w:pPr>
        <w:ind w:left="1060" w:hanging="537"/>
        <w:spacing w:after="0" w:line="276" w:lineRule="auto"/>
        <w:tabs>
          <w:tab w:leader="none" w:pos="10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This Quarterly Report on Form 10-Q (“periodic report”) of Winnebago Industries, Inc. (the “issuer”), for the quarter ended February 27, 2010 as filed with the Securities and Exchange Commission on the date of this certificate, which this statement accompanies, fully complies with the requirements of Section 13(a) or 15(d) of the Securities Exchange Act of 1934, and</w:t>
      </w:r>
    </w:p>
    <w:p>
      <w:pPr>
        <w:spacing w:after="0" w:line="15" w:lineRule="exact"/>
        <w:rPr>
          <w:rFonts w:ascii="Arial" w:cs="Arial" w:eastAsia="Arial" w:hAnsi="Arial"/>
          <w:sz w:val="12"/>
          <w:szCs w:val="12"/>
          <w:color w:val="auto"/>
        </w:rPr>
      </w:pPr>
    </w:p>
    <w:p>
      <w:pPr>
        <w:ind w:left="1060" w:hanging="537"/>
        <w:spacing w:after="0"/>
        <w:tabs>
          <w:tab w:leader="none" w:pos="10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information contained in this periodic report fairly represents, in all material respects, the financial condition and results of operations of the issuer.</w:t>
      </w:r>
    </w:p>
    <w:p>
      <w:pPr>
        <w:spacing w:after="0" w:line="294"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420" w:type="dxa"/>
            <w:vAlign w:val="bottom"/>
          </w:tcPr>
          <w:p>
            <w:pPr>
              <w:spacing w:after="0"/>
              <w:rPr>
                <w:sz w:val="20"/>
                <w:szCs w:val="20"/>
                <w:color w:val="auto"/>
              </w:rPr>
            </w:pPr>
            <w:r>
              <w:rPr>
                <w:rFonts w:ascii="Arial" w:cs="Arial" w:eastAsia="Arial" w:hAnsi="Arial"/>
                <w:sz w:val="12"/>
                <w:szCs w:val="12"/>
                <w:color w:val="auto"/>
              </w:rPr>
              <w:t>Date:</w:t>
            </w:r>
          </w:p>
        </w:tc>
        <w:tc>
          <w:tcPr>
            <w:tcW w:w="1060" w:type="dxa"/>
            <w:vAlign w:val="bottom"/>
          </w:tcPr>
          <w:p>
            <w:pPr>
              <w:ind w:left="180"/>
              <w:spacing w:after="0"/>
              <w:rPr>
                <w:sz w:val="20"/>
                <w:szCs w:val="20"/>
                <w:color w:val="auto"/>
              </w:rPr>
            </w:pPr>
            <w:r>
              <w:rPr>
                <w:rFonts w:ascii="Arial" w:cs="Arial" w:eastAsia="Arial" w:hAnsi="Arial"/>
                <w:sz w:val="12"/>
                <w:szCs w:val="12"/>
                <w:color w:val="auto"/>
              </w:rPr>
              <w:t>April 06, 2010</w:t>
            </w:r>
          </w:p>
        </w:tc>
        <w:tc>
          <w:tcPr>
            <w:tcW w:w="5680" w:type="dxa"/>
            <w:vAlign w:val="bottom"/>
            <w:gridSpan w:val="2"/>
          </w:tcPr>
          <w:p>
            <w:pPr>
              <w:ind w:left="3780"/>
              <w:spacing w:after="0"/>
              <w:rPr>
                <w:sz w:val="20"/>
                <w:szCs w:val="20"/>
                <w:color w:val="auto"/>
              </w:rPr>
            </w:pPr>
            <w:r>
              <w:rPr>
                <w:rFonts w:ascii="Arial" w:cs="Arial" w:eastAsia="Arial" w:hAnsi="Arial"/>
                <w:sz w:val="12"/>
                <w:szCs w:val="12"/>
                <w:color w:val="auto"/>
              </w:rPr>
              <w:t>By:  /s/ Sarah N. Nielsen</w:t>
            </w:r>
          </w:p>
        </w:tc>
      </w:tr>
      <w:tr>
        <w:trPr>
          <w:trHeight w:val="124"/>
        </w:trPr>
        <w:tc>
          <w:tcPr>
            <w:tcW w:w="4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160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Sarah N. Nielsen</w:t>
            </w:r>
          </w:p>
        </w:tc>
      </w:tr>
      <w:tr>
        <w:trPr>
          <w:trHeight w:val="153"/>
        </w:trPr>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400"/>
          </w:cols>
          <w:pgMar w:left="220" w:top="130" w:right="279" w:bottom="1440" w:gutter="0" w:footer="0" w:header="0"/>
        </w:sectPr>
      </w:pPr>
    </w:p>
    <w:bookmarkStart w:id="16" w:name="page17"/>
    <w:bookmarkEnd w:id="1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2019-12-10T03:40:39Z</dcterms:created>
  <dcterms:modified xsi:type="dcterms:W3CDTF">2019-12-10T03:40:39Z</dcterms:modified>
</cp:coreProperties>
</file>