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12,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692150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152400</wp:posOffset>
            </wp:positionV>
            <wp:extent cx="3293110"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311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90" w:lineRule="exact"/>
        <w:rPr>
          <w:sz w:val="24"/>
          <w:szCs w:val="24"/>
          <w:color w:val="auto"/>
        </w:rPr>
      </w:pPr>
    </w:p>
    <w:tbl>
      <w:tblPr>
        <w:tblLayout w:type="fixed"/>
        <w:tblInd w:w="1100" w:type="dxa"/>
        <w:tblCellMar>
          <w:top w:w="0" w:type="dxa"/>
          <w:left w:w="0" w:type="dxa"/>
          <w:bottom w:w="0" w:type="dxa"/>
          <w:right w:w="0" w:type="dxa"/>
        </w:tblCellMar>
      </w:tblPr>
      <w:tr>
        <w:trPr>
          <w:trHeight w:val="228"/>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25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001-06403</w:t>
            </w:r>
          </w:p>
        </w:tc>
        <w:tc>
          <w:tcPr>
            <w:tcW w:w="32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40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56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left="19"/>
              <w:spacing w:after="0"/>
              <w:rPr>
                <w:sz w:val="20"/>
                <w:szCs w:val="20"/>
                <w:color w:val="auto"/>
              </w:rPr>
            </w:pPr>
            <w:r>
              <w:rPr>
                <w:rFonts w:ascii="Arial" w:cs="Arial" w:eastAsia="Arial" w:hAnsi="Arial"/>
                <w:sz w:val="16"/>
                <w:szCs w:val="16"/>
                <w:color w:val="auto"/>
                <w:w w:val="99"/>
              </w:rPr>
              <w:t>(IRS Employer</w:t>
            </w:r>
          </w:p>
        </w:tc>
      </w:tr>
      <w:tr>
        <w:trPr>
          <w:trHeight w:val="195"/>
        </w:trPr>
        <w:tc>
          <w:tcPr>
            <w:tcW w:w="340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60" w:type="dxa"/>
            <w:vAlign w:val="bottom"/>
          </w:tcPr>
          <w:p>
            <w:pPr>
              <w:spacing w:after="0"/>
              <w:rPr>
                <w:sz w:val="16"/>
                <w:szCs w:val="16"/>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499"/>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P.O. Box 152, Forest City, Iowa</w:t>
            </w:r>
          </w:p>
        </w:tc>
        <w:tc>
          <w:tcPr>
            <w:tcW w:w="25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b w:val="1"/>
                <w:bCs w:val="1"/>
                <w:color w:val="auto"/>
              </w:rPr>
              <w:t>50436</w:t>
            </w:r>
          </w:p>
        </w:tc>
      </w:tr>
      <w:tr>
        <w:trPr>
          <w:trHeight w:val="224"/>
        </w:trPr>
        <w:tc>
          <w:tcPr>
            <w:tcW w:w="340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60" w:type="dxa"/>
            <w:vAlign w:val="bottom"/>
          </w:tcPr>
          <w:p>
            <w:pPr>
              <w:spacing w:after="0"/>
              <w:rPr>
                <w:sz w:val="19"/>
                <w:szCs w:val="19"/>
                <w:color w:val="auto"/>
              </w:rPr>
            </w:pPr>
          </w:p>
        </w:tc>
        <w:tc>
          <w:tcPr>
            <w:tcW w:w="3260" w:type="dxa"/>
            <w:vAlign w:val="bottom"/>
          </w:tcPr>
          <w:p>
            <w:pPr>
              <w:jc w:val="center"/>
              <w:ind w:left="19"/>
              <w:spacing w:after="0"/>
              <w:rPr>
                <w:sz w:val="20"/>
                <w:szCs w:val="20"/>
                <w:color w:val="auto"/>
              </w:rPr>
            </w:pPr>
            <w:r>
              <w:rPr>
                <w:rFonts w:ascii="Arial" w:cs="Arial" w:eastAsia="Arial" w:hAnsi="Arial"/>
                <w:sz w:val="16"/>
                <w:szCs w:val="16"/>
                <w:color w:val="auto"/>
              </w:rPr>
              <w:t>(Zip Code)</w:t>
            </w:r>
          </w:p>
        </w:tc>
      </w:tr>
      <w:tr>
        <w:trPr>
          <w:trHeight w:val="473"/>
        </w:trPr>
        <w:tc>
          <w:tcPr>
            <w:tcW w:w="5960" w:type="dxa"/>
            <w:vAlign w:val="bottom"/>
            <w:gridSpan w:val="2"/>
          </w:tcPr>
          <w:p>
            <w:pPr>
              <w:ind w:left="220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9"/>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w:t>
      </w:r>
      <w:r>
        <w:rPr>
          <w:rFonts w:ascii="Arial" w:cs="Arial" w:eastAsia="Arial" w:hAnsi="Arial"/>
          <w:sz w:val="18"/>
          <w:szCs w:val="18"/>
          <w:color w:val="auto"/>
        </w:rPr>
        <w:t>§</w:t>
      </w:r>
      <w:r>
        <w:rPr>
          <w:rFonts w:ascii="Arial" w:cs="Arial" w:eastAsia="Arial" w:hAnsi="Arial"/>
          <w:sz w:val="16"/>
          <w:szCs w:val="16"/>
          <w:color w:val="auto"/>
        </w:rPr>
        <w:t>230.405 of this chapter)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or Rule 12b-2 of the Exchange Act of 1934 (</w:t>
      </w:r>
      <w:r>
        <w:rPr>
          <w:rFonts w:ascii="Arial" w:cs="Arial" w:eastAsia="Arial" w:hAnsi="Arial"/>
          <w:sz w:val="18"/>
          <w:szCs w:val="18"/>
          <w:color w:val="auto"/>
        </w:rPr>
        <w:t>§</w:t>
      </w:r>
      <w:r>
        <w:rPr>
          <w:rFonts w:ascii="Arial" w:cs="Arial" w:eastAsia="Arial" w:hAnsi="Arial"/>
          <w:sz w:val="16"/>
          <w:szCs w:val="16"/>
          <w:color w:val="auto"/>
        </w:rPr>
        <w:t>240.12b-2 of this chapter).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10" w:lineRule="exact"/>
        <w:rPr>
          <w:sz w:val="24"/>
          <w:szCs w:val="24"/>
          <w:color w:val="auto"/>
        </w:rPr>
      </w:pPr>
    </w:p>
    <w:p>
      <w:pPr>
        <w:ind w:right="300"/>
        <w:spacing w:after="0" w:line="29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5.07 Submission of Matters to a Vote of Security Holders.</w:t>
      </w:r>
    </w:p>
    <w:p>
      <w:pPr>
        <w:spacing w:after="0" w:line="27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("the Company") held its annual meeting of shareholders (the “Annual Meeting”) on December 12, 2017. At the Annual Meeting, the Company's shareholders were asked to vote on five proposals: (1) the election of two Class II directors and two Class III directors, (2) the advisory approval of executive compensation, (3) the approval of the Employee Stock Purchase Plan, (4) the ratification of the appointment of Deloitte &amp; Touche LLP as the Company's independent registered public accountant for the fiscal year ending August 25, 2018, and (5) the advisory approval of the frequency of the advisory vote of executive compensation. The results of the shareholder vote are set forth below.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Election of Directors.</w:t>
      </w:r>
    </w:p>
    <w:p>
      <w:pPr>
        <w:spacing w:after="0" w:line="3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Company shareholders elected the following nominees: Richard D. Moss and John M. Murabito as Class II directors to hold office until the annual meeting of shareholders to be held following the Company's 2019 fiscal year or until their respective successors are duly elected and qualified; and William C. Fisher and Michael J. Happe, as Class III directors to hold office until the annual meeting of shareholders to be held following the Company's 2020 fiscal year or until their respective successors are duly elected and qualified. Information as to the vote on each director standing for election is provided below:</w:t>
      </w:r>
    </w:p>
    <w:p>
      <w:pPr>
        <w:spacing w:after="0" w:line="156" w:lineRule="exact"/>
        <w:rPr>
          <w:sz w:val="20"/>
          <w:szCs w:val="20"/>
          <w:color w:val="auto"/>
        </w:rPr>
      </w:pPr>
    </w:p>
    <w:tbl>
      <w:tblPr>
        <w:tblLayout w:type="fixed"/>
        <w:tblInd w:w="1500" w:type="dxa"/>
        <w:tblCellMar>
          <w:top w:w="0" w:type="dxa"/>
          <w:left w:w="0" w:type="dxa"/>
          <w:bottom w:w="0" w:type="dxa"/>
          <w:right w:w="0" w:type="dxa"/>
        </w:tblCellMar>
      </w:tblPr>
      <w:tr>
        <w:trPr>
          <w:trHeight w:val="228"/>
        </w:trPr>
        <w:tc>
          <w:tcPr>
            <w:tcW w:w="196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Name</w:t>
            </w:r>
          </w:p>
        </w:tc>
        <w:tc>
          <w:tcPr>
            <w:tcW w:w="34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For</w:t>
            </w:r>
          </w:p>
        </w:tc>
        <w:tc>
          <w:tcPr>
            <w:tcW w:w="360" w:type="dxa"/>
            <w:vAlign w:val="bottom"/>
          </w:tcPr>
          <w:p>
            <w:pPr>
              <w:spacing w:after="0"/>
              <w:rPr>
                <w:sz w:val="19"/>
                <w:szCs w:val="19"/>
                <w:color w:val="auto"/>
              </w:rPr>
            </w:pPr>
          </w:p>
        </w:tc>
        <w:tc>
          <w:tcPr>
            <w:tcW w:w="18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Votes Withheld</w:t>
            </w:r>
          </w:p>
        </w:tc>
        <w:tc>
          <w:tcPr>
            <w:tcW w:w="36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7"/>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Richard D. Moss</w:t>
            </w:r>
          </w:p>
        </w:tc>
        <w:tc>
          <w:tcPr>
            <w:tcW w:w="1800" w:type="dxa"/>
            <w:vAlign w:val="bottom"/>
          </w:tcPr>
          <w:p>
            <w:pPr>
              <w:jc w:val="center"/>
              <w:spacing w:after="0"/>
              <w:rPr>
                <w:sz w:val="20"/>
                <w:szCs w:val="20"/>
                <w:color w:val="auto"/>
              </w:rPr>
            </w:pPr>
            <w:r>
              <w:rPr>
                <w:rFonts w:ascii="Arial" w:cs="Arial" w:eastAsia="Arial" w:hAnsi="Arial"/>
                <w:sz w:val="16"/>
                <w:szCs w:val="16"/>
                <w:color w:val="auto"/>
              </w:rPr>
              <w:t>23,212,023</w:t>
            </w:r>
          </w:p>
        </w:tc>
        <w:tc>
          <w:tcPr>
            <w:tcW w:w="3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96,577</w:t>
            </w:r>
          </w:p>
        </w:tc>
        <w:tc>
          <w:tcPr>
            <w:tcW w:w="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3,712,297</w:t>
            </w:r>
          </w:p>
        </w:tc>
      </w:tr>
      <w:tr>
        <w:trPr>
          <w:trHeight w:val="27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John M. Murabito</w:t>
            </w:r>
          </w:p>
        </w:tc>
        <w:tc>
          <w:tcPr>
            <w:tcW w:w="1800" w:type="dxa"/>
            <w:vAlign w:val="bottom"/>
          </w:tcPr>
          <w:p>
            <w:pPr>
              <w:jc w:val="center"/>
              <w:spacing w:after="0"/>
              <w:rPr>
                <w:sz w:val="20"/>
                <w:szCs w:val="20"/>
                <w:color w:val="auto"/>
              </w:rPr>
            </w:pPr>
            <w:r>
              <w:rPr>
                <w:rFonts w:ascii="Arial" w:cs="Arial" w:eastAsia="Arial" w:hAnsi="Arial"/>
                <w:sz w:val="16"/>
                <w:szCs w:val="16"/>
                <w:color w:val="auto"/>
              </w:rPr>
              <w:t>23,201,150</w:t>
            </w:r>
          </w:p>
        </w:tc>
        <w:tc>
          <w:tcPr>
            <w:tcW w:w="36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107,450</w:t>
            </w:r>
          </w:p>
        </w:tc>
        <w:tc>
          <w:tcPr>
            <w:tcW w:w="36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3,712,297</w:t>
            </w:r>
          </w:p>
        </w:tc>
      </w:tr>
      <w:tr>
        <w:trPr>
          <w:trHeight w:val="27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William C. Fisher</w:t>
            </w:r>
          </w:p>
        </w:tc>
        <w:tc>
          <w:tcPr>
            <w:tcW w:w="1800" w:type="dxa"/>
            <w:vAlign w:val="bottom"/>
          </w:tcPr>
          <w:p>
            <w:pPr>
              <w:jc w:val="center"/>
              <w:spacing w:after="0"/>
              <w:rPr>
                <w:sz w:val="20"/>
                <w:szCs w:val="20"/>
                <w:color w:val="auto"/>
              </w:rPr>
            </w:pPr>
            <w:r>
              <w:rPr>
                <w:rFonts w:ascii="Arial" w:cs="Arial" w:eastAsia="Arial" w:hAnsi="Arial"/>
                <w:sz w:val="16"/>
                <w:szCs w:val="16"/>
                <w:color w:val="auto"/>
              </w:rPr>
              <w:t>23,214,020</w:t>
            </w:r>
          </w:p>
        </w:tc>
        <w:tc>
          <w:tcPr>
            <w:tcW w:w="36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94,580</w:t>
            </w:r>
          </w:p>
        </w:tc>
        <w:tc>
          <w:tcPr>
            <w:tcW w:w="36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3,712,297</w:t>
            </w:r>
          </w:p>
        </w:tc>
      </w:tr>
      <w:tr>
        <w:trPr>
          <w:trHeight w:val="27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Michael J. Happe</w:t>
            </w:r>
          </w:p>
        </w:tc>
        <w:tc>
          <w:tcPr>
            <w:tcW w:w="1800" w:type="dxa"/>
            <w:vAlign w:val="bottom"/>
          </w:tcPr>
          <w:p>
            <w:pPr>
              <w:jc w:val="center"/>
              <w:spacing w:after="0"/>
              <w:rPr>
                <w:sz w:val="20"/>
                <w:szCs w:val="20"/>
                <w:color w:val="auto"/>
              </w:rPr>
            </w:pPr>
            <w:r>
              <w:rPr>
                <w:rFonts w:ascii="Arial" w:cs="Arial" w:eastAsia="Arial" w:hAnsi="Arial"/>
                <w:sz w:val="16"/>
                <w:szCs w:val="16"/>
                <w:color w:val="auto"/>
              </w:rPr>
              <w:t>23,209,078</w:t>
            </w:r>
          </w:p>
        </w:tc>
        <w:tc>
          <w:tcPr>
            <w:tcW w:w="36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99,522</w:t>
            </w:r>
          </w:p>
        </w:tc>
        <w:tc>
          <w:tcPr>
            <w:tcW w:w="36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3,712,297</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Advisory Approval Vote on Executive Compensation (the “Say on Pay” Vote).</w:t>
      </w:r>
    </w:p>
    <w:p>
      <w:pPr>
        <w:spacing w:after="0" w:line="34"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Company shareholders approved, on an advisory basis, the compensation of certain executives as disclosed in the Compensation Discussion and Analysis, the compensation tables and other narrative executive compensation disclosures in the definitive proxy statement relating to the Annual Meeting, as set forth below:</w:t>
      </w:r>
    </w:p>
    <w:p>
      <w:pPr>
        <w:spacing w:after="0" w:line="127" w:lineRule="exact"/>
        <w:rPr>
          <w:sz w:val="20"/>
          <w:szCs w:val="20"/>
          <w:color w:val="auto"/>
        </w:rPr>
      </w:pPr>
    </w:p>
    <w:tbl>
      <w:tblPr>
        <w:tblLayout w:type="fixed"/>
        <w:tblInd w:w="1500" w:type="dxa"/>
        <w:tblCellMar>
          <w:top w:w="0" w:type="dxa"/>
          <w:left w:w="0" w:type="dxa"/>
          <w:bottom w:w="0" w:type="dxa"/>
          <w:right w:w="0" w:type="dxa"/>
        </w:tblCellMar>
      </w:tblPr>
      <w:tr>
        <w:trPr>
          <w:trHeight w:val="228"/>
        </w:trPr>
        <w:tc>
          <w:tcPr>
            <w:tcW w:w="2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Votes For</w:t>
            </w:r>
          </w:p>
        </w:tc>
        <w:tc>
          <w:tcPr>
            <w:tcW w:w="2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Abstentions</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7"/>
        </w:trPr>
        <w:tc>
          <w:tcPr>
            <w:tcW w:w="196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22,963,652</w:t>
            </w:r>
          </w:p>
        </w:tc>
        <w:tc>
          <w:tcPr>
            <w:tcW w:w="340" w:type="dxa"/>
            <w:vAlign w:val="bottom"/>
          </w:tcPr>
          <w:p>
            <w:pPr>
              <w:spacing w:after="0"/>
              <w:rPr>
                <w:sz w:val="20"/>
                <w:szCs w:val="20"/>
                <w:color w:val="auto"/>
              </w:rPr>
            </w:pPr>
          </w:p>
        </w:tc>
        <w:tc>
          <w:tcPr>
            <w:tcW w:w="18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203,611</w:t>
            </w:r>
          </w:p>
        </w:tc>
        <w:tc>
          <w:tcPr>
            <w:tcW w:w="360" w:type="dxa"/>
            <w:vAlign w:val="bottom"/>
          </w:tcPr>
          <w:p>
            <w:pPr>
              <w:spacing w:after="0"/>
              <w:rPr>
                <w:sz w:val="20"/>
                <w:szCs w:val="20"/>
                <w:color w:val="auto"/>
              </w:rPr>
            </w:pPr>
          </w:p>
        </w:tc>
        <w:tc>
          <w:tcPr>
            <w:tcW w:w="18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141,337</w:t>
            </w:r>
          </w:p>
        </w:tc>
        <w:tc>
          <w:tcPr>
            <w:tcW w:w="360" w:type="dxa"/>
            <w:vAlign w:val="bottom"/>
          </w:tcPr>
          <w:p>
            <w:pPr>
              <w:spacing w:after="0"/>
              <w:rPr>
                <w:sz w:val="20"/>
                <w:szCs w:val="20"/>
                <w:color w:val="auto"/>
              </w:rPr>
            </w:pPr>
          </w:p>
        </w:tc>
        <w:tc>
          <w:tcPr>
            <w:tcW w:w="18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3,712,297</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Approval Vote on the Employee Stock Purchase Plan.</w:t>
      </w:r>
    </w:p>
    <w:p>
      <w:pPr>
        <w:spacing w:after="0" w:line="3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Company shareholders approved the Employee Stock Purchase Plan as disclosed in the Appendix B in the definitive proxy statement relating to the Annual Meeting, as set forth below:</w:t>
      </w:r>
    </w:p>
    <w:p>
      <w:pPr>
        <w:spacing w:after="0" w:line="122" w:lineRule="exact"/>
        <w:rPr>
          <w:sz w:val="20"/>
          <w:szCs w:val="20"/>
          <w:color w:val="auto"/>
        </w:rPr>
      </w:pPr>
    </w:p>
    <w:tbl>
      <w:tblPr>
        <w:tblLayout w:type="fixed"/>
        <w:tblInd w:w="1500" w:type="dxa"/>
        <w:tblCellMar>
          <w:top w:w="0" w:type="dxa"/>
          <w:left w:w="0" w:type="dxa"/>
          <w:bottom w:w="0" w:type="dxa"/>
          <w:right w:w="0" w:type="dxa"/>
        </w:tblCellMar>
      </w:tblPr>
      <w:tr>
        <w:trPr>
          <w:trHeight w:val="228"/>
        </w:trPr>
        <w:tc>
          <w:tcPr>
            <w:tcW w:w="2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Votes For</w:t>
            </w:r>
          </w:p>
        </w:tc>
        <w:tc>
          <w:tcPr>
            <w:tcW w:w="2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Abstentions</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7"/>
        </w:trPr>
        <w:tc>
          <w:tcPr>
            <w:tcW w:w="196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23,116,524</w:t>
            </w:r>
          </w:p>
        </w:tc>
        <w:tc>
          <w:tcPr>
            <w:tcW w:w="340" w:type="dxa"/>
            <w:vAlign w:val="bottom"/>
          </w:tcPr>
          <w:p>
            <w:pPr>
              <w:spacing w:after="0"/>
              <w:rPr>
                <w:sz w:val="20"/>
                <w:szCs w:val="20"/>
                <w:color w:val="auto"/>
              </w:rPr>
            </w:pPr>
          </w:p>
        </w:tc>
        <w:tc>
          <w:tcPr>
            <w:tcW w:w="180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58,908</w:t>
            </w:r>
          </w:p>
        </w:tc>
        <w:tc>
          <w:tcPr>
            <w:tcW w:w="360" w:type="dxa"/>
            <w:vAlign w:val="bottom"/>
          </w:tcPr>
          <w:p>
            <w:pPr>
              <w:spacing w:after="0"/>
              <w:rPr>
                <w:sz w:val="20"/>
                <w:szCs w:val="20"/>
                <w:color w:val="auto"/>
              </w:rPr>
            </w:pPr>
          </w:p>
        </w:tc>
        <w:tc>
          <w:tcPr>
            <w:tcW w:w="18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133,168</w:t>
            </w:r>
          </w:p>
        </w:tc>
        <w:tc>
          <w:tcPr>
            <w:tcW w:w="360" w:type="dxa"/>
            <w:vAlign w:val="bottom"/>
          </w:tcPr>
          <w:p>
            <w:pPr>
              <w:spacing w:after="0"/>
              <w:rPr>
                <w:sz w:val="20"/>
                <w:szCs w:val="20"/>
                <w:color w:val="auto"/>
              </w:rPr>
            </w:pPr>
          </w:p>
        </w:tc>
        <w:tc>
          <w:tcPr>
            <w:tcW w:w="18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3,712,297</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Ratification of the Appointment of Independent Registered Public Accountants for the Fiscal Year Ending August 25, 2018.</w:t>
      </w:r>
    </w:p>
    <w:p>
      <w:pPr>
        <w:spacing w:after="0" w:line="34"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Company shareholders ratified the appointment of Deloitte &amp; Touche LLP as the Company's independent registered public accountants for the fiscal year ending August 25, 2018, as set forth below:</w:t>
      </w:r>
    </w:p>
    <w:p>
      <w:pPr>
        <w:spacing w:after="0" w:line="122" w:lineRule="exact"/>
        <w:rPr>
          <w:sz w:val="20"/>
          <w:szCs w:val="20"/>
          <w:color w:val="auto"/>
        </w:rPr>
      </w:pPr>
    </w:p>
    <w:tbl>
      <w:tblPr>
        <w:tblLayout w:type="fixed"/>
        <w:tblInd w:w="2580" w:type="dxa"/>
        <w:tblCellMar>
          <w:top w:w="0" w:type="dxa"/>
          <w:left w:w="0" w:type="dxa"/>
          <w:bottom w:w="0" w:type="dxa"/>
          <w:right w:w="0" w:type="dxa"/>
        </w:tblCellMar>
      </w:tblPr>
      <w:tr>
        <w:trPr>
          <w:trHeight w:val="228"/>
        </w:trPr>
        <w:tc>
          <w:tcPr>
            <w:tcW w:w="2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Votes For</w:t>
            </w:r>
          </w:p>
        </w:tc>
        <w:tc>
          <w:tcPr>
            <w:tcW w:w="2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Abstentions</w:t>
            </w:r>
          </w:p>
        </w:tc>
      </w:tr>
      <w:tr>
        <w:trPr>
          <w:trHeight w:val="237"/>
        </w:trPr>
        <w:tc>
          <w:tcPr>
            <w:tcW w:w="196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26,512,742</w:t>
            </w:r>
          </w:p>
        </w:tc>
        <w:tc>
          <w:tcPr>
            <w:tcW w:w="340" w:type="dxa"/>
            <w:vAlign w:val="bottom"/>
          </w:tcPr>
          <w:p>
            <w:pPr>
              <w:spacing w:after="0"/>
              <w:rPr>
                <w:sz w:val="20"/>
                <w:szCs w:val="20"/>
                <w:color w:val="auto"/>
              </w:rPr>
            </w:pPr>
          </w:p>
        </w:tc>
        <w:tc>
          <w:tcPr>
            <w:tcW w:w="18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372,842</w:t>
            </w:r>
          </w:p>
        </w:tc>
        <w:tc>
          <w:tcPr>
            <w:tcW w:w="360" w:type="dxa"/>
            <w:vAlign w:val="bottom"/>
          </w:tcPr>
          <w:p>
            <w:pPr>
              <w:spacing w:after="0"/>
              <w:rPr>
                <w:sz w:val="20"/>
                <w:szCs w:val="20"/>
                <w:color w:val="auto"/>
              </w:rPr>
            </w:pPr>
          </w:p>
        </w:tc>
        <w:tc>
          <w:tcPr>
            <w:tcW w:w="182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color w:val="auto"/>
              </w:rPr>
              <w:t>135,313</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Advisory Vote on the Frequency of the Advisory Vote on Executive Compensation (the “Say on Pay”) Vote.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Company shareholders approved, on an advisory basis, the frequency of the advisory vote on executive compensation as set forth below:</w:t>
      </w:r>
    </w:p>
    <w:p>
      <w:pPr>
        <w:spacing w:after="0" w:line="147" w:lineRule="exact"/>
        <w:rPr>
          <w:sz w:val="20"/>
          <w:szCs w:val="20"/>
          <w:color w:val="auto"/>
        </w:rPr>
      </w:pPr>
    </w:p>
    <w:tbl>
      <w:tblPr>
        <w:tblLayout w:type="fixed"/>
        <w:tblInd w:w="1120" w:type="dxa"/>
        <w:tblCellMar>
          <w:top w:w="0" w:type="dxa"/>
          <w:left w:w="0" w:type="dxa"/>
          <w:bottom w:w="0" w:type="dxa"/>
          <w:right w:w="0" w:type="dxa"/>
        </w:tblCellMar>
      </w:tblPr>
      <w:tr>
        <w:trPr>
          <w:trHeight w:val="228"/>
        </w:trPr>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1 Year</w:t>
            </w:r>
          </w:p>
        </w:tc>
        <w:tc>
          <w:tcPr>
            <w:tcW w:w="19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2 Years</w:t>
            </w: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3 Years</w:t>
            </w:r>
          </w:p>
        </w:tc>
        <w:tc>
          <w:tcPr>
            <w:tcW w:w="1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Abstentions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7"/>
        </w:trPr>
        <w:tc>
          <w:tcPr>
            <w:tcW w:w="16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18,531,181</w:t>
            </w:r>
          </w:p>
        </w:tc>
        <w:tc>
          <w:tcPr>
            <w:tcW w:w="280" w:type="dxa"/>
            <w:vAlign w:val="bottom"/>
          </w:tcPr>
          <w:p>
            <w:pPr>
              <w:spacing w:after="0"/>
              <w:rPr>
                <w:sz w:val="20"/>
                <w:szCs w:val="20"/>
                <w:color w:val="auto"/>
              </w:rPr>
            </w:pPr>
          </w:p>
        </w:tc>
        <w:tc>
          <w:tcPr>
            <w:tcW w:w="16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98,697</w:t>
            </w:r>
          </w:p>
        </w:tc>
        <w:tc>
          <w:tcPr>
            <w:tcW w:w="280" w:type="dxa"/>
            <w:vAlign w:val="bottom"/>
          </w:tcPr>
          <w:p>
            <w:pPr>
              <w:spacing w:after="0"/>
              <w:rPr>
                <w:sz w:val="20"/>
                <w:szCs w:val="20"/>
                <w:color w:val="auto"/>
              </w:rPr>
            </w:pPr>
          </w:p>
        </w:tc>
        <w:tc>
          <w:tcPr>
            <w:tcW w:w="162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4,427,156</w:t>
            </w:r>
          </w:p>
        </w:tc>
        <w:tc>
          <w:tcPr>
            <w:tcW w:w="260" w:type="dxa"/>
            <w:vAlign w:val="bottom"/>
          </w:tcPr>
          <w:p>
            <w:pPr>
              <w:spacing w:after="0"/>
              <w:rPr>
                <w:sz w:val="20"/>
                <w:szCs w:val="20"/>
                <w:color w:val="auto"/>
              </w:rPr>
            </w:pPr>
          </w:p>
        </w:tc>
        <w:tc>
          <w:tcPr>
            <w:tcW w:w="1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251,566</w:t>
            </w:r>
          </w:p>
        </w:tc>
        <w:tc>
          <w:tcPr>
            <w:tcW w:w="280" w:type="dxa"/>
            <w:vAlign w:val="bottom"/>
          </w:tcPr>
          <w:p>
            <w:pPr>
              <w:spacing w:after="0"/>
              <w:rPr>
                <w:sz w:val="20"/>
                <w:szCs w:val="20"/>
                <w:color w:val="auto"/>
              </w:rPr>
            </w:pPr>
          </w:p>
        </w:tc>
        <w:tc>
          <w:tcPr>
            <w:tcW w:w="162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3,712,297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380"/>
          </w:cols>
          <w:pgMar w:left="240" w:top="571" w:right="27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Item 7.01 Regulation FD Disclosure, Item 8.01 Other Events.</w:t>
      </w:r>
    </w:p>
    <w:p>
      <w:pPr>
        <w:spacing w:after="0" w:line="24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Company is filing herewith a press release issued on December 13, 2017, as Exhibit 99.1 which is included herein. The press release was issued to report that on December 13, 2017, the Board of Winnebago Industries, Inc. approved a quarterly cash dividend of $0.10 per share of common stock, payable on January 24, 2018 to shareholders of record at the close of business on January 10, 2018.</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36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19050</wp:posOffset>
            </wp:positionV>
            <wp:extent cx="48279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27905"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360" w:val="left"/>
        </w:tabs>
        <w:rPr>
          <w:rFonts w:ascii="Arial" w:cs="Arial" w:eastAsia="Arial" w:hAnsi="Arial"/>
          <w:sz w:val="16"/>
          <w:szCs w:val="16"/>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color w:val="0000FF"/>
        </w:rPr>
        <w:tab/>
        <w:t>News Release of Winnebago Industries, Inc. dated December 13,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3"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7860" w:type="dxa"/>
            <w:vAlign w:val="bottom"/>
            <w:gridSpan w:val="3"/>
          </w:tcPr>
          <w:p>
            <w:pPr>
              <w:ind w:left="14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268"/>
        </w:trPr>
        <w:tc>
          <w:tcPr>
            <w:tcW w:w="5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7860" w:type="dxa"/>
            <w:vAlign w:val="bottom"/>
            <w:gridSpan w:val="3"/>
          </w:tcPr>
          <w:p>
            <w:pPr>
              <w:ind w:left="1400"/>
              <w:spacing w:after="0"/>
              <w:rPr>
                <w:sz w:val="20"/>
                <w:szCs w:val="20"/>
                <w:color w:val="auto"/>
              </w:rPr>
            </w:pPr>
            <w:r>
              <w:rPr>
                <w:rFonts w:ascii="Arial" w:cs="Arial" w:eastAsia="Arial" w:hAnsi="Arial"/>
                <w:sz w:val="16"/>
                <w:szCs w:val="16"/>
                <w:color w:val="auto"/>
              </w:rPr>
              <w:t>(Registrant)</w:t>
            </w:r>
          </w:p>
        </w:tc>
      </w:tr>
      <w:tr>
        <w:trPr>
          <w:trHeight w:val="580"/>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60" w:type="dxa"/>
            <w:vAlign w:val="bottom"/>
          </w:tcPr>
          <w:p>
            <w:pPr>
              <w:ind w:left="140"/>
              <w:spacing w:after="0"/>
              <w:rPr>
                <w:sz w:val="20"/>
                <w:szCs w:val="20"/>
                <w:color w:val="auto"/>
              </w:rPr>
            </w:pPr>
            <w:r>
              <w:rPr>
                <w:rFonts w:ascii="Arial" w:cs="Arial" w:eastAsia="Arial" w:hAnsi="Arial"/>
                <w:sz w:val="16"/>
                <w:szCs w:val="16"/>
                <w:color w:val="auto"/>
              </w:rPr>
              <w:t>December 13, 2017</w:t>
            </w:r>
          </w:p>
        </w:tc>
        <w:tc>
          <w:tcPr>
            <w:tcW w:w="2000" w:type="dxa"/>
            <w:vAlign w:val="bottom"/>
          </w:tcPr>
          <w:p>
            <w:pPr>
              <w:ind w:left="1400"/>
              <w:spacing w:after="0"/>
              <w:rPr>
                <w:sz w:val="20"/>
                <w:szCs w:val="20"/>
                <w:color w:val="auto"/>
              </w:rPr>
            </w:pPr>
            <w:r>
              <w:rPr>
                <w:rFonts w:ascii="Arial" w:cs="Arial" w:eastAsia="Arial" w:hAnsi="Arial"/>
                <w:sz w:val="16"/>
                <w:szCs w:val="16"/>
                <w:color w:val="auto"/>
              </w:rPr>
              <w:t>By:</w:t>
            </w:r>
          </w:p>
        </w:tc>
        <w:tc>
          <w:tcPr>
            <w:tcW w:w="160" w:type="dxa"/>
            <w:vAlign w:val="bottom"/>
          </w:tcPr>
          <w:p>
            <w:pPr>
              <w:spacing w:after="0"/>
              <w:rPr>
                <w:sz w:val="24"/>
                <w:szCs w:val="24"/>
                <w:color w:val="auto"/>
              </w:rPr>
            </w:pPr>
          </w:p>
        </w:tc>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5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0" w:type="dxa"/>
            <w:vAlign w:val="bottom"/>
          </w:tcPr>
          <w:p>
            <w:pPr>
              <w:ind w:left="1400"/>
              <w:spacing w:after="0"/>
              <w:rPr>
                <w:sz w:val="20"/>
                <w:szCs w:val="20"/>
                <w:color w:val="auto"/>
              </w:rPr>
            </w:pPr>
            <w:r>
              <w:rPr>
                <w:rFonts w:ascii="Arial" w:cs="Arial" w:eastAsia="Arial" w:hAnsi="Arial"/>
                <w:sz w:val="16"/>
                <w:szCs w:val="16"/>
                <w:color w:val="auto"/>
              </w:rPr>
              <w:t>Name:</w:t>
            </w:r>
          </w:p>
        </w:tc>
        <w:tc>
          <w:tcPr>
            <w:tcW w:w="160" w:type="dxa"/>
            <w:vAlign w:val="bottom"/>
          </w:tcPr>
          <w:p>
            <w:pPr>
              <w:spacing w:after="0"/>
              <w:rPr>
                <w:sz w:val="20"/>
                <w:szCs w:val="20"/>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5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000" w:type="dxa"/>
            <w:vAlign w:val="bottom"/>
          </w:tcPr>
          <w:p>
            <w:pPr>
              <w:ind w:left="1400"/>
              <w:spacing w:after="0"/>
              <w:rPr>
                <w:sz w:val="20"/>
                <w:szCs w:val="20"/>
                <w:color w:val="auto"/>
              </w:rPr>
            </w:pPr>
            <w:r>
              <w:rPr>
                <w:rFonts w:ascii="Arial" w:cs="Arial" w:eastAsia="Arial" w:hAnsi="Arial"/>
                <w:sz w:val="16"/>
                <w:szCs w:val="16"/>
                <w:color w:val="auto"/>
              </w:rPr>
              <w:t>Title:</w:t>
            </w:r>
          </w:p>
        </w:tc>
        <w:tc>
          <w:tcPr>
            <w:tcW w:w="160" w:type="dxa"/>
            <w:vAlign w:val="bottom"/>
          </w:tcPr>
          <w:p>
            <w:pPr>
              <w:spacing w:after="0"/>
              <w:rPr>
                <w:sz w:val="23"/>
                <w:szCs w:val="23"/>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r>
        <w:trPr>
          <w:trHeight w:val="675"/>
        </w:trPr>
        <w:tc>
          <w:tcPr>
            <w:tcW w:w="5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60" w:type="dxa"/>
            <w:vAlign w:val="bottom"/>
            <w:gridSpan w:val="2"/>
          </w:tcPr>
          <w:p>
            <w:pPr>
              <w:jc w:val="right"/>
              <w:ind w:right="5559"/>
              <w:spacing w:after="0"/>
              <w:rPr>
                <w:sz w:val="20"/>
                <w:szCs w:val="20"/>
                <w:color w:val="auto"/>
              </w:rPr>
            </w:pPr>
            <w:r>
              <w:rPr>
                <w:rFonts w:ascii="Arial" w:cs="Arial" w:eastAsia="Arial" w:hAnsi="Arial"/>
                <w:sz w:val="16"/>
                <w:szCs w:val="16"/>
                <w:color w:val="auto"/>
              </w:rPr>
              <w:t>2</w:t>
            </w:r>
          </w:p>
        </w:tc>
      </w:tr>
    </w:tbl>
    <w:p>
      <w:pPr>
        <w:sectPr>
          <w:pgSz w:w="11900" w:h="16838" w:orient="portrait"/>
          <w:cols w:equalWidth="0" w:num="1">
            <w:col w:w="11400"/>
          </w:cols>
          <w:pgMar w:left="240" w:top="571" w:right="259" w:bottom="1440" w:gutter="0" w:footer="0" w:header="0"/>
        </w:sectPr>
      </w:pPr>
    </w:p>
    <w:bookmarkStart w:id="3" w:name="page4"/>
    <w:bookmarkEnd w:id="3"/>
    <w:p>
      <w:pPr>
        <w:ind w:left="5200"/>
        <w:spacing w:after="0"/>
        <w:rPr>
          <w:sz w:val="20"/>
          <w:szCs w:val="20"/>
          <w:color w:val="auto"/>
        </w:rPr>
      </w:pPr>
      <w:r>
        <w:rPr>
          <w:rFonts w:ascii="Arial" w:cs="Arial" w:eastAsia="Arial" w:hAnsi="Arial"/>
          <w:sz w:val="58"/>
          <w:szCs w:val="5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-294640</wp:posOffset>
            </wp:positionV>
            <wp:extent cx="172402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24003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Steve Stuber - Investor Relations - 952-828-8461 - </w:t>
      </w:r>
      <w:r>
        <w:rPr>
          <w:rFonts w:ascii="Arial" w:cs="Arial" w:eastAsia="Arial" w:hAnsi="Arial"/>
          <w:sz w:val="16"/>
          <w:szCs w:val="16"/>
          <w:u w:val="single" w:color="auto"/>
          <w:color w:val="0563C1"/>
        </w:rPr>
        <w:t>srstuber@wgo.net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Contact: Sam Jefson - Public Relations Specialist - 641-585-6803 - </w:t>
      </w:r>
      <w:r>
        <w:rPr>
          <w:rFonts w:ascii="Arial" w:cs="Arial" w:eastAsia="Arial" w:hAnsi="Arial"/>
          <w:sz w:val="16"/>
          <w:szCs w:val="16"/>
          <w:u w:val="single" w:color="auto"/>
          <w:color w:val="0563C1"/>
        </w:rPr>
        <w:t>sjefson@wgo.net</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WINNEBAGO INDUSTRIES BOARD OF DIRECTORS APPROVE</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QUARTERLY CASH DIVIDEND OF $0.10 PER SHARE</w:t>
      </w:r>
    </w:p>
    <w:p>
      <w:pPr>
        <w:spacing w:after="0" w:line="200" w:lineRule="exact"/>
        <w:rPr>
          <w:sz w:val="20"/>
          <w:szCs w:val="20"/>
          <w:color w:val="auto"/>
        </w:rPr>
      </w:pPr>
    </w:p>
    <w:p>
      <w:pPr>
        <w:spacing w:after="0" w:line="365" w:lineRule="exact"/>
        <w:rPr>
          <w:sz w:val="20"/>
          <w:szCs w:val="20"/>
          <w:color w:val="auto"/>
        </w:rPr>
      </w:pPr>
    </w:p>
    <w:p>
      <w:pPr>
        <w:ind w:right="180"/>
        <w:spacing w:after="0" w:line="482" w:lineRule="auto"/>
        <w:rPr>
          <w:sz w:val="20"/>
          <w:szCs w:val="20"/>
          <w:color w:val="auto"/>
        </w:rPr>
      </w:pPr>
      <w:r>
        <w:rPr>
          <w:rFonts w:ascii="Arial" w:cs="Arial" w:eastAsia="Arial" w:hAnsi="Arial"/>
          <w:sz w:val="16"/>
          <w:szCs w:val="16"/>
          <w:color w:val="auto"/>
        </w:rPr>
        <w:t>FOREST CITY, IOWA, December 13, 2017 - Winnebago Industries, Inc. (NYSE:WGO), a leading recreation vehicle manufacturer, today announced that on December 13, 2017, the Company’s Board of Directors approved a quarterly cash dividend of $0.10 per share payable on January 24, 2018, to common stockholders of record at the close of business on January 10, 2018.</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4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Inc. is a leading U.S. manufacturer of recreation vehicles under the Winnebago and Grand Design brands, which are used primarily in leisure travel and outdoor recreation activities. The Company builds quality motorhomes, travel trailers and fifth wheel products. Winnebago Industries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http://investor.wgo.net.</w:t>
      </w: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 #</w:t>
      </w:r>
    </w:p>
    <w:sectPr>
      <w:pgSz w:w="11900" w:h="16838" w:orient="portrait"/>
      <w:cols w:equalWidth="0" w:num="1">
        <w:col w:w="11300"/>
      </w:cols>
      <w:pgMar w:left="240" w:top="66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2019-12-29T02:15:19Z</dcterms:created>
  <dcterms:modified xsi:type="dcterms:W3CDTF">2019-12-29T02:15:19Z</dcterms:modified>
</cp:coreProperties>
</file>