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page">
              <wp:posOffset>1761490</wp:posOffset>
            </wp:positionH>
            <wp:positionV relativeFrom="page">
              <wp:posOffset>3021965</wp:posOffset>
            </wp:positionV>
            <wp:extent cx="4047490" cy="565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04749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828282"/>
        </w:rPr>
        <w:t>2019</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32"/>
          <w:szCs w:val="32"/>
          <w:color w:val="828282"/>
        </w:rPr>
        <w:t>Notice of Annual Meeting of Shareholders</w:t>
      </w:r>
    </w:p>
    <w:p>
      <w:pPr>
        <w:spacing w:after="0" w:line="200" w:lineRule="exact"/>
        <w:rPr>
          <w:sz w:val="24"/>
          <w:szCs w:val="24"/>
          <w:color w:val="auto"/>
        </w:rPr>
      </w:pPr>
    </w:p>
    <w:p>
      <w:pPr>
        <w:spacing w:after="0" w:line="240" w:lineRule="exact"/>
        <w:rPr>
          <w:sz w:val="24"/>
          <w:szCs w:val="24"/>
          <w:color w:val="auto"/>
        </w:rPr>
      </w:pPr>
    </w:p>
    <w:p>
      <w:pPr>
        <w:ind w:left="3400"/>
        <w:spacing w:after="0"/>
        <w:rPr>
          <w:sz w:val="20"/>
          <w:szCs w:val="20"/>
          <w:color w:val="auto"/>
        </w:rPr>
      </w:pPr>
      <w:r>
        <w:rPr>
          <w:rFonts w:ascii="Arial" w:cs="Arial" w:eastAsia="Arial" w:hAnsi="Arial"/>
          <w:sz w:val="25"/>
          <w:szCs w:val="25"/>
          <w:color w:val="828282"/>
        </w:rPr>
        <w:t>December 17, 2019</w:t>
      </w:r>
    </w:p>
    <w:p>
      <w:pPr>
        <w:spacing w:after="0" w:line="10" w:lineRule="exact"/>
        <w:rPr>
          <w:sz w:val="24"/>
          <w:szCs w:val="24"/>
          <w:color w:val="auto"/>
        </w:rPr>
      </w:pPr>
    </w:p>
    <w:p>
      <w:pPr>
        <w:ind w:left="3240"/>
        <w:spacing w:after="0"/>
        <w:rPr>
          <w:sz w:val="20"/>
          <w:szCs w:val="20"/>
          <w:color w:val="auto"/>
        </w:rPr>
      </w:pPr>
      <w:r>
        <w:rPr>
          <w:rFonts w:ascii="Arial" w:cs="Arial" w:eastAsia="Arial" w:hAnsi="Arial"/>
          <w:sz w:val="25"/>
          <w:szCs w:val="25"/>
          <w:color w:val="828282"/>
        </w:rPr>
        <w:t>4:00 p.m. Central Time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2698115</wp:posOffset>
            </wp:positionV>
            <wp:extent cx="7246620"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263525</wp:posOffset>
            </wp:positionV>
            <wp:extent cx="15862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31750</wp:posOffset>
            </wp:positionV>
            <wp:extent cx="15862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Filed by the Registrant </w:t>
      </w: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Filed by party other than the Registrant </w:t>
      </w:r>
      <w:r>
        <w:rPr>
          <w:rFonts w:ascii="Arial" w:cs="Arial" w:eastAsia="Arial" w:hAnsi="Arial"/>
          <w:sz w:val="18"/>
          <w:szCs w:val="18"/>
          <w:color w:val="auto"/>
        </w:rPr>
        <w:t>o</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6"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Preliminary Proxy Statement</w:t>
      </w:r>
    </w:p>
    <w:p>
      <w:pPr>
        <w:spacing w:after="0" w:line="21" w:lineRule="exact"/>
        <w:rPr>
          <w:rFonts w:ascii="Arial" w:cs="Arial" w:eastAsia="Arial" w:hAnsi="Arial"/>
          <w:sz w:val="18"/>
          <w:szCs w:val="18"/>
          <w:color w:val="auto"/>
        </w:rPr>
      </w:pPr>
    </w:p>
    <w:p>
      <w:pPr>
        <w:ind w:right="5280" w:firstLine="8"/>
        <w:spacing w:after="0" w:line="241" w:lineRule="auto"/>
        <w:tabs>
          <w:tab w:leader="none" w:pos="270" w:val="left"/>
        </w:tabs>
        <w:numPr>
          <w:ilvl w:val="0"/>
          <w:numId w:val="1"/>
        </w:numPr>
        <w:rPr>
          <w:rFonts w:ascii="Arial" w:cs="Arial" w:eastAsia="Arial" w:hAnsi="Arial"/>
          <w:sz w:val="18"/>
          <w:szCs w:val="18"/>
          <w:color w:val="auto"/>
        </w:rPr>
      </w:pPr>
      <w:r>
        <w:rPr>
          <w:rFonts w:ascii="Arial" w:cs="Arial" w:eastAsia="Arial" w:hAnsi="Arial"/>
          <w:sz w:val="16"/>
          <w:szCs w:val="16"/>
          <w:color w:val="auto"/>
        </w:rPr>
        <w:t xml:space="preserve">Confidential, For Use of the Commission Only (as permitted by Rule 14a-6(e)(2)) </w:t>
      </w:r>
      <w:r>
        <w:rPr>
          <w:rFonts w:ascii="Arial" w:cs="Arial" w:eastAsia="Arial" w:hAnsi="Arial"/>
          <w:sz w:val="18"/>
          <w:szCs w:val="18"/>
          <w:color w:val="auto"/>
        </w:rPr>
        <w:t xml:space="preserve">x </w:t>
      </w:r>
      <w:r>
        <w:rPr>
          <w:rFonts w:ascii="Arial" w:cs="Arial" w:eastAsia="Arial" w:hAnsi="Arial"/>
          <w:sz w:val="16"/>
          <w:szCs w:val="16"/>
          <w:color w:val="auto"/>
        </w:rPr>
        <w:t>Definitive Proxy Statement</w:t>
      </w:r>
    </w:p>
    <w:p>
      <w:pPr>
        <w:spacing w:after="0" w:line="4"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Definitive Additional Materials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Soliciting Material Pursuant to Section 240.14a-12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123825</wp:posOffset>
            </wp:positionV>
            <wp:extent cx="241808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180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6"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6"/>
          <w:szCs w:val="16"/>
          <w:color w:val="auto"/>
        </w:rPr>
        <w:t>No fee required.</w:t>
      </w:r>
    </w:p>
    <w:p>
      <w:pPr>
        <w:spacing w:after="0" w:line="9"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Fee computed on table below per Exchange Act Rules 14a-6(i)(1) and 0-11.</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5" w:lineRule="exact"/>
        <w:rPr>
          <w:rFonts w:ascii="Arial" w:cs="Arial" w:eastAsia="Arial" w:hAnsi="Arial"/>
          <w:sz w:val="16"/>
          <w:szCs w:val="16"/>
          <w:color w:val="auto"/>
        </w:rPr>
      </w:pPr>
    </w:p>
    <w:p>
      <w:pPr>
        <w:ind w:left="980" w:hanging="324"/>
        <w:spacing w:after="0" w:line="246" w:lineRule="auto"/>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0" w:lineRule="exact"/>
        <w:rPr>
          <w:rFonts w:ascii="Arial" w:cs="Arial" w:eastAsia="Arial" w:hAnsi="Arial"/>
          <w:sz w:val="16"/>
          <w:szCs w:val="16"/>
          <w:color w:val="auto"/>
        </w:rPr>
      </w:pPr>
    </w:p>
    <w:p>
      <w:pPr>
        <w:ind w:left="280" w:hanging="272"/>
        <w:spacing w:after="0" w:line="234"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Fee paid previously with preliminary materials.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w:t>
      </w:r>
    </w:p>
    <w:p>
      <w:pPr>
        <w:spacing w:after="0" w:line="8" w:lineRule="exact"/>
        <w:rPr>
          <w:sz w:val="20"/>
          <w:szCs w:val="20"/>
          <w:color w:val="auto"/>
        </w:rPr>
      </w:pPr>
    </w:p>
    <w:p>
      <w:pPr>
        <w:ind w:left="660" w:right="1840"/>
        <w:spacing w:after="0" w:line="246" w:lineRule="auto"/>
        <w:rPr>
          <w:sz w:val="20"/>
          <w:szCs w:val="20"/>
          <w:color w:val="auto"/>
        </w:rPr>
      </w:pPr>
      <w:r>
        <w:rPr>
          <w:rFonts w:ascii="Arial" w:cs="Arial" w:eastAsia="Arial" w:hAnsi="Arial"/>
          <w:sz w:val="16"/>
          <w:szCs w:val="16"/>
          <w:color w:val="auto"/>
        </w:rPr>
        <w:t>offsetting fee was paid previously. Identify the previous filing by registration statement number, or the Form or Schedule and the date of its filing.</w:t>
      </w:r>
    </w:p>
    <w:p>
      <w:pPr>
        <w:spacing w:after="0" w:line="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911225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828282"/>
        </w:rPr>
        <w:drawing>
          <wp:anchor simplePos="0" relativeHeight="251657728" behindDoc="1" locked="0" layoutInCell="0" allowOverlap="1">
            <wp:simplePos x="0" y="0"/>
            <wp:positionH relativeFrom="page">
              <wp:posOffset>157480</wp:posOffset>
            </wp:positionH>
            <wp:positionV relativeFrom="page">
              <wp:posOffset>243205</wp:posOffset>
            </wp:positionV>
            <wp:extent cx="241808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418080" cy="342900"/>
                    </a:xfrm>
                    <a:prstGeom prst="rect">
                      <a:avLst/>
                    </a:prstGeom>
                    <a:noFill/>
                  </pic:spPr>
                </pic:pic>
              </a:graphicData>
            </a:graphic>
          </wp:anchor>
        </w:drawing>
        <w:t>Notice of Annual Meeting</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828282"/>
        </w:rPr>
        <w:t>of Shareholders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828282"/>
        </w:rPr>
        <w:t>to be held December 17, 2019</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Shareholders,</w:t>
      </w:r>
    </w:p>
    <w:p>
      <w:pPr>
        <w:spacing w:after="0" w:line="19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Winnebago Industries, Inc. will hold its 2019 Annual Meeting of Shareholders on December 17, 2019, at 4:00 p.m. Central Standard Time. The Annual Meeting will be completely virtual. You may attend the meeting, submit questions, and vote your shares electronically during the meeting via live webcast by visiting www.virtualshareholdermeeting.com/WGO2019 and entering the 16-digit control number included with the Notice of Internet Availability or proxy card. Instructions on how to attend and participate in the Annual Meeting via the webcast are posted on this site as well.</w:t>
      </w:r>
    </w:p>
    <w:p>
      <w:pPr>
        <w:spacing w:after="0" w:line="17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proxy materials were either made available to you over the Internet or mailed to you on or about November 5, 2019. At the meeting, shareholders will be asked to:</w:t>
      </w:r>
    </w:p>
    <w:p>
      <w:pPr>
        <w:spacing w:after="0" w:line="302"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1660" w:type="dxa"/>
            <w:vAlign w:val="bottom"/>
            <w:tcBorders>
              <w:bottom w:val="single" w:sz="8" w:color="BF2115"/>
            </w:tcBorders>
            <w:shd w:val="clear" w:color="auto" w:fill="BF2115"/>
          </w:tcPr>
          <w:p>
            <w:pPr>
              <w:spacing w:after="0"/>
              <w:rPr>
                <w:sz w:val="21"/>
                <w:szCs w:val="21"/>
                <w:color w:val="auto"/>
              </w:rPr>
            </w:pPr>
          </w:p>
        </w:tc>
        <w:tc>
          <w:tcPr>
            <w:tcW w:w="5520" w:type="dxa"/>
            <w:vAlign w:val="bottom"/>
            <w:tcBorders>
              <w:bottom w:val="single" w:sz="8" w:color="BF2115"/>
              <w:right w:val="single" w:sz="8" w:color="BF2115"/>
            </w:tcBorders>
            <w:shd w:val="clear" w:color="auto" w:fill="BF2115"/>
          </w:tcPr>
          <w:p>
            <w:pPr>
              <w:spacing w:after="0"/>
              <w:rPr>
                <w:sz w:val="21"/>
                <w:szCs w:val="21"/>
                <w:color w:val="auto"/>
              </w:rPr>
            </w:pPr>
          </w:p>
        </w:tc>
        <w:tc>
          <w:tcPr>
            <w:tcW w:w="4020" w:type="dxa"/>
            <w:vAlign w:val="bottom"/>
            <w:tcBorders>
              <w:bottom w:val="single" w:sz="8" w:color="BF2115"/>
            </w:tcBorders>
            <w:gridSpan w:val="2"/>
            <w:shd w:val="clear" w:color="auto" w:fill="BF2115"/>
          </w:tcPr>
          <w:p>
            <w:pPr>
              <w:jc w:val="center"/>
              <w:ind w:right="800"/>
              <w:spacing w:after="0"/>
              <w:rPr>
                <w:sz w:val="20"/>
                <w:szCs w:val="20"/>
                <w:color w:val="auto"/>
              </w:rPr>
            </w:pPr>
            <w:r>
              <w:rPr>
                <w:rFonts w:ascii="Arial" w:cs="Arial" w:eastAsia="Arial" w:hAnsi="Arial"/>
                <w:sz w:val="16"/>
                <w:szCs w:val="16"/>
                <w:color w:val="FFFFFF"/>
              </w:rPr>
              <w:t>BOARD RECOMMENDATIONS</w:t>
            </w:r>
          </w:p>
        </w:tc>
        <w:tc>
          <w:tcPr>
            <w:tcW w:w="0" w:type="dxa"/>
            <w:vAlign w:val="bottom"/>
          </w:tcPr>
          <w:p>
            <w:pPr>
              <w:spacing w:after="0"/>
              <w:rPr>
                <w:sz w:val="1"/>
                <w:szCs w:val="1"/>
                <w:color w:val="auto"/>
              </w:rPr>
            </w:pPr>
          </w:p>
        </w:tc>
      </w:tr>
      <w:tr>
        <w:trPr>
          <w:trHeight w:val="318"/>
        </w:trPr>
        <w:tc>
          <w:tcPr>
            <w:tcW w:w="1660" w:type="dxa"/>
            <w:vAlign w:val="bottom"/>
          </w:tcPr>
          <w:p>
            <w:pPr>
              <w:jc w:val="right"/>
              <w:ind w:right="699"/>
              <w:spacing w:after="0"/>
              <w:rPr>
                <w:sz w:val="20"/>
                <w:szCs w:val="20"/>
                <w:color w:val="auto"/>
              </w:rPr>
            </w:pPr>
            <w:r>
              <w:rPr>
                <w:rFonts w:ascii="Arial" w:cs="Arial" w:eastAsia="Arial" w:hAnsi="Arial"/>
                <w:sz w:val="16"/>
                <w:szCs w:val="16"/>
                <w:color w:val="auto"/>
              </w:rPr>
              <w:t>1</w:t>
            </w: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Elect three Class II directors to hold office for a three-year term;</w:t>
            </w:r>
          </w:p>
        </w:tc>
        <w:tc>
          <w:tcPr>
            <w:tcW w:w="3240" w:type="dxa"/>
            <w:vAlign w:val="bottom"/>
            <w:shd w:val="clear" w:color="auto" w:fill="828282"/>
          </w:tcPr>
          <w:p>
            <w:pPr>
              <w:jc w:val="center"/>
              <w:spacing w:after="0"/>
              <w:rPr>
                <w:sz w:val="20"/>
                <w:szCs w:val="20"/>
                <w:color w:val="auto"/>
              </w:rPr>
            </w:pPr>
            <w:r>
              <w:rPr>
                <w:rFonts w:ascii="Arial" w:cs="Arial" w:eastAsia="Arial" w:hAnsi="Arial"/>
                <w:sz w:val="16"/>
                <w:szCs w:val="16"/>
                <w:color w:val="FFFFFF"/>
              </w:rPr>
              <w:t>FOR</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660" w:type="dxa"/>
            <w:vAlign w:val="bottom"/>
          </w:tcPr>
          <w:p>
            <w:pPr>
              <w:spacing w:after="0"/>
              <w:rPr>
                <w:sz w:val="9"/>
                <w:szCs w:val="9"/>
                <w:color w:val="auto"/>
              </w:rPr>
            </w:pPr>
          </w:p>
        </w:tc>
        <w:tc>
          <w:tcPr>
            <w:tcW w:w="5520" w:type="dxa"/>
            <w:vAlign w:val="bottom"/>
            <w:tcBorders>
              <w:bottom w:val="single" w:sz="8" w:color="auto"/>
              <w:right w:val="single" w:sz="8" w:color="auto"/>
            </w:tcBorders>
          </w:tcPr>
          <w:p>
            <w:pPr>
              <w:spacing w:after="0"/>
              <w:rPr>
                <w:sz w:val="9"/>
                <w:szCs w:val="9"/>
                <w:color w:val="auto"/>
              </w:rPr>
            </w:pPr>
          </w:p>
        </w:tc>
        <w:tc>
          <w:tcPr>
            <w:tcW w:w="3240" w:type="dxa"/>
            <w:vAlign w:val="bottom"/>
            <w:tcBorders>
              <w:bottom w:val="single" w:sz="8" w:color="auto"/>
            </w:tcBorders>
            <w:shd w:val="clear" w:color="auto" w:fill="828282"/>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660" w:type="dxa"/>
            <w:vAlign w:val="bottom"/>
            <w:vMerge w:val="restart"/>
          </w:tcPr>
          <w:p>
            <w:pPr>
              <w:jc w:val="right"/>
              <w:ind w:right="699"/>
              <w:spacing w:after="0"/>
              <w:rPr>
                <w:sz w:val="20"/>
                <w:szCs w:val="20"/>
                <w:color w:val="auto"/>
              </w:rPr>
            </w:pPr>
            <w:r>
              <w:rPr>
                <w:rFonts w:ascii="Arial" w:cs="Arial" w:eastAsia="Arial" w:hAnsi="Arial"/>
                <w:sz w:val="16"/>
                <w:szCs w:val="16"/>
                <w:color w:val="auto"/>
              </w:rPr>
              <w:t>2</w:t>
            </w: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Approve, on an advisory basis, the compensation of our Named Executive</w:t>
            </w:r>
          </w:p>
        </w:tc>
        <w:tc>
          <w:tcPr>
            <w:tcW w:w="3240" w:type="dxa"/>
            <w:vAlign w:val="bottom"/>
            <w:vMerge w:val="restart"/>
            <w:shd w:val="clear" w:color="auto" w:fill="828282"/>
          </w:tcPr>
          <w:p>
            <w:pPr>
              <w:jc w:val="center"/>
              <w:spacing w:after="0"/>
              <w:rPr>
                <w:sz w:val="20"/>
                <w:szCs w:val="20"/>
                <w:color w:val="auto"/>
              </w:rPr>
            </w:pPr>
            <w:r>
              <w:rPr>
                <w:rFonts w:ascii="Arial" w:cs="Arial" w:eastAsia="Arial" w:hAnsi="Arial"/>
                <w:sz w:val="16"/>
                <w:szCs w:val="16"/>
                <w:color w:val="FFFFFF"/>
              </w:rPr>
              <w:t>FOR</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660" w:type="dxa"/>
            <w:vAlign w:val="bottom"/>
            <w:vMerge w:val="continue"/>
          </w:tcPr>
          <w:p>
            <w:pPr>
              <w:spacing w:after="0"/>
              <w:rPr>
                <w:sz w:val="8"/>
                <w:szCs w:val="8"/>
                <w:color w:val="auto"/>
              </w:rPr>
            </w:pPr>
          </w:p>
        </w:tc>
        <w:tc>
          <w:tcPr>
            <w:tcW w:w="552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Officers;</w:t>
            </w:r>
          </w:p>
        </w:tc>
        <w:tc>
          <w:tcPr>
            <w:tcW w:w="3240" w:type="dxa"/>
            <w:vAlign w:val="bottom"/>
            <w:vMerge w:val="continue"/>
            <w:shd w:val="clear" w:color="auto" w:fill="828282"/>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5520" w:type="dxa"/>
            <w:vAlign w:val="bottom"/>
            <w:tcBorders>
              <w:bottom w:val="single" w:sz="8" w:color="auto"/>
              <w:right w:val="single" w:sz="8" w:color="auto"/>
            </w:tcBorders>
            <w:vMerge w:val="continue"/>
          </w:tcPr>
          <w:p>
            <w:pPr>
              <w:spacing w:after="0"/>
              <w:rPr>
                <w:sz w:val="9"/>
                <w:szCs w:val="9"/>
                <w:color w:val="auto"/>
              </w:rPr>
            </w:pPr>
          </w:p>
        </w:tc>
        <w:tc>
          <w:tcPr>
            <w:tcW w:w="3240" w:type="dxa"/>
            <w:vAlign w:val="bottom"/>
            <w:tcBorders>
              <w:bottom w:val="single" w:sz="8" w:color="auto"/>
            </w:tcBorders>
            <w:shd w:val="clear" w:color="auto" w:fill="828282"/>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1660" w:type="dxa"/>
            <w:vAlign w:val="bottom"/>
            <w:vMerge w:val="restart"/>
          </w:tcPr>
          <w:p>
            <w:pPr>
              <w:jc w:val="right"/>
              <w:ind w:right="699"/>
              <w:spacing w:after="0"/>
              <w:rPr>
                <w:sz w:val="20"/>
                <w:szCs w:val="20"/>
                <w:color w:val="auto"/>
              </w:rPr>
            </w:pPr>
            <w:r>
              <w:rPr>
                <w:rFonts w:ascii="Arial" w:cs="Arial" w:eastAsia="Arial" w:hAnsi="Arial"/>
                <w:sz w:val="16"/>
                <w:szCs w:val="16"/>
                <w:color w:val="auto"/>
              </w:rPr>
              <w:t>3</w:t>
            </w: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Ratify the selection of Deloitte &amp; Touche LLP as our independent registered</w:t>
            </w:r>
          </w:p>
        </w:tc>
        <w:tc>
          <w:tcPr>
            <w:tcW w:w="3240" w:type="dxa"/>
            <w:vAlign w:val="bottom"/>
            <w:vMerge w:val="restart"/>
            <w:shd w:val="clear" w:color="auto" w:fill="828282"/>
          </w:tcPr>
          <w:p>
            <w:pPr>
              <w:jc w:val="center"/>
              <w:spacing w:after="0"/>
              <w:rPr>
                <w:sz w:val="20"/>
                <w:szCs w:val="20"/>
                <w:color w:val="auto"/>
              </w:rPr>
            </w:pPr>
            <w:r>
              <w:rPr>
                <w:rFonts w:ascii="Arial" w:cs="Arial" w:eastAsia="Arial" w:hAnsi="Arial"/>
                <w:sz w:val="16"/>
                <w:szCs w:val="16"/>
                <w:color w:val="FFFFFF"/>
              </w:rPr>
              <w:t>FOR</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660" w:type="dxa"/>
            <w:vAlign w:val="bottom"/>
            <w:vMerge w:val="continue"/>
          </w:tcPr>
          <w:p>
            <w:pPr>
              <w:spacing w:after="0"/>
              <w:rPr>
                <w:sz w:val="8"/>
                <w:szCs w:val="8"/>
                <w:color w:val="auto"/>
              </w:rPr>
            </w:pPr>
          </w:p>
        </w:tc>
        <w:tc>
          <w:tcPr>
            <w:tcW w:w="552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public accountant for Fiscal 2020; and</w:t>
            </w:r>
          </w:p>
        </w:tc>
        <w:tc>
          <w:tcPr>
            <w:tcW w:w="3240" w:type="dxa"/>
            <w:vAlign w:val="bottom"/>
            <w:vMerge w:val="continue"/>
            <w:shd w:val="clear" w:color="auto" w:fill="828282"/>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5520" w:type="dxa"/>
            <w:vAlign w:val="bottom"/>
            <w:tcBorders>
              <w:bottom w:val="single" w:sz="8" w:color="auto"/>
              <w:right w:val="single" w:sz="8" w:color="auto"/>
            </w:tcBorders>
            <w:vMerge w:val="continue"/>
          </w:tcPr>
          <w:p>
            <w:pPr>
              <w:spacing w:after="0"/>
              <w:rPr>
                <w:sz w:val="9"/>
                <w:szCs w:val="9"/>
                <w:color w:val="auto"/>
              </w:rPr>
            </w:pPr>
          </w:p>
        </w:tc>
        <w:tc>
          <w:tcPr>
            <w:tcW w:w="3240" w:type="dxa"/>
            <w:vAlign w:val="bottom"/>
            <w:tcBorders>
              <w:bottom w:val="single" w:sz="8" w:color="auto"/>
            </w:tcBorders>
            <w:shd w:val="clear" w:color="auto" w:fill="828282"/>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1660" w:type="dxa"/>
            <w:vAlign w:val="bottom"/>
          </w:tcPr>
          <w:p>
            <w:pPr>
              <w:spacing w:after="0"/>
              <w:rPr>
                <w:sz w:val="24"/>
                <w:szCs w:val="24"/>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Act on any other matters that may properly come before the meeting.</w:t>
            </w:r>
          </w:p>
        </w:tc>
        <w:tc>
          <w:tcPr>
            <w:tcW w:w="3240" w:type="dxa"/>
            <w:vAlign w:val="bottom"/>
            <w:shd w:val="clear" w:color="auto" w:fill="82828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660" w:type="dxa"/>
            <w:vAlign w:val="bottom"/>
          </w:tcPr>
          <w:p>
            <w:pPr>
              <w:spacing w:after="0"/>
              <w:rPr>
                <w:sz w:val="9"/>
                <w:szCs w:val="9"/>
                <w:color w:val="auto"/>
              </w:rPr>
            </w:pPr>
          </w:p>
        </w:tc>
        <w:tc>
          <w:tcPr>
            <w:tcW w:w="5520" w:type="dxa"/>
            <w:vAlign w:val="bottom"/>
            <w:tcBorders>
              <w:bottom w:val="single" w:sz="8" w:color="auto"/>
              <w:right w:val="single" w:sz="8" w:color="auto"/>
            </w:tcBorders>
          </w:tcPr>
          <w:p>
            <w:pPr>
              <w:spacing w:after="0"/>
              <w:rPr>
                <w:sz w:val="9"/>
                <w:szCs w:val="9"/>
                <w:color w:val="auto"/>
              </w:rPr>
            </w:pPr>
          </w:p>
        </w:tc>
        <w:tc>
          <w:tcPr>
            <w:tcW w:w="3240" w:type="dxa"/>
            <w:vAlign w:val="bottom"/>
            <w:tcBorders>
              <w:bottom w:val="single" w:sz="8" w:color="auto"/>
            </w:tcBorders>
            <w:shd w:val="clear" w:color="auto" w:fill="828282"/>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Only shareholders of record at the close of business on October 22, 2019 may vote at the Annual Meeting or any adjournment thereof.</w:t>
      </w:r>
    </w:p>
    <w:p>
      <w:pPr>
        <w:spacing w:after="0" w:line="302"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By Order of the Board of Directors</w:t>
      </w:r>
    </w:p>
    <w:p>
      <w:pPr>
        <w:spacing w:after="0" w:line="354" w:lineRule="exact"/>
        <w:rPr>
          <w:sz w:val="20"/>
          <w:szCs w:val="20"/>
          <w:color w:val="auto"/>
        </w:rPr>
      </w:pPr>
    </w:p>
    <w:p>
      <w:pPr>
        <w:ind w:left="6320"/>
        <w:spacing w:after="0"/>
        <w:rPr>
          <w:sz w:val="20"/>
          <w:szCs w:val="20"/>
          <w:color w:val="auto"/>
        </w:rPr>
      </w:pPr>
      <w:r>
        <w:rPr>
          <w:rFonts w:ascii="Arial" w:cs="Arial" w:eastAsia="Arial" w:hAnsi="Arial"/>
          <w:sz w:val="16"/>
          <w:szCs w:val="16"/>
          <w:i w:val="1"/>
          <w:iCs w:val="1"/>
          <w:color w:val="auto"/>
        </w:rPr>
        <w:t>/s/ Stacy L.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29210</wp:posOffset>
            </wp:positionV>
            <wp:extent cx="24612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82"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Stacy L. Bogart</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Vice President - General Counsel</w:t>
      </w:r>
    </w:p>
    <w:p>
      <w:pPr>
        <w:spacing w:after="0" w:line="86"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6"/>
          <w:szCs w:val="16"/>
          <w:color w:val="auto"/>
        </w:rPr>
        <w:t>Eden Prairie, MN</w:t>
      </w:r>
      <w:r>
        <w:rPr>
          <w:sz w:val="20"/>
          <w:szCs w:val="20"/>
          <w:color w:val="auto"/>
        </w:rPr>
        <w:tab/>
      </w:r>
      <w:r>
        <w:rPr>
          <w:rFonts w:ascii="Arial" w:cs="Arial" w:eastAsia="Arial" w:hAnsi="Arial"/>
          <w:sz w:val="16"/>
          <w:szCs w:val="16"/>
          <w:color w:val="auto"/>
        </w:rPr>
        <w:t>and Secretary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November 5, 2019</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828282"/>
        </w:rPr>
        <w:t>Your Vote Is Important</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828282"/>
        </w:rPr>
        <w:t>Whether or not you expect to attend the meeting, please vote via the Internet or telephone or request a paper proxy card to complete, sign and return by mail so that your shares may be voted. A prompt response is helpful and your cooperation is appreciated.</w:t>
      </w:r>
    </w:p>
    <w:p>
      <w:pPr>
        <w:sectPr>
          <w:pgSz w:w="11900" w:h="16838" w:orient="portrait"/>
          <w:cols w:equalWidth="0" w:num="1">
            <w:col w:w="11420"/>
          </w:cols>
          <w:pgMar w:left="240" w:top="1362" w:right="239" w:bottom="1440" w:gutter="0" w:footer="0" w:header="0"/>
        </w:sectPr>
      </w:pPr>
    </w:p>
    <w:bookmarkStart w:id="3" w:name="page4"/>
    <w:bookmarkEnd w:id="3"/>
    <w:p>
      <w:pPr>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112395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30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9"/>
          <w:szCs w:val="29"/>
          <w:color w:val="BF2115"/>
        </w:rPr>
        <w:t>Table of Contents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gridSpan w:val="4"/>
          </w:tcPr>
          <w:p>
            <w:pPr>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96"/>
        </w:trPr>
        <w:tc>
          <w:tcPr>
            <w:tcW w:w="10660" w:type="dxa"/>
            <w:vAlign w:val="bottom"/>
            <w:gridSpan w:val="20"/>
            <w:vMerge w:val="restart"/>
          </w:tcPr>
          <w:p>
            <w:pPr>
              <w:spacing w:after="0"/>
              <w:rPr>
                <w:rFonts w:ascii="Arial" w:cs="Arial" w:eastAsia="Arial" w:hAnsi="Arial"/>
                <w:sz w:val="16"/>
                <w:szCs w:val="16"/>
                <w:b w:val="1"/>
                <w:bCs w:val="1"/>
                <w:color w:val="828282"/>
              </w:rPr>
            </w:pPr>
            <w:hyperlink w:anchor="page5">
              <w:r>
                <w:rPr>
                  <w:rFonts w:ascii="Arial" w:cs="Arial" w:eastAsia="Arial" w:hAnsi="Arial"/>
                  <w:sz w:val="16"/>
                  <w:szCs w:val="16"/>
                  <w:b w:val="1"/>
                  <w:bCs w:val="1"/>
                  <w:color w:val="828282"/>
                </w:rPr>
                <w:t>FORWARD-LOOKING INFORMATION</w:t>
              </w:r>
            </w:hyperlink>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660" w:type="dxa"/>
            <w:vAlign w:val="bottom"/>
            <w:gridSpan w:val="20"/>
            <w:vMerge w:val="continue"/>
          </w:tcPr>
          <w:p>
            <w:pPr>
              <w:spacing w:after="0"/>
              <w:rPr>
                <w:sz w:val="16"/>
                <w:szCs w:val="16"/>
                <w:color w:val="auto"/>
              </w:rPr>
            </w:pPr>
          </w:p>
        </w:tc>
        <w:tc>
          <w:tcPr>
            <w:tcW w:w="420" w:type="dxa"/>
            <w:vAlign w:val="bottom"/>
            <w:tcBorders>
              <w:right w:val="single" w:sz="8" w:color="BF2115"/>
            </w:tcBorders>
            <w:gridSpan w:val="4"/>
            <w:shd w:val="clear" w:color="auto" w:fill="BF2115"/>
          </w:tcPr>
          <w:p>
            <w:pPr>
              <w:jc w:val="center"/>
              <w:ind w:left="179"/>
              <w:spacing w:after="0"/>
              <w:rPr>
                <w:rFonts w:ascii="Arial" w:cs="Arial" w:eastAsia="Arial" w:hAnsi="Arial"/>
                <w:sz w:val="16"/>
                <w:szCs w:val="16"/>
                <w:color w:val="ACACAC"/>
                <w:w w:val="89"/>
              </w:rPr>
            </w:pPr>
            <w:hyperlink w:anchor="page5">
              <w:r>
                <w:rPr>
                  <w:rFonts w:ascii="Arial" w:cs="Arial" w:eastAsia="Arial" w:hAnsi="Arial"/>
                  <w:sz w:val="16"/>
                  <w:szCs w:val="16"/>
                  <w:color w:val="ACACAC"/>
                  <w:w w:val="89"/>
                </w:rPr>
                <w:t>1</w:t>
              </w:r>
            </w:hyperlink>
          </w:p>
        </w:tc>
        <w:tc>
          <w:tcPr>
            <w:tcW w:w="220" w:type="dxa"/>
            <w:vAlign w:val="bottom"/>
            <w:shd w:val="clear" w:color="auto" w:fill="BF2115"/>
          </w:tcPr>
          <w:p>
            <w:pPr>
              <w:spacing w:after="0"/>
              <w:rPr>
                <w:sz w:val="16"/>
                <w:szCs w:val="16"/>
                <w:color w:val="auto"/>
              </w:rPr>
            </w:pPr>
          </w:p>
        </w:tc>
        <w:tc>
          <w:tcPr>
            <w:tcW w:w="4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600" w:type="dxa"/>
            <w:vAlign w:val="bottom"/>
            <w:shd w:val="clear" w:color="auto" w:fill="828282"/>
          </w:tcPr>
          <w:p>
            <w:pPr>
              <w:spacing w:after="0" w:line="20" w:lineRule="exact"/>
              <w:rPr>
                <w:sz w:val="1"/>
                <w:szCs w:val="1"/>
                <w:color w:val="auto"/>
              </w:rPr>
            </w:pPr>
          </w:p>
        </w:tc>
        <w:tc>
          <w:tcPr>
            <w:tcW w:w="56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200" w:type="dxa"/>
            <w:vAlign w:val="bottom"/>
            <w:shd w:val="clear" w:color="auto" w:fill="828282"/>
          </w:tcPr>
          <w:p>
            <w:pPr>
              <w:spacing w:after="0" w:line="20" w:lineRule="exact"/>
              <w:rPr>
                <w:sz w:val="1"/>
                <w:szCs w:val="1"/>
                <w:color w:val="auto"/>
              </w:rPr>
            </w:pPr>
          </w:p>
        </w:tc>
        <w:tc>
          <w:tcPr>
            <w:tcW w:w="640" w:type="dxa"/>
            <w:vAlign w:val="bottom"/>
            <w:tcBorders>
              <w:right w:val="single" w:sz="8" w:color="828282"/>
            </w:tcBorders>
            <w:shd w:val="clear" w:color="auto" w:fill="828282"/>
          </w:tcPr>
          <w:p>
            <w:pPr>
              <w:spacing w:after="0" w:line="20" w:lineRule="exact"/>
              <w:rPr>
                <w:sz w:val="1"/>
                <w:szCs w:val="1"/>
                <w:color w:val="auto"/>
              </w:rPr>
            </w:pPr>
          </w:p>
        </w:tc>
        <w:tc>
          <w:tcPr>
            <w:tcW w:w="60" w:type="dxa"/>
            <w:vAlign w:val="bottom"/>
            <w:tcBorders>
              <w:left w:val="single" w:sz="8" w:color="828282"/>
            </w:tcBorders>
            <w:shd w:val="clear" w:color="auto" w:fill="828282"/>
          </w:tcPr>
          <w:p>
            <w:pPr>
              <w:spacing w:after="0" w:line="20" w:lineRule="exact"/>
              <w:rPr>
                <w:sz w:val="1"/>
                <w:szCs w:val="1"/>
                <w:color w:val="auto"/>
              </w:rPr>
            </w:pPr>
          </w:p>
        </w:tc>
        <w:tc>
          <w:tcPr>
            <w:tcW w:w="380" w:type="dxa"/>
            <w:vAlign w:val="bottom"/>
            <w:shd w:val="clear" w:color="auto" w:fill="828282"/>
          </w:tcPr>
          <w:p>
            <w:pPr>
              <w:spacing w:after="0" w:line="20" w:lineRule="exact"/>
              <w:rPr>
                <w:sz w:val="1"/>
                <w:szCs w:val="1"/>
                <w:color w:val="auto"/>
              </w:rPr>
            </w:pPr>
          </w:p>
        </w:tc>
        <w:tc>
          <w:tcPr>
            <w:tcW w:w="160" w:type="dxa"/>
            <w:vAlign w:val="bottom"/>
            <w:shd w:val="clear" w:color="auto" w:fill="82828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BF2115"/>
          </w:tcPr>
          <w:p>
            <w:pPr>
              <w:spacing w:after="0" w:line="20" w:lineRule="exact"/>
              <w:rPr>
                <w:sz w:val="1"/>
                <w:szCs w:val="1"/>
                <w:color w:val="auto"/>
              </w:rPr>
            </w:pPr>
          </w:p>
        </w:tc>
        <w:tc>
          <w:tcPr>
            <w:tcW w:w="60" w:type="dxa"/>
            <w:vAlign w:val="bottom"/>
            <w:gridSpan w:val="2"/>
            <w:shd w:val="clear" w:color="auto" w:fill="BF2115"/>
          </w:tcPr>
          <w:p>
            <w:pPr>
              <w:spacing w:after="0" w:line="20" w:lineRule="exact"/>
              <w:rPr>
                <w:sz w:val="1"/>
                <w:szCs w:val="1"/>
                <w:color w:val="auto"/>
              </w:rPr>
            </w:pPr>
          </w:p>
        </w:tc>
        <w:tc>
          <w:tcPr>
            <w:tcW w:w="120" w:type="dxa"/>
            <w:vAlign w:val="bottom"/>
            <w:tcBorders>
              <w:right w:val="single" w:sz="8" w:color="BF2115"/>
            </w:tcBorders>
            <w:shd w:val="clear" w:color="auto" w:fill="ACACAC"/>
          </w:tcPr>
          <w:p>
            <w:pPr>
              <w:spacing w:after="0" w:line="20" w:lineRule="exact"/>
              <w:rPr>
                <w:sz w:val="1"/>
                <w:szCs w:val="1"/>
                <w:color w:val="auto"/>
              </w:rPr>
            </w:pPr>
          </w:p>
        </w:tc>
        <w:tc>
          <w:tcPr>
            <w:tcW w:w="22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gridSpan w:val="10"/>
          </w:tcPr>
          <w:p>
            <w:pPr>
              <w:spacing w:after="0"/>
              <w:rPr>
                <w:rFonts w:ascii="Arial" w:cs="Arial" w:eastAsia="Arial" w:hAnsi="Arial"/>
                <w:sz w:val="16"/>
                <w:szCs w:val="16"/>
                <w:b w:val="1"/>
                <w:bCs w:val="1"/>
                <w:color w:val="828282"/>
              </w:rPr>
            </w:pPr>
            <w:hyperlink w:anchor="page5">
              <w:r>
                <w:rPr>
                  <w:rFonts w:ascii="Arial" w:cs="Arial" w:eastAsia="Arial" w:hAnsi="Arial"/>
                  <w:sz w:val="16"/>
                  <w:szCs w:val="16"/>
                  <w:b w:val="1"/>
                  <w:bCs w:val="1"/>
                  <w:color w:val="828282"/>
                </w:rPr>
                <w:t>PROXY STATEMENT</w:t>
              </w:r>
            </w:hyperlink>
          </w:p>
        </w:tc>
        <w:tc>
          <w:tcPr>
            <w:tcW w:w="7840" w:type="dxa"/>
            <w:vAlign w:val="bottom"/>
            <w:gridSpan w:val="10"/>
          </w:tcPr>
          <w:p>
            <w:pPr>
              <w:spacing w:after="0"/>
              <w:rPr>
                <w:sz w:val="19"/>
                <w:szCs w:val="19"/>
                <w:color w:val="auto"/>
              </w:rPr>
            </w:pPr>
          </w:p>
        </w:tc>
        <w:tc>
          <w:tcPr>
            <w:tcW w:w="420" w:type="dxa"/>
            <w:vAlign w:val="bottom"/>
            <w:tcBorders>
              <w:right w:val="single" w:sz="8" w:color="BF2115"/>
            </w:tcBorders>
            <w:gridSpan w:val="4"/>
            <w:shd w:val="clear" w:color="auto" w:fill="BF2115"/>
          </w:tcPr>
          <w:p>
            <w:pPr>
              <w:jc w:val="center"/>
              <w:ind w:left="179"/>
              <w:spacing w:after="0"/>
              <w:rPr>
                <w:rFonts w:ascii="Arial" w:cs="Arial" w:eastAsia="Arial" w:hAnsi="Arial"/>
                <w:sz w:val="16"/>
                <w:szCs w:val="16"/>
                <w:color w:val="ACACAC"/>
                <w:w w:val="89"/>
              </w:rPr>
            </w:pPr>
            <w:hyperlink w:anchor="page5">
              <w:r>
                <w:rPr>
                  <w:rFonts w:ascii="Arial" w:cs="Arial" w:eastAsia="Arial" w:hAnsi="Arial"/>
                  <w:sz w:val="16"/>
                  <w:szCs w:val="16"/>
                  <w:color w:val="ACACAC"/>
                  <w:w w:val="89"/>
                </w:rPr>
                <w:t>1</w:t>
              </w:r>
            </w:hyperlink>
          </w:p>
        </w:tc>
        <w:tc>
          <w:tcPr>
            <w:tcW w:w="22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600" w:type="dxa"/>
            <w:vAlign w:val="bottom"/>
            <w:shd w:val="clear" w:color="auto" w:fill="828282"/>
          </w:tcPr>
          <w:p>
            <w:pPr>
              <w:spacing w:after="0" w:line="20" w:lineRule="exact"/>
              <w:rPr>
                <w:sz w:val="1"/>
                <w:szCs w:val="1"/>
                <w:color w:val="auto"/>
              </w:rPr>
            </w:pPr>
          </w:p>
        </w:tc>
        <w:tc>
          <w:tcPr>
            <w:tcW w:w="56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200" w:type="dxa"/>
            <w:vAlign w:val="bottom"/>
            <w:shd w:val="clear" w:color="auto" w:fill="82828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BF2115"/>
          </w:tcPr>
          <w:p>
            <w:pPr>
              <w:spacing w:after="0" w:line="20" w:lineRule="exact"/>
              <w:rPr>
                <w:sz w:val="1"/>
                <w:szCs w:val="1"/>
                <w:color w:val="auto"/>
              </w:rPr>
            </w:pPr>
          </w:p>
        </w:tc>
        <w:tc>
          <w:tcPr>
            <w:tcW w:w="60" w:type="dxa"/>
            <w:vAlign w:val="bottom"/>
            <w:gridSpan w:val="2"/>
            <w:shd w:val="clear" w:color="auto" w:fill="BF2115"/>
          </w:tcPr>
          <w:p>
            <w:pPr>
              <w:spacing w:after="0" w:line="20" w:lineRule="exact"/>
              <w:rPr>
                <w:sz w:val="1"/>
                <w:szCs w:val="1"/>
                <w:color w:val="auto"/>
              </w:rPr>
            </w:pPr>
          </w:p>
        </w:tc>
        <w:tc>
          <w:tcPr>
            <w:tcW w:w="120" w:type="dxa"/>
            <w:vAlign w:val="bottom"/>
            <w:tcBorders>
              <w:right w:val="single" w:sz="8" w:color="BF2115"/>
            </w:tcBorders>
            <w:shd w:val="clear" w:color="auto" w:fill="ACACAC"/>
          </w:tcPr>
          <w:p>
            <w:pPr>
              <w:spacing w:after="0" w:line="20" w:lineRule="exact"/>
              <w:rPr>
                <w:sz w:val="1"/>
                <w:szCs w:val="1"/>
                <w:color w:val="auto"/>
              </w:rPr>
            </w:pPr>
          </w:p>
        </w:tc>
        <w:tc>
          <w:tcPr>
            <w:tcW w:w="22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60" w:type="dxa"/>
            <w:vAlign w:val="bottom"/>
            <w:gridSpan w:val="20"/>
          </w:tcPr>
          <w:p>
            <w:pPr>
              <w:spacing w:after="0"/>
              <w:rPr>
                <w:rFonts w:ascii="Arial" w:cs="Arial" w:eastAsia="Arial" w:hAnsi="Arial"/>
                <w:sz w:val="16"/>
                <w:szCs w:val="16"/>
                <w:b w:val="1"/>
                <w:bCs w:val="1"/>
                <w:color w:val="828282"/>
              </w:rPr>
            </w:pPr>
            <w:hyperlink w:anchor="page6">
              <w:r>
                <w:rPr>
                  <w:rFonts w:ascii="Arial" w:cs="Arial" w:eastAsia="Arial" w:hAnsi="Arial"/>
                  <w:sz w:val="16"/>
                  <w:szCs w:val="16"/>
                  <w:b w:val="1"/>
                  <w:bCs w:val="1"/>
                  <w:color w:val="828282"/>
                </w:rPr>
                <w:t>VOTING SECURITIES AND PRINCIPAL HOLDERS THEREOF</w:t>
              </w:r>
            </w:hyperlink>
          </w:p>
        </w:tc>
        <w:tc>
          <w:tcPr>
            <w:tcW w:w="420" w:type="dxa"/>
            <w:vAlign w:val="bottom"/>
            <w:tcBorders>
              <w:right w:val="single" w:sz="8" w:color="BF2115"/>
            </w:tcBorders>
            <w:gridSpan w:val="4"/>
            <w:shd w:val="clear" w:color="auto" w:fill="BF2115"/>
          </w:tcPr>
          <w:p>
            <w:pPr>
              <w:jc w:val="center"/>
              <w:ind w:left="179"/>
              <w:spacing w:after="0"/>
              <w:rPr>
                <w:rFonts w:ascii="Arial" w:cs="Arial" w:eastAsia="Arial" w:hAnsi="Arial"/>
                <w:sz w:val="16"/>
                <w:szCs w:val="16"/>
                <w:color w:val="ACACAC"/>
                <w:w w:val="89"/>
              </w:rPr>
            </w:pPr>
            <w:hyperlink w:anchor="page6">
              <w:r>
                <w:rPr>
                  <w:rFonts w:ascii="Arial" w:cs="Arial" w:eastAsia="Arial" w:hAnsi="Arial"/>
                  <w:sz w:val="16"/>
                  <w:szCs w:val="16"/>
                  <w:color w:val="ACACAC"/>
                  <w:w w:val="89"/>
                </w:rPr>
                <w:t>2</w:t>
              </w:r>
            </w:hyperlink>
          </w:p>
        </w:tc>
        <w:tc>
          <w:tcPr>
            <w:tcW w:w="22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600" w:type="dxa"/>
            <w:vAlign w:val="bottom"/>
            <w:shd w:val="clear" w:color="auto" w:fill="828282"/>
          </w:tcPr>
          <w:p>
            <w:pPr>
              <w:spacing w:after="0" w:line="20" w:lineRule="exact"/>
              <w:rPr>
                <w:sz w:val="1"/>
                <w:szCs w:val="1"/>
                <w:color w:val="auto"/>
              </w:rPr>
            </w:pPr>
          </w:p>
        </w:tc>
        <w:tc>
          <w:tcPr>
            <w:tcW w:w="56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840" w:type="dxa"/>
            <w:vAlign w:val="bottom"/>
            <w:tcBorders>
              <w:right w:val="single" w:sz="8" w:color="828282"/>
            </w:tcBorders>
            <w:gridSpan w:val="2"/>
            <w:shd w:val="clear" w:color="auto" w:fill="828282"/>
          </w:tcPr>
          <w:p>
            <w:pPr>
              <w:spacing w:after="0" w:line="20" w:lineRule="exact"/>
              <w:rPr>
                <w:sz w:val="1"/>
                <w:szCs w:val="1"/>
                <w:color w:val="auto"/>
              </w:rPr>
            </w:pPr>
          </w:p>
        </w:tc>
        <w:tc>
          <w:tcPr>
            <w:tcW w:w="60" w:type="dxa"/>
            <w:vAlign w:val="bottom"/>
            <w:tcBorders>
              <w:left w:val="single" w:sz="8" w:color="828282"/>
            </w:tcBorders>
            <w:shd w:val="clear" w:color="auto" w:fill="828282"/>
          </w:tcPr>
          <w:p>
            <w:pPr>
              <w:spacing w:after="0" w:line="20" w:lineRule="exact"/>
              <w:rPr>
                <w:sz w:val="1"/>
                <w:szCs w:val="1"/>
                <w:color w:val="auto"/>
              </w:rPr>
            </w:pPr>
          </w:p>
        </w:tc>
        <w:tc>
          <w:tcPr>
            <w:tcW w:w="380" w:type="dxa"/>
            <w:vAlign w:val="bottom"/>
            <w:shd w:val="clear" w:color="auto" w:fill="828282"/>
          </w:tcPr>
          <w:p>
            <w:pPr>
              <w:spacing w:after="0" w:line="20" w:lineRule="exact"/>
              <w:rPr>
                <w:sz w:val="1"/>
                <w:szCs w:val="1"/>
                <w:color w:val="auto"/>
              </w:rPr>
            </w:pPr>
          </w:p>
        </w:tc>
        <w:tc>
          <w:tcPr>
            <w:tcW w:w="220" w:type="dxa"/>
            <w:vAlign w:val="bottom"/>
            <w:gridSpan w:val="2"/>
            <w:shd w:val="clear" w:color="auto" w:fill="828282"/>
          </w:tcPr>
          <w:p>
            <w:pPr>
              <w:spacing w:after="0" w:line="20" w:lineRule="exact"/>
              <w:rPr>
                <w:sz w:val="1"/>
                <w:szCs w:val="1"/>
                <w:color w:val="auto"/>
              </w:rPr>
            </w:pPr>
          </w:p>
        </w:tc>
        <w:tc>
          <w:tcPr>
            <w:tcW w:w="180" w:type="dxa"/>
            <w:vAlign w:val="bottom"/>
            <w:shd w:val="clear" w:color="auto" w:fill="828282"/>
          </w:tcPr>
          <w:p>
            <w:pPr>
              <w:spacing w:after="0" w:line="20" w:lineRule="exact"/>
              <w:rPr>
                <w:sz w:val="1"/>
                <w:szCs w:val="1"/>
                <w:color w:val="auto"/>
              </w:rPr>
            </w:pPr>
          </w:p>
        </w:tc>
        <w:tc>
          <w:tcPr>
            <w:tcW w:w="220" w:type="dxa"/>
            <w:vAlign w:val="bottom"/>
            <w:shd w:val="clear" w:color="auto" w:fill="828282"/>
          </w:tcPr>
          <w:p>
            <w:pPr>
              <w:spacing w:after="0" w:line="20" w:lineRule="exact"/>
              <w:rPr>
                <w:sz w:val="1"/>
                <w:szCs w:val="1"/>
                <w:color w:val="auto"/>
              </w:rPr>
            </w:pPr>
          </w:p>
        </w:tc>
        <w:tc>
          <w:tcPr>
            <w:tcW w:w="80" w:type="dxa"/>
            <w:vAlign w:val="bottom"/>
            <w:shd w:val="clear" w:color="auto" w:fill="828282"/>
          </w:tcPr>
          <w:p>
            <w:pPr>
              <w:spacing w:after="0" w:line="20" w:lineRule="exact"/>
              <w:rPr>
                <w:sz w:val="1"/>
                <w:szCs w:val="1"/>
                <w:color w:val="auto"/>
              </w:rPr>
            </w:pPr>
          </w:p>
        </w:tc>
        <w:tc>
          <w:tcPr>
            <w:tcW w:w="460" w:type="dxa"/>
            <w:vAlign w:val="bottom"/>
            <w:shd w:val="clear" w:color="auto" w:fill="828282"/>
          </w:tcPr>
          <w:p>
            <w:pPr>
              <w:spacing w:after="0" w:line="20" w:lineRule="exact"/>
              <w:rPr>
                <w:sz w:val="1"/>
                <w:szCs w:val="1"/>
                <w:color w:val="auto"/>
              </w:rPr>
            </w:pPr>
          </w:p>
        </w:tc>
        <w:tc>
          <w:tcPr>
            <w:tcW w:w="780" w:type="dxa"/>
            <w:vAlign w:val="bottom"/>
            <w:shd w:val="clear" w:color="auto" w:fill="82828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BF2115"/>
          </w:tcPr>
          <w:p>
            <w:pPr>
              <w:spacing w:after="0" w:line="20" w:lineRule="exact"/>
              <w:rPr>
                <w:sz w:val="1"/>
                <w:szCs w:val="1"/>
                <w:color w:val="auto"/>
              </w:rPr>
            </w:pPr>
          </w:p>
        </w:tc>
        <w:tc>
          <w:tcPr>
            <w:tcW w:w="60" w:type="dxa"/>
            <w:vAlign w:val="bottom"/>
            <w:gridSpan w:val="2"/>
            <w:shd w:val="clear" w:color="auto" w:fill="BF2115"/>
          </w:tcPr>
          <w:p>
            <w:pPr>
              <w:spacing w:after="0" w:line="20" w:lineRule="exact"/>
              <w:rPr>
                <w:sz w:val="1"/>
                <w:szCs w:val="1"/>
                <w:color w:val="auto"/>
              </w:rPr>
            </w:pPr>
          </w:p>
        </w:tc>
        <w:tc>
          <w:tcPr>
            <w:tcW w:w="120" w:type="dxa"/>
            <w:vAlign w:val="bottom"/>
            <w:tcBorders>
              <w:right w:val="single" w:sz="8" w:color="BF2115"/>
            </w:tcBorders>
            <w:shd w:val="clear" w:color="auto" w:fill="ACACAC"/>
          </w:tcPr>
          <w:p>
            <w:pPr>
              <w:spacing w:after="0" w:line="20" w:lineRule="exact"/>
              <w:rPr>
                <w:sz w:val="1"/>
                <w:szCs w:val="1"/>
                <w:color w:val="auto"/>
              </w:rPr>
            </w:pPr>
          </w:p>
        </w:tc>
        <w:tc>
          <w:tcPr>
            <w:tcW w:w="22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20" w:type="dxa"/>
            <w:vAlign w:val="bottom"/>
            <w:gridSpan w:val="7"/>
          </w:tcPr>
          <w:p>
            <w:pPr>
              <w:spacing w:after="0"/>
              <w:rPr>
                <w:rFonts w:ascii="Arial" w:cs="Arial" w:eastAsia="Arial" w:hAnsi="Arial"/>
                <w:sz w:val="16"/>
                <w:szCs w:val="16"/>
                <w:b w:val="1"/>
                <w:bCs w:val="1"/>
                <w:color w:val="828282"/>
                <w:w w:val="98"/>
              </w:rPr>
            </w:pPr>
            <w:hyperlink w:anchor="page7">
              <w:r>
                <w:rPr>
                  <w:rFonts w:ascii="Arial" w:cs="Arial" w:eastAsia="Arial" w:hAnsi="Arial"/>
                  <w:sz w:val="16"/>
                  <w:szCs w:val="16"/>
                  <w:b w:val="1"/>
                  <w:bCs w:val="1"/>
                  <w:color w:val="828282"/>
                  <w:w w:val="98"/>
                </w:rPr>
                <w:t>CORPORATE GOVERNANCE</w:t>
              </w:r>
            </w:hyperlink>
          </w:p>
        </w:tc>
        <w:tc>
          <w:tcPr>
            <w:tcW w:w="2380" w:type="dxa"/>
            <w:vAlign w:val="bottom"/>
            <w:gridSpan w:val="9"/>
          </w:tcPr>
          <w:p>
            <w:pPr>
              <w:spacing w:after="0"/>
              <w:rPr>
                <w:sz w:val="19"/>
                <w:szCs w:val="19"/>
                <w:color w:val="auto"/>
              </w:rPr>
            </w:pPr>
          </w:p>
        </w:tc>
        <w:tc>
          <w:tcPr>
            <w:tcW w:w="6060" w:type="dxa"/>
            <w:vAlign w:val="bottom"/>
            <w:gridSpan w:val="4"/>
          </w:tcPr>
          <w:p>
            <w:pPr>
              <w:spacing w:after="0"/>
              <w:rPr>
                <w:sz w:val="19"/>
                <w:szCs w:val="19"/>
                <w:color w:val="auto"/>
              </w:rPr>
            </w:pPr>
          </w:p>
        </w:tc>
        <w:tc>
          <w:tcPr>
            <w:tcW w:w="420" w:type="dxa"/>
            <w:vAlign w:val="bottom"/>
            <w:tcBorders>
              <w:right w:val="single" w:sz="8" w:color="BF2115"/>
            </w:tcBorders>
            <w:gridSpan w:val="4"/>
            <w:shd w:val="clear" w:color="auto" w:fill="BF2115"/>
          </w:tcPr>
          <w:p>
            <w:pPr>
              <w:jc w:val="center"/>
              <w:ind w:left="179"/>
              <w:spacing w:after="0"/>
              <w:rPr>
                <w:rFonts w:ascii="Arial" w:cs="Arial" w:eastAsia="Arial" w:hAnsi="Arial"/>
                <w:sz w:val="16"/>
                <w:szCs w:val="16"/>
                <w:color w:val="ACACAC"/>
                <w:w w:val="89"/>
              </w:rPr>
            </w:pPr>
            <w:hyperlink w:anchor="page7">
              <w:r>
                <w:rPr>
                  <w:rFonts w:ascii="Arial" w:cs="Arial" w:eastAsia="Arial" w:hAnsi="Arial"/>
                  <w:sz w:val="16"/>
                  <w:szCs w:val="16"/>
                  <w:color w:val="ACACAC"/>
                  <w:w w:val="89"/>
                </w:rPr>
                <w:t>3</w:t>
              </w:r>
            </w:hyperlink>
          </w:p>
        </w:tc>
        <w:tc>
          <w:tcPr>
            <w:tcW w:w="22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600" w:type="dxa"/>
            <w:vAlign w:val="bottom"/>
            <w:shd w:val="clear" w:color="auto" w:fill="828282"/>
          </w:tcPr>
          <w:p>
            <w:pPr>
              <w:spacing w:after="0" w:line="20" w:lineRule="exact"/>
              <w:rPr>
                <w:sz w:val="1"/>
                <w:szCs w:val="1"/>
                <w:color w:val="auto"/>
              </w:rPr>
            </w:pPr>
          </w:p>
        </w:tc>
        <w:tc>
          <w:tcPr>
            <w:tcW w:w="56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840" w:type="dxa"/>
            <w:vAlign w:val="bottom"/>
            <w:tcBorders>
              <w:right w:val="single" w:sz="8" w:color="828282"/>
            </w:tcBorders>
            <w:gridSpan w:val="2"/>
            <w:shd w:val="clear" w:color="auto" w:fill="828282"/>
          </w:tcPr>
          <w:p>
            <w:pPr>
              <w:spacing w:after="0" w:line="20" w:lineRule="exact"/>
              <w:rPr>
                <w:sz w:val="1"/>
                <w:szCs w:val="1"/>
                <w:color w:val="auto"/>
              </w:rPr>
            </w:pPr>
          </w:p>
        </w:tc>
        <w:tc>
          <w:tcPr>
            <w:tcW w:w="60" w:type="dxa"/>
            <w:vAlign w:val="bottom"/>
            <w:tcBorders>
              <w:left w:val="single" w:sz="8" w:color="82828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BF2115"/>
          </w:tcPr>
          <w:p>
            <w:pPr>
              <w:spacing w:after="0" w:line="20" w:lineRule="exact"/>
              <w:rPr>
                <w:sz w:val="1"/>
                <w:szCs w:val="1"/>
                <w:color w:val="auto"/>
              </w:rPr>
            </w:pPr>
          </w:p>
        </w:tc>
        <w:tc>
          <w:tcPr>
            <w:tcW w:w="60" w:type="dxa"/>
            <w:vAlign w:val="bottom"/>
            <w:gridSpan w:val="2"/>
            <w:shd w:val="clear" w:color="auto" w:fill="BF2115"/>
          </w:tcPr>
          <w:p>
            <w:pPr>
              <w:spacing w:after="0" w:line="20" w:lineRule="exact"/>
              <w:rPr>
                <w:sz w:val="1"/>
                <w:szCs w:val="1"/>
                <w:color w:val="auto"/>
              </w:rPr>
            </w:pPr>
          </w:p>
        </w:tc>
        <w:tc>
          <w:tcPr>
            <w:tcW w:w="120" w:type="dxa"/>
            <w:vAlign w:val="bottom"/>
            <w:tcBorders>
              <w:right w:val="single" w:sz="8" w:color="BF2115"/>
            </w:tcBorders>
            <w:shd w:val="clear" w:color="auto" w:fill="ACACAC"/>
          </w:tcPr>
          <w:p>
            <w:pPr>
              <w:spacing w:after="0" w:line="20" w:lineRule="exact"/>
              <w:rPr>
                <w:sz w:val="1"/>
                <w:szCs w:val="1"/>
                <w:color w:val="auto"/>
              </w:rPr>
            </w:pPr>
          </w:p>
        </w:tc>
        <w:tc>
          <w:tcPr>
            <w:tcW w:w="22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20" w:type="dxa"/>
            <w:vAlign w:val="bottom"/>
            <w:gridSpan w:val="7"/>
          </w:tcPr>
          <w:p>
            <w:pPr>
              <w:spacing w:after="0"/>
              <w:rPr>
                <w:rFonts w:ascii="Arial" w:cs="Arial" w:eastAsia="Arial" w:hAnsi="Arial"/>
                <w:sz w:val="16"/>
                <w:szCs w:val="16"/>
                <w:b w:val="1"/>
                <w:bCs w:val="1"/>
                <w:color w:val="828282"/>
                <w:w w:val="99"/>
              </w:rPr>
            </w:pPr>
            <w:hyperlink w:anchor="page13">
              <w:r>
                <w:rPr>
                  <w:rFonts w:ascii="Arial" w:cs="Arial" w:eastAsia="Arial" w:hAnsi="Arial"/>
                  <w:sz w:val="16"/>
                  <w:szCs w:val="16"/>
                  <w:b w:val="1"/>
                  <w:bCs w:val="1"/>
                  <w:color w:val="828282"/>
                  <w:w w:val="99"/>
                </w:rPr>
                <w:t>DIRECTOR COMPENSATION</w:t>
              </w:r>
            </w:hyperlink>
          </w:p>
        </w:tc>
        <w:tc>
          <w:tcPr>
            <w:tcW w:w="8440" w:type="dxa"/>
            <w:vAlign w:val="bottom"/>
            <w:gridSpan w:val="13"/>
          </w:tcPr>
          <w:p>
            <w:pPr>
              <w:spacing w:after="0"/>
              <w:rPr>
                <w:sz w:val="19"/>
                <w:szCs w:val="19"/>
                <w:color w:val="auto"/>
              </w:rPr>
            </w:pPr>
          </w:p>
        </w:tc>
        <w:tc>
          <w:tcPr>
            <w:tcW w:w="420" w:type="dxa"/>
            <w:vAlign w:val="bottom"/>
            <w:tcBorders>
              <w:right w:val="single" w:sz="8" w:color="BF2115"/>
            </w:tcBorders>
            <w:gridSpan w:val="4"/>
            <w:shd w:val="clear" w:color="auto" w:fill="BF2115"/>
          </w:tcPr>
          <w:p>
            <w:pPr>
              <w:jc w:val="center"/>
              <w:ind w:left="179"/>
              <w:spacing w:after="0"/>
              <w:rPr>
                <w:rFonts w:ascii="Arial" w:cs="Arial" w:eastAsia="Arial" w:hAnsi="Arial"/>
                <w:sz w:val="16"/>
                <w:szCs w:val="16"/>
                <w:color w:val="ACACAC"/>
                <w:w w:val="89"/>
              </w:rPr>
            </w:pPr>
            <w:hyperlink w:anchor="page13">
              <w:r>
                <w:rPr>
                  <w:rFonts w:ascii="Arial" w:cs="Arial" w:eastAsia="Arial" w:hAnsi="Arial"/>
                  <w:sz w:val="16"/>
                  <w:szCs w:val="16"/>
                  <w:color w:val="ACACAC"/>
                  <w:w w:val="89"/>
                </w:rPr>
                <w:t>9</w:t>
              </w:r>
            </w:hyperlink>
          </w:p>
        </w:tc>
        <w:tc>
          <w:tcPr>
            <w:tcW w:w="22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600" w:type="dxa"/>
            <w:vAlign w:val="bottom"/>
            <w:shd w:val="clear" w:color="auto" w:fill="828282"/>
          </w:tcPr>
          <w:p>
            <w:pPr>
              <w:spacing w:after="0" w:line="20" w:lineRule="exact"/>
              <w:rPr>
                <w:sz w:val="1"/>
                <w:szCs w:val="1"/>
                <w:color w:val="auto"/>
              </w:rPr>
            </w:pPr>
          </w:p>
        </w:tc>
        <w:tc>
          <w:tcPr>
            <w:tcW w:w="56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840" w:type="dxa"/>
            <w:vAlign w:val="bottom"/>
            <w:tcBorders>
              <w:right w:val="single" w:sz="8" w:color="828282"/>
            </w:tcBorders>
            <w:gridSpan w:val="2"/>
            <w:shd w:val="clear" w:color="auto" w:fill="82828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BF2115"/>
          </w:tcPr>
          <w:p>
            <w:pPr>
              <w:spacing w:after="0" w:line="20" w:lineRule="exact"/>
              <w:rPr>
                <w:sz w:val="1"/>
                <w:szCs w:val="1"/>
                <w:color w:val="auto"/>
              </w:rPr>
            </w:pPr>
          </w:p>
        </w:tc>
        <w:tc>
          <w:tcPr>
            <w:tcW w:w="60" w:type="dxa"/>
            <w:vAlign w:val="bottom"/>
            <w:gridSpan w:val="2"/>
            <w:shd w:val="clear" w:color="auto" w:fill="BF2115"/>
          </w:tcPr>
          <w:p>
            <w:pPr>
              <w:spacing w:after="0" w:line="20" w:lineRule="exact"/>
              <w:rPr>
                <w:sz w:val="1"/>
                <w:szCs w:val="1"/>
                <w:color w:val="auto"/>
              </w:rPr>
            </w:pPr>
          </w:p>
        </w:tc>
        <w:tc>
          <w:tcPr>
            <w:tcW w:w="120" w:type="dxa"/>
            <w:vAlign w:val="bottom"/>
            <w:tcBorders>
              <w:right w:val="single" w:sz="8" w:color="BF2115"/>
            </w:tcBorders>
            <w:shd w:val="clear" w:color="auto" w:fill="ACACAC"/>
          </w:tcPr>
          <w:p>
            <w:pPr>
              <w:spacing w:after="0" w:line="20" w:lineRule="exact"/>
              <w:rPr>
                <w:sz w:val="1"/>
                <w:szCs w:val="1"/>
                <w:color w:val="auto"/>
              </w:rPr>
            </w:pPr>
          </w:p>
        </w:tc>
        <w:tc>
          <w:tcPr>
            <w:tcW w:w="22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60" w:type="dxa"/>
            <w:vAlign w:val="bottom"/>
            <w:tcBorders>
              <w:bottom w:val="single" w:sz="8" w:color="828282"/>
            </w:tcBorders>
            <w:gridSpan w:val="9"/>
          </w:tcPr>
          <w:p>
            <w:pPr>
              <w:spacing w:after="0"/>
              <w:rPr>
                <w:rFonts w:ascii="Arial" w:cs="Arial" w:eastAsia="Arial" w:hAnsi="Arial"/>
                <w:sz w:val="16"/>
                <w:szCs w:val="16"/>
                <w:b w:val="1"/>
                <w:bCs w:val="1"/>
                <w:color w:val="828282"/>
              </w:rPr>
            </w:pPr>
            <w:hyperlink w:anchor="page15">
              <w:r>
                <w:rPr>
                  <w:rFonts w:ascii="Arial" w:cs="Arial" w:eastAsia="Arial" w:hAnsi="Arial"/>
                  <w:sz w:val="16"/>
                  <w:szCs w:val="16"/>
                  <w:b w:val="1"/>
                  <w:bCs w:val="1"/>
                  <w:color w:val="828282"/>
                </w:rPr>
                <w:t>ITEM 1 ELECTION OF DIRECTORS</w:t>
              </w:r>
            </w:hyperlink>
          </w:p>
        </w:tc>
        <w:tc>
          <w:tcPr>
            <w:tcW w:w="8000" w:type="dxa"/>
            <w:vAlign w:val="bottom"/>
            <w:gridSpan w:val="11"/>
          </w:tcPr>
          <w:p>
            <w:pPr>
              <w:spacing w:after="0"/>
              <w:rPr>
                <w:sz w:val="19"/>
                <w:szCs w:val="19"/>
                <w:color w:val="auto"/>
              </w:rPr>
            </w:pPr>
          </w:p>
        </w:tc>
        <w:tc>
          <w:tcPr>
            <w:tcW w:w="240" w:type="dxa"/>
            <w:vAlign w:val="bottom"/>
            <w:tcBorders>
              <w:bottom w:val="single" w:sz="8" w:color="BF2115"/>
            </w:tcBorders>
            <w:shd w:val="clear" w:color="auto" w:fill="BF2115"/>
          </w:tcPr>
          <w:p>
            <w:pPr>
              <w:spacing w:after="0"/>
              <w:rPr>
                <w:sz w:val="19"/>
                <w:szCs w:val="19"/>
                <w:color w:val="auto"/>
              </w:rPr>
            </w:pPr>
          </w:p>
        </w:tc>
        <w:tc>
          <w:tcPr>
            <w:tcW w:w="180" w:type="dxa"/>
            <w:vAlign w:val="bottom"/>
            <w:tcBorders>
              <w:bottom w:val="single" w:sz="8" w:color="ACACAC"/>
              <w:right w:val="single" w:sz="8" w:color="BF2115"/>
            </w:tcBorders>
            <w:gridSpan w:val="3"/>
            <w:shd w:val="clear" w:color="auto" w:fill="BF2115"/>
          </w:tcPr>
          <w:p>
            <w:pPr>
              <w:jc w:val="center"/>
              <w:spacing w:after="0"/>
              <w:rPr>
                <w:rFonts w:ascii="Arial" w:cs="Arial" w:eastAsia="Arial" w:hAnsi="Arial"/>
                <w:sz w:val="16"/>
                <w:szCs w:val="16"/>
                <w:color w:val="ACACAC"/>
              </w:rPr>
            </w:pPr>
            <w:hyperlink w:anchor="page15">
              <w:r>
                <w:rPr>
                  <w:rFonts w:ascii="Arial" w:cs="Arial" w:eastAsia="Arial" w:hAnsi="Arial"/>
                  <w:sz w:val="16"/>
                  <w:szCs w:val="16"/>
                  <w:color w:val="ACACAC"/>
                </w:rPr>
                <w:t>11</w:t>
              </w:r>
            </w:hyperlink>
          </w:p>
        </w:tc>
        <w:tc>
          <w:tcPr>
            <w:tcW w:w="220" w:type="dxa"/>
            <w:vAlign w:val="bottom"/>
            <w:tcBorders>
              <w:bottom w:val="single" w:sz="8" w:color="BF2115"/>
            </w:tcBorders>
            <w:shd w:val="clear" w:color="auto" w:fill="BF2115"/>
          </w:tcPr>
          <w:p>
            <w:pPr>
              <w:spacing w:after="0"/>
              <w:rPr>
                <w:sz w:val="19"/>
                <w:szCs w:val="19"/>
                <w:color w:val="auto"/>
              </w:rPr>
            </w:pPr>
          </w:p>
        </w:tc>
        <w:tc>
          <w:tcPr>
            <w:tcW w:w="40" w:type="dxa"/>
            <w:vAlign w:val="bottom"/>
            <w:tcBorders>
              <w:bottom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Borders>
              <w:bottom w:val="single" w:sz="8" w:color="828282"/>
            </w:tcBorders>
            <w:gridSpan w:val="8"/>
          </w:tcPr>
          <w:p>
            <w:pPr>
              <w:spacing w:after="0"/>
              <w:rPr>
                <w:rFonts w:ascii="Arial" w:cs="Arial" w:eastAsia="Arial" w:hAnsi="Arial"/>
                <w:sz w:val="16"/>
                <w:szCs w:val="16"/>
                <w:b w:val="1"/>
                <w:bCs w:val="1"/>
                <w:color w:val="828282"/>
              </w:rPr>
            </w:pPr>
            <w:hyperlink w:anchor="page20">
              <w:r>
                <w:rPr>
                  <w:rFonts w:ascii="Arial" w:cs="Arial" w:eastAsia="Arial" w:hAnsi="Arial"/>
                  <w:sz w:val="16"/>
                  <w:szCs w:val="16"/>
                  <w:b w:val="1"/>
                  <w:bCs w:val="1"/>
                  <w:color w:val="828282"/>
                </w:rPr>
                <w:t>EXECUTIVE COMPENSATION</w:t>
              </w:r>
            </w:hyperlink>
          </w:p>
        </w:tc>
        <w:tc>
          <w:tcPr>
            <w:tcW w:w="8380" w:type="dxa"/>
            <w:vAlign w:val="bottom"/>
            <w:gridSpan w:val="12"/>
          </w:tcPr>
          <w:p>
            <w:pPr>
              <w:spacing w:after="0"/>
              <w:rPr>
                <w:sz w:val="19"/>
                <w:szCs w:val="19"/>
                <w:color w:val="auto"/>
              </w:rPr>
            </w:pPr>
          </w:p>
        </w:tc>
        <w:tc>
          <w:tcPr>
            <w:tcW w:w="240" w:type="dxa"/>
            <w:vAlign w:val="bottom"/>
            <w:tcBorders>
              <w:bottom w:val="single" w:sz="8" w:color="BF2115"/>
            </w:tcBorders>
            <w:shd w:val="clear" w:color="auto" w:fill="BF2115"/>
          </w:tcPr>
          <w:p>
            <w:pPr>
              <w:spacing w:after="0"/>
              <w:rPr>
                <w:sz w:val="19"/>
                <w:szCs w:val="19"/>
                <w:color w:val="auto"/>
              </w:rPr>
            </w:pPr>
          </w:p>
        </w:tc>
        <w:tc>
          <w:tcPr>
            <w:tcW w:w="180" w:type="dxa"/>
            <w:vAlign w:val="bottom"/>
            <w:tcBorders>
              <w:bottom w:val="single" w:sz="8" w:color="ACACAC"/>
              <w:right w:val="single" w:sz="8" w:color="BF2115"/>
            </w:tcBorders>
            <w:gridSpan w:val="3"/>
            <w:shd w:val="clear" w:color="auto" w:fill="BF2115"/>
          </w:tcPr>
          <w:p>
            <w:pPr>
              <w:jc w:val="center"/>
              <w:spacing w:after="0"/>
              <w:rPr>
                <w:rFonts w:ascii="Arial" w:cs="Arial" w:eastAsia="Arial" w:hAnsi="Arial"/>
                <w:sz w:val="16"/>
                <w:szCs w:val="16"/>
                <w:color w:val="ACACAC"/>
              </w:rPr>
            </w:pPr>
            <w:hyperlink w:anchor="page20">
              <w:r>
                <w:rPr>
                  <w:rFonts w:ascii="Arial" w:cs="Arial" w:eastAsia="Arial" w:hAnsi="Arial"/>
                  <w:sz w:val="16"/>
                  <w:szCs w:val="16"/>
                  <w:color w:val="ACACAC"/>
                </w:rPr>
                <w:t>16</w:t>
              </w:r>
            </w:hyperlink>
          </w:p>
        </w:tc>
        <w:tc>
          <w:tcPr>
            <w:tcW w:w="220" w:type="dxa"/>
            <w:vAlign w:val="bottom"/>
            <w:tcBorders>
              <w:bottom w:val="single" w:sz="8" w:color="BF2115"/>
            </w:tcBorders>
            <w:shd w:val="clear" w:color="auto" w:fill="BF2115"/>
          </w:tcPr>
          <w:p>
            <w:pPr>
              <w:spacing w:after="0"/>
              <w:rPr>
                <w:sz w:val="19"/>
                <w:szCs w:val="19"/>
                <w:color w:val="auto"/>
              </w:rPr>
            </w:pPr>
          </w:p>
        </w:tc>
        <w:tc>
          <w:tcPr>
            <w:tcW w:w="40" w:type="dxa"/>
            <w:vAlign w:val="bottom"/>
            <w:tcBorders>
              <w:bottom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80" w:type="dxa"/>
            <w:vAlign w:val="bottom"/>
            <w:tcBorders>
              <w:bottom w:val="single" w:sz="8" w:color="828282"/>
            </w:tcBorders>
            <w:gridSpan w:val="11"/>
          </w:tcPr>
          <w:p>
            <w:pPr>
              <w:spacing w:after="0"/>
              <w:rPr>
                <w:rFonts w:ascii="Arial" w:cs="Arial" w:eastAsia="Arial" w:hAnsi="Arial"/>
                <w:sz w:val="16"/>
                <w:szCs w:val="16"/>
                <w:b w:val="1"/>
                <w:bCs w:val="1"/>
                <w:color w:val="828282"/>
              </w:rPr>
            </w:pPr>
            <w:hyperlink w:anchor="page20">
              <w:r>
                <w:rPr>
                  <w:rFonts w:ascii="Arial" w:cs="Arial" w:eastAsia="Arial" w:hAnsi="Arial"/>
                  <w:sz w:val="16"/>
                  <w:szCs w:val="16"/>
                  <w:b w:val="1"/>
                  <w:bCs w:val="1"/>
                  <w:color w:val="828282"/>
                </w:rPr>
                <w:t>Compensation Discussion and Analysis</w:t>
              </w:r>
            </w:hyperlink>
          </w:p>
        </w:tc>
        <w:tc>
          <w:tcPr>
            <w:tcW w:w="7380" w:type="dxa"/>
            <w:vAlign w:val="bottom"/>
            <w:gridSpan w:val="7"/>
          </w:tcPr>
          <w:p>
            <w:pPr>
              <w:spacing w:after="0"/>
              <w:rPr>
                <w:sz w:val="19"/>
                <w:szCs w:val="19"/>
                <w:color w:val="auto"/>
              </w:rPr>
            </w:pPr>
          </w:p>
        </w:tc>
        <w:tc>
          <w:tcPr>
            <w:tcW w:w="240" w:type="dxa"/>
            <w:vAlign w:val="bottom"/>
            <w:tcBorders>
              <w:bottom w:val="single" w:sz="8" w:color="BF2115"/>
            </w:tcBorders>
            <w:shd w:val="clear" w:color="auto" w:fill="BF2115"/>
          </w:tcPr>
          <w:p>
            <w:pPr>
              <w:spacing w:after="0"/>
              <w:rPr>
                <w:sz w:val="19"/>
                <w:szCs w:val="19"/>
                <w:color w:val="auto"/>
              </w:rPr>
            </w:pPr>
          </w:p>
        </w:tc>
        <w:tc>
          <w:tcPr>
            <w:tcW w:w="180" w:type="dxa"/>
            <w:vAlign w:val="bottom"/>
            <w:tcBorders>
              <w:bottom w:val="single" w:sz="8" w:color="ACACAC"/>
              <w:right w:val="single" w:sz="8" w:color="BF2115"/>
            </w:tcBorders>
            <w:gridSpan w:val="3"/>
            <w:shd w:val="clear" w:color="auto" w:fill="BF2115"/>
          </w:tcPr>
          <w:p>
            <w:pPr>
              <w:jc w:val="center"/>
              <w:spacing w:after="0"/>
              <w:rPr>
                <w:rFonts w:ascii="Arial" w:cs="Arial" w:eastAsia="Arial" w:hAnsi="Arial"/>
                <w:sz w:val="16"/>
                <w:szCs w:val="16"/>
                <w:color w:val="ACACAC"/>
              </w:rPr>
            </w:pPr>
            <w:hyperlink w:anchor="page20">
              <w:r>
                <w:rPr>
                  <w:rFonts w:ascii="Arial" w:cs="Arial" w:eastAsia="Arial" w:hAnsi="Arial"/>
                  <w:sz w:val="16"/>
                  <w:szCs w:val="16"/>
                  <w:color w:val="ACACAC"/>
                </w:rPr>
                <w:t>16</w:t>
              </w:r>
            </w:hyperlink>
          </w:p>
        </w:tc>
        <w:tc>
          <w:tcPr>
            <w:tcW w:w="220" w:type="dxa"/>
            <w:vAlign w:val="bottom"/>
            <w:tcBorders>
              <w:bottom w:val="single" w:sz="8" w:color="BF2115"/>
            </w:tcBorders>
            <w:shd w:val="clear" w:color="auto" w:fill="BF2115"/>
          </w:tcPr>
          <w:p>
            <w:pPr>
              <w:spacing w:after="0"/>
              <w:rPr>
                <w:sz w:val="19"/>
                <w:szCs w:val="19"/>
                <w:color w:val="auto"/>
              </w:rPr>
            </w:pPr>
          </w:p>
        </w:tc>
        <w:tc>
          <w:tcPr>
            <w:tcW w:w="40" w:type="dxa"/>
            <w:vAlign w:val="bottom"/>
            <w:tcBorders>
              <w:bottom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60" w:type="dxa"/>
            <w:vAlign w:val="bottom"/>
            <w:gridSpan w:val="18"/>
          </w:tcPr>
          <w:p>
            <w:pPr>
              <w:spacing w:after="0"/>
              <w:rPr>
                <w:rFonts w:ascii="Arial" w:cs="Arial" w:eastAsia="Arial" w:hAnsi="Arial"/>
                <w:sz w:val="16"/>
                <w:szCs w:val="16"/>
                <w:b w:val="1"/>
                <w:bCs w:val="1"/>
                <w:color w:val="828282"/>
              </w:rPr>
            </w:pPr>
            <w:hyperlink w:anchor="page31">
              <w:r>
                <w:rPr>
                  <w:rFonts w:ascii="Arial" w:cs="Arial" w:eastAsia="Arial" w:hAnsi="Arial"/>
                  <w:sz w:val="16"/>
                  <w:szCs w:val="16"/>
                  <w:b w:val="1"/>
                  <w:bCs w:val="1"/>
                  <w:color w:val="828282"/>
                </w:rPr>
                <w:t>Human Resources Committee Report</w:t>
              </w:r>
            </w:hyperlink>
          </w:p>
        </w:tc>
        <w:tc>
          <w:tcPr>
            <w:tcW w:w="420" w:type="dxa"/>
            <w:vAlign w:val="bottom"/>
            <w:tcBorders>
              <w:right w:val="single" w:sz="8" w:color="BF2115"/>
            </w:tcBorders>
            <w:gridSpan w:val="4"/>
            <w:shd w:val="clear" w:color="auto" w:fill="BF2115"/>
          </w:tcPr>
          <w:p>
            <w:pPr>
              <w:jc w:val="center"/>
              <w:ind w:left="159"/>
              <w:spacing w:after="0"/>
              <w:rPr>
                <w:rFonts w:ascii="Arial" w:cs="Arial" w:eastAsia="Arial" w:hAnsi="Arial"/>
                <w:sz w:val="16"/>
                <w:szCs w:val="16"/>
                <w:color w:val="ACACAC"/>
              </w:rPr>
            </w:pPr>
            <w:hyperlink w:anchor="page31">
              <w:r>
                <w:rPr>
                  <w:rFonts w:ascii="Arial" w:cs="Arial" w:eastAsia="Arial" w:hAnsi="Arial"/>
                  <w:sz w:val="16"/>
                  <w:szCs w:val="16"/>
                  <w:color w:val="ACACAC"/>
                </w:rPr>
                <w:t>27</w:t>
              </w:r>
            </w:hyperlink>
          </w:p>
        </w:tc>
        <w:tc>
          <w:tcPr>
            <w:tcW w:w="22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828282"/>
          </w:tcPr>
          <w:p>
            <w:pPr>
              <w:spacing w:after="0" w:line="20" w:lineRule="exact"/>
              <w:rPr>
                <w:sz w:val="1"/>
                <w:szCs w:val="1"/>
                <w:color w:val="auto"/>
              </w:rPr>
            </w:pPr>
          </w:p>
        </w:tc>
        <w:tc>
          <w:tcPr>
            <w:tcW w:w="56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840" w:type="dxa"/>
            <w:vAlign w:val="bottom"/>
            <w:tcBorders>
              <w:right w:val="single" w:sz="8" w:color="828282"/>
            </w:tcBorders>
            <w:gridSpan w:val="2"/>
            <w:shd w:val="clear" w:color="auto" w:fill="828282"/>
          </w:tcPr>
          <w:p>
            <w:pPr>
              <w:spacing w:after="0" w:line="20" w:lineRule="exact"/>
              <w:rPr>
                <w:sz w:val="1"/>
                <w:szCs w:val="1"/>
                <w:color w:val="auto"/>
              </w:rPr>
            </w:pPr>
          </w:p>
        </w:tc>
        <w:tc>
          <w:tcPr>
            <w:tcW w:w="660" w:type="dxa"/>
            <w:vAlign w:val="bottom"/>
            <w:tcBorders>
              <w:left w:val="single" w:sz="8" w:color="828282"/>
            </w:tcBorders>
            <w:gridSpan w:val="4"/>
            <w:shd w:val="clear" w:color="auto" w:fill="828282"/>
          </w:tcPr>
          <w:p>
            <w:pPr>
              <w:spacing w:after="0" w:line="20" w:lineRule="exact"/>
              <w:rPr>
                <w:sz w:val="1"/>
                <w:szCs w:val="1"/>
                <w:color w:val="auto"/>
              </w:rPr>
            </w:pPr>
          </w:p>
        </w:tc>
        <w:tc>
          <w:tcPr>
            <w:tcW w:w="180" w:type="dxa"/>
            <w:vAlign w:val="bottom"/>
            <w:shd w:val="clear" w:color="auto" w:fill="82828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BF2115"/>
          </w:tcPr>
          <w:p>
            <w:pPr>
              <w:spacing w:after="0" w:line="20" w:lineRule="exact"/>
              <w:rPr>
                <w:sz w:val="1"/>
                <w:szCs w:val="1"/>
                <w:color w:val="auto"/>
              </w:rPr>
            </w:pPr>
          </w:p>
        </w:tc>
        <w:tc>
          <w:tcPr>
            <w:tcW w:w="180" w:type="dxa"/>
            <w:vAlign w:val="bottom"/>
            <w:tcBorders>
              <w:right w:val="single" w:sz="8" w:color="ACACAC"/>
            </w:tcBorders>
            <w:gridSpan w:val="3"/>
            <w:shd w:val="clear" w:color="auto" w:fill="ACACAC"/>
          </w:tcPr>
          <w:p>
            <w:pPr>
              <w:spacing w:after="0" w:line="20" w:lineRule="exact"/>
              <w:rPr>
                <w:sz w:val="1"/>
                <w:szCs w:val="1"/>
                <w:color w:val="auto"/>
              </w:rPr>
            </w:pPr>
          </w:p>
        </w:tc>
        <w:tc>
          <w:tcPr>
            <w:tcW w:w="22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tcBorders>
              <w:bottom w:val="single" w:sz="8" w:color="828282"/>
            </w:tcBorders>
            <w:gridSpan w:val="13"/>
          </w:tcPr>
          <w:p>
            <w:pPr>
              <w:spacing w:after="0"/>
              <w:rPr>
                <w:rFonts w:ascii="Arial" w:cs="Arial" w:eastAsia="Arial" w:hAnsi="Arial"/>
                <w:sz w:val="16"/>
                <w:szCs w:val="16"/>
                <w:b w:val="1"/>
                <w:bCs w:val="1"/>
                <w:color w:val="828282"/>
              </w:rPr>
            </w:pPr>
            <w:hyperlink w:anchor="page32">
              <w:r>
                <w:rPr>
                  <w:rFonts w:ascii="Arial" w:cs="Arial" w:eastAsia="Arial" w:hAnsi="Arial"/>
                  <w:sz w:val="16"/>
                  <w:szCs w:val="16"/>
                  <w:b w:val="1"/>
                  <w:bCs w:val="1"/>
                  <w:color w:val="828282"/>
                </w:rPr>
                <w:t>Compensation Tables and Narrative Disclosure</w:t>
              </w:r>
            </w:hyperlink>
          </w:p>
        </w:tc>
        <w:tc>
          <w:tcPr>
            <w:tcW w:w="6840" w:type="dxa"/>
            <w:vAlign w:val="bottom"/>
            <w:gridSpan w:val="5"/>
          </w:tcPr>
          <w:p>
            <w:pPr>
              <w:spacing w:after="0"/>
              <w:rPr>
                <w:sz w:val="19"/>
                <w:szCs w:val="19"/>
                <w:color w:val="auto"/>
              </w:rPr>
            </w:pPr>
          </w:p>
        </w:tc>
        <w:tc>
          <w:tcPr>
            <w:tcW w:w="240" w:type="dxa"/>
            <w:vAlign w:val="bottom"/>
            <w:tcBorders>
              <w:bottom w:val="single" w:sz="8" w:color="BF2115"/>
            </w:tcBorders>
            <w:shd w:val="clear" w:color="auto" w:fill="BF2115"/>
          </w:tcPr>
          <w:p>
            <w:pPr>
              <w:spacing w:after="0"/>
              <w:rPr>
                <w:sz w:val="19"/>
                <w:szCs w:val="19"/>
                <w:color w:val="auto"/>
              </w:rPr>
            </w:pPr>
          </w:p>
        </w:tc>
        <w:tc>
          <w:tcPr>
            <w:tcW w:w="180" w:type="dxa"/>
            <w:vAlign w:val="bottom"/>
            <w:tcBorders>
              <w:bottom w:val="single" w:sz="8" w:color="ACACAC"/>
              <w:right w:val="single" w:sz="8" w:color="BF2115"/>
            </w:tcBorders>
            <w:gridSpan w:val="3"/>
            <w:shd w:val="clear" w:color="auto" w:fill="BF2115"/>
          </w:tcPr>
          <w:p>
            <w:pPr>
              <w:jc w:val="center"/>
              <w:spacing w:after="0"/>
              <w:rPr>
                <w:rFonts w:ascii="Arial" w:cs="Arial" w:eastAsia="Arial" w:hAnsi="Arial"/>
                <w:sz w:val="16"/>
                <w:szCs w:val="16"/>
                <w:color w:val="ACACAC"/>
              </w:rPr>
            </w:pPr>
            <w:hyperlink w:anchor="page32">
              <w:r>
                <w:rPr>
                  <w:rFonts w:ascii="Arial" w:cs="Arial" w:eastAsia="Arial" w:hAnsi="Arial"/>
                  <w:sz w:val="16"/>
                  <w:szCs w:val="16"/>
                  <w:color w:val="ACACAC"/>
                </w:rPr>
                <w:t>28</w:t>
              </w:r>
            </w:hyperlink>
          </w:p>
        </w:tc>
        <w:tc>
          <w:tcPr>
            <w:tcW w:w="220" w:type="dxa"/>
            <w:vAlign w:val="bottom"/>
            <w:tcBorders>
              <w:bottom w:val="single" w:sz="8" w:color="BF2115"/>
            </w:tcBorders>
            <w:shd w:val="clear" w:color="auto" w:fill="BF2115"/>
          </w:tcPr>
          <w:p>
            <w:pPr>
              <w:spacing w:after="0"/>
              <w:rPr>
                <w:sz w:val="19"/>
                <w:szCs w:val="19"/>
                <w:color w:val="auto"/>
              </w:rPr>
            </w:pPr>
          </w:p>
        </w:tc>
        <w:tc>
          <w:tcPr>
            <w:tcW w:w="40" w:type="dxa"/>
            <w:vAlign w:val="bottom"/>
            <w:tcBorders>
              <w:bottom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40" w:type="dxa"/>
            <w:vAlign w:val="bottom"/>
            <w:tcBorders>
              <w:bottom w:val="single" w:sz="8" w:color="828282"/>
            </w:tcBorders>
            <w:gridSpan w:val="6"/>
          </w:tcPr>
          <w:p>
            <w:pPr>
              <w:spacing w:after="0"/>
              <w:rPr>
                <w:rFonts w:ascii="Arial" w:cs="Arial" w:eastAsia="Arial" w:hAnsi="Arial"/>
                <w:sz w:val="16"/>
                <w:szCs w:val="16"/>
                <w:b w:val="1"/>
                <w:bCs w:val="1"/>
                <w:color w:val="828282"/>
              </w:rPr>
            </w:pPr>
            <w:hyperlink w:anchor="page39">
              <w:r>
                <w:rPr>
                  <w:rFonts w:ascii="Arial" w:cs="Arial" w:eastAsia="Arial" w:hAnsi="Arial"/>
                  <w:sz w:val="16"/>
                  <w:szCs w:val="16"/>
                  <w:b w:val="1"/>
                  <w:bCs w:val="1"/>
                  <w:color w:val="828282"/>
                </w:rPr>
                <w:t>CEO Pay Ratio Disclosure</w:t>
              </w:r>
            </w:hyperlink>
          </w:p>
        </w:tc>
        <w:tc>
          <w:tcPr>
            <w:tcW w:w="8440" w:type="dxa"/>
            <w:vAlign w:val="bottom"/>
            <w:gridSpan w:val="13"/>
          </w:tcPr>
          <w:p>
            <w:pPr>
              <w:spacing w:after="0"/>
              <w:rPr>
                <w:sz w:val="19"/>
                <w:szCs w:val="19"/>
                <w:color w:val="auto"/>
              </w:rPr>
            </w:pPr>
          </w:p>
        </w:tc>
        <w:tc>
          <w:tcPr>
            <w:tcW w:w="240" w:type="dxa"/>
            <w:vAlign w:val="bottom"/>
            <w:tcBorders>
              <w:bottom w:val="single" w:sz="8" w:color="BF2115"/>
            </w:tcBorders>
            <w:shd w:val="clear" w:color="auto" w:fill="BF2115"/>
          </w:tcPr>
          <w:p>
            <w:pPr>
              <w:spacing w:after="0"/>
              <w:rPr>
                <w:sz w:val="19"/>
                <w:szCs w:val="19"/>
                <w:color w:val="auto"/>
              </w:rPr>
            </w:pPr>
          </w:p>
        </w:tc>
        <w:tc>
          <w:tcPr>
            <w:tcW w:w="180" w:type="dxa"/>
            <w:vAlign w:val="bottom"/>
            <w:tcBorders>
              <w:bottom w:val="single" w:sz="8" w:color="ACACAC"/>
              <w:right w:val="single" w:sz="8" w:color="BF2115"/>
            </w:tcBorders>
            <w:gridSpan w:val="3"/>
            <w:shd w:val="clear" w:color="auto" w:fill="BF2115"/>
          </w:tcPr>
          <w:p>
            <w:pPr>
              <w:jc w:val="center"/>
              <w:spacing w:after="0"/>
              <w:rPr>
                <w:sz w:val="20"/>
                <w:szCs w:val="20"/>
                <w:color w:val="auto"/>
              </w:rPr>
            </w:pPr>
            <w:r>
              <w:rPr>
                <w:rFonts w:ascii="Arial" w:cs="Arial" w:eastAsia="Arial" w:hAnsi="Arial"/>
                <w:sz w:val="16"/>
                <w:szCs w:val="16"/>
                <w:color w:val="ACACAC"/>
              </w:rPr>
              <w:t>36</w:t>
            </w:r>
          </w:p>
        </w:tc>
        <w:tc>
          <w:tcPr>
            <w:tcW w:w="220" w:type="dxa"/>
            <w:vAlign w:val="bottom"/>
            <w:tcBorders>
              <w:bottom w:val="single" w:sz="8" w:color="BF2115"/>
            </w:tcBorders>
            <w:shd w:val="clear" w:color="auto" w:fill="BF2115"/>
          </w:tcPr>
          <w:p>
            <w:pPr>
              <w:spacing w:after="0"/>
              <w:rPr>
                <w:sz w:val="19"/>
                <w:szCs w:val="19"/>
                <w:color w:val="auto"/>
              </w:rPr>
            </w:pPr>
          </w:p>
        </w:tc>
        <w:tc>
          <w:tcPr>
            <w:tcW w:w="40" w:type="dxa"/>
            <w:vAlign w:val="bottom"/>
            <w:tcBorders>
              <w:bottom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60" w:type="dxa"/>
            <w:vAlign w:val="bottom"/>
            <w:gridSpan w:val="20"/>
          </w:tcPr>
          <w:p>
            <w:pPr>
              <w:spacing w:after="0"/>
              <w:rPr>
                <w:rFonts w:ascii="Arial" w:cs="Arial" w:eastAsia="Arial" w:hAnsi="Arial"/>
                <w:sz w:val="16"/>
                <w:szCs w:val="16"/>
                <w:b w:val="1"/>
                <w:bCs w:val="1"/>
                <w:color w:val="828282"/>
              </w:rPr>
            </w:pPr>
            <w:hyperlink w:anchor="page41">
              <w:r>
                <w:rPr>
                  <w:rFonts w:ascii="Arial" w:cs="Arial" w:eastAsia="Arial" w:hAnsi="Arial"/>
                  <w:sz w:val="16"/>
                  <w:szCs w:val="16"/>
                  <w:b w:val="1"/>
                  <w:bCs w:val="1"/>
                  <w:color w:val="828282"/>
                </w:rPr>
                <w:t>ITEM 2 APPROVAL OF EXECUTIVE COMPENSATION (THE "SAY ON PAY" VOTE)</w:t>
              </w:r>
            </w:hyperlink>
          </w:p>
        </w:tc>
        <w:tc>
          <w:tcPr>
            <w:tcW w:w="420" w:type="dxa"/>
            <w:vAlign w:val="bottom"/>
            <w:tcBorders>
              <w:right w:val="single" w:sz="8" w:color="BF2115"/>
            </w:tcBorders>
            <w:gridSpan w:val="4"/>
            <w:shd w:val="clear" w:color="auto" w:fill="BF2115"/>
          </w:tcPr>
          <w:p>
            <w:pPr>
              <w:jc w:val="center"/>
              <w:ind w:left="159"/>
              <w:spacing w:after="0"/>
              <w:rPr>
                <w:rFonts w:ascii="Arial" w:cs="Arial" w:eastAsia="Arial" w:hAnsi="Arial"/>
                <w:sz w:val="16"/>
                <w:szCs w:val="16"/>
                <w:color w:val="ACACAC"/>
              </w:rPr>
            </w:pPr>
            <w:hyperlink w:anchor="page41">
              <w:r>
                <w:rPr>
                  <w:rFonts w:ascii="Arial" w:cs="Arial" w:eastAsia="Arial" w:hAnsi="Arial"/>
                  <w:sz w:val="16"/>
                  <w:szCs w:val="16"/>
                  <w:color w:val="ACACAC"/>
                </w:rPr>
                <w:t>37</w:t>
              </w:r>
            </w:hyperlink>
          </w:p>
        </w:tc>
        <w:tc>
          <w:tcPr>
            <w:tcW w:w="22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Borders>
              <w:top w:val="single" w:sz="8" w:color="828282"/>
              <w:bottom w:val="single" w:sz="8" w:color="828282"/>
            </w:tcBorders>
            <w:gridSpan w:val="11"/>
          </w:tcPr>
          <w:p>
            <w:pPr>
              <w:spacing w:after="0"/>
              <w:rPr>
                <w:rFonts w:ascii="Arial" w:cs="Arial" w:eastAsia="Arial" w:hAnsi="Arial"/>
                <w:sz w:val="16"/>
                <w:szCs w:val="16"/>
                <w:b w:val="1"/>
                <w:bCs w:val="1"/>
                <w:color w:val="828282"/>
              </w:rPr>
            </w:pPr>
            <w:hyperlink w:anchor="page41">
              <w:r>
                <w:rPr>
                  <w:rFonts w:ascii="Arial" w:cs="Arial" w:eastAsia="Arial" w:hAnsi="Arial"/>
                  <w:sz w:val="16"/>
                  <w:szCs w:val="16"/>
                  <w:b w:val="1"/>
                  <w:bCs w:val="1"/>
                  <w:color w:val="828282"/>
                </w:rPr>
                <w:t>REPORT OF THE AUDIT COMMITTEE</w:t>
              </w:r>
            </w:hyperlink>
          </w:p>
        </w:tc>
        <w:tc>
          <w:tcPr>
            <w:tcW w:w="3280" w:type="dxa"/>
            <w:vAlign w:val="bottom"/>
            <w:tcBorders>
              <w:top w:val="single" w:sz="8" w:color="828282"/>
            </w:tcBorders>
            <w:gridSpan w:val="7"/>
          </w:tcPr>
          <w:p>
            <w:pPr>
              <w:spacing w:after="0"/>
              <w:rPr>
                <w:sz w:val="19"/>
                <w:szCs w:val="19"/>
                <w:color w:val="auto"/>
              </w:rPr>
            </w:pPr>
          </w:p>
        </w:tc>
        <w:tc>
          <w:tcPr>
            <w:tcW w:w="4500" w:type="dxa"/>
            <w:vAlign w:val="bottom"/>
            <w:gridSpan w:val="2"/>
          </w:tcPr>
          <w:p>
            <w:pPr>
              <w:spacing w:after="0"/>
              <w:rPr>
                <w:sz w:val="19"/>
                <w:szCs w:val="19"/>
                <w:color w:val="auto"/>
              </w:rPr>
            </w:pPr>
          </w:p>
        </w:tc>
        <w:tc>
          <w:tcPr>
            <w:tcW w:w="240" w:type="dxa"/>
            <w:vAlign w:val="bottom"/>
            <w:tcBorders>
              <w:top w:val="single" w:sz="8" w:color="BF2115"/>
              <w:bottom w:val="single" w:sz="8" w:color="BF2115"/>
            </w:tcBorders>
            <w:shd w:val="clear" w:color="auto" w:fill="BF2115"/>
          </w:tcPr>
          <w:p>
            <w:pPr>
              <w:spacing w:after="0"/>
              <w:rPr>
                <w:sz w:val="19"/>
                <w:szCs w:val="19"/>
                <w:color w:val="auto"/>
              </w:rPr>
            </w:pPr>
          </w:p>
        </w:tc>
        <w:tc>
          <w:tcPr>
            <w:tcW w:w="180" w:type="dxa"/>
            <w:vAlign w:val="bottom"/>
            <w:tcBorders>
              <w:top w:val="single" w:sz="8" w:color="ACACAC"/>
              <w:bottom w:val="single" w:sz="8" w:color="ACACAC"/>
              <w:right w:val="single" w:sz="8" w:color="BF2115"/>
            </w:tcBorders>
            <w:gridSpan w:val="3"/>
            <w:shd w:val="clear" w:color="auto" w:fill="BF2115"/>
          </w:tcPr>
          <w:p>
            <w:pPr>
              <w:jc w:val="center"/>
              <w:spacing w:after="0"/>
              <w:rPr>
                <w:rFonts w:ascii="Arial" w:cs="Arial" w:eastAsia="Arial" w:hAnsi="Arial"/>
                <w:sz w:val="16"/>
                <w:szCs w:val="16"/>
                <w:color w:val="ACACAC"/>
              </w:rPr>
            </w:pPr>
            <w:hyperlink w:anchor="page41">
              <w:r>
                <w:rPr>
                  <w:rFonts w:ascii="Arial" w:cs="Arial" w:eastAsia="Arial" w:hAnsi="Arial"/>
                  <w:sz w:val="16"/>
                  <w:szCs w:val="16"/>
                  <w:color w:val="ACACAC"/>
                </w:rPr>
                <w:t>37</w:t>
              </w:r>
            </w:hyperlink>
          </w:p>
        </w:tc>
        <w:tc>
          <w:tcPr>
            <w:tcW w:w="220" w:type="dxa"/>
            <w:vAlign w:val="bottom"/>
            <w:tcBorders>
              <w:top w:val="single" w:sz="8" w:color="BF2115"/>
              <w:bottom w:val="single" w:sz="8" w:color="BF2115"/>
            </w:tcBorders>
            <w:shd w:val="clear" w:color="auto" w:fill="BF2115"/>
          </w:tcPr>
          <w:p>
            <w:pPr>
              <w:spacing w:after="0"/>
              <w:rPr>
                <w:sz w:val="19"/>
                <w:szCs w:val="19"/>
                <w:color w:val="auto"/>
              </w:rPr>
            </w:pPr>
          </w:p>
        </w:tc>
        <w:tc>
          <w:tcPr>
            <w:tcW w:w="40" w:type="dxa"/>
            <w:vAlign w:val="bottom"/>
            <w:tcBorders>
              <w:top w:val="single" w:sz="8" w:color="BF2115"/>
              <w:bottom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28282"/>
            </w:tcBorders>
            <w:gridSpan w:val="17"/>
          </w:tcPr>
          <w:p>
            <w:pPr>
              <w:spacing w:after="0"/>
              <w:rPr>
                <w:rFonts w:ascii="Arial" w:cs="Arial" w:eastAsia="Arial" w:hAnsi="Arial"/>
                <w:sz w:val="16"/>
                <w:szCs w:val="16"/>
                <w:b w:val="1"/>
                <w:bCs w:val="1"/>
                <w:color w:val="828282"/>
              </w:rPr>
            </w:pPr>
            <w:hyperlink w:anchor="page42">
              <w:r>
                <w:rPr>
                  <w:rFonts w:ascii="Arial" w:cs="Arial" w:eastAsia="Arial" w:hAnsi="Arial"/>
                  <w:sz w:val="16"/>
                  <w:szCs w:val="16"/>
                  <w:b w:val="1"/>
                  <w:bCs w:val="1"/>
                  <w:color w:val="828282"/>
                </w:rPr>
                <w:t>INDEPENDENT REGISTERED PUBLIC ACCOUNTANT'S FEES AND SERVICES</w:t>
              </w:r>
            </w:hyperlink>
          </w:p>
        </w:tc>
        <w:tc>
          <w:tcPr>
            <w:tcW w:w="4700" w:type="dxa"/>
            <w:vAlign w:val="bottom"/>
            <w:gridSpan w:val="3"/>
          </w:tcPr>
          <w:p>
            <w:pPr>
              <w:spacing w:after="0"/>
              <w:rPr>
                <w:sz w:val="19"/>
                <w:szCs w:val="19"/>
                <w:color w:val="auto"/>
              </w:rPr>
            </w:pPr>
          </w:p>
        </w:tc>
        <w:tc>
          <w:tcPr>
            <w:tcW w:w="240" w:type="dxa"/>
            <w:vAlign w:val="bottom"/>
            <w:tcBorders>
              <w:bottom w:val="single" w:sz="8" w:color="BF2115"/>
            </w:tcBorders>
            <w:shd w:val="clear" w:color="auto" w:fill="BF2115"/>
          </w:tcPr>
          <w:p>
            <w:pPr>
              <w:spacing w:after="0"/>
              <w:rPr>
                <w:sz w:val="19"/>
                <w:szCs w:val="19"/>
                <w:color w:val="auto"/>
              </w:rPr>
            </w:pPr>
          </w:p>
        </w:tc>
        <w:tc>
          <w:tcPr>
            <w:tcW w:w="180" w:type="dxa"/>
            <w:vAlign w:val="bottom"/>
            <w:tcBorders>
              <w:bottom w:val="single" w:sz="8" w:color="ACACAC"/>
              <w:right w:val="single" w:sz="8" w:color="BF2115"/>
            </w:tcBorders>
            <w:gridSpan w:val="3"/>
            <w:shd w:val="clear" w:color="auto" w:fill="BF2115"/>
          </w:tcPr>
          <w:p>
            <w:pPr>
              <w:jc w:val="center"/>
              <w:spacing w:after="0"/>
              <w:rPr>
                <w:rFonts w:ascii="Arial" w:cs="Arial" w:eastAsia="Arial" w:hAnsi="Arial"/>
                <w:sz w:val="16"/>
                <w:szCs w:val="16"/>
                <w:color w:val="ACACAC"/>
              </w:rPr>
            </w:pPr>
            <w:hyperlink w:anchor="page42">
              <w:r>
                <w:rPr>
                  <w:rFonts w:ascii="Arial" w:cs="Arial" w:eastAsia="Arial" w:hAnsi="Arial"/>
                  <w:sz w:val="16"/>
                  <w:szCs w:val="16"/>
                  <w:color w:val="ACACAC"/>
                </w:rPr>
                <w:t>38</w:t>
              </w:r>
            </w:hyperlink>
          </w:p>
        </w:tc>
        <w:tc>
          <w:tcPr>
            <w:tcW w:w="220" w:type="dxa"/>
            <w:vAlign w:val="bottom"/>
            <w:tcBorders>
              <w:bottom w:val="single" w:sz="8" w:color="BF2115"/>
            </w:tcBorders>
            <w:shd w:val="clear" w:color="auto" w:fill="BF2115"/>
          </w:tcPr>
          <w:p>
            <w:pPr>
              <w:spacing w:after="0"/>
              <w:rPr>
                <w:sz w:val="19"/>
                <w:szCs w:val="19"/>
                <w:color w:val="auto"/>
              </w:rPr>
            </w:pPr>
          </w:p>
        </w:tc>
        <w:tc>
          <w:tcPr>
            <w:tcW w:w="40" w:type="dxa"/>
            <w:vAlign w:val="bottom"/>
            <w:tcBorders>
              <w:bottom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60" w:type="dxa"/>
            <w:vAlign w:val="bottom"/>
            <w:gridSpan w:val="20"/>
          </w:tcPr>
          <w:p>
            <w:pPr>
              <w:spacing w:after="0"/>
              <w:rPr>
                <w:rFonts w:ascii="Arial" w:cs="Arial" w:eastAsia="Arial" w:hAnsi="Arial"/>
                <w:sz w:val="16"/>
                <w:szCs w:val="16"/>
                <w:b w:val="1"/>
                <w:bCs w:val="1"/>
                <w:color w:val="828282"/>
              </w:rPr>
            </w:pPr>
            <w:hyperlink w:anchor="page42">
              <w:r>
                <w:rPr>
                  <w:rFonts w:ascii="Arial" w:cs="Arial" w:eastAsia="Arial" w:hAnsi="Arial"/>
                  <w:sz w:val="16"/>
                  <w:szCs w:val="16"/>
                  <w:b w:val="1"/>
                  <w:bCs w:val="1"/>
                  <w:color w:val="828282"/>
                </w:rPr>
                <w:t>ITEM 3 RATIFICATION OF THE APPOINTMENT OF INDEPENDENT REGISTERED PUBLIC ACCOUNTANT FOR THE FISCAL YEAR ENDING</w:t>
              </w:r>
            </w:hyperlink>
          </w:p>
        </w:tc>
        <w:tc>
          <w:tcPr>
            <w:tcW w:w="240" w:type="dxa"/>
            <w:vAlign w:val="bottom"/>
            <w:shd w:val="clear" w:color="auto" w:fill="BF2115"/>
          </w:tcPr>
          <w:p>
            <w:pPr>
              <w:spacing w:after="0"/>
              <w:rPr>
                <w:sz w:val="19"/>
                <w:szCs w:val="19"/>
                <w:color w:val="auto"/>
              </w:rPr>
            </w:pPr>
          </w:p>
        </w:tc>
        <w:tc>
          <w:tcPr>
            <w:tcW w:w="2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120" w:type="dxa"/>
            <w:vAlign w:val="bottom"/>
            <w:tcBorders>
              <w:right w:val="single" w:sz="8" w:color="BF2115"/>
            </w:tcBorders>
            <w:shd w:val="clear" w:color="auto" w:fill="BF2115"/>
          </w:tcPr>
          <w:p>
            <w:pPr>
              <w:spacing w:after="0"/>
              <w:rPr>
                <w:sz w:val="19"/>
                <w:szCs w:val="19"/>
                <w:color w:val="auto"/>
              </w:rPr>
            </w:pPr>
          </w:p>
        </w:tc>
        <w:tc>
          <w:tcPr>
            <w:tcW w:w="22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500" w:type="dxa"/>
            <w:vAlign w:val="bottom"/>
            <w:tcBorders>
              <w:top w:val="single" w:sz="8" w:color="828282"/>
            </w:tcBorders>
            <w:gridSpan w:val="19"/>
          </w:tcPr>
          <w:p>
            <w:pPr>
              <w:spacing w:after="0" w:line="169" w:lineRule="exact"/>
              <w:rPr>
                <w:rFonts w:ascii="Arial" w:cs="Arial" w:eastAsia="Arial" w:hAnsi="Arial"/>
                <w:sz w:val="16"/>
                <w:szCs w:val="16"/>
                <w:b w:val="1"/>
                <w:bCs w:val="1"/>
                <w:color w:val="828282"/>
              </w:rPr>
            </w:pPr>
            <w:hyperlink w:anchor="page42">
              <w:r>
                <w:rPr>
                  <w:rFonts w:ascii="Arial" w:cs="Arial" w:eastAsia="Arial" w:hAnsi="Arial"/>
                  <w:sz w:val="16"/>
                  <w:szCs w:val="16"/>
                  <w:b w:val="1"/>
                  <w:bCs w:val="1"/>
                  <w:color w:val="828282"/>
                </w:rPr>
                <w:t>AUGUST 29, 2020</w:t>
              </w:r>
            </w:hyperlink>
          </w:p>
        </w:tc>
        <w:tc>
          <w:tcPr>
            <w:tcW w:w="160" w:type="dxa"/>
            <w:vAlign w:val="bottom"/>
          </w:tcPr>
          <w:p>
            <w:pPr>
              <w:spacing w:after="0"/>
              <w:rPr>
                <w:sz w:val="14"/>
                <w:szCs w:val="14"/>
                <w:color w:val="auto"/>
              </w:rPr>
            </w:pPr>
          </w:p>
        </w:tc>
        <w:tc>
          <w:tcPr>
            <w:tcW w:w="420" w:type="dxa"/>
            <w:vAlign w:val="bottom"/>
            <w:tcBorders>
              <w:top w:val="single" w:sz="8" w:color="BF2115"/>
              <w:right w:val="single" w:sz="8" w:color="BF2115"/>
            </w:tcBorders>
            <w:gridSpan w:val="4"/>
            <w:shd w:val="clear" w:color="auto" w:fill="BF2115"/>
          </w:tcPr>
          <w:p>
            <w:pPr>
              <w:jc w:val="center"/>
              <w:ind w:left="159"/>
              <w:spacing w:after="0" w:line="169" w:lineRule="exact"/>
              <w:rPr>
                <w:rFonts w:ascii="Arial" w:cs="Arial" w:eastAsia="Arial" w:hAnsi="Arial"/>
                <w:sz w:val="16"/>
                <w:szCs w:val="16"/>
                <w:color w:val="ACACAC"/>
              </w:rPr>
            </w:pPr>
            <w:hyperlink w:anchor="page42">
              <w:r>
                <w:rPr>
                  <w:rFonts w:ascii="Arial" w:cs="Arial" w:eastAsia="Arial" w:hAnsi="Arial"/>
                  <w:sz w:val="16"/>
                  <w:szCs w:val="16"/>
                  <w:color w:val="ACACAC"/>
                </w:rPr>
                <w:t>38</w:t>
              </w:r>
            </w:hyperlink>
          </w:p>
        </w:tc>
        <w:tc>
          <w:tcPr>
            <w:tcW w:w="220" w:type="dxa"/>
            <w:vAlign w:val="bottom"/>
            <w:tcBorders>
              <w:top w:val="single" w:sz="8" w:color="BF2115"/>
            </w:tcBorders>
            <w:shd w:val="clear" w:color="auto" w:fill="BF2115"/>
          </w:tcPr>
          <w:p>
            <w:pPr>
              <w:spacing w:after="0"/>
              <w:rPr>
                <w:sz w:val="14"/>
                <w:szCs w:val="14"/>
                <w:color w:val="auto"/>
              </w:rPr>
            </w:pPr>
          </w:p>
        </w:tc>
        <w:tc>
          <w:tcPr>
            <w:tcW w:w="40" w:type="dxa"/>
            <w:vAlign w:val="bottom"/>
            <w:tcBorders>
              <w:top w:val="single" w:sz="8" w:color="BF2115"/>
            </w:tcBorders>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gridSpan w:val="3"/>
            <w:shd w:val="clear" w:color="auto" w:fill="828282"/>
          </w:tcPr>
          <w:p>
            <w:pPr>
              <w:spacing w:after="0" w:line="20" w:lineRule="exact"/>
              <w:rPr>
                <w:sz w:val="1"/>
                <w:szCs w:val="1"/>
                <w:color w:val="auto"/>
              </w:rPr>
            </w:pPr>
          </w:p>
        </w:tc>
        <w:tc>
          <w:tcPr>
            <w:tcW w:w="560" w:type="dxa"/>
            <w:vAlign w:val="bottom"/>
            <w:shd w:val="clear" w:color="auto" w:fill="82828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7300" w:type="dxa"/>
            <w:vAlign w:val="bottom"/>
            <w:gridSpan w:val="6"/>
          </w:tcPr>
          <w:p>
            <w:pPr>
              <w:spacing w:after="0" w:line="20" w:lineRule="exact"/>
              <w:rPr>
                <w:sz w:val="1"/>
                <w:szCs w:val="1"/>
                <w:color w:val="auto"/>
              </w:rPr>
            </w:pPr>
          </w:p>
        </w:tc>
        <w:tc>
          <w:tcPr>
            <w:tcW w:w="240" w:type="dxa"/>
            <w:vAlign w:val="bottom"/>
            <w:shd w:val="clear" w:color="auto" w:fill="BF2115"/>
          </w:tcPr>
          <w:p>
            <w:pPr>
              <w:spacing w:after="0" w:line="20" w:lineRule="exact"/>
              <w:rPr>
                <w:sz w:val="1"/>
                <w:szCs w:val="1"/>
                <w:color w:val="auto"/>
              </w:rPr>
            </w:pPr>
          </w:p>
        </w:tc>
        <w:tc>
          <w:tcPr>
            <w:tcW w:w="180" w:type="dxa"/>
            <w:vAlign w:val="bottom"/>
            <w:tcBorders>
              <w:right w:val="single" w:sz="8" w:color="ACACAC"/>
            </w:tcBorders>
            <w:gridSpan w:val="3"/>
            <w:shd w:val="clear" w:color="auto" w:fill="ACACAC"/>
          </w:tcPr>
          <w:p>
            <w:pPr>
              <w:spacing w:after="0" w:line="20" w:lineRule="exact"/>
              <w:rPr>
                <w:sz w:val="1"/>
                <w:szCs w:val="1"/>
                <w:color w:val="auto"/>
              </w:rPr>
            </w:pPr>
          </w:p>
        </w:tc>
        <w:tc>
          <w:tcPr>
            <w:tcW w:w="22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60" w:type="dxa"/>
            <w:vAlign w:val="bottom"/>
            <w:gridSpan w:val="20"/>
          </w:tcPr>
          <w:p>
            <w:pPr>
              <w:spacing w:after="0"/>
              <w:rPr>
                <w:rFonts w:ascii="Arial" w:cs="Arial" w:eastAsia="Arial" w:hAnsi="Arial"/>
                <w:sz w:val="16"/>
                <w:szCs w:val="16"/>
                <w:b w:val="1"/>
                <w:bCs w:val="1"/>
                <w:color w:val="828282"/>
              </w:rPr>
            </w:pPr>
            <w:hyperlink w:anchor="page43">
              <w:r>
                <w:rPr>
                  <w:rFonts w:ascii="Arial" w:cs="Arial" w:eastAsia="Arial" w:hAnsi="Arial"/>
                  <w:sz w:val="16"/>
                  <w:szCs w:val="16"/>
                  <w:b w:val="1"/>
                  <w:bCs w:val="1"/>
                  <w:color w:val="828282"/>
                </w:rPr>
                <w:t>OTHER MATTERS</w:t>
              </w:r>
            </w:hyperlink>
          </w:p>
        </w:tc>
        <w:tc>
          <w:tcPr>
            <w:tcW w:w="420" w:type="dxa"/>
            <w:vAlign w:val="bottom"/>
            <w:tcBorders>
              <w:right w:val="single" w:sz="8" w:color="BF2115"/>
            </w:tcBorders>
            <w:gridSpan w:val="4"/>
            <w:shd w:val="clear" w:color="auto" w:fill="BF2115"/>
          </w:tcPr>
          <w:p>
            <w:pPr>
              <w:jc w:val="center"/>
              <w:ind w:left="159"/>
              <w:spacing w:after="0"/>
              <w:rPr>
                <w:rFonts w:ascii="Arial" w:cs="Arial" w:eastAsia="Arial" w:hAnsi="Arial"/>
                <w:sz w:val="16"/>
                <w:szCs w:val="16"/>
                <w:color w:val="ACACAC"/>
              </w:rPr>
            </w:pPr>
            <w:hyperlink w:anchor="page43">
              <w:r>
                <w:rPr>
                  <w:rFonts w:ascii="Arial" w:cs="Arial" w:eastAsia="Arial" w:hAnsi="Arial"/>
                  <w:sz w:val="16"/>
                  <w:szCs w:val="16"/>
                  <w:color w:val="ACACAC"/>
                </w:rPr>
                <w:t>39</w:t>
              </w:r>
            </w:hyperlink>
          </w:p>
        </w:tc>
        <w:tc>
          <w:tcPr>
            <w:tcW w:w="22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gridSpan w:val="3"/>
            <w:shd w:val="clear" w:color="auto" w:fill="828282"/>
          </w:tcPr>
          <w:p>
            <w:pPr>
              <w:spacing w:after="0" w:line="20" w:lineRule="exact"/>
              <w:rPr>
                <w:sz w:val="1"/>
                <w:szCs w:val="1"/>
                <w:color w:val="auto"/>
              </w:rPr>
            </w:pPr>
          </w:p>
        </w:tc>
        <w:tc>
          <w:tcPr>
            <w:tcW w:w="580" w:type="dxa"/>
            <w:vAlign w:val="bottom"/>
            <w:gridSpan w:val="2"/>
            <w:shd w:val="clear" w:color="auto" w:fill="828282"/>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7300" w:type="dxa"/>
            <w:vAlign w:val="bottom"/>
            <w:gridSpan w:val="6"/>
          </w:tcPr>
          <w:p>
            <w:pPr>
              <w:spacing w:after="0" w:line="20" w:lineRule="exact"/>
              <w:rPr>
                <w:sz w:val="1"/>
                <w:szCs w:val="1"/>
                <w:color w:val="auto"/>
              </w:rPr>
            </w:pPr>
          </w:p>
        </w:tc>
        <w:tc>
          <w:tcPr>
            <w:tcW w:w="240" w:type="dxa"/>
            <w:vAlign w:val="bottom"/>
            <w:shd w:val="clear" w:color="auto" w:fill="BF2115"/>
          </w:tcPr>
          <w:p>
            <w:pPr>
              <w:spacing w:after="0" w:line="20" w:lineRule="exact"/>
              <w:rPr>
                <w:sz w:val="1"/>
                <w:szCs w:val="1"/>
                <w:color w:val="auto"/>
              </w:rPr>
            </w:pPr>
          </w:p>
        </w:tc>
        <w:tc>
          <w:tcPr>
            <w:tcW w:w="180" w:type="dxa"/>
            <w:vAlign w:val="bottom"/>
            <w:tcBorders>
              <w:right w:val="single" w:sz="8" w:color="ACACAC"/>
            </w:tcBorders>
            <w:gridSpan w:val="3"/>
            <w:shd w:val="clear" w:color="auto" w:fill="ACACAC"/>
          </w:tcPr>
          <w:p>
            <w:pPr>
              <w:spacing w:after="0" w:line="20" w:lineRule="exact"/>
              <w:rPr>
                <w:sz w:val="1"/>
                <w:szCs w:val="1"/>
                <w:color w:val="auto"/>
              </w:rPr>
            </w:pPr>
          </w:p>
        </w:tc>
        <w:tc>
          <w:tcPr>
            <w:tcW w:w="22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tcBorders>
              <w:bottom w:val="single" w:sz="8" w:color="828282"/>
            </w:tcBorders>
            <w:gridSpan w:val="14"/>
          </w:tcPr>
          <w:p>
            <w:pPr>
              <w:spacing w:after="0"/>
              <w:rPr>
                <w:rFonts w:ascii="Arial" w:cs="Arial" w:eastAsia="Arial" w:hAnsi="Arial"/>
                <w:sz w:val="16"/>
                <w:szCs w:val="16"/>
                <w:b w:val="1"/>
                <w:bCs w:val="1"/>
                <w:color w:val="828282"/>
              </w:rPr>
            </w:pPr>
            <w:hyperlink w:anchor="page43">
              <w:r>
                <w:rPr>
                  <w:rFonts w:ascii="Arial" w:cs="Arial" w:eastAsia="Arial" w:hAnsi="Arial"/>
                  <w:sz w:val="16"/>
                  <w:szCs w:val="16"/>
                  <w:b w:val="1"/>
                  <w:bCs w:val="1"/>
                  <w:color w:val="828282"/>
                </w:rPr>
                <w:t>FISCAL 2020 SHAREHOLDER PROPOSALS</w:t>
              </w:r>
            </w:hyperlink>
          </w:p>
        </w:tc>
        <w:tc>
          <w:tcPr>
            <w:tcW w:w="7300" w:type="dxa"/>
            <w:vAlign w:val="bottom"/>
            <w:gridSpan w:val="6"/>
          </w:tcPr>
          <w:p>
            <w:pPr>
              <w:spacing w:after="0"/>
              <w:rPr>
                <w:sz w:val="19"/>
                <w:szCs w:val="19"/>
                <w:color w:val="auto"/>
              </w:rPr>
            </w:pPr>
          </w:p>
        </w:tc>
        <w:tc>
          <w:tcPr>
            <w:tcW w:w="240" w:type="dxa"/>
            <w:vAlign w:val="bottom"/>
            <w:tcBorders>
              <w:bottom w:val="single" w:sz="8" w:color="BF2115"/>
            </w:tcBorders>
            <w:shd w:val="clear" w:color="auto" w:fill="BF2115"/>
          </w:tcPr>
          <w:p>
            <w:pPr>
              <w:spacing w:after="0"/>
              <w:rPr>
                <w:sz w:val="19"/>
                <w:szCs w:val="19"/>
                <w:color w:val="auto"/>
              </w:rPr>
            </w:pPr>
          </w:p>
        </w:tc>
        <w:tc>
          <w:tcPr>
            <w:tcW w:w="180" w:type="dxa"/>
            <w:vAlign w:val="bottom"/>
            <w:tcBorders>
              <w:bottom w:val="single" w:sz="8" w:color="ACACAC"/>
              <w:right w:val="single" w:sz="8" w:color="BF2115"/>
            </w:tcBorders>
            <w:gridSpan w:val="3"/>
            <w:shd w:val="clear" w:color="auto" w:fill="BF2115"/>
          </w:tcPr>
          <w:p>
            <w:pPr>
              <w:jc w:val="center"/>
              <w:spacing w:after="0"/>
              <w:rPr>
                <w:rFonts w:ascii="Arial" w:cs="Arial" w:eastAsia="Arial" w:hAnsi="Arial"/>
                <w:sz w:val="16"/>
                <w:szCs w:val="16"/>
                <w:color w:val="ACACAC"/>
              </w:rPr>
            </w:pPr>
            <w:hyperlink w:anchor="page43">
              <w:r>
                <w:rPr>
                  <w:rFonts w:ascii="Arial" w:cs="Arial" w:eastAsia="Arial" w:hAnsi="Arial"/>
                  <w:sz w:val="16"/>
                  <w:szCs w:val="16"/>
                  <w:color w:val="ACACAC"/>
                </w:rPr>
                <w:t>39</w:t>
              </w:r>
            </w:hyperlink>
          </w:p>
        </w:tc>
        <w:tc>
          <w:tcPr>
            <w:tcW w:w="220" w:type="dxa"/>
            <w:vAlign w:val="bottom"/>
            <w:tcBorders>
              <w:bottom w:val="single" w:sz="8" w:color="BF2115"/>
            </w:tcBorders>
            <w:shd w:val="clear" w:color="auto" w:fill="BF2115"/>
          </w:tcPr>
          <w:p>
            <w:pPr>
              <w:spacing w:after="0"/>
              <w:rPr>
                <w:sz w:val="19"/>
                <w:szCs w:val="19"/>
                <w:color w:val="auto"/>
              </w:rPr>
            </w:pPr>
          </w:p>
        </w:tc>
        <w:tc>
          <w:tcPr>
            <w:tcW w:w="40" w:type="dxa"/>
            <w:vAlign w:val="bottom"/>
            <w:tcBorders>
              <w:bottom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60" w:type="dxa"/>
            <w:vAlign w:val="bottom"/>
            <w:gridSpan w:val="20"/>
          </w:tcPr>
          <w:p>
            <w:pPr>
              <w:spacing w:after="0"/>
              <w:rPr>
                <w:rFonts w:ascii="Arial" w:cs="Arial" w:eastAsia="Arial" w:hAnsi="Arial"/>
                <w:sz w:val="16"/>
                <w:szCs w:val="16"/>
                <w:b w:val="1"/>
                <w:bCs w:val="1"/>
                <w:color w:val="828282"/>
              </w:rPr>
            </w:pPr>
            <w:hyperlink w:anchor="page43">
              <w:r>
                <w:rPr>
                  <w:rFonts w:ascii="Arial" w:cs="Arial" w:eastAsia="Arial" w:hAnsi="Arial"/>
                  <w:sz w:val="16"/>
                  <w:szCs w:val="16"/>
                  <w:b w:val="1"/>
                  <w:bCs w:val="1"/>
                  <w:color w:val="828282"/>
                </w:rPr>
                <w:t>GENERAL</w:t>
              </w:r>
            </w:hyperlink>
          </w:p>
        </w:tc>
        <w:tc>
          <w:tcPr>
            <w:tcW w:w="420" w:type="dxa"/>
            <w:vAlign w:val="bottom"/>
            <w:tcBorders>
              <w:right w:val="single" w:sz="8" w:color="BF2115"/>
            </w:tcBorders>
            <w:gridSpan w:val="4"/>
            <w:shd w:val="clear" w:color="auto" w:fill="BF2115"/>
          </w:tcPr>
          <w:p>
            <w:pPr>
              <w:jc w:val="center"/>
              <w:ind w:left="159"/>
              <w:spacing w:after="0"/>
              <w:rPr>
                <w:rFonts w:ascii="Arial" w:cs="Arial" w:eastAsia="Arial" w:hAnsi="Arial"/>
                <w:sz w:val="16"/>
                <w:szCs w:val="16"/>
                <w:color w:val="ACACAC"/>
              </w:rPr>
            </w:pPr>
            <w:hyperlink w:anchor="page43">
              <w:r>
                <w:rPr>
                  <w:rFonts w:ascii="Arial" w:cs="Arial" w:eastAsia="Arial" w:hAnsi="Arial"/>
                  <w:sz w:val="16"/>
                  <w:szCs w:val="16"/>
                  <w:color w:val="ACACAC"/>
                </w:rPr>
                <w:t>39</w:t>
              </w:r>
            </w:hyperlink>
          </w:p>
        </w:tc>
        <w:tc>
          <w:tcPr>
            <w:tcW w:w="22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80" w:type="dxa"/>
            <w:vAlign w:val="bottom"/>
            <w:tcBorders>
              <w:top w:val="single" w:sz="8" w:color="828282"/>
            </w:tcBorders>
          </w:tcPr>
          <w:p>
            <w:pPr>
              <w:spacing w:after="0"/>
              <w:rPr>
                <w:sz w:val="2"/>
                <w:szCs w:val="2"/>
                <w:color w:val="auto"/>
              </w:rPr>
            </w:pPr>
          </w:p>
        </w:tc>
        <w:tc>
          <w:tcPr>
            <w:tcW w:w="20" w:type="dxa"/>
            <w:vAlign w:val="bottom"/>
            <w:tcBorders>
              <w:top w:val="single" w:sz="8" w:color="828282"/>
            </w:tcBorders>
          </w:tcPr>
          <w:p>
            <w:pPr>
              <w:spacing w:after="0"/>
              <w:rPr>
                <w:sz w:val="2"/>
                <w:szCs w:val="2"/>
                <w:color w:val="auto"/>
              </w:rPr>
            </w:pPr>
          </w:p>
        </w:tc>
        <w:tc>
          <w:tcPr>
            <w:tcW w:w="600" w:type="dxa"/>
            <w:vAlign w:val="bottom"/>
            <w:tcBorders>
              <w:top w:val="single" w:sz="8" w:color="828282"/>
            </w:tcBorders>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top w:val="single" w:sz="8" w:color="BF2115"/>
            </w:tcBorders>
            <w:shd w:val="clear" w:color="auto" w:fill="BF2115"/>
          </w:tcPr>
          <w:p>
            <w:pPr>
              <w:spacing w:after="0"/>
              <w:rPr>
                <w:sz w:val="2"/>
                <w:szCs w:val="2"/>
                <w:color w:val="auto"/>
              </w:rPr>
            </w:pPr>
          </w:p>
        </w:tc>
        <w:tc>
          <w:tcPr>
            <w:tcW w:w="20" w:type="dxa"/>
            <w:vAlign w:val="bottom"/>
            <w:tcBorders>
              <w:top w:val="single" w:sz="8" w:color="ACACAC"/>
            </w:tcBorders>
            <w:shd w:val="clear" w:color="auto" w:fill="BF2115"/>
          </w:tcPr>
          <w:p>
            <w:pPr>
              <w:spacing w:after="0"/>
              <w:rPr>
                <w:sz w:val="2"/>
                <w:szCs w:val="2"/>
                <w:color w:val="auto"/>
              </w:rPr>
            </w:pPr>
          </w:p>
        </w:tc>
        <w:tc>
          <w:tcPr>
            <w:tcW w:w="40" w:type="dxa"/>
            <w:vAlign w:val="bottom"/>
            <w:tcBorders>
              <w:top w:val="single" w:sz="8" w:color="ACACAC"/>
            </w:tcBorders>
            <w:shd w:val="clear" w:color="auto" w:fill="BF2115"/>
          </w:tcPr>
          <w:p>
            <w:pPr>
              <w:spacing w:after="0"/>
              <w:rPr>
                <w:sz w:val="2"/>
                <w:szCs w:val="2"/>
                <w:color w:val="auto"/>
              </w:rPr>
            </w:pPr>
          </w:p>
        </w:tc>
        <w:tc>
          <w:tcPr>
            <w:tcW w:w="120" w:type="dxa"/>
            <w:vAlign w:val="bottom"/>
            <w:tcBorders>
              <w:top w:val="single" w:sz="8" w:color="ACACAC"/>
              <w:right w:val="single" w:sz="8" w:color="BF2115"/>
            </w:tcBorders>
            <w:shd w:val="clear" w:color="auto" w:fill="BF2115"/>
          </w:tcPr>
          <w:p>
            <w:pPr>
              <w:spacing w:after="0"/>
              <w:rPr>
                <w:sz w:val="2"/>
                <w:szCs w:val="2"/>
                <w:color w:val="auto"/>
              </w:rPr>
            </w:pPr>
          </w:p>
        </w:tc>
        <w:tc>
          <w:tcPr>
            <w:tcW w:w="220" w:type="dxa"/>
            <w:vAlign w:val="bottom"/>
            <w:tcBorders>
              <w:top w:val="single" w:sz="8" w:color="BF2115"/>
            </w:tcBorders>
            <w:shd w:val="clear" w:color="auto" w:fill="BF2115"/>
          </w:tcPr>
          <w:p>
            <w:pPr>
              <w:spacing w:after="0"/>
              <w:rPr>
                <w:sz w:val="2"/>
                <w:szCs w:val="2"/>
                <w:color w:val="auto"/>
              </w:rPr>
            </w:pPr>
          </w:p>
        </w:tc>
        <w:tc>
          <w:tcPr>
            <w:tcW w:w="40" w:type="dxa"/>
            <w:vAlign w:val="bottom"/>
            <w:tcBorders>
              <w:top w:val="single" w:sz="8" w:color="BF2115"/>
            </w:tcBorders>
            <w:shd w:val="clear" w:color="auto" w:fill="BF2115"/>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80" w:top="303" w:right="259" w:bottom="1440" w:gutter="0" w:footer="0" w:header="0"/>
          <w:type w:val="continuous"/>
        </w:sectPr>
      </w:pPr>
    </w:p>
    <w:bookmarkStart w:id="4" w:name="page5"/>
    <w:bookmarkEnd w:id="4"/>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828282"/>
        </w:rPr>
        <w:t>Winnebago Industries,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828282"/>
        </w:rPr>
        <w:t>605 West Crystal Lake Road - Forest City, Iowa 50436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357568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ectPr>
          <w:pgSz w:w="11900" w:h="16838" w:orient="portrait"/>
          <w:cols w:equalWidth="0" w:num="1">
            <w:col w:w="11440"/>
          </w:cols>
          <w:pgMar w:left="240" w:top="30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Forward-looking Information</w:t>
      </w:r>
    </w:p>
    <w:p>
      <w:pPr>
        <w:spacing w:after="0" w:line="200" w:lineRule="exact"/>
        <w:rPr>
          <w:sz w:val="20"/>
          <w:szCs w:val="20"/>
          <w:color w:val="auto"/>
        </w:rPr>
      </w:pPr>
    </w:p>
    <w:p>
      <w:pPr>
        <w:spacing w:after="0" w:line="2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These statements are intended to constitute “forward-looking” statements in connection with the “safe harbor” provisions of the Private Securities Litigation Reform Act of 1995. Winnebago Industries, Inc., an Iowa corporation (the “Company,” “Winnebago Industries,” “we,” “us” and “our”), is providing this cautionary statement to disclose that there are important factors that could cause actual results to differ materially from those anticipated. Reference is made to our Annual Report on Form 10-K for the fiscal year ended August 31, 2019 (the “2019 Form 10-K”) filed with the Securities and Exchange Commission (the “SEC”) for a list of such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357568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Proxy Statement</w:t>
      </w:r>
    </w:p>
    <w:p>
      <w:pPr>
        <w:spacing w:after="0" w:line="200" w:lineRule="exact"/>
        <w:rPr>
          <w:sz w:val="20"/>
          <w:szCs w:val="20"/>
          <w:color w:val="auto"/>
        </w:rPr>
      </w:pP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Proxy Statement is furnished in connection with the solicitation by our Board of Directors of proxies to be used at the Annual Meeting of Shareholders to be held virtually on December 17, 2019, at 4:00 p.m., Central Standard Time, and at any and all adjournments thereof (the “Annual Meeting” or the “Meeting”).</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accordance with rules and regulations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you specifically request a printed copy. Instead, the Notice of Internet Availability of Proxy Materials will instruct you as to how you may access and review all of the important information contained in the proxy materials.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It is anticipated that the Notice of Internet Availability of Proxy Materials will be mailed to shareholders on or about November 5, 2019.</w:t>
      </w:r>
    </w:p>
    <w:p>
      <w:pPr>
        <w:spacing w:after="0" w:line="88"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Only holders of record of our common stock, par value $0.50 per share ("Common Stock"), at the close of business on October 22, 2019 (the "Record Date") will be entitled to receive notice of and to vote at the Annual Meeting. On the Record Date, we had outstanding 31,684,985 shares of Common Stock that were eligible to vote. Each share of Common Stock entitles the holder to one vote on each matter to be voted upon at the meeting. A majority of the outstanding shares of Common Stock represented in person or by proxy will constitute a quorum for the Annual Meeting.</w:t>
      </w:r>
    </w:p>
    <w:p>
      <w:pPr>
        <w:spacing w:after="0" w:line="10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If you submit a proxy or attend the Meeting, your Common Stock will be counted for the purpose of determining whether there is a quorum.</w:t>
      </w:r>
    </w:p>
    <w:p>
      <w:pPr>
        <w:spacing w:after="0" w:line="8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If you submit your proxy without voting instructions, your shares will be voted in favor of each director and each other item considered for shareholder approval. If you hold shares through a broker, follow the voting instructions provided by your broker. Shares held in your name as the shareholder of record may be voted electronically during the Annual Meeting.</w:t>
      </w:r>
    </w:p>
    <w:p>
      <w:pPr>
        <w:spacing w:after="0" w:line="95"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The table below summarizes the vote required to approve each proposal, the voting options for each proposal and other important information regarding voting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144145</wp:posOffset>
            </wp:positionV>
            <wp:extent cx="889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300355"/>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144145</wp:posOffset>
            </wp:positionV>
            <wp:extent cx="8890"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3003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144145</wp:posOffset>
            </wp:positionV>
            <wp:extent cx="889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3003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144145</wp:posOffset>
            </wp:positionV>
            <wp:extent cx="8890" cy="300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300355"/>
                    </a:xfrm>
                    <a:prstGeom prst="rect">
                      <a:avLst/>
                    </a:prstGeom>
                    <a:noFill/>
                  </pic:spPr>
                </pic:pic>
              </a:graphicData>
            </a:graphic>
          </wp:anchor>
        </w:drawing>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1440" w:type="dxa"/>
            <w:vAlign w:val="bottom"/>
            <w:tcBorders>
              <w:left w:val="single" w:sz="8" w:color="BF2115"/>
              <w:right w:val="single" w:sz="8" w:color="BF2115"/>
            </w:tcBorders>
            <w:shd w:val="clear" w:color="auto" w:fill="BF2115"/>
          </w:tcPr>
          <w:p>
            <w:pPr>
              <w:spacing w:after="0"/>
              <w:rPr>
                <w:sz w:val="13"/>
                <w:szCs w:val="13"/>
                <w:color w:val="auto"/>
              </w:rPr>
            </w:pPr>
          </w:p>
        </w:tc>
        <w:tc>
          <w:tcPr>
            <w:tcW w:w="1060" w:type="dxa"/>
            <w:vAlign w:val="bottom"/>
            <w:tcBorders>
              <w:right w:val="single" w:sz="8" w:color="BF2115"/>
            </w:tcBorders>
            <w:shd w:val="clear" w:color="auto" w:fill="BF2115"/>
          </w:tcPr>
          <w:p>
            <w:pPr>
              <w:spacing w:after="0"/>
              <w:rPr>
                <w:sz w:val="13"/>
                <w:szCs w:val="13"/>
                <w:color w:val="auto"/>
              </w:rPr>
            </w:pPr>
          </w:p>
        </w:tc>
        <w:tc>
          <w:tcPr>
            <w:tcW w:w="1060" w:type="dxa"/>
            <w:vAlign w:val="bottom"/>
            <w:tcBorders>
              <w:right w:val="single" w:sz="8" w:color="BF2115"/>
            </w:tcBorders>
            <w:shd w:val="clear" w:color="auto" w:fill="BF2115"/>
          </w:tcPr>
          <w:p>
            <w:pPr>
              <w:spacing w:after="0"/>
              <w:rPr>
                <w:sz w:val="13"/>
                <w:szCs w:val="13"/>
                <w:color w:val="auto"/>
              </w:rPr>
            </w:pPr>
          </w:p>
        </w:tc>
        <w:tc>
          <w:tcPr>
            <w:tcW w:w="1000" w:type="dxa"/>
            <w:vAlign w:val="bottom"/>
            <w:tcBorders>
              <w:right w:val="single" w:sz="8" w:color="BF2115"/>
            </w:tcBorders>
            <w:shd w:val="clear" w:color="auto" w:fill="BF2115"/>
          </w:tcPr>
          <w:p>
            <w:pPr>
              <w:jc w:val="center"/>
              <w:spacing w:after="0"/>
              <w:rPr>
                <w:sz w:val="20"/>
                <w:szCs w:val="20"/>
                <w:color w:val="auto"/>
              </w:rPr>
            </w:pPr>
            <w:r>
              <w:rPr>
                <w:rFonts w:ascii="Arial" w:cs="Arial" w:eastAsia="Arial" w:hAnsi="Arial"/>
                <w:sz w:val="13"/>
                <w:szCs w:val="13"/>
                <w:color w:val="FFFFFF"/>
                <w:w w:val="97"/>
              </w:rPr>
              <w:t>Board</w:t>
            </w:r>
          </w:p>
        </w:tc>
        <w:tc>
          <w:tcPr>
            <w:tcW w:w="1060" w:type="dxa"/>
            <w:vAlign w:val="bottom"/>
            <w:tcBorders>
              <w:right w:val="single" w:sz="8" w:color="BF2115"/>
            </w:tcBorders>
            <w:shd w:val="clear" w:color="auto" w:fill="BF2115"/>
          </w:tcPr>
          <w:p>
            <w:pPr>
              <w:jc w:val="center"/>
              <w:spacing w:after="0"/>
              <w:rPr>
                <w:sz w:val="20"/>
                <w:szCs w:val="20"/>
                <w:color w:val="auto"/>
              </w:rPr>
            </w:pPr>
            <w:r>
              <w:rPr>
                <w:rFonts w:ascii="Arial" w:cs="Arial" w:eastAsia="Arial" w:hAnsi="Arial"/>
                <w:sz w:val="13"/>
                <w:szCs w:val="13"/>
                <w:color w:val="FFFFFF"/>
                <w:w w:val="93"/>
              </w:rPr>
              <w:t>Broker</w:t>
            </w:r>
          </w:p>
        </w:tc>
        <w:tc>
          <w:tcPr>
            <w:tcW w:w="0" w:type="dxa"/>
            <w:vAlign w:val="bottom"/>
          </w:tcPr>
          <w:p>
            <w:pPr>
              <w:spacing w:after="0"/>
              <w:rPr>
                <w:sz w:val="1"/>
                <w:szCs w:val="1"/>
                <w:color w:val="auto"/>
              </w:rPr>
            </w:pPr>
          </w:p>
        </w:tc>
      </w:tr>
      <w:tr>
        <w:trPr>
          <w:trHeight w:val="135"/>
        </w:trPr>
        <w:tc>
          <w:tcPr>
            <w:tcW w:w="1440" w:type="dxa"/>
            <w:vAlign w:val="bottom"/>
            <w:tcBorders>
              <w:left w:val="single" w:sz="8" w:color="BF2115"/>
              <w:right w:val="single" w:sz="8" w:color="BF2115"/>
            </w:tcBorders>
            <w:shd w:val="clear" w:color="auto" w:fill="BF2115"/>
          </w:tcPr>
          <w:p>
            <w:pPr>
              <w:spacing w:after="0"/>
              <w:rPr>
                <w:sz w:val="11"/>
                <w:szCs w:val="11"/>
                <w:color w:val="auto"/>
              </w:rPr>
            </w:pPr>
          </w:p>
        </w:tc>
        <w:tc>
          <w:tcPr>
            <w:tcW w:w="1060" w:type="dxa"/>
            <w:vAlign w:val="bottom"/>
            <w:tcBorders>
              <w:right w:val="single" w:sz="8" w:color="BF2115"/>
            </w:tcBorders>
            <w:shd w:val="clear" w:color="auto" w:fill="BF2115"/>
          </w:tcPr>
          <w:p>
            <w:pPr>
              <w:jc w:val="center"/>
              <w:spacing w:after="0" w:line="135" w:lineRule="exact"/>
              <w:rPr>
                <w:sz w:val="20"/>
                <w:szCs w:val="20"/>
                <w:color w:val="auto"/>
              </w:rPr>
            </w:pPr>
            <w:r>
              <w:rPr>
                <w:rFonts w:ascii="Arial" w:cs="Arial" w:eastAsia="Arial" w:hAnsi="Arial"/>
                <w:sz w:val="13"/>
                <w:szCs w:val="13"/>
                <w:color w:val="FFFFFF"/>
                <w:w w:val="96"/>
              </w:rPr>
              <w:t>Vote Required</w:t>
            </w:r>
          </w:p>
        </w:tc>
        <w:tc>
          <w:tcPr>
            <w:tcW w:w="1060" w:type="dxa"/>
            <w:vAlign w:val="bottom"/>
            <w:tcBorders>
              <w:right w:val="single" w:sz="8" w:color="BF2115"/>
            </w:tcBorders>
            <w:shd w:val="clear" w:color="auto" w:fill="BF2115"/>
          </w:tcPr>
          <w:p>
            <w:pPr>
              <w:jc w:val="center"/>
              <w:spacing w:after="0" w:line="135" w:lineRule="exact"/>
              <w:rPr>
                <w:sz w:val="20"/>
                <w:szCs w:val="20"/>
                <w:color w:val="auto"/>
              </w:rPr>
            </w:pPr>
            <w:r>
              <w:rPr>
                <w:rFonts w:ascii="Arial" w:cs="Arial" w:eastAsia="Arial" w:hAnsi="Arial"/>
                <w:sz w:val="13"/>
                <w:szCs w:val="13"/>
                <w:color w:val="FFFFFF"/>
                <w:w w:val="96"/>
              </w:rPr>
              <w:t>Voting Options</w:t>
            </w:r>
            <w:r>
              <w:rPr>
                <w:rFonts w:ascii="Arial" w:cs="Arial" w:eastAsia="Arial" w:hAnsi="Arial"/>
                <w:sz w:val="8"/>
                <w:szCs w:val="8"/>
                <w:color w:val="FFFFFF"/>
                <w:w w:val="96"/>
              </w:rPr>
              <w:t>(1)</w:t>
            </w:r>
          </w:p>
        </w:tc>
        <w:tc>
          <w:tcPr>
            <w:tcW w:w="1000" w:type="dxa"/>
            <w:vAlign w:val="bottom"/>
            <w:tcBorders>
              <w:right w:val="single" w:sz="8" w:color="BF2115"/>
            </w:tcBorders>
            <w:shd w:val="clear" w:color="auto" w:fill="BF2115"/>
          </w:tcPr>
          <w:p>
            <w:pPr>
              <w:jc w:val="center"/>
              <w:spacing w:after="0" w:line="135" w:lineRule="exact"/>
              <w:rPr>
                <w:sz w:val="20"/>
                <w:szCs w:val="20"/>
                <w:color w:val="auto"/>
              </w:rPr>
            </w:pPr>
            <w:r>
              <w:rPr>
                <w:rFonts w:ascii="Arial" w:cs="Arial" w:eastAsia="Arial" w:hAnsi="Arial"/>
                <w:sz w:val="13"/>
                <w:szCs w:val="13"/>
                <w:color w:val="FFFFFF"/>
                <w:w w:val="97"/>
              </w:rPr>
              <w:t>Recommend-</w:t>
            </w:r>
          </w:p>
        </w:tc>
        <w:tc>
          <w:tcPr>
            <w:tcW w:w="1060" w:type="dxa"/>
            <w:vAlign w:val="bottom"/>
            <w:tcBorders>
              <w:right w:val="single" w:sz="8" w:color="BF2115"/>
            </w:tcBorders>
            <w:shd w:val="clear" w:color="auto" w:fill="BF2115"/>
          </w:tcPr>
          <w:p>
            <w:pPr>
              <w:jc w:val="center"/>
              <w:spacing w:after="0" w:line="135" w:lineRule="exact"/>
              <w:rPr>
                <w:sz w:val="20"/>
                <w:szCs w:val="20"/>
                <w:color w:val="auto"/>
              </w:rPr>
            </w:pPr>
            <w:r>
              <w:rPr>
                <w:rFonts w:ascii="Arial" w:cs="Arial" w:eastAsia="Arial" w:hAnsi="Arial"/>
                <w:sz w:val="13"/>
                <w:szCs w:val="13"/>
                <w:color w:val="FFFFFF"/>
                <w:w w:val="94"/>
              </w:rPr>
              <w:t>Discretionary</w:t>
            </w:r>
          </w:p>
        </w:tc>
        <w:tc>
          <w:tcPr>
            <w:tcW w:w="0" w:type="dxa"/>
            <w:vAlign w:val="bottom"/>
          </w:tcPr>
          <w:p>
            <w:pPr>
              <w:spacing w:after="0"/>
              <w:rPr>
                <w:sz w:val="1"/>
                <w:szCs w:val="1"/>
                <w:color w:val="auto"/>
              </w:rPr>
            </w:pPr>
          </w:p>
        </w:tc>
      </w:tr>
      <w:tr>
        <w:trPr>
          <w:trHeight w:val="162"/>
        </w:trPr>
        <w:tc>
          <w:tcPr>
            <w:tcW w:w="1440" w:type="dxa"/>
            <w:vAlign w:val="bottom"/>
            <w:tcBorders>
              <w:left w:val="single" w:sz="8" w:color="BF2115"/>
              <w:bottom w:val="single" w:sz="8" w:color="828282"/>
              <w:right w:val="single" w:sz="8" w:color="BF2115"/>
            </w:tcBorders>
            <w:shd w:val="clear" w:color="auto" w:fill="BF2115"/>
          </w:tcPr>
          <w:p>
            <w:pPr>
              <w:spacing w:after="0"/>
              <w:rPr>
                <w:sz w:val="14"/>
                <w:szCs w:val="14"/>
                <w:color w:val="auto"/>
              </w:rPr>
            </w:pPr>
          </w:p>
        </w:tc>
        <w:tc>
          <w:tcPr>
            <w:tcW w:w="1060" w:type="dxa"/>
            <w:vAlign w:val="bottom"/>
            <w:tcBorders>
              <w:bottom w:val="single" w:sz="8" w:color="828282"/>
              <w:right w:val="single" w:sz="8" w:color="BF2115"/>
            </w:tcBorders>
            <w:shd w:val="clear" w:color="auto" w:fill="BF2115"/>
          </w:tcPr>
          <w:p>
            <w:pPr>
              <w:spacing w:after="0"/>
              <w:rPr>
                <w:sz w:val="14"/>
                <w:szCs w:val="14"/>
                <w:color w:val="auto"/>
              </w:rPr>
            </w:pPr>
          </w:p>
        </w:tc>
        <w:tc>
          <w:tcPr>
            <w:tcW w:w="1060" w:type="dxa"/>
            <w:vAlign w:val="bottom"/>
            <w:tcBorders>
              <w:bottom w:val="single" w:sz="8" w:color="828282"/>
              <w:right w:val="single" w:sz="8" w:color="BF2115"/>
            </w:tcBorders>
            <w:shd w:val="clear" w:color="auto" w:fill="BF2115"/>
          </w:tcPr>
          <w:p>
            <w:pPr>
              <w:spacing w:after="0"/>
              <w:rPr>
                <w:sz w:val="14"/>
                <w:szCs w:val="14"/>
                <w:color w:val="auto"/>
              </w:rPr>
            </w:pPr>
          </w:p>
        </w:tc>
        <w:tc>
          <w:tcPr>
            <w:tcW w:w="1000" w:type="dxa"/>
            <w:vAlign w:val="bottom"/>
            <w:tcBorders>
              <w:bottom w:val="single" w:sz="8" w:color="828282"/>
              <w:right w:val="single" w:sz="8" w:color="BF2115"/>
            </w:tcBorders>
            <w:shd w:val="clear" w:color="auto" w:fill="BF2115"/>
          </w:tcPr>
          <w:p>
            <w:pPr>
              <w:jc w:val="center"/>
              <w:spacing w:after="0"/>
              <w:rPr>
                <w:sz w:val="20"/>
                <w:szCs w:val="20"/>
                <w:color w:val="auto"/>
              </w:rPr>
            </w:pPr>
            <w:r>
              <w:rPr>
                <w:rFonts w:ascii="Arial" w:cs="Arial" w:eastAsia="Arial" w:hAnsi="Arial"/>
                <w:sz w:val="13"/>
                <w:szCs w:val="13"/>
                <w:color w:val="FFFFFF"/>
                <w:w w:val="99"/>
              </w:rPr>
              <w:t>ation</w:t>
            </w:r>
            <w:r>
              <w:rPr>
                <w:rFonts w:ascii="Arial" w:cs="Arial" w:eastAsia="Arial" w:hAnsi="Arial"/>
                <w:sz w:val="8"/>
                <w:szCs w:val="8"/>
                <w:color w:val="FFFFFF"/>
                <w:w w:val="99"/>
              </w:rPr>
              <w:t>(2)</w:t>
            </w:r>
          </w:p>
        </w:tc>
        <w:tc>
          <w:tcPr>
            <w:tcW w:w="1060" w:type="dxa"/>
            <w:vAlign w:val="bottom"/>
            <w:tcBorders>
              <w:bottom w:val="single" w:sz="8" w:color="828282"/>
              <w:right w:val="single" w:sz="8" w:color="BF2115"/>
            </w:tcBorders>
            <w:shd w:val="clear" w:color="auto" w:fill="BF2115"/>
          </w:tcPr>
          <w:p>
            <w:pPr>
              <w:jc w:val="center"/>
              <w:spacing w:after="0"/>
              <w:rPr>
                <w:sz w:val="20"/>
                <w:szCs w:val="20"/>
                <w:color w:val="auto"/>
              </w:rPr>
            </w:pPr>
            <w:r>
              <w:rPr>
                <w:rFonts w:ascii="Arial" w:cs="Arial" w:eastAsia="Arial" w:hAnsi="Arial"/>
                <w:sz w:val="13"/>
                <w:szCs w:val="13"/>
                <w:color w:val="FFFFFF"/>
                <w:w w:val="96"/>
              </w:rPr>
              <w:t>Voting Allowed</w:t>
            </w:r>
            <w:r>
              <w:rPr>
                <w:rFonts w:ascii="Arial" w:cs="Arial" w:eastAsia="Arial" w:hAnsi="Arial"/>
                <w:sz w:val="8"/>
                <w:szCs w:val="8"/>
                <w:color w:val="FFFFFF"/>
                <w:w w:val="96"/>
              </w:rPr>
              <w:t>(3)</w:t>
            </w:r>
          </w:p>
        </w:tc>
        <w:tc>
          <w:tcPr>
            <w:tcW w:w="0" w:type="dxa"/>
            <w:vAlign w:val="bottom"/>
          </w:tcPr>
          <w:p>
            <w:pPr>
              <w:spacing w:after="0"/>
              <w:rPr>
                <w:sz w:val="1"/>
                <w:szCs w:val="1"/>
                <w:color w:val="auto"/>
              </w:rPr>
            </w:pPr>
          </w:p>
        </w:tc>
      </w:tr>
      <w:tr>
        <w:trPr>
          <w:trHeight w:val="145"/>
        </w:trPr>
        <w:tc>
          <w:tcPr>
            <w:tcW w:w="1440" w:type="dxa"/>
            <w:vAlign w:val="bottom"/>
            <w:tcBorders>
              <w:left w:val="single" w:sz="8" w:color="828282"/>
              <w:right w:val="single" w:sz="8" w:color="828282"/>
            </w:tcBorders>
            <w:shd w:val="clear" w:color="auto" w:fill="ACACAC"/>
          </w:tcPr>
          <w:p>
            <w:pPr>
              <w:ind w:left="40"/>
              <w:spacing w:after="0"/>
              <w:rPr>
                <w:sz w:val="20"/>
                <w:szCs w:val="20"/>
                <w:color w:val="auto"/>
              </w:rPr>
            </w:pPr>
            <w:r>
              <w:rPr>
                <w:rFonts w:ascii="Arial" w:cs="Arial" w:eastAsia="Arial" w:hAnsi="Arial"/>
                <w:sz w:val="11"/>
                <w:szCs w:val="11"/>
                <w:b w:val="1"/>
                <w:bCs w:val="1"/>
                <w:color w:val="auto"/>
              </w:rPr>
              <w:t>Item 1</w:t>
            </w:r>
            <w:r>
              <w:rPr>
                <w:rFonts w:ascii="Arial" w:cs="Arial" w:eastAsia="Arial" w:hAnsi="Arial"/>
                <w:sz w:val="11"/>
                <w:szCs w:val="11"/>
                <w:color w:val="auto"/>
              </w:rPr>
              <w:t>: Elect three Class II</w:t>
            </w:r>
          </w:p>
        </w:tc>
        <w:tc>
          <w:tcPr>
            <w:tcW w:w="1060" w:type="dxa"/>
            <w:vAlign w:val="bottom"/>
            <w:tcBorders>
              <w:right w:val="single" w:sz="8" w:color="828282"/>
            </w:tcBorders>
            <w:vMerge w:val="restart"/>
            <w:shd w:val="clear" w:color="auto" w:fill="ACACAC"/>
          </w:tcPr>
          <w:p>
            <w:pPr>
              <w:jc w:val="center"/>
              <w:spacing w:after="0"/>
              <w:rPr>
                <w:sz w:val="20"/>
                <w:szCs w:val="20"/>
                <w:color w:val="auto"/>
              </w:rPr>
            </w:pPr>
            <w:r>
              <w:rPr>
                <w:rFonts w:ascii="Arial" w:cs="Arial" w:eastAsia="Arial" w:hAnsi="Arial"/>
                <w:sz w:val="11"/>
                <w:szCs w:val="11"/>
                <w:color w:val="auto"/>
                <w:w w:val="98"/>
              </w:rPr>
              <w:t>Plurality of the votes</w:t>
            </w:r>
          </w:p>
        </w:tc>
        <w:tc>
          <w:tcPr>
            <w:tcW w:w="1060" w:type="dxa"/>
            <w:vAlign w:val="bottom"/>
            <w:tcBorders>
              <w:right w:val="single" w:sz="8" w:color="828282"/>
            </w:tcBorders>
            <w:vMerge w:val="restart"/>
            <w:shd w:val="clear" w:color="auto" w:fill="ACACAC"/>
          </w:tcPr>
          <w:p>
            <w:pPr>
              <w:jc w:val="center"/>
              <w:spacing w:after="0"/>
              <w:rPr>
                <w:sz w:val="20"/>
                <w:szCs w:val="20"/>
                <w:color w:val="auto"/>
              </w:rPr>
            </w:pPr>
            <w:r>
              <w:rPr>
                <w:rFonts w:ascii="Arial" w:cs="Arial" w:eastAsia="Arial" w:hAnsi="Arial"/>
                <w:sz w:val="11"/>
                <w:szCs w:val="11"/>
                <w:color w:val="auto"/>
              </w:rPr>
              <w:t>FOR</w:t>
            </w:r>
          </w:p>
        </w:tc>
        <w:tc>
          <w:tcPr>
            <w:tcW w:w="1000" w:type="dxa"/>
            <w:vAlign w:val="bottom"/>
            <w:tcBorders>
              <w:right w:val="single" w:sz="8" w:color="828282"/>
            </w:tcBorders>
            <w:shd w:val="clear" w:color="auto" w:fill="ACACAC"/>
          </w:tcPr>
          <w:p>
            <w:pPr>
              <w:spacing w:after="0"/>
              <w:rPr>
                <w:sz w:val="12"/>
                <w:szCs w:val="12"/>
                <w:color w:val="auto"/>
              </w:rPr>
            </w:pPr>
          </w:p>
        </w:tc>
        <w:tc>
          <w:tcPr>
            <w:tcW w:w="1060" w:type="dxa"/>
            <w:vAlign w:val="bottom"/>
            <w:tcBorders>
              <w:right w:val="single" w:sz="8" w:color="828282"/>
            </w:tcBorders>
            <w:shd w:val="clear" w:color="auto" w:fill="ACACAC"/>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828282"/>
              <w:right w:val="single" w:sz="8" w:color="828282"/>
            </w:tcBorders>
            <w:vMerge w:val="restart"/>
            <w:shd w:val="clear" w:color="auto" w:fill="ACACAC"/>
          </w:tcPr>
          <w:p>
            <w:pPr>
              <w:ind w:left="40"/>
              <w:spacing w:after="0"/>
              <w:rPr>
                <w:sz w:val="20"/>
                <w:szCs w:val="20"/>
                <w:color w:val="auto"/>
              </w:rPr>
            </w:pPr>
            <w:r>
              <w:rPr>
                <w:rFonts w:ascii="Arial" w:cs="Arial" w:eastAsia="Arial" w:hAnsi="Arial"/>
                <w:sz w:val="11"/>
                <w:szCs w:val="11"/>
                <w:color w:val="auto"/>
              </w:rPr>
              <w:t>directors to hold office for a</w:t>
            </w:r>
          </w:p>
        </w:tc>
        <w:tc>
          <w:tcPr>
            <w:tcW w:w="1060" w:type="dxa"/>
            <w:vAlign w:val="bottom"/>
            <w:tcBorders>
              <w:right w:val="single" w:sz="8" w:color="828282"/>
            </w:tcBorders>
            <w:vMerge w:val="continue"/>
            <w:shd w:val="clear" w:color="auto" w:fill="ACACAC"/>
          </w:tcPr>
          <w:p>
            <w:pPr>
              <w:spacing w:after="0"/>
              <w:rPr>
                <w:sz w:val="4"/>
                <w:szCs w:val="4"/>
                <w:color w:val="auto"/>
              </w:rPr>
            </w:pPr>
          </w:p>
        </w:tc>
        <w:tc>
          <w:tcPr>
            <w:tcW w:w="1060" w:type="dxa"/>
            <w:vAlign w:val="bottom"/>
            <w:tcBorders>
              <w:right w:val="single" w:sz="8" w:color="828282"/>
            </w:tcBorders>
            <w:vMerge w:val="continue"/>
            <w:shd w:val="clear" w:color="auto" w:fill="ACACAC"/>
          </w:tcPr>
          <w:p>
            <w:pPr>
              <w:spacing w:after="0"/>
              <w:rPr>
                <w:sz w:val="4"/>
                <w:szCs w:val="4"/>
                <w:color w:val="auto"/>
              </w:rPr>
            </w:pPr>
          </w:p>
        </w:tc>
        <w:tc>
          <w:tcPr>
            <w:tcW w:w="1000" w:type="dxa"/>
            <w:vAlign w:val="bottom"/>
            <w:tcBorders>
              <w:right w:val="single" w:sz="8" w:color="828282"/>
            </w:tcBorders>
            <w:vMerge w:val="restart"/>
            <w:shd w:val="clear" w:color="auto" w:fill="ACACAC"/>
          </w:tcPr>
          <w:p>
            <w:pPr>
              <w:jc w:val="center"/>
              <w:spacing w:after="0"/>
              <w:rPr>
                <w:sz w:val="20"/>
                <w:szCs w:val="20"/>
                <w:color w:val="auto"/>
              </w:rPr>
            </w:pPr>
            <w:r>
              <w:rPr>
                <w:rFonts w:ascii="Arial" w:cs="Arial" w:eastAsia="Arial" w:hAnsi="Arial"/>
                <w:sz w:val="11"/>
                <w:szCs w:val="11"/>
                <w:color w:val="auto"/>
                <w:w w:val="94"/>
              </w:rPr>
              <w:t>FOR</w:t>
            </w:r>
          </w:p>
        </w:tc>
        <w:tc>
          <w:tcPr>
            <w:tcW w:w="1060" w:type="dxa"/>
            <w:vAlign w:val="bottom"/>
            <w:tcBorders>
              <w:right w:val="single" w:sz="8" w:color="828282"/>
            </w:tcBorders>
            <w:vMerge w:val="restart"/>
            <w:shd w:val="clear" w:color="auto" w:fill="ACACAC"/>
          </w:tcPr>
          <w:p>
            <w:pPr>
              <w:jc w:val="center"/>
              <w:spacing w:after="0"/>
              <w:rPr>
                <w:sz w:val="20"/>
                <w:szCs w:val="20"/>
                <w:color w:val="auto"/>
              </w:rPr>
            </w:pPr>
            <w:r>
              <w:rPr>
                <w:rFonts w:ascii="Arial" w:cs="Arial" w:eastAsia="Arial" w:hAnsi="Arial"/>
                <w:sz w:val="11"/>
                <w:szCs w:val="11"/>
                <w:color w:val="auto"/>
                <w:w w:val="85"/>
              </w:rPr>
              <w:t>No</w:t>
            </w:r>
          </w:p>
        </w:tc>
        <w:tc>
          <w:tcPr>
            <w:tcW w:w="0" w:type="dxa"/>
            <w:vAlign w:val="bottom"/>
          </w:tcPr>
          <w:p>
            <w:pPr>
              <w:spacing w:after="0"/>
              <w:rPr>
                <w:sz w:val="1"/>
                <w:szCs w:val="1"/>
                <w:color w:val="auto"/>
              </w:rPr>
            </w:pPr>
          </w:p>
        </w:tc>
      </w:tr>
      <w:tr>
        <w:trPr>
          <w:trHeight w:val="98"/>
        </w:trPr>
        <w:tc>
          <w:tcPr>
            <w:tcW w:w="1440" w:type="dxa"/>
            <w:vAlign w:val="bottom"/>
            <w:tcBorders>
              <w:left w:val="single" w:sz="8" w:color="828282"/>
              <w:right w:val="single" w:sz="8" w:color="828282"/>
            </w:tcBorders>
            <w:vMerge w:val="continue"/>
            <w:shd w:val="clear" w:color="auto" w:fill="ACACAC"/>
          </w:tcPr>
          <w:p>
            <w:pPr>
              <w:spacing w:after="0"/>
              <w:rPr>
                <w:sz w:val="8"/>
                <w:szCs w:val="8"/>
                <w:color w:val="auto"/>
              </w:rPr>
            </w:pPr>
          </w:p>
        </w:tc>
        <w:tc>
          <w:tcPr>
            <w:tcW w:w="1060" w:type="dxa"/>
            <w:vAlign w:val="bottom"/>
            <w:tcBorders>
              <w:right w:val="single" w:sz="8" w:color="828282"/>
            </w:tcBorders>
            <w:shd w:val="clear" w:color="auto" w:fill="ACACAC"/>
          </w:tcPr>
          <w:p>
            <w:pPr>
              <w:jc w:val="center"/>
              <w:spacing w:after="0" w:line="98" w:lineRule="exact"/>
              <w:rPr>
                <w:sz w:val="20"/>
                <w:szCs w:val="20"/>
                <w:color w:val="auto"/>
              </w:rPr>
            </w:pPr>
            <w:r>
              <w:rPr>
                <w:rFonts w:ascii="Arial" w:cs="Arial" w:eastAsia="Arial" w:hAnsi="Arial"/>
                <w:sz w:val="11"/>
                <w:szCs w:val="11"/>
                <w:color w:val="auto"/>
              </w:rPr>
              <w:t>cast</w:t>
            </w:r>
            <w:r>
              <w:rPr>
                <w:rFonts w:ascii="Arial" w:cs="Arial" w:eastAsia="Arial" w:hAnsi="Arial"/>
                <w:sz w:val="7"/>
                <w:szCs w:val="7"/>
                <w:color w:val="auto"/>
              </w:rPr>
              <w:t>(4)</w:t>
            </w:r>
          </w:p>
        </w:tc>
        <w:tc>
          <w:tcPr>
            <w:tcW w:w="1060" w:type="dxa"/>
            <w:vAlign w:val="bottom"/>
            <w:tcBorders>
              <w:right w:val="single" w:sz="8" w:color="828282"/>
            </w:tcBorders>
            <w:shd w:val="clear" w:color="auto" w:fill="ACACAC"/>
          </w:tcPr>
          <w:p>
            <w:pPr>
              <w:jc w:val="center"/>
              <w:spacing w:after="0" w:line="98" w:lineRule="exact"/>
              <w:rPr>
                <w:sz w:val="20"/>
                <w:szCs w:val="20"/>
                <w:color w:val="auto"/>
              </w:rPr>
            </w:pPr>
            <w:r>
              <w:rPr>
                <w:rFonts w:ascii="Arial" w:cs="Arial" w:eastAsia="Arial" w:hAnsi="Arial"/>
                <w:sz w:val="11"/>
                <w:szCs w:val="11"/>
                <w:color w:val="auto"/>
                <w:w w:val="95"/>
              </w:rPr>
              <w:t>WITHHOLD</w:t>
            </w:r>
          </w:p>
        </w:tc>
        <w:tc>
          <w:tcPr>
            <w:tcW w:w="1000" w:type="dxa"/>
            <w:vAlign w:val="bottom"/>
            <w:tcBorders>
              <w:right w:val="single" w:sz="8" w:color="828282"/>
            </w:tcBorders>
            <w:vMerge w:val="continue"/>
            <w:shd w:val="clear" w:color="auto" w:fill="ACACAC"/>
          </w:tcPr>
          <w:p>
            <w:pPr>
              <w:spacing w:after="0"/>
              <w:rPr>
                <w:sz w:val="8"/>
                <w:szCs w:val="8"/>
                <w:color w:val="auto"/>
              </w:rPr>
            </w:pPr>
          </w:p>
        </w:tc>
        <w:tc>
          <w:tcPr>
            <w:tcW w:w="1060" w:type="dxa"/>
            <w:vAlign w:val="bottom"/>
            <w:tcBorders>
              <w:right w:val="single" w:sz="8" w:color="828282"/>
            </w:tcBorders>
            <w:vMerge w:val="continue"/>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440" w:type="dxa"/>
            <w:vAlign w:val="bottom"/>
            <w:tcBorders>
              <w:left w:val="single" w:sz="8" w:color="828282"/>
              <w:bottom w:val="single" w:sz="8" w:color="828282"/>
              <w:right w:val="single" w:sz="8" w:color="828282"/>
            </w:tcBorders>
            <w:shd w:val="clear" w:color="auto" w:fill="ACACAC"/>
          </w:tcPr>
          <w:p>
            <w:pPr>
              <w:ind w:left="40"/>
              <w:spacing w:after="0" w:line="122" w:lineRule="exact"/>
              <w:rPr>
                <w:sz w:val="20"/>
                <w:szCs w:val="20"/>
                <w:color w:val="auto"/>
              </w:rPr>
            </w:pPr>
            <w:r>
              <w:rPr>
                <w:rFonts w:ascii="Arial" w:cs="Arial" w:eastAsia="Arial" w:hAnsi="Arial"/>
                <w:sz w:val="11"/>
                <w:szCs w:val="11"/>
                <w:color w:val="auto"/>
              </w:rPr>
              <w:t>three-year term</w:t>
            </w:r>
          </w:p>
        </w:tc>
        <w:tc>
          <w:tcPr>
            <w:tcW w:w="1060" w:type="dxa"/>
            <w:vAlign w:val="bottom"/>
            <w:tcBorders>
              <w:bottom w:val="single" w:sz="8" w:color="828282"/>
              <w:right w:val="single" w:sz="8" w:color="828282"/>
            </w:tcBorders>
            <w:shd w:val="clear" w:color="auto" w:fill="ACACAC"/>
          </w:tcPr>
          <w:p>
            <w:pPr>
              <w:spacing w:after="0"/>
              <w:rPr>
                <w:sz w:val="10"/>
                <w:szCs w:val="10"/>
                <w:color w:val="auto"/>
              </w:rPr>
            </w:pPr>
          </w:p>
        </w:tc>
        <w:tc>
          <w:tcPr>
            <w:tcW w:w="1060" w:type="dxa"/>
            <w:vAlign w:val="bottom"/>
            <w:tcBorders>
              <w:bottom w:val="single" w:sz="8" w:color="828282"/>
              <w:right w:val="single" w:sz="8" w:color="828282"/>
            </w:tcBorders>
            <w:shd w:val="clear" w:color="auto" w:fill="ACACAC"/>
          </w:tcPr>
          <w:p>
            <w:pPr>
              <w:spacing w:after="0"/>
              <w:rPr>
                <w:sz w:val="10"/>
                <w:szCs w:val="10"/>
                <w:color w:val="auto"/>
              </w:rPr>
            </w:pPr>
          </w:p>
        </w:tc>
        <w:tc>
          <w:tcPr>
            <w:tcW w:w="1000" w:type="dxa"/>
            <w:vAlign w:val="bottom"/>
            <w:tcBorders>
              <w:bottom w:val="single" w:sz="8" w:color="828282"/>
              <w:right w:val="single" w:sz="8" w:color="828282"/>
            </w:tcBorders>
            <w:shd w:val="clear" w:color="auto" w:fill="ACACAC"/>
          </w:tcPr>
          <w:p>
            <w:pPr>
              <w:spacing w:after="0"/>
              <w:rPr>
                <w:sz w:val="10"/>
                <w:szCs w:val="10"/>
                <w:color w:val="auto"/>
              </w:rPr>
            </w:pPr>
          </w:p>
        </w:tc>
        <w:tc>
          <w:tcPr>
            <w:tcW w:w="1060" w:type="dxa"/>
            <w:vAlign w:val="bottom"/>
            <w:tcBorders>
              <w:bottom w:val="single" w:sz="8" w:color="828282"/>
              <w:right w:val="single" w:sz="8" w:color="828282"/>
            </w:tcBorders>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440" w:type="dxa"/>
            <w:vAlign w:val="bottom"/>
            <w:tcBorders>
              <w:left w:val="single" w:sz="8" w:color="828282"/>
              <w:right w:val="single" w:sz="8" w:color="828282"/>
            </w:tcBorders>
          </w:tcPr>
          <w:p>
            <w:pPr>
              <w:ind w:left="40"/>
              <w:spacing w:after="0"/>
              <w:rPr>
                <w:sz w:val="20"/>
                <w:szCs w:val="20"/>
                <w:color w:val="auto"/>
              </w:rPr>
            </w:pPr>
            <w:r>
              <w:rPr>
                <w:rFonts w:ascii="Arial" w:cs="Arial" w:eastAsia="Arial" w:hAnsi="Arial"/>
                <w:sz w:val="11"/>
                <w:szCs w:val="11"/>
                <w:b w:val="1"/>
                <w:bCs w:val="1"/>
                <w:color w:val="auto"/>
              </w:rPr>
              <w:t>Item 2</w:t>
            </w:r>
            <w:r>
              <w:rPr>
                <w:rFonts w:ascii="Arial" w:cs="Arial" w:eastAsia="Arial" w:hAnsi="Arial"/>
                <w:sz w:val="11"/>
                <w:szCs w:val="11"/>
                <w:color w:val="auto"/>
              </w:rPr>
              <w:t>: Advisory approval</w:t>
            </w:r>
          </w:p>
        </w:tc>
        <w:tc>
          <w:tcPr>
            <w:tcW w:w="1060" w:type="dxa"/>
            <w:vAlign w:val="bottom"/>
            <w:tcBorders>
              <w:right w:val="single" w:sz="8" w:color="828282"/>
            </w:tcBorders>
            <w:vMerge w:val="restart"/>
          </w:tcPr>
          <w:p>
            <w:pPr>
              <w:jc w:val="center"/>
              <w:spacing w:after="0"/>
              <w:rPr>
                <w:sz w:val="20"/>
                <w:szCs w:val="20"/>
                <w:color w:val="auto"/>
              </w:rPr>
            </w:pPr>
            <w:r>
              <w:rPr>
                <w:rFonts w:ascii="Arial" w:cs="Arial" w:eastAsia="Arial" w:hAnsi="Arial"/>
                <w:sz w:val="11"/>
                <w:szCs w:val="11"/>
                <w:color w:val="auto"/>
                <w:w w:val="99"/>
              </w:rPr>
              <w:t>Majority of the votes</w:t>
            </w:r>
          </w:p>
        </w:tc>
        <w:tc>
          <w:tcPr>
            <w:tcW w:w="1060" w:type="dxa"/>
            <w:vAlign w:val="bottom"/>
            <w:tcBorders>
              <w:right w:val="single" w:sz="8" w:color="828282"/>
            </w:tcBorders>
          </w:tcPr>
          <w:p>
            <w:pPr>
              <w:jc w:val="center"/>
              <w:spacing w:after="0"/>
              <w:rPr>
                <w:sz w:val="20"/>
                <w:szCs w:val="20"/>
                <w:color w:val="auto"/>
              </w:rPr>
            </w:pPr>
            <w:r>
              <w:rPr>
                <w:rFonts w:ascii="Arial" w:cs="Arial" w:eastAsia="Arial" w:hAnsi="Arial"/>
                <w:sz w:val="11"/>
                <w:szCs w:val="11"/>
                <w:color w:val="auto"/>
              </w:rPr>
              <w:t>FOR</w:t>
            </w:r>
          </w:p>
        </w:tc>
        <w:tc>
          <w:tcPr>
            <w:tcW w:w="1000" w:type="dxa"/>
            <w:vAlign w:val="bottom"/>
            <w:tcBorders>
              <w:right w:val="single" w:sz="8" w:color="828282"/>
            </w:tcBorders>
          </w:tcPr>
          <w:p>
            <w:pPr>
              <w:spacing w:after="0"/>
              <w:rPr>
                <w:sz w:val="12"/>
                <w:szCs w:val="12"/>
                <w:color w:val="auto"/>
              </w:rPr>
            </w:pPr>
          </w:p>
        </w:tc>
        <w:tc>
          <w:tcPr>
            <w:tcW w:w="1060" w:type="dxa"/>
            <w:vAlign w:val="bottom"/>
            <w:tcBorders>
              <w:right w:val="single" w:sz="8" w:color="828282"/>
            </w:tcBorders>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828282"/>
              <w:right w:val="single" w:sz="8" w:color="828282"/>
            </w:tcBorders>
            <w:vMerge w:val="restart"/>
          </w:tcPr>
          <w:p>
            <w:pPr>
              <w:ind w:left="40"/>
              <w:spacing w:after="0" w:line="122" w:lineRule="exact"/>
              <w:rPr>
                <w:sz w:val="20"/>
                <w:szCs w:val="20"/>
                <w:color w:val="auto"/>
              </w:rPr>
            </w:pPr>
            <w:r>
              <w:rPr>
                <w:rFonts w:ascii="Arial" w:cs="Arial" w:eastAsia="Arial" w:hAnsi="Arial"/>
                <w:sz w:val="11"/>
                <w:szCs w:val="11"/>
                <w:color w:val="auto"/>
              </w:rPr>
              <w:t>of executive compensation</w:t>
            </w:r>
          </w:p>
        </w:tc>
        <w:tc>
          <w:tcPr>
            <w:tcW w:w="1060" w:type="dxa"/>
            <w:vAlign w:val="bottom"/>
            <w:tcBorders>
              <w:right w:val="single" w:sz="8" w:color="828282"/>
            </w:tcBorders>
            <w:vMerge w:val="continue"/>
          </w:tcPr>
          <w:p>
            <w:pPr>
              <w:spacing w:after="0"/>
              <w:rPr>
                <w:sz w:val="4"/>
                <w:szCs w:val="4"/>
                <w:color w:val="auto"/>
              </w:rPr>
            </w:pPr>
          </w:p>
        </w:tc>
        <w:tc>
          <w:tcPr>
            <w:tcW w:w="1060" w:type="dxa"/>
            <w:vAlign w:val="bottom"/>
            <w:tcBorders>
              <w:right w:val="single" w:sz="8" w:color="828282"/>
            </w:tcBorders>
            <w:vMerge w:val="restart"/>
          </w:tcPr>
          <w:p>
            <w:pPr>
              <w:jc w:val="center"/>
              <w:spacing w:after="0" w:line="122" w:lineRule="exact"/>
              <w:rPr>
                <w:sz w:val="20"/>
                <w:szCs w:val="20"/>
                <w:color w:val="auto"/>
              </w:rPr>
            </w:pPr>
            <w:r>
              <w:rPr>
                <w:rFonts w:ascii="Arial" w:cs="Arial" w:eastAsia="Arial" w:hAnsi="Arial"/>
                <w:sz w:val="11"/>
                <w:szCs w:val="11"/>
                <w:color w:val="auto"/>
                <w:w w:val="99"/>
              </w:rPr>
              <w:t>AGAINST</w:t>
            </w:r>
          </w:p>
        </w:tc>
        <w:tc>
          <w:tcPr>
            <w:tcW w:w="1000" w:type="dxa"/>
            <w:vAlign w:val="bottom"/>
            <w:tcBorders>
              <w:right w:val="single" w:sz="8" w:color="828282"/>
            </w:tcBorders>
            <w:vMerge w:val="restart"/>
          </w:tcPr>
          <w:p>
            <w:pPr>
              <w:jc w:val="center"/>
              <w:spacing w:after="0" w:line="122" w:lineRule="exact"/>
              <w:rPr>
                <w:sz w:val="20"/>
                <w:szCs w:val="20"/>
                <w:color w:val="auto"/>
              </w:rPr>
            </w:pPr>
            <w:r>
              <w:rPr>
                <w:rFonts w:ascii="Arial" w:cs="Arial" w:eastAsia="Arial" w:hAnsi="Arial"/>
                <w:sz w:val="11"/>
                <w:szCs w:val="11"/>
                <w:color w:val="auto"/>
                <w:w w:val="94"/>
              </w:rPr>
              <w:t>FOR</w:t>
            </w:r>
          </w:p>
        </w:tc>
        <w:tc>
          <w:tcPr>
            <w:tcW w:w="1060" w:type="dxa"/>
            <w:vAlign w:val="bottom"/>
            <w:tcBorders>
              <w:right w:val="single" w:sz="8" w:color="828282"/>
            </w:tcBorders>
            <w:vMerge w:val="restart"/>
          </w:tcPr>
          <w:p>
            <w:pPr>
              <w:jc w:val="center"/>
              <w:spacing w:after="0" w:line="122" w:lineRule="exact"/>
              <w:rPr>
                <w:sz w:val="20"/>
                <w:szCs w:val="20"/>
                <w:color w:val="auto"/>
              </w:rPr>
            </w:pPr>
            <w:r>
              <w:rPr>
                <w:rFonts w:ascii="Arial" w:cs="Arial" w:eastAsia="Arial" w:hAnsi="Arial"/>
                <w:sz w:val="11"/>
                <w:szCs w:val="11"/>
                <w:color w:val="auto"/>
                <w:w w:val="85"/>
              </w:rPr>
              <w:t>No</w:t>
            </w:r>
          </w:p>
        </w:tc>
        <w:tc>
          <w:tcPr>
            <w:tcW w:w="0" w:type="dxa"/>
            <w:vAlign w:val="bottom"/>
          </w:tcPr>
          <w:p>
            <w:pPr>
              <w:spacing w:after="0"/>
              <w:rPr>
                <w:sz w:val="1"/>
                <w:szCs w:val="1"/>
                <w:color w:val="auto"/>
              </w:rPr>
            </w:pPr>
          </w:p>
        </w:tc>
      </w:tr>
      <w:tr>
        <w:trPr>
          <w:trHeight w:val="68"/>
        </w:trPr>
        <w:tc>
          <w:tcPr>
            <w:tcW w:w="1440" w:type="dxa"/>
            <w:vAlign w:val="bottom"/>
            <w:tcBorders>
              <w:left w:val="single" w:sz="8" w:color="828282"/>
              <w:right w:val="single" w:sz="8" w:color="828282"/>
            </w:tcBorders>
            <w:vMerge w:val="continue"/>
          </w:tcPr>
          <w:p>
            <w:pPr>
              <w:spacing w:after="0"/>
              <w:rPr>
                <w:sz w:val="5"/>
                <w:szCs w:val="5"/>
                <w:color w:val="auto"/>
              </w:rPr>
            </w:pPr>
          </w:p>
        </w:tc>
        <w:tc>
          <w:tcPr>
            <w:tcW w:w="1060" w:type="dxa"/>
            <w:vAlign w:val="bottom"/>
            <w:tcBorders>
              <w:right w:val="single" w:sz="8" w:color="828282"/>
            </w:tcBorders>
          </w:tcPr>
          <w:p>
            <w:pPr>
              <w:jc w:val="center"/>
              <w:spacing w:after="0" w:line="68" w:lineRule="exact"/>
              <w:rPr>
                <w:sz w:val="20"/>
                <w:szCs w:val="20"/>
                <w:color w:val="auto"/>
              </w:rPr>
            </w:pPr>
            <w:r>
              <w:rPr>
                <w:rFonts w:ascii="Arial" w:cs="Arial" w:eastAsia="Arial" w:hAnsi="Arial"/>
                <w:sz w:val="6"/>
                <w:szCs w:val="6"/>
                <w:color w:val="auto"/>
              </w:rPr>
              <w:t>cast</w:t>
            </w:r>
            <w:r>
              <w:rPr>
                <w:rFonts w:ascii="Arial" w:cs="Arial" w:eastAsia="Arial" w:hAnsi="Arial"/>
                <w:sz w:val="5"/>
                <w:szCs w:val="5"/>
                <w:color w:val="auto"/>
              </w:rPr>
              <w:t>(5)</w:t>
            </w:r>
          </w:p>
        </w:tc>
        <w:tc>
          <w:tcPr>
            <w:tcW w:w="1060" w:type="dxa"/>
            <w:vAlign w:val="bottom"/>
            <w:tcBorders>
              <w:right w:val="single" w:sz="8" w:color="828282"/>
            </w:tcBorders>
            <w:vMerge w:val="continue"/>
          </w:tcPr>
          <w:p>
            <w:pPr>
              <w:spacing w:after="0"/>
              <w:rPr>
                <w:sz w:val="5"/>
                <w:szCs w:val="5"/>
                <w:color w:val="auto"/>
              </w:rPr>
            </w:pPr>
          </w:p>
        </w:tc>
        <w:tc>
          <w:tcPr>
            <w:tcW w:w="1000" w:type="dxa"/>
            <w:vAlign w:val="bottom"/>
            <w:tcBorders>
              <w:right w:val="single" w:sz="8" w:color="828282"/>
            </w:tcBorders>
            <w:vMerge w:val="continue"/>
          </w:tcPr>
          <w:p>
            <w:pPr>
              <w:spacing w:after="0"/>
              <w:rPr>
                <w:sz w:val="5"/>
                <w:szCs w:val="5"/>
                <w:color w:val="auto"/>
              </w:rPr>
            </w:pPr>
          </w:p>
        </w:tc>
        <w:tc>
          <w:tcPr>
            <w:tcW w:w="1060" w:type="dxa"/>
            <w:vAlign w:val="bottom"/>
            <w:tcBorders>
              <w:right w:val="single" w:sz="8" w:color="828282"/>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440" w:type="dxa"/>
            <w:vAlign w:val="bottom"/>
            <w:tcBorders>
              <w:left w:val="single" w:sz="8" w:color="828282"/>
              <w:right w:val="single" w:sz="8" w:color="828282"/>
            </w:tcBorders>
          </w:tcPr>
          <w:p>
            <w:pPr>
              <w:ind w:left="40"/>
              <w:spacing w:after="0"/>
              <w:rPr>
                <w:sz w:val="20"/>
                <w:szCs w:val="20"/>
                <w:color w:val="auto"/>
              </w:rPr>
            </w:pPr>
            <w:r>
              <w:rPr>
                <w:rFonts w:ascii="Arial" w:cs="Arial" w:eastAsia="Arial" w:hAnsi="Arial"/>
                <w:sz w:val="11"/>
                <w:szCs w:val="11"/>
                <w:color w:val="auto"/>
              </w:rPr>
              <w:t>(the "Say on Pay" vote)</w:t>
            </w:r>
          </w:p>
        </w:tc>
        <w:tc>
          <w:tcPr>
            <w:tcW w:w="1060" w:type="dxa"/>
            <w:vAlign w:val="bottom"/>
            <w:tcBorders>
              <w:right w:val="single" w:sz="8" w:color="828282"/>
            </w:tcBorders>
          </w:tcPr>
          <w:p>
            <w:pPr>
              <w:spacing w:after="0"/>
              <w:rPr>
                <w:sz w:val="11"/>
                <w:szCs w:val="11"/>
                <w:color w:val="auto"/>
              </w:rPr>
            </w:pPr>
          </w:p>
        </w:tc>
        <w:tc>
          <w:tcPr>
            <w:tcW w:w="1060" w:type="dxa"/>
            <w:vAlign w:val="bottom"/>
            <w:tcBorders>
              <w:right w:val="single" w:sz="8" w:color="828282"/>
            </w:tcBorders>
          </w:tcPr>
          <w:p>
            <w:pPr>
              <w:jc w:val="center"/>
              <w:spacing w:after="0"/>
              <w:rPr>
                <w:sz w:val="20"/>
                <w:szCs w:val="20"/>
                <w:color w:val="auto"/>
              </w:rPr>
            </w:pPr>
            <w:r>
              <w:rPr>
                <w:rFonts w:ascii="Arial" w:cs="Arial" w:eastAsia="Arial" w:hAnsi="Arial"/>
                <w:sz w:val="11"/>
                <w:szCs w:val="11"/>
                <w:color w:val="auto"/>
                <w:w w:val="93"/>
              </w:rPr>
              <w:t>ABSTAIN</w:t>
            </w:r>
          </w:p>
        </w:tc>
        <w:tc>
          <w:tcPr>
            <w:tcW w:w="1000" w:type="dxa"/>
            <w:vAlign w:val="bottom"/>
            <w:tcBorders>
              <w:right w:val="single" w:sz="8" w:color="828282"/>
            </w:tcBorders>
          </w:tcPr>
          <w:p>
            <w:pPr>
              <w:spacing w:after="0"/>
              <w:rPr>
                <w:sz w:val="11"/>
                <w:szCs w:val="11"/>
                <w:color w:val="auto"/>
              </w:rPr>
            </w:pPr>
          </w:p>
        </w:tc>
        <w:tc>
          <w:tcPr>
            <w:tcW w:w="1060" w:type="dxa"/>
            <w:vAlign w:val="bottom"/>
            <w:tcBorders>
              <w:right w:val="single" w:sz="8" w:color="828282"/>
            </w:tcBorders>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440" w:type="dxa"/>
            <w:vAlign w:val="bottom"/>
            <w:tcBorders>
              <w:left w:val="single" w:sz="8" w:color="828282"/>
              <w:bottom w:val="single" w:sz="8" w:color="828282"/>
              <w:right w:val="single" w:sz="8" w:color="828282"/>
            </w:tcBorders>
          </w:tcPr>
          <w:p>
            <w:pPr>
              <w:spacing w:after="0" w:line="20" w:lineRule="exact"/>
              <w:rPr>
                <w:sz w:val="1"/>
                <w:szCs w:val="1"/>
                <w:color w:val="auto"/>
              </w:rPr>
            </w:pPr>
          </w:p>
        </w:tc>
        <w:tc>
          <w:tcPr>
            <w:tcW w:w="1060" w:type="dxa"/>
            <w:vAlign w:val="bottom"/>
            <w:tcBorders>
              <w:bottom w:val="single" w:sz="8" w:color="828282"/>
              <w:right w:val="single" w:sz="8" w:color="828282"/>
            </w:tcBorders>
          </w:tcPr>
          <w:p>
            <w:pPr>
              <w:spacing w:after="0" w:line="20" w:lineRule="exact"/>
              <w:rPr>
                <w:sz w:val="1"/>
                <w:szCs w:val="1"/>
                <w:color w:val="auto"/>
              </w:rPr>
            </w:pPr>
          </w:p>
        </w:tc>
        <w:tc>
          <w:tcPr>
            <w:tcW w:w="1060" w:type="dxa"/>
            <w:vAlign w:val="bottom"/>
            <w:tcBorders>
              <w:bottom w:val="single" w:sz="8" w:color="828282"/>
              <w:right w:val="single" w:sz="8" w:color="828282"/>
            </w:tcBorders>
          </w:tcPr>
          <w:p>
            <w:pPr>
              <w:spacing w:after="0" w:line="20" w:lineRule="exact"/>
              <w:rPr>
                <w:sz w:val="1"/>
                <w:szCs w:val="1"/>
                <w:color w:val="auto"/>
              </w:rPr>
            </w:pPr>
          </w:p>
        </w:tc>
        <w:tc>
          <w:tcPr>
            <w:tcW w:w="1000" w:type="dxa"/>
            <w:vAlign w:val="bottom"/>
            <w:tcBorders>
              <w:bottom w:val="single" w:sz="8" w:color="828282"/>
              <w:right w:val="single" w:sz="8" w:color="828282"/>
            </w:tcBorders>
          </w:tcPr>
          <w:p>
            <w:pPr>
              <w:spacing w:after="0" w:line="20" w:lineRule="exact"/>
              <w:rPr>
                <w:sz w:val="1"/>
                <w:szCs w:val="1"/>
                <w:color w:val="auto"/>
              </w:rPr>
            </w:pPr>
          </w:p>
        </w:tc>
        <w:tc>
          <w:tcPr>
            <w:tcW w:w="1060" w:type="dxa"/>
            <w:vAlign w:val="bottom"/>
            <w:tcBorders>
              <w:bottom w:val="single" w:sz="8" w:color="828282"/>
              <w:right w:val="single" w:sz="8" w:color="82828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1440" w:type="dxa"/>
            <w:vAlign w:val="bottom"/>
            <w:tcBorders>
              <w:left w:val="single" w:sz="8" w:color="828282"/>
              <w:right w:val="single" w:sz="8" w:color="828282"/>
            </w:tcBorders>
            <w:shd w:val="clear" w:color="auto" w:fill="ACACAC"/>
          </w:tcPr>
          <w:p>
            <w:pPr>
              <w:ind w:left="40"/>
              <w:spacing w:after="0"/>
              <w:rPr>
                <w:sz w:val="20"/>
                <w:szCs w:val="20"/>
                <w:color w:val="auto"/>
              </w:rPr>
            </w:pPr>
            <w:r>
              <w:rPr>
                <w:rFonts w:ascii="Arial" w:cs="Arial" w:eastAsia="Arial" w:hAnsi="Arial"/>
                <w:sz w:val="11"/>
                <w:szCs w:val="11"/>
                <w:b w:val="1"/>
                <w:bCs w:val="1"/>
                <w:color w:val="auto"/>
              </w:rPr>
              <w:t>Item 3</w:t>
            </w:r>
            <w:r>
              <w:rPr>
                <w:rFonts w:ascii="Arial" w:cs="Arial" w:eastAsia="Arial" w:hAnsi="Arial"/>
                <w:sz w:val="11"/>
                <w:szCs w:val="11"/>
                <w:color w:val="auto"/>
              </w:rPr>
              <w:t>: Ratify the</w:t>
            </w:r>
          </w:p>
        </w:tc>
        <w:tc>
          <w:tcPr>
            <w:tcW w:w="1060" w:type="dxa"/>
            <w:vAlign w:val="bottom"/>
            <w:tcBorders>
              <w:right w:val="single" w:sz="8" w:color="828282"/>
            </w:tcBorders>
            <w:shd w:val="clear" w:color="auto" w:fill="ACACAC"/>
          </w:tcPr>
          <w:p>
            <w:pPr>
              <w:spacing w:after="0"/>
              <w:rPr>
                <w:sz w:val="12"/>
                <w:szCs w:val="12"/>
                <w:color w:val="auto"/>
              </w:rPr>
            </w:pPr>
          </w:p>
        </w:tc>
        <w:tc>
          <w:tcPr>
            <w:tcW w:w="1060" w:type="dxa"/>
            <w:vAlign w:val="bottom"/>
            <w:tcBorders>
              <w:right w:val="single" w:sz="8" w:color="828282"/>
            </w:tcBorders>
            <w:shd w:val="clear" w:color="auto" w:fill="ACACAC"/>
          </w:tcPr>
          <w:p>
            <w:pPr>
              <w:spacing w:after="0"/>
              <w:rPr>
                <w:sz w:val="12"/>
                <w:szCs w:val="12"/>
                <w:color w:val="auto"/>
              </w:rPr>
            </w:pPr>
          </w:p>
        </w:tc>
        <w:tc>
          <w:tcPr>
            <w:tcW w:w="1000" w:type="dxa"/>
            <w:vAlign w:val="bottom"/>
            <w:tcBorders>
              <w:right w:val="single" w:sz="8" w:color="828282"/>
            </w:tcBorders>
            <w:shd w:val="clear" w:color="auto" w:fill="ACACAC"/>
          </w:tcPr>
          <w:p>
            <w:pPr>
              <w:spacing w:after="0"/>
              <w:rPr>
                <w:sz w:val="12"/>
                <w:szCs w:val="12"/>
                <w:color w:val="auto"/>
              </w:rPr>
            </w:pPr>
          </w:p>
        </w:tc>
        <w:tc>
          <w:tcPr>
            <w:tcW w:w="1060" w:type="dxa"/>
            <w:vAlign w:val="bottom"/>
            <w:tcBorders>
              <w:right w:val="single" w:sz="8" w:color="828282"/>
            </w:tcBorders>
            <w:shd w:val="clear" w:color="auto" w:fill="ACACA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40" w:type="dxa"/>
            <w:vAlign w:val="bottom"/>
            <w:tcBorders>
              <w:left w:val="single" w:sz="8" w:color="828282"/>
              <w:right w:val="single" w:sz="8" w:color="828282"/>
            </w:tcBorders>
            <w:shd w:val="clear" w:color="auto" w:fill="ACACAC"/>
          </w:tcPr>
          <w:p>
            <w:pPr>
              <w:ind w:left="40"/>
              <w:spacing w:after="0" w:line="122" w:lineRule="exact"/>
              <w:rPr>
                <w:sz w:val="20"/>
                <w:szCs w:val="20"/>
                <w:color w:val="auto"/>
              </w:rPr>
            </w:pPr>
            <w:r>
              <w:rPr>
                <w:rFonts w:ascii="Arial" w:cs="Arial" w:eastAsia="Arial" w:hAnsi="Arial"/>
                <w:sz w:val="11"/>
                <w:szCs w:val="11"/>
                <w:color w:val="auto"/>
              </w:rPr>
              <w:t>appointment of Deloitte &amp;</w:t>
            </w:r>
          </w:p>
        </w:tc>
        <w:tc>
          <w:tcPr>
            <w:tcW w:w="1060" w:type="dxa"/>
            <w:vAlign w:val="bottom"/>
            <w:tcBorders>
              <w:right w:val="single" w:sz="8" w:color="828282"/>
            </w:tcBorders>
            <w:shd w:val="clear" w:color="auto" w:fill="ACACAC"/>
          </w:tcPr>
          <w:p>
            <w:pPr>
              <w:spacing w:after="0"/>
              <w:rPr>
                <w:sz w:val="10"/>
                <w:szCs w:val="10"/>
                <w:color w:val="auto"/>
              </w:rPr>
            </w:pPr>
          </w:p>
        </w:tc>
        <w:tc>
          <w:tcPr>
            <w:tcW w:w="1060" w:type="dxa"/>
            <w:vAlign w:val="bottom"/>
            <w:tcBorders>
              <w:right w:val="single" w:sz="8" w:color="828282"/>
            </w:tcBorders>
            <w:shd w:val="clear" w:color="auto" w:fill="ACACAC"/>
          </w:tcPr>
          <w:p>
            <w:pPr>
              <w:spacing w:after="0"/>
              <w:rPr>
                <w:sz w:val="10"/>
                <w:szCs w:val="10"/>
                <w:color w:val="auto"/>
              </w:rPr>
            </w:pPr>
          </w:p>
        </w:tc>
        <w:tc>
          <w:tcPr>
            <w:tcW w:w="1000" w:type="dxa"/>
            <w:vAlign w:val="bottom"/>
            <w:tcBorders>
              <w:right w:val="single" w:sz="8" w:color="828282"/>
            </w:tcBorders>
            <w:shd w:val="clear" w:color="auto" w:fill="ACACAC"/>
          </w:tcPr>
          <w:p>
            <w:pPr>
              <w:spacing w:after="0"/>
              <w:rPr>
                <w:sz w:val="10"/>
                <w:szCs w:val="10"/>
                <w:color w:val="auto"/>
              </w:rPr>
            </w:pPr>
          </w:p>
        </w:tc>
        <w:tc>
          <w:tcPr>
            <w:tcW w:w="1060" w:type="dxa"/>
            <w:vAlign w:val="bottom"/>
            <w:tcBorders>
              <w:right w:val="single" w:sz="8" w:color="828282"/>
            </w:tcBorders>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40" w:type="dxa"/>
            <w:vAlign w:val="bottom"/>
            <w:tcBorders>
              <w:left w:val="single" w:sz="8" w:color="828282"/>
              <w:right w:val="single" w:sz="8" w:color="828282"/>
            </w:tcBorders>
            <w:shd w:val="clear" w:color="auto" w:fill="ACACAC"/>
          </w:tcPr>
          <w:p>
            <w:pPr>
              <w:ind w:left="40"/>
              <w:spacing w:after="0" w:line="122" w:lineRule="exact"/>
              <w:rPr>
                <w:sz w:val="20"/>
                <w:szCs w:val="20"/>
                <w:color w:val="auto"/>
              </w:rPr>
            </w:pPr>
            <w:r>
              <w:rPr>
                <w:rFonts w:ascii="Arial" w:cs="Arial" w:eastAsia="Arial" w:hAnsi="Arial"/>
                <w:sz w:val="11"/>
                <w:szCs w:val="11"/>
                <w:color w:val="auto"/>
              </w:rPr>
              <w:t>Touche LLP as our</w:t>
            </w:r>
          </w:p>
        </w:tc>
        <w:tc>
          <w:tcPr>
            <w:tcW w:w="1060" w:type="dxa"/>
            <w:vAlign w:val="bottom"/>
            <w:tcBorders>
              <w:right w:val="single" w:sz="8" w:color="828282"/>
            </w:tcBorders>
            <w:vMerge w:val="restart"/>
            <w:shd w:val="clear" w:color="auto" w:fill="ACACAC"/>
          </w:tcPr>
          <w:p>
            <w:pPr>
              <w:jc w:val="center"/>
              <w:spacing w:after="0"/>
              <w:rPr>
                <w:sz w:val="20"/>
                <w:szCs w:val="20"/>
                <w:color w:val="auto"/>
              </w:rPr>
            </w:pPr>
            <w:r>
              <w:rPr>
                <w:rFonts w:ascii="Arial" w:cs="Arial" w:eastAsia="Arial" w:hAnsi="Arial"/>
                <w:sz w:val="11"/>
                <w:szCs w:val="11"/>
                <w:color w:val="auto"/>
                <w:w w:val="99"/>
              </w:rPr>
              <w:t>Majority of the votes</w:t>
            </w:r>
          </w:p>
        </w:tc>
        <w:tc>
          <w:tcPr>
            <w:tcW w:w="1060" w:type="dxa"/>
            <w:vAlign w:val="bottom"/>
            <w:tcBorders>
              <w:right w:val="single" w:sz="8" w:color="828282"/>
            </w:tcBorders>
            <w:shd w:val="clear" w:color="auto" w:fill="ACACAC"/>
          </w:tcPr>
          <w:p>
            <w:pPr>
              <w:jc w:val="center"/>
              <w:spacing w:after="0" w:line="122" w:lineRule="exact"/>
              <w:rPr>
                <w:sz w:val="20"/>
                <w:szCs w:val="20"/>
                <w:color w:val="auto"/>
              </w:rPr>
            </w:pPr>
            <w:r>
              <w:rPr>
                <w:rFonts w:ascii="Arial" w:cs="Arial" w:eastAsia="Arial" w:hAnsi="Arial"/>
                <w:sz w:val="11"/>
                <w:szCs w:val="11"/>
                <w:color w:val="auto"/>
              </w:rPr>
              <w:t>FOR</w:t>
            </w:r>
          </w:p>
        </w:tc>
        <w:tc>
          <w:tcPr>
            <w:tcW w:w="1000" w:type="dxa"/>
            <w:vAlign w:val="bottom"/>
            <w:tcBorders>
              <w:right w:val="single" w:sz="8" w:color="828282"/>
            </w:tcBorders>
            <w:shd w:val="clear" w:color="auto" w:fill="ACACAC"/>
          </w:tcPr>
          <w:p>
            <w:pPr>
              <w:spacing w:after="0"/>
              <w:rPr>
                <w:sz w:val="10"/>
                <w:szCs w:val="10"/>
                <w:color w:val="auto"/>
              </w:rPr>
            </w:pPr>
          </w:p>
        </w:tc>
        <w:tc>
          <w:tcPr>
            <w:tcW w:w="1060" w:type="dxa"/>
            <w:vAlign w:val="bottom"/>
            <w:tcBorders>
              <w:right w:val="single" w:sz="8" w:color="828282"/>
            </w:tcBorders>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828282"/>
              <w:right w:val="single" w:sz="8" w:color="828282"/>
            </w:tcBorders>
            <w:vMerge w:val="restart"/>
            <w:shd w:val="clear" w:color="auto" w:fill="ACACAC"/>
          </w:tcPr>
          <w:p>
            <w:pPr>
              <w:ind w:left="40"/>
              <w:spacing w:after="0" w:line="122" w:lineRule="exact"/>
              <w:rPr>
                <w:sz w:val="20"/>
                <w:szCs w:val="20"/>
                <w:color w:val="auto"/>
              </w:rPr>
            </w:pPr>
            <w:r>
              <w:rPr>
                <w:rFonts w:ascii="Arial" w:cs="Arial" w:eastAsia="Arial" w:hAnsi="Arial"/>
                <w:sz w:val="11"/>
                <w:szCs w:val="11"/>
                <w:color w:val="auto"/>
              </w:rPr>
              <w:t>independent registered</w:t>
            </w:r>
          </w:p>
        </w:tc>
        <w:tc>
          <w:tcPr>
            <w:tcW w:w="1060" w:type="dxa"/>
            <w:vAlign w:val="bottom"/>
            <w:tcBorders>
              <w:right w:val="single" w:sz="8" w:color="828282"/>
            </w:tcBorders>
            <w:vMerge w:val="continue"/>
            <w:shd w:val="clear" w:color="auto" w:fill="ACACAC"/>
          </w:tcPr>
          <w:p>
            <w:pPr>
              <w:spacing w:after="0"/>
              <w:rPr>
                <w:sz w:val="4"/>
                <w:szCs w:val="4"/>
                <w:color w:val="auto"/>
              </w:rPr>
            </w:pPr>
          </w:p>
        </w:tc>
        <w:tc>
          <w:tcPr>
            <w:tcW w:w="1060" w:type="dxa"/>
            <w:vAlign w:val="bottom"/>
            <w:tcBorders>
              <w:right w:val="single" w:sz="8" w:color="828282"/>
            </w:tcBorders>
            <w:vMerge w:val="restart"/>
            <w:shd w:val="clear" w:color="auto" w:fill="ACACAC"/>
          </w:tcPr>
          <w:p>
            <w:pPr>
              <w:jc w:val="center"/>
              <w:spacing w:after="0" w:line="122" w:lineRule="exact"/>
              <w:rPr>
                <w:sz w:val="20"/>
                <w:szCs w:val="20"/>
                <w:color w:val="auto"/>
              </w:rPr>
            </w:pPr>
            <w:r>
              <w:rPr>
                <w:rFonts w:ascii="Arial" w:cs="Arial" w:eastAsia="Arial" w:hAnsi="Arial"/>
                <w:sz w:val="11"/>
                <w:szCs w:val="11"/>
                <w:color w:val="auto"/>
                <w:w w:val="99"/>
              </w:rPr>
              <w:t>AGAINST</w:t>
            </w:r>
          </w:p>
        </w:tc>
        <w:tc>
          <w:tcPr>
            <w:tcW w:w="1000" w:type="dxa"/>
            <w:vAlign w:val="bottom"/>
            <w:tcBorders>
              <w:right w:val="single" w:sz="8" w:color="828282"/>
            </w:tcBorders>
            <w:vMerge w:val="restart"/>
            <w:shd w:val="clear" w:color="auto" w:fill="ACACAC"/>
          </w:tcPr>
          <w:p>
            <w:pPr>
              <w:jc w:val="center"/>
              <w:spacing w:after="0" w:line="122" w:lineRule="exact"/>
              <w:rPr>
                <w:sz w:val="20"/>
                <w:szCs w:val="20"/>
                <w:color w:val="auto"/>
              </w:rPr>
            </w:pPr>
            <w:r>
              <w:rPr>
                <w:rFonts w:ascii="Arial" w:cs="Arial" w:eastAsia="Arial" w:hAnsi="Arial"/>
                <w:sz w:val="11"/>
                <w:szCs w:val="11"/>
                <w:color w:val="auto"/>
                <w:w w:val="94"/>
              </w:rPr>
              <w:t>FOR</w:t>
            </w:r>
          </w:p>
        </w:tc>
        <w:tc>
          <w:tcPr>
            <w:tcW w:w="1060" w:type="dxa"/>
            <w:vAlign w:val="bottom"/>
            <w:tcBorders>
              <w:right w:val="single" w:sz="8" w:color="828282"/>
            </w:tcBorders>
            <w:vMerge w:val="restart"/>
            <w:shd w:val="clear" w:color="auto" w:fill="ACACAC"/>
          </w:tcPr>
          <w:p>
            <w:pPr>
              <w:jc w:val="center"/>
              <w:spacing w:after="0" w:line="122" w:lineRule="exact"/>
              <w:rPr>
                <w:sz w:val="20"/>
                <w:szCs w:val="20"/>
                <w:color w:val="auto"/>
              </w:rPr>
            </w:pPr>
            <w:r>
              <w:rPr>
                <w:rFonts w:ascii="Arial" w:cs="Arial" w:eastAsia="Arial" w:hAnsi="Arial"/>
                <w:sz w:val="11"/>
                <w:szCs w:val="11"/>
                <w:color w:val="auto"/>
                <w:w w:val="84"/>
              </w:rPr>
              <w:t>Yes</w:t>
            </w:r>
          </w:p>
        </w:tc>
        <w:tc>
          <w:tcPr>
            <w:tcW w:w="0" w:type="dxa"/>
            <w:vAlign w:val="bottom"/>
          </w:tcPr>
          <w:p>
            <w:pPr>
              <w:spacing w:after="0"/>
              <w:rPr>
                <w:sz w:val="1"/>
                <w:szCs w:val="1"/>
                <w:color w:val="auto"/>
              </w:rPr>
            </w:pPr>
          </w:p>
        </w:tc>
      </w:tr>
      <w:tr>
        <w:trPr>
          <w:trHeight w:val="68"/>
        </w:trPr>
        <w:tc>
          <w:tcPr>
            <w:tcW w:w="1440" w:type="dxa"/>
            <w:vAlign w:val="bottom"/>
            <w:tcBorders>
              <w:left w:val="single" w:sz="8" w:color="828282"/>
              <w:right w:val="single" w:sz="8" w:color="828282"/>
            </w:tcBorders>
            <w:vMerge w:val="continue"/>
            <w:shd w:val="clear" w:color="auto" w:fill="ACACAC"/>
          </w:tcPr>
          <w:p>
            <w:pPr>
              <w:spacing w:after="0"/>
              <w:rPr>
                <w:sz w:val="5"/>
                <w:szCs w:val="5"/>
                <w:color w:val="auto"/>
              </w:rPr>
            </w:pPr>
          </w:p>
        </w:tc>
        <w:tc>
          <w:tcPr>
            <w:tcW w:w="1060" w:type="dxa"/>
            <w:vAlign w:val="bottom"/>
            <w:tcBorders>
              <w:right w:val="single" w:sz="8" w:color="828282"/>
            </w:tcBorders>
            <w:vMerge w:val="restart"/>
            <w:shd w:val="clear" w:color="auto" w:fill="ACACAC"/>
          </w:tcPr>
          <w:p>
            <w:pPr>
              <w:jc w:val="center"/>
              <w:spacing w:after="0"/>
              <w:rPr>
                <w:sz w:val="20"/>
                <w:szCs w:val="20"/>
                <w:color w:val="auto"/>
              </w:rPr>
            </w:pPr>
            <w:r>
              <w:rPr>
                <w:rFonts w:ascii="Arial" w:cs="Arial" w:eastAsia="Arial" w:hAnsi="Arial"/>
                <w:sz w:val="11"/>
                <w:szCs w:val="11"/>
                <w:color w:val="auto"/>
                <w:w w:val="98"/>
              </w:rPr>
              <w:t>cast</w:t>
            </w:r>
          </w:p>
        </w:tc>
        <w:tc>
          <w:tcPr>
            <w:tcW w:w="1060" w:type="dxa"/>
            <w:vAlign w:val="bottom"/>
            <w:tcBorders>
              <w:right w:val="single" w:sz="8" w:color="828282"/>
            </w:tcBorders>
            <w:vMerge w:val="continue"/>
            <w:shd w:val="clear" w:color="auto" w:fill="ACACAC"/>
          </w:tcPr>
          <w:p>
            <w:pPr>
              <w:spacing w:after="0"/>
              <w:rPr>
                <w:sz w:val="5"/>
                <w:szCs w:val="5"/>
                <w:color w:val="auto"/>
              </w:rPr>
            </w:pPr>
          </w:p>
        </w:tc>
        <w:tc>
          <w:tcPr>
            <w:tcW w:w="1000" w:type="dxa"/>
            <w:vAlign w:val="bottom"/>
            <w:tcBorders>
              <w:right w:val="single" w:sz="8" w:color="828282"/>
            </w:tcBorders>
            <w:vMerge w:val="continue"/>
            <w:shd w:val="clear" w:color="auto" w:fill="ACACAC"/>
          </w:tcPr>
          <w:p>
            <w:pPr>
              <w:spacing w:after="0"/>
              <w:rPr>
                <w:sz w:val="5"/>
                <w:szCs w:val="5"/>
                <w:color w:val="auto"/>
              </w:rPr>
            </w:pPr>
          </w:p>
        </w:tc>
        <w:tc>
          <w:tcPr>
            <w:tcW w:w="1060" w:type="dxa"/>
            <w:vAlign w:val="bottom"/>
            <w:tcBorders>
              <w:right w:val="single" w:sz="8" w:color="828282"/>
            </w:tcBorders>
            <w:vMerge w:val="continue"/>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440" w:type="dxa"/>
            <w:vAlign w:val="bottom"/>
            <w:tcBorders>
              <w:left w:val="single" w:sz="8" w:color="828282"/>
              <w:right w:val="single" w:sz="8" w:color="828282"/>
            </w:tcBorders>
            <w:vMerge w:val="restart"/>
            <w:shd w:val="clear" w:color="auto" w:fill="ACACAC"/>
          </w:tcPr>
          <w:p>
            <w:pPr>
              <w:ind w:left="40"/>
              <w:spacing w:after="0" w:line="122" w:lineRule="exact"/>
              <w:rPr>
                <w:sz w:val="20"/>
                <w:szCs w:val="20"/>
                <w:color w:val="auto"/>
              </w:rPr>
            </w:pPr>
            <w:r>
              <w:rPr>
                <w:rFonts w:ascii="Arial" w:cs="Arial" w:eastAsia="Arial" w:hAnsi="Arial"/>
                <w:sz w:val="11"/>
                <w:szCs w:val="11"/>
                <w:color w:val="auto"/>
              </w:rPr>
              <w:t>public accountant for the</w:t>
            </w:r>
          </w:p>
        </w:tc>
        <w:tc>
          <w:tcPr>
            <w:tcW w:w="1060" w:type="dxa"/>
            <w:vAlign w:val="bottom"/>
            <w:tcBorders>
              <w:right w:val="single" w:sz="8" w:color="828282"/>
            </w:tcBorders>
            <w:vMerge w:val="continue"/>
            <w:shd w:val="clear" w:color="auto" w:fill="ACACAC"/>
          </w:tcPr>
          <w:p>
            <w:pPr>
              <w:spacing w:after="0"/>
              <w:rPr>
                <w:sz w:val="5"/>
                <w:szCs w:val="5"/>
                <w:color w:val="auto"/>
              </w:rPr>
            </w:pPr>
          </w:p>
        </w:tc>
        <w:tc>
          <w:tcPr>
            <w:tcW w:w="1060" w:type="dxa"/>
            <w:vAlign w:val="bottom"/>
            <w:tcBorders>
              <w:right w:val="single" w:sz="8" w:color="828282"/>
            </w:tcBorders>
            <w:vMerge w:val="restart"/>
            <w:shd w:val="clear" w:color="auto" w:fill="ACACAC"/>
          </w:tcPr>
          <w:p>
            <w:pPr>
              <w:jc w:val="center"/>
              <w:spacing w:after="0" w:line="122" w:lineRule="exact"/>
              <w:rPr>
                <w:sz w:val="20"/>
                <w:szCs w:val="20"/>
                <w:color w:val="auto"/>
              </w:rPr>
            </w:pPr>
            <w:r>
              <w:rPr>
                <w:rFonts w:ascii="Arial" w:cs="Arial" w:eastAsia="Arial" w:hAnsi="Arial"/>
                <w:sz w:val="11"/>
                <w:szCs w:val="11"/>
                <w:color w:val="auto"/>
                <w:w w:val="93"/>
              </w:rPr>
              <w:t>ABSTAIN</w:t>
            </w:r>
          </w:p>
        </w:tc>
        <w:tc>
          <w:tcPr>
            <w:tcW w:w="1000" w:type="dxa"/>
            <w:vAlign w:val="bottom"/>
            <w:tcBorders>
              <w:right w:val="single" w:sz="8" w:color="828282"/>
            </w:tcBorders>
            <w:shd w:val="clear" w:color="auto" w:fill="ACACAC"/>
          </w:tcPr>
          <w:p>
            <w:pPr>
              <w:spacing w:after="0"/>
              <w:rPr>
                <w:sz w:val="5"/>
                <w:szCs w:val="5"/>
                <w:color w:val="auto"/>
              </w:rPr>
            </w:pPr>
          </w:p>
        </w:tc>
        <w:tc>
          <w:tcPr>
            <w:tcW w:w="1060" w:type="dxa"/>
            <w:vAlign w:val="bottom"/>
            <w:tcBorders>
              <w:right w:val="single" w:sz="8" w:color="828282"/>
            </w:tcBorders>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1440" w:type="dxa"/>
            <w:vAlign w:val="bottom"/>
            <w:tcBorders>
              <w:left w:val="single" w:sz="8" w:color="828282"/>
              <w:right w:val="single" w:sz="8" w:color="828282"/>
            </w:tcBorders>
            <w:vMerge w:val="continue"/>
            <w:shd w:val="clear" w:color="auto" w:fill="ACACAC"/>
          </w:tcPr>
          <w:p>
            <w:pPr>
              <w:spacing w:after="0"/>
              <w:rPr>
                <w:sz w:val="5"/>
                <w:szCs w:val="5"/>
                <w:color w:val="auto"/>
              </w:rPr>
            </w:pPr>
          </w:p>
        </w:tc>
        <w:tc>
          <w:tcPr>
            <w:tcW w:w="1060" w:type="dxa"/>
            <w:vAlign w:val="bottom"/>
            <w:tcBorders>
              <w:right w:val="single" w:sz="8" w:color="828282"/>
            </w:tcBorders>
            <w:shd w:val="clear" w:color="auto" w:fill="ACACAC"/>
          </w:tcPr>
          <w:p>
            <w:pPr>
              <w:spacing w:after="0"/>
              <w:rPr>
                <w:sz w:val="5"/>
                <w:szCs w:val="5"/>
                <w:color w:val="auto"/>
              </w:rPr>
            </w:pPr>
          </w:p>
        </w:tc>
        <w:tc>
          <w:tcPr>
            <w:tcW w:w="1060" w:type="dxa"/>
            <w:vAlign w:val="bottom"/>
            <w:tcBorders>
              <w:right w:val="single" w:sz="8" w:color="828282"/>
            </w:tcBorders>
            <w:vMerge w:val="continue"/>
            <w:shd w:val="clear" w:color="auto" w:fill="ACACAC"/>
          </w:tcPr>
          <w:p>
            <w:pPr>
              <w:spacing w:after="0"/>
              <w:rPr>
                <w:sz w:val="5"/>
                <w:szCs w:val="5"/>
                <w:color w:val="auto"/>
              </w:rPr>
            </w:pPr>
          </w:p>
        </w:tc>
        <w:tc>
          <w:tcPr>
            <w:tcW w:w="1000" w:type="dxa"/>
            <w:vAlign w:val="bottom"/>
            <w:tcBorders>
              <w:right w:val="single" w:sz="8" w:color="828282"/>
            </w:tcBorders>
            <w:shd w:val="clear" w:color="auto" w:fill="ACACAC"/>
          </w:tcPr>
          <w:p>
            <w:pPr>
              <w:spacing w:after="0"/>
              <w:rPr>
                <w:sz w:val="5"/>
                <w:szCs w:val="5"/>
                <w:color w:val="auto"/>
              </w:rPr>
            </w:pPr>
          </w:p>
        </w:tc>
        <w:tc>
          <w:tcPr>
            <w:tcW w:w="1060" w:type="dxa"/>
            <w:vAlign w:val="bottom"/>
            <w:tcBorders>
              <w:right w:val="single" w:sz="8" w:color="828282"/>
            </w:tcBorders>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440" w:type="dxa"/>
            <w:vAlign w:val="bottom"/>
            <w:tcBorders>
              <w:left w:val="single" w:sz="8" w:color="828282"/>
              <w:right w:val="single" w:sz="8" w:color="828282"/>
            </w:tcBorders>
            <w:shd w:val="clear" w:color="auto" w:fill="ACACAC"/>
          </w:tcPr>
          <w:p>
            <w:pPr>
              <w:ind w:left="40"/>
              <w:spacing w:after="0" w:line="122" w:lineRule="exact"/>
              <w:rPr>
                <w:sz w:val="20"/>
                <w:szCs w:val="20"/>
                <w:color w:val="auto"/>
              </w:rPr>
            </w:pPr>
            <w:r>
              <w:rPr>
                <w:rFonts w:ascii="Arial" w:cs="Arial" w:eastAsia="Arial" w:hAnsi="Arial"/>
                <w:sz w:val="11"/>
                <w:szCs w:val="11"/>
                <w:color w:val="auto"/>
              </w:rPr>
              <w:t>fiscal year ending August</w:t>
            </w:r>
          </w:p>
        </w:tc>
        <w:tc>
          <w:tcPr>
            <w:tcW w:w="1060" w:type="dxa"/>
            <w:vAlign w:val="bottom"/>
            <w:tcBorders>
              <w:right w:val="single" w:sz="8" w:color="828282"/>
            </w:tcBorders>
            <w:shd w:val="clear" w:color="auto" w:fill="ACACAC"/>
          </w:tcPr>
          <w:p>
            <w:pPr>
              <w:spacing w:after="0"/>
              <w:rPr>
                <w:sz w:val="10"/>
                <w:szCs w:val="10"/>
                <w:color w:val="auto"/>
              </w:rPr>
            </w:pPr>
          </w:p>
        </w:tc>
        <w:tc>
          <w:tcPr>
            <w:tcW w:w="1060" w:type="dxa"/>
            <w:vAlign w:val="bottom"/>
            <w:tcBorders>
              <w:right w:val="single" w:sz="8" w:color="828282"/>
            </w:tcBorders>
            <w:shd w:val="clear" w:color="auto" w:fill="ACACAC"/>
          </w:tcPr>
          <w:p>
            <w:pPr>
              <w:spacing w:after="0"/>
              <w:rPr>
                <w:sz w:val="10"/>
                <w:szCs w:val="10"/>
                <w:color w:val="auto"/>
              </w:rPr>
            </w:pPr>
          </w:p>
        </w:tc>
        <w:tc>
          <w:tcPr>
            <w:tcW w:w="1000" w:type="dxa"/>
            <w:vAlign w:val="bottom"/>
            <w:tcBorders>
              <w:right w:val="single" w:sz="8" w:color="828282"/>
            </w:tcBorders>
            <w:shd w:val="clear" w:color="auto" w:fill="ACACAC"/>
          </w:tcPr>
          <w:p>
            <w:pPr>
              <w:spacing w:after="0"/>
              <w:rPr>
                <w:sz w:val="10"/>
                <w:szCs w:val="10"/>
                <w:color w:val="auto"/>
              </w:rPr>
            </w:pPr>
          </w:p>
        </w:tc>
        <w:tc>
          <w:tcPr>
            <w:tcW w:w="1060" w:type="dxa"/>
            <w:vAlign w:val="bottom"/>
            <w:tcBorders>
              <w:right w:val="single" w:sz="8" w:color="828282"/>
            </w:tcBorders>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40" w:type="dxa"/>
            <w:vAlign w:val="bottom"/>
            <w:tcBorders>
              <w:left w:val="single" w:sz="8" w:color="828282"/>
              <w:bottom w:val="single" w:sz="8" w:color="ACACAC"/>
              <w:right w:val="single" w:sz="8" w:color="828282"/>
            </w:tcBorders>
            <w:shd w:val="clear" w:color="auto" w:fill="ACACAC"/>
          </w:tcPr>
          <w:p>
            <w:pPr>
              <w:ind w:left="40"/>
              <w:spacing w:after="0"/>
              <w:rPr>
                <w:sz w:val="20"/>
                <w:szCs w:val="20"/>
                <w:color w:val="auto"/>
              </w:rPr>
            </w:pPr>
            <w:r>
              <w:rPr>
                <w:rFonts w:ascii="Arial" w:cs="Arial" w:eastAsia="Arial" w:hAnsi="Arial"/>
                <w:sz w:val="11"/>
                <w:szCs w:val="11"/>
                <w:color w:val="auto"/>
              </w:rPr>
              <w:t>29, 2020</w:t>
            </w:r>
          </w:p>
        </w:tc>
        <w:tc>
          <w:tcPr>
            <w:tcW w:w="1060" w:type="dxa"/>
            <w:vAlign w:val="bottom"/>
            <w:tcBorders>
              <w:bottom w:val="single" w:sz="8" w:color="ACACAC"/>
              <w:right w:val="single" w:sz="8" w:color="828282"/>
            </w:tcBorders>
            <w:shd w:val="clear" w:color="auto" w:fill="ACACAC"/>
          </w:tcPr>
          <w:p>
            <w:pPr>
              <w:spacing w:after="0"/>
              <w:rPr>
                <w:sz w:val="11"/>
                <w:szCs w:val="11"/>
                <w:color w:val="auto"/>
              </w:rPr>
            </w:pPr>
          </w:p>
        </w:tc>
        <w:tc>
          <w:tcPr>
            <w:tcW w:w="1060" w:type="dxa"/>
            <w:vAlign w:val="bottom"/>
            <w:tcBorders>
              <w:bottom w:val="single" w:sz="8" w:color="ACACAC"/>
              <w:right w:val="single" w:sz="8" w:color="828282"/>
            </w:tcBorders>
            <w:shd w:val="clear" w:color="auto" w:fill="ACACAC"/>
          </w:tcPr>
          <w:p>
            <w:pPr>
              <w:spacing w:after="0"/>
              <w:rPr>
                <w:sz w:val="11"/>
                <w:szCs w:val="11"/>
                <w:color w:val="auto"/>
              </w:rPr>
            </w:pPr>
          </w:p>
        </w:tc>
        <w:tc>
          <w:tcPr>
            <w:tcW w:w="1000" w:type="dxa"/>
            <w:vAlign w:val="bottom"/>
            <w:tcBorders>
              <w:bottom w:val="single" w:sz="8" w:color="ACACAC"/>
              <w:right w:val="single" w:sz="8" w:color="828282"/>
            </w:tcBorders>
            <w:shd w:val="clear" w:color="auto" w:fill="ACACAC"/>
          </w:tcPr>
          <w:p>
            <w:pPr>
              <w:spacing w:after="0"/>
              <w:rPr>
                <w:sz w:val="11"/>
                <w:szCs w:val="11"/>
                <w:color w:val="auto"/>
              </w:rPr>
            </w:pPr>
          </w:p>
        </w:tc>
        <w:tc>
          <w:tcPr>
            <w:tcW w:w="1060" w:type="dxa"/>
            <w:vAlign w:val="bottom"/>
            <w:tcBorders>
              <w:bottom w:val="single" w:sz="8" w:color="ACACAC"/>
              <w:right w:val="single" w:sz="8" w:color="828282"/>
            </w:tcBorders>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828282"/>
              <w:right w:val="single" w:sz="8" w:color="828282"/>
            </w:tcBorders>
            <w:shd w:val="clear" w:color="auto" w:fill="828282"/>
          </w:tcPr>
          <w:p>
            <w:pPr>
              <w:spacing w:after="0" w:line="20" w:lineRule="exact"/>
              <w:rPr>
                <w:sz w:val="1"/>
                <w:szCs w:val="1"/>
                <w:color w:val="auto"/>
              </w:rPr>
            </w:pPr>
          </w:p>
        </w:tc>
        <w:tc>
          <w:tcPr>
            <w:tcW w:w="1060" w:type="dxa"/>
            <w:vAlign w:val="bottom"/>
            <w:tcBorders>
              <w:right w:val="single" w:sz="8" w:color="828282"/>
            </w:tcBorders>
            <w:shd w:val="clear" w:color="auto" w:fill="828282"/>
          </w:tcPr>
          <w:p>
            <w:pPr>
              <w:spacing w:after="0" w:line="20" w:lineRule="exact"/>
              <w:rPr>
                <w:sz w:val="1"/>
                <w:szCs w:val="1"/>
                <w:color w:val="auto"/>
              </w:rPr>
            </w:pPr>
          </w:p>
        </w:tc>
        <w:tc>
          <w:tcPr>
            <w:tcW w:w="1060" w:type="dxa"/>
            <w:vAlign w:val="bottom"/>
            <w:tcBorders>
              <w:right w:val="single" w:sz="8" w:color="828282"/>
            </w:tcBorders>
            <w:shd w:val="clear" w:color="auto" w:fill="828282"/>
          </w:tcPr>
          <w:p>
            <w:pPr>
              <w:spacing w:after="0" w:line="20" w:lineRule="exact"/>
              <w:rPr>
                <w:sz w:val="1"/>
                <w:szCs w:val="1"/>
                <w:color w:val="auto"/>
              </w:rPr>
            </w:pPr>
          </w:p>
        </w:tc>
        <w:tc>
          <w:tcPr>
            <w:tcW w:w="1000" w:type="dxa"/>
            <w:vAlign w:val="bottom"/>
            <w:tcBorders>
              <w:right w:val="single" w:sz="8" w:color="828282"/>
            </w:tcBorders>
            <w:shd w:val="clear" w:color="auto" w:fill="828282"/>
          </w:tcPr>
          <w:p>
            <w:pPr>
              <w:spacing w:after="0" w:line="20" w:lineRule="exact"/>
              <w:rPr>
                <w:sz w:val="1"/>
                <w:szCs w:val="1"/>
                <w:color w:val="auto"/>
              </w:rPr>
            </w:pPr>
          </w:p>
        </w:tc>
        <w:tc>
          <w:tcPr>
            <w:tcW w:w="1060" w:type="dxa"/>
            <w:vAlign w:val="bottom"/>
            <w:tcBorders>
              <w:right w:val="single" w:sz="8" w:color="828282"/>
            </w:tcBorders>
            <w:shd w:val="clear" w:color="auto" w:fill="828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260" w:right="40" w:hanging="252"/>
        <w:spacing w:after="0" w:line="238" w:lineRule="auto"/>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 withhold vote or abstention will have no impact on the outcome of the voting on any of the proposals.</w:t>
      </w:r>
    </w:p>
    <w:p>
      <w:pPr>
        <w:ind w:left="260" w:right="20" w:hanging="252"/>
        <w:spacing w:after="0" w:line="238" w:lineRule="auto"/>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you submit a proxy without giving specific voting instructions, your shares will be voted in accordance with the Board's recommendations set forth above.</w:t>
      </w:r>
    </w:p>
    <w:p>
      <w:pPr>
        <w:jc w:val="both"/>
        <w:ind w:left="260" w:right="20" w:hanging="252"/>
        <w:spacing w:after="0" w:line="238" w:lineRule="auto"/>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broker discretionary voting is not allowed, your broker will not be able to vote your shares on these matters unless your broker receives voting instructions from you. A broker non-vote will have no effect on the outcome of the voting on any of the proposals.</w:t>
      </w:r>
    </w:p>
    <w:p>
      <w:pPr>
        <w:jc w:val="both"/>
        <w:ind w:left="260" w:right="20" w:hanging="252"/>
        <w:spacing w:after="0" w:line="238" w:lineRule="auto"/>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Board of Directors has adopted a majority voting policy for the election of directors in uncontested elections. Under this policy, in any uncontested election of directors of the Company, if any nominee receives less than a majority of the votes cast for the nominee, that nominee shall still be elected, but must tender their resignation to the full Board of Directors for consideration at the next regularly scheduled meeting of the Board of Directors. The Board of Directors shall only not accept the tendered resignation for, in their judgment, a compelling reason.</w:t>
      </w:r>
    </w:p>
    <w:p>
      <w:pPr>
        <w:spacing w:after="0" w:line="2" w:lineRule="exact"/>
        <w:rPr>
          <w:rFonts w:ascii="Arial" w:cs="Arial" w:eastAsia="Arial" w:hAnsi="Arial"/>
          <w:sz w:val="13"/>
          <w:szCs w:val="13"/>
          <w:color w:val="auto"/>
        </w:rPr>
      </w:pPr>
    </w:p>
    <w:p>
      <w:pPr>
        <w:jc w:val="both"/>
        <w:ind w:left="260" w:right="20" w:hanging="252"/>
        <w:spacing w:after="0"/>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vote of shareholders on this proposal is not binding on the Company, but rather is advisory in nature; however, the Board of Directors intends to carefully consider the result of the vote on this proposal.</w:t>
      </w:r>
    </w:p>
    <w:p>
      <w:pPr>
        <w:spacing w:after="0" w:line="378" w:lineRule="exact"/>
        <w:rPr>
          <w:sz w:val="20"/>
          <w:szCs w:val="20"/>
          <w:color w:val="auto"/>
        </w:rPr>
      </w:pPr>
    </w:p>
    <w:p>
      <w:pPr>
        <w:sectPr>
          <w:pgSz w:w="11900" w:h="16838" w:orient="portrait"/>
          <w:cols w:equalWidth="0" w:num="2">
            <w:col w:w="5600" w:space="220"/>
            <w:col w:w="5620"/>
          </w:cols>
          <w:pgMar w:left="240" w:top="303" w:right="219" w:bottom="1440" w:gutter="0" w:footer="0" w:header="0"/>
          <w:type w:val="continuous"/>
        </w:sectPr>
      </w:pP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303" w:right="219" w:bottom="1440" w:gutter="0" w:footer="0" w:header="0"/>
          <w:type w:val="continuous"/>
        </w:sectPr>
      </w:pPr>
    </w:p>
    <w:bookmarkStart w:id="5" w:name="page6"/>
    <w:bookmarkEnd w:id="5"/>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 (www.proxyvote.com), (ii) by calling the toll-free telephone number (1-800-690-6903) or (iii) you may indicate your vote by completing, signing and dating the proxy card where indicated and returning the card to Vote Processing, c/o Broadridge, 51 Mercedes Way, Edgewood, NY 11717 by 11:59 p.m. Eastern Standard Time on December 16, 2019.</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a proxy card is executed and returned, it may nevertheless be revoked at any time in accordance with the following instructions. A person may revoke a proxy electronically by entering a new vote via the Internet or by telephone or a proxy may be revoked by (i) giving written notice to the Secretary of the Company (the “Secretary”), (ii) subsequently granting a later-dated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357568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jc w:val="both"/>
        <w:ind w:left="-8" w:firstLine="8"/>
        <w:spacing w:after="0" w:line="247" w:lineRule="auto"/>
        <w:tabs>
          <w:tab w:leader="none" w:pos="308" w:val="left"/>
        </w:tabs>
        <w:numPr>
          <w:ilvl w:val="0"/>
          <w:numId w:val="6"/>
        </w:numPr>
        <w:rPr>
          <w:rFonts w:ascii="Arial" w:cs="Arial" w:eastAsia="Arial" w:hAnsi="Arial"/>
          <w:sz w:val="16"/>
          <w:szCs w:val="16"/>
          <w:color w:val="auto"/>
        </w:rPr>
      </w:pPr>
      <w:r>
        <w:rPr>
          <w:rFonts w:ascii="Arial" w:cs="Arial" w:eastAsia="Arial" w:hAnsi="Arial"/>
          <w:sz w:val="16"/>
          <w:szCs w:val="16"/>
          <w:color w:val="auto"/>
        </w:rPr>
        <w:t>attending the Meeting and voting virtually or (iv) executing a proxy designating another person to represent you at the Meeting and voting by your representative at the Meeting. Unless revoked, the shares represented by validly executed proxies will be voted at the Meeting in accordance with the instructions indicated thereon. To revoke a proxy by telephone or the Internet, you must do so by 12:00 p.m. Central Standard Time on December 16, 2019 (following the directions on the instructions as set forth in the Notice of Internet Availability of Proxy Materials or in the printed proxy materials received by request). Attendance at the Annual Meeting will not cause your previously granted proxy to be revoked unless you specifically so request. If the Meeting is adjourned for any reason, the proxies can vote your Common Stock on the new Meeting date as well, unless you have revoked your proxy instructions.</w:t>
      </w:r>
    </w:p>
    <w:p>
      <w:pPr>
        <w:spacing w:after="0" w:line="884" w:lineRule="exact"/>
        <w:rPr>
          <w:sz w:val="20"/>
          <w:szCs w:val="20"/>
          <w:color w:val="auto"/>
        </w:rPr>
      </w:pPr>
    </w:p>
    <w:p>
      <w:pPr>
        <w:sectPr>
          <w:pgSz w:w="11900" w:h="16838" w:orient="portrait"/>
          <w:cols w:equalWidth="0" w:num="2">
            <w:col w:w="5600" w:space="228"/>
            <w:col w:w="5592"/>
          </w:cols>
          <w:pgMar w:left="240" w:top="303" w:right="239" w:bottom="1440" w:gutter="0" w:footer="0" w:header="0"/>
          <w:type w:val="continuous"/>
        </w:sect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Voting Securities and Principal Holders Thereof</w:t>
      </w:r>
    </w:p>
    <w:p>
      <w:pPr>
        <w:spacing w:after="0" w:line="200" w:lineRule="exact"/>
        <w:rPr>
          <w:sz w:val="20"/>
          <w:szCs w:val="20"/>
          <w:color w:val="auto"/>
        </w:rPr>
      </w:pP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contains information with respect to the ownership of Common Stock by each person known to us who is the beneficial owner of more than 5% of the outstanding Common Stock. This information is based on ownership reported as of October 22, 2019 according to SEC filings of the beneficial owners listed below unless more recent information was appropriate to be used.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140" w:type="dxa"/>
            <w:vAlign w:val="bottom"/>
            <w:shd w:val="clear" w:color="auto" w:fill="BF2115"/>
          </w:tcPr>
          <w:p>
            <w:pPr>
              <w:spacing w:after="0"/>
              <w:rPr>
                <w:sz w:val="17"/>
                <w:szCs w:val="17"/>
                <w:color w:val="auto"/>
              </w:rPr>
            </w:pPr>
          </w:p>
        </w:tc>
        <w:tc>
          <w:tcPr>
            <w:tcW w:w="3900" w:type="dxa"/>
            <w:vAlign w:val="bottom"/>
            <w:shd w:val="clear" w:color="auto" w:fill="BF2115"/>
          </w:tcPr>
          <w:p>
            <w:pPr>
              <w:spacing w:after="0"/>
              <w:rPr>
                <w:sz w:val="17"/>
                <w:szCs w:val="17"/>
                <w:color w:val="auto"/>
              </w:rPr>
            </w:pPr>
          </w:p>
        </w:tc>
        <w:tc>
          <w:tcPr>
            <w:tcW w:w="760" w:type="dxa"/>
            <w:vAlign w:val="bottom"/>
            <w:shd w:val="clear" w:color="auto" w:fill="BF2115"/>
          </w:tcPr>
          <w:p>
            <w:pPr>
              <w:spacing w:after="0"/>
              <w:rPr>
                <w:sz w:val="17"/>
                <w:szCs w:val="17"/>
                <w:color w:val="auto"/>
              </w:rPr>
            </w:pPr>
          </w:p>
        </w:tc>
        <w:tc>
          <w:tcPr>
            <w:tcW w:w="16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 of</w:t>
            </w:r>
          </w:p>
        </w:tc>
        <w:tc>
          <w:tcPr>
            <w:tcW w:w="0" w:type="dxa"/>
            <w:vAlign w:val="bottom"/>
          </w:tcPr>
          <w:p>
            <w:pPr>
              <w:spacing w:after="0"/>
              <w:rPr>
                <w:sz w:val="1"/>
                <w:szCs w:val="1"/>
                <w:color w:val="auto"/>
              </w:rPr>
            </w:pPr>
          </w:p>
        </w:tc>
      </w:tr>
      <w:tr>
        <w:trPr>
          <w:trHeight w:val="189"/>
        </w:trPr>
        <w:tc>
          <w:tcPr>
            <w:tcW w:w="5140" w:type="dxa"/>
            <w:vAlign w:val="bottom"/>
            <w:shd w:val="clear" w:color="auto" w:fill="BF2115"/>
          </w:tcPr>
          <w:p>
            <w:pPr>
              <w:ind w:left="40"/>
              <w:spacing w:after="0"/>
              <w:rPr>
                <w:sz w:val="20"/>
                <w:szCs w:val="20"/>
                <w:color w:val="auto"/>
              </w:rPr>
            </w:pPr>
            <w:r>
              <w:rPr>
                <w:rFonts w:ascii="Arial" w:cs="Arial" w:eastAsia="Arial" w:hAnsi="Arial"/>
                <w:sz w:val="16"/>
                <w:szCs w:val="16"/>
                <w:b w:val="1"/>
                <w:bCs w:val="1"/>
                <w:color w:val="FFFFFF"/>
              </w:rPr>
              <w:t>Name and Address of Beneficial Owner</w:t>
            </w:r>
          </w:p>
        </w:tc>
        <w:tc>
          <w:tcPr>
            <w:tcW w:w="3900" w:type="dxa"/>
            <w:vAlign w:val="bottom"/>
            <w:shd w:val="clear" w:color="auto" w:fill="BF2115"/>
          </w:tcPr>
          <w:p>
            <w:pPr>
              <w:jc w:val="center"/>
              <w:ind w:left="1879"/>
              <w:spacing w:after="0"/>
              <w:rPr>
                <w:sz w:val="20"/>
                <w:szCs w:val="20"/>
                <w:color w:val="auto"/>
              </w:rPr>
            </w:pPr>
            <w:r>
              <w:rPr>
                <w:rFonts w:ascii="Arial" w:cs="Arial" w:eastAsia="Arial" w:hAnsi="Arial"/>
                <w:sz w:val="16"/>
                <w:szCs w:val="16"/>
                <w:b w:val="1"/>
                <w:bCs w:val="1"/>
                <w:color w:val="FFFFFF"/>
              </w:rPr>
              <w:t>Amount and Nature of</w:t>
            </w:r>
          </w:p>
        </w:tc>
        <w:tc>
          <w:tcPr>
            <w:tcW w:w="760" w:type="dxa"/>
            <w:vAlign w:val="bottom"/>
            <w:shd w:val="clear" w:color="auto" w:fill="BF2115"/>
          </w:tcPr>
          <w:p>
            <w:pPr>
              <w:spacing w:after="0"/>
              <w:rPr>
                <w:sz w:val="16"/>
                <w:szCs w:val="16"/>
                <w:color w:val="auto"/>
              </w:rPr>
            </w:pPr>
          </w:p>
        </w:tc>
        <w:tc>
          <w:tcPr>
            <w:tcW w:w="16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Common</w:t>
            </w:r>
          </w:p>
        </w:tc>
        <w:tc>
          <w:tcPr>
            <w:tcW w:w="0" w:type="dxa"/>
            <w:vAlign w:val="bottom"/>
          </w:tcPr>
          <w:p>
            <w:pPr>
              <w:spacing w:after="0"/>
              <w:rPr>
                <w:sz w:val="1"/>
                <w:szCs w:val="1"/>
                <w:color w:val="auto"/>
              </w:rPr>
            </w:pPr>
          </w:p>
        </w:tc>
      </w:tr>
      <w:tr>
        <w:trPr>
          <w:trHeight w:val="234"/>
        </w:trPr>
        <w:tc>
          <w:tcPr>
            <w:tcW w:w="5140" w:type="dxa"/>
            <w:vAlign w:val="bottom"/>
            <w:shd w:val="clear" w:color="auto" w:fill="BF2115"/>
          </w:tcPr>
          <w:p>
            <w:pPr>
              <w:spacing w:after="0"/>
              <w:rPr>
                <w:sz w:val="20"/>
                <w:szCs w:val="20"/>
                <w:color w:val="auto"/>
              </w:rPr>
            </w:pPr>
          </w:p>
        </w:tc>
        <w:tc>
          <w:tcPr>
            <w:tcW w:w="3900" w:type="dxa"/>
            <w:vAlign w:val="bottom"/>
            <w:shd w:val="clear" w:color="auto" w:fill="BF2115"/>
          </w:tcPr>
          <w:p>
            <w:pPr>
              <w:jc w:val="center"/>
              <w:ind w:left="1859"/>
              <w:spacing w:after="0"/>
              <w:rPr>
                <w:sz w:val="20"/>
                <w:szCs w:val="20"/>
                <w:color w:val="auto"/>
              </w:rPr>
            </w:pPr>
            <w:r>
              <w:rPr>
                <w:rFonts w:ascii="Arial" w:cs="Arial" w:eastAsia="Arial" w:hAnsi="Arial"/>
                <w:sz w:val="16"/>
                <w:szCs w:val="16"/>
                <w:b w:val="1"/>
                <w:bCs w:val="1"/>
                <w:color w:val="FFFFFF"/>
              </w:rPr>
              <w:t>Beneficial Ownership</w:t>
            </w:r>
          </w:p>
        </w:tc>
        <w:tc>
          <w:tcPr>
            <w:tcW w:w="760" w:type="dxa"/>
            <w:vAlign w:val="bottom"/>
            <w:shd w:val="clear" w:color="auto" w:fill="BF2115"/>
          </w:tcPr>
          <w:p>
            <w:pPr>
              <w:spacing w:after="0"/>
              <w:rPr>
                <w:sz w:val="20"/>
                <w:szCs w:val="20"/>
                <w:color w:val="auto"/>
              </w:rPr>
            </w:pPr>
          </w:p>
        </w:tc>
        <w:tc>
          <w:tcPr>
            <w:tcW w:w="1620" w:type="dxa"/>
            <w:vAlign w:val="bottom"/>
            <w:shd w:val="clear" w:color="auto" w:fill="BF2115"/>
          </w:tcPr>
          <w:p>
            <w:pPr>
              <w:jc w:val="center"/>
              <w:spacing w:after="0" w:line="234" w:lineRule="exact"/>
              <w:rPr>
                <w:sz w:val="20"/>
                <w:szCs w:val="20"/>
                <w:color w:val="auto"/>
              </w:rPr>
            </w:pPr>
            <w:r>
              <w:rPr>
                <w:rFonts w:ascii="Arial" w:cs="Arial" w:eastAsia="Arial" w:hAnsi="Arial"/>
                <w:sz w:val="16"/>
                <w:szCs w:val="16"/>
                <w:b w:val="1"/>
                <w:bCs w:val="1"/>
                <w:color w:val="FFFFFF"/>
                <w:w w:val="92"/>
              </w:rPr>
              <w:t>Stock</w:t>
            </w:r>
            <w:r>
              <w:rPr>
                <w:rFonts w:ascii="Arial" w:cs="Arial" w:eastAsia="Arial" w:hAnsi="Arial"/>
                <w:sz w:val="21"/>
                <w:szCs w:val="21"/>
                <w:b w:val="1"/>
                <w:bCs w:val="1"/>
                <w:color w:val="FFFFFF"/>
                <w:w w:val="92"/>
                <w:vertAlign w:val="superscript"/>
              </w:rPr>
              <w:t>(1)</w:t>
            </w:r>
          </w:p>
        </w:tc>
        <w:tc>
          <w:tcPr>
            <w:tcW w:w="0" w:type="dxa"/>
            <w:vAlign w:val="bottom"/>
          </w:tcPr>
          <w:p>
            <w:pPr>
              <w:spacing w:after="0"/>
              <w:rPr>
                <w:sz w:val="1"/>
                <w:szCs w:val="1"/>
                <w:color w:val="auto"/>
              </w:rPr>
            </w:pPr>
          </w:p>
        </w:tc>
      </w:tr>
      <w:tr>
        <w:trPr>
          <w:trHeight w:val="218"/>
        </w:trPr>
        <w:tc>
          <w:tcPr>
            <w:tcW w:w="5140" w:type="dxa"/>
            <w:vAlign w:val="bottom"/>
            <w:shd w:val="clear" w:color="auto" w:fill="ACACAC"/>
          </w:tcPr>
          <w:p>
            <w:pPr>
              <w:ind w:left="160"/>
              <w:spacing w:after="0"/>
              <w:rPr>
                <w:sz w:val="20"/>
                <w:szCs w:val="20"/>
                <w:color w:val="auto"/>
              </w:rPr>
            </w:pPr>
            <w:r>
              <w:rPr>
                <w:rFonts w:ascii="Arial" w:cs="Arial" w:eastAsia="Arial" w:hAnsi="Arial"/>
                <w:sz w:val="16"/>
                <w:szCs w:val="16"/>
                <w:color w:val="auto"/>
              </w:rPr>
              <w:t>BlackRock, Inc.</w:t>
            </w:r>
          </w:p>
        </w:tc>
        <w:tc>
          <w:tcPr>
            <w:tcW w:w="3900" w:type="dxa"/>
            <w:vAlign w:val="bottom"/>
            <w:vMerge w:val="restart"/>
            <w:shd w:val="clear" w:color="auto" w:fill="ACACAC"/>
          </w:tcPr>
          <w:p>
            <w:pPr>
              <w:jc w:val="center"/>
              <w:ind w:left="1859"/>
              <w:spacing w:after="0"/>
              <w:rPr>
                <w:sz w:val="20"/>
                <w:szCs w:val="20"/>
                <w:color w:val="auto"/>
              </w:rPr>
            </w:pPr>
            <w:r>
              <w:rPr>
                <w:rFonts w:ascii="Arial" w:cs="Arial" w:eastAsia="Arial" w:hAnsi="Arial"/>
                <w:sz w:val="16"/>
                <w:szCs w:val="16"/>
                <w:color w:val="auto"/>
              </w:rPr>
              <w:t>4,237,554 shares of</w:t>
            </w:r>
          </w:p>
        </w:tc>
        <w:tc>
          <w:tcPr>
            <w:tcW w:w="760" w:type="dxa"/>
            <w:vAlign w:val="bottom"/>
            <w:vMerge w:val="restart"/>
            <w:shd w:val="clear" w:color="auto" w:fill="ACACAC"/>
          </w:tcPr>
          <w:p>
            <w:pPr>
              <w:jc w:val="right"/>
              <w:ind w:right="426"/>
              <w:spacing w:after="0"/>
              <w:rPr>
                <w:sz w:val="20"/>
                <w:szCs w:val="20"/>
                <w:color w:val="auto"/>
              </w:rPr>
            </w:pPr>
            <w:r>
              <w:rPr>
                <w:rFonts w:ascii="Arial" w:cs="Arial" w:eastAsia="Arial" w:hAnsi="Arial"/>
                <w:sz w:val="11"/>
                <w:szCs w:val="11"/>
                <w:color w:val="auto"/>
              </w:rPr>
              <w:t>(2)</w:t>
            </w:r>
          </w:p>
        </w:tc>
        <w:tc>
          <w:tcPr>
            <w:tcW w:w="16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140" w:type="dxa"/>
            <w:vAlign w:val="bottom"/>
            <w:vMerge w:val="restart"/>
            <w:shd w:val="clear" w:color="auto" w:fill="ACACAC"/>
          </w:tcPr>
          <w:p>
            <w:pPr>
              <w:ind w:left="160"/>
              <w:spacing w:after="0"/>
              <w:rPr>
                <w:sz w:val="20"/>
                <w:szCs w:val="20"/>
                <w:color w:val="auto"/>
              </w:rPr>
            </w:pPr>
            <w:r>
              <w:rPr>
                <w:rFonts w:ascii="Arial" w:cs="Arial" w:eastAsia="Arial" w:hAnsi="Arial"/>
                <w:sz w:val="16"/>
                <w:szCs w:val="16"/>
                <w:color w:val="auto"/>
              </w:rPr>
              <w:t>55 East 52nd Street</w:t>
            </w:r>
          </w:p>
        </w:tc>
        <w:tc>
          <w:tcPr>
            <w:tcW w:w="3900" w:type="dxa"/>
            <w:vAlign w:val="bottom"/>
            <w:vMerge w:val="continue"/>
            <w:shd w:val="clear" w:color="auto" w:fill="ACACAC"/>
          </w:tcPr>
          <w:p>
            <w:pPr>
              <w:spacing w:after="0"/>
              <w:rPr>
                <w:sz w:val="8"/>
                <w:szCs w:val="8"/>
                <w:color w:val="auto"/>
              </w:rPr>
            </w:pPr>
          </w:p>
        </w:tc>
        <w:tc>
          <w:tcPr>
            <w:tcW w:w="760" w:type="dxa"/>
            <w:vAlign w:val="bottom"/>
            <w:vMerge w:val="continue"/>
            <w:shd w:val="clear" w:color="auto" w:fill="ACACAC"/>
          </w:tcPr>
          <w:p>
            <w:pPr>
              <w:spacing w:after="0"/>
              <w:rPr>
                <w:sz w:val="8"/>
                <w:szCs w:val="8"/>
                <w:color w:val="auto"/>
              </w:rPr>
            </w:pPr>
          </w:p>
        </w:tc>
        <w:tc>
          <w:tcPr>
            <w:tcW w:w="1620" w:type="dxa"/>
            <w:vAlign w:val="bottom"/>
            <w:vMerge w:val="restart"/>
            <w:shd w:val="clear" w:color="auto" w:fill="ACACAC"/>
          </w:tcPr>
          <w:p>
            <w:pPr>
              <w:jc w:val="center"/>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95"/>
        </w:trPr>
        <w:tc>
          <w:tcPr>
            <w:tcW w:w="5140" w:type="dxa"/>
            <w:vAlign w:val="bottom"/>
            <w:vMerge w:val="continue"/>
            <w:shd w:val="clear" w:color="auto" w:fill="ACACAC"/>
          </w:tcPr>
          <w:p>
            <w:pPr>
              <w:spacing w:after="0"/>
              <w:rPr>
                <w:sz w:val="8"/>
                <w:szCs w:val="8"/>
                <w:color w:val="auto"/>
              </w:rPr>
            </w:pPr>
          </w:p>
        </w:tc>
        <w:tc>
          <w:tcPr>
            <w:tcW w:w="3900" w:type="dxa"/>
            <w:vAlign w:val="bottom"/>
            <w:vMerge w:val="restart"/>
            <w:shd w:val="clear" w:color="auto" w:fill="ACACAC"/>
          </w:tcPr>
          <w:p>
            <w:pPr>
              <w:jc w:val="center"/>
              <w:ind w:left="1879"/>
              <w:spacing w:after="0"/>
              <w:rPr>
                <w:sz w:val="20"/>
                <w:szCs w:val="20"/>
                <w:color w:val="auto"/>
              </w:rPr>
            </w:pPr>
            <w:r>
              <w:rPr>
                <w:rFonts w:ascii="Arial" w:cs="Arial" w:eastAsia="Arial" w:hAnsi="Arial"/>
                <w:sz w:val="16"/>
                <w:szCs w:val="16"/>
                <w:color w:val="auto"/>
              </w:rPr>
              <w:t>Common Stock</w:t>
            </w:r>
          </w:p>
        </w:tc>
        <w:tc>
          <w:tcPr>
            <w:tcW w:w="760" w:type="dxa"/>
            <w:vAlign w:val="bottom"/>
            <w:shd w:val="clear" w:color="auto" w:fill="ACACAC"/>
          </w:tcPr>
          <w:p>
            <w:pPr>
              <w:spacing w:after="0"/>
              <w:rPr>
                <w:sz w:val="8"/>
                <w:szCs w:val="8"/>
                <w:color w:val="auto"/>
              </w:rPr>
            </w:pPr>
          </w:p>
        </w:tc>
        <w:tc>
          <w:tcPr>
            <w:tcW w:w="1620" w:type="dxa"/>
            <w:vAlign w:val="bottom"/>
            <w:vMerge w:val="continue"/>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140" w:type="dxa"/>
            <w:vAlign w:val="bottom"/>
            <w:vMerge w:val="restart"/>
            <w:shd w:val="clear" w:color="auto" w:fill="ACACAC"/>
          </w:tcPr>
          <w:p>
            <w:pPr>
              <w:ind w:left="160"/>
              <w:spacing w:after="0"/>
              <w:rPr>
                <w:sz w:val="20"/>
                <w:szCs w:val="20"/>
                <w:color w:val="auto"/>
              </w:rPr>
            </w:pPr>
            <w:r>
              <w:rPr>
                <w:rFonts w:ascii="Arial" w:cs="Arial" w:eastAsia="Arial" w:hAnsi="Arial"/>
                <w:sz w:val="16"/>
                <w:szCs w:val="16"/>
                <w:color w:val="auto"/>
              </w:rPr>
              <w:t>New York, NY 10055</w:t>
            </w:r>
          </w:p>
        </w:tc>
        <w:tc>
          <w:tcPr>
            <w:tcW w:w="3900" w:type="dxa"/>
            <w:vAlign w:val="bottom"/>
            <w:vMerge w:val="continue"/>
            <w:shd w:val="clear" w:color="auto" w:fill="ACACAC"/>
          </w:tcPr>
          <w:p>
            <w:pPr>
              <w:spacing w:after="0"/>
              <w:rPr>
                <w:sz w:val="8"/>
                <w:szCs w:val="8"/>
                <w:color w:val="auto"/>
              </w:rPr>
            </w:pPr>
          </w:p>
        </w:tc>
        <w:tc>
          <w:tcPr>
            <w:tcW w:w="760" w:type="dxa"/>
            <w:vAlign w:val="bottom"/>
            <w:shd w:val="clear" w:color="auto" w:fill="ACACAC"/>
          </w:tcPr>
          <w:p>
            <w:pPr>
              <w:spacing w:after="0"/>
              <w:rPr>
                <w:sz w:val="8"/>
                <w:szCs w:val="8"/>
                <w:color w:val="auto"/>
              </w:rPr>
            </w:pPr>
          </w:p>
        </w:tc>
        <w:tc>
          <w:tcPr>
            <w:tcW w:w="162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5140" w:type="dxa"/>
            <w:vAlign w:val="bottom"/>
            <w:vMerge w:val="continue"/>
            <w:shd w:val="clear" w:color="auto" w:fill="ACACAC"/>
          </w:tcPr>
          <w:p>
            <w:pPr>
              <w:spacing w:after="0"/>
              <w:rPr>
                <w:sz w:val="9"/>
                <w:szCs w:val="9"/>
                <w:color w:val="auto"/>
              </w:rPr>
            </w:pPr>
          </w:p>
        </w:tc>
        <w:tc>
          <w:tcPr>
            <w:tcW w:w="3900" w:type="dxa"/>
            <w:vAlign w:val="bottom"/>
            <w:shd w:val="clear" w:color="auto" w:fill="ACACAC"/>
          </w:tcPr>
          <w:p>
            <w:pPr>
              <w:spacing w:after="0"/>
              <w:rPr>
                <w:sz w:val="9"/>
                <w:szCs w:val="9"/>
                <w:color w:val="auto"/>
              </w:rPr>
            </w:pPr>
          </w:p>
        </w:tc>
        <w:tc>
          <w:tcPr>
            <w:tcW w:w="760" w:type="dxa"/>
            <w:vAlign w:val="bottom"/>
            <w:shd w:val="clear" w:color="auto" w:fill="ACACAC"/>
          </w:tcPr>
          <w:p>
            <w:pPr>
              <w:spacing w:after="0"/>
              <w:rPr>
                <w:sz w:val="9"/>
                <w:szCs w:val="9"/>
                <w:color w:val="auto"/>
              </w:rPr>
            </w:pPr>
          </w:p>
        </w:tc>
        <w:tc>
          <w:tcPr>
            <w:tcW w:w="1620" w:type="dxa"/>
            <w:vAlign w:val="bottom"/>
            <w:shd w:val="clear" w:color="auto" w:fill="ACACAC"/>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5140" w:type="dxa"/>
            <w:vAlign w:val="bottom"/>
          </w:tcPr>
          <w:p>
            <w:pPr>
              <w:ind w:left="160"/>
              <w:spacing w:after="0"/>
              <w:rPr>
                <w:sz w:val="20"/>
                <w:szCs w:val="20"/>
                <w:color w:val="auto"/>
              </w:rPr>
            </w:pPr>
            <w:r>
              <w:rPr>
                <w:rFonts w:ascii="Arial" w:cs="Arial" w:eastAsia="Arial" w:hAnsi="Arial"/>
                <w:sz w:val="16"/>
                <w:szCs w:val="16"/>
                <w:color w:val="auto"/>
              </w:rPr>
              <w:t>Dimensional Fund Advisors LP</w:t>
            </w:r>
          </w:p>
        </w:tc>
        <w:tc>
          <w:tcPr>
            <w:tcW w:w="3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40" w:type="dxa"/>
            <w:vAlign w:val="bottom"/>
          </w:tcPr>
          <w:p>
            <w:pPr>
              <w:ind w:left="160"/>
              <w:spacing w:after="0"/>
              <w:rPr>
                <w:sz w:val="20"/>
                <w:szCs w:val="20"/>
                <w:color w:val="auto"/>
              </w:rPr>
            </w:pPr>
            <w:r>
              <w:rPr>
                <w:rFonts w:ascii="Arial" w:cs="Arial" w:eastAsia="Arial" w:hAnsi="Arial"/>
                <w:sz w:val="16"/>
                <w:szCs w:val="16"/>
                <w:color w:val="auto"/>
              </w:rPr>
              <w:t>Building One</w:t>
            </w:r>
          </w:p>
        </w:tc>
        <w:tc>
          <w:tcPr>
            <w:tcW w:w="3900" w:type="dxa"/>
            <w:vAlign w:val="bottom"/>
          </w:tcPr>
          <w:p>
            <w:pPr>
              <w:jc w:val="center"/>
              <w:ind w:left="1859"/>
              <w:spacing w:after="0"/>
              <w:rPr>
                <w:sz w:val="20"/>
                <w:szCs w:val="20"/>
                <w:color w:val="auto"/>
              </w:rPr>
            </w:pPr>
            <w:r>
              <w:rPr>
                <w:rFonts w:ascii="Arial" w:cs="Arial" w:eastAsia="Arial" w:hAnsi="Arial"/>
                <w:sz w:val="16"/>
                <w:szCs w:val="16"/>
                <w:color w:val="auto"/>
              </w:rPr>
              <w:t>2,105,885 shares of</w:t>
            </w:r>
          </w:p>
        </w:tc>
        <w:tc>
          <w:tcPr>
            <w:tcW w:w="760" w:type="dxa"/>
            <w:vAlign w:val="bottom"/>
          </w:tcPr>
          <w:p>
            <w:pPr>
              <w:jc w:val="right"/>
              <w:ind w:right="426"/>
              <w:spacing w:after="0"/>
              <w:rPr>
                <w:sz w:val="20"/>
                <w:szCs w:val="20"/>
                <w:color w:val="auto"/>
              </w:rPr>
            </w:pPr>
            <w:r>
              <w:rPr>
                <w:rFonts w:ascii="Arial" w:cs="Arial" w:eastAsia="Arial" w:hAnsi="Arial"/>
                <w:sz w:val="11"/>
                <w:szCs w:val="11"/>
                <w:color w:val="auto"/>
              </w:rPr>
              <w:t>(3)</w:t>
            </w: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100"/>
        </w:trPr>
        <w:tc>
          <w:tcPr>
            <w:tcW w:w="5140" w:type="dxa"/>
            <w:vAlign w:val="bottom"/>
            <w:vMerge w:val="restart"/>
          </w:tcPr>
          <w:p>
            <w:pPr>
              <w:ind w:left="160"/>
              <w:spacing w:after="0"/>
              <w:rPr>
                <w:sz w:val="20"/>
                <w:szCs w:val="20"/>
                <w:color w:val="auto"/>
              </w:rPr>
            </w:pPr>
            <w:r>
              <w:rPr>
                <w:rFonts w:ascii="Arial" w:cs="Arial" w:eastAsia="Arial" w:hAnsi="Arial"/>
                <w:sz w:val="16"/>
                <w:szCs w:val="16"/>
                <w:color w:val="auto"/>
              </w:rPr>
              <w:t>6300 Bee Cave Road</w:t>
            </w:r>
          </w:p>
        </w:tc>
        <w:tc>
          <w:tcPr>
            <w:tcW w:w="3900" w:type="dxa"/>
            <w:vAlign w:val="bottom"/>
            <w:vMerge w:val="restart"/>
          </w:tcPr>
          <w:p>
            <w:pPr>
              <w:jc w:val="center"/>
              <w:ind w:left="1879"/>
              <w:spacing w:after="0"/>
              <w:rPr>
                <w:sz w:val="20"/>
                <w:szCs w:val="20"/>
                <w:color w:val="auto"/>
              </w:rPr>
            </w:pPr>
            <w:r>
              <w:rPr>
                <w:rFonts w:ascii="Arial" w:cs="Arial" w:eastAsia="Arial" w:hAnsi="Arial"/>
                <w:sz w:val="16"/>
                <w:szCs w:val="16"/>
                <w:color w:val="auto"/>
              </w:rPr>
              <w:t>Common Stock</w:t>
            </w:r>
          </w:p>
        </w:tc>
        <w:tc>
          <w:tcPr>
            <w:tcW w:w="76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140" w:type="dxa"/>
            <w:vAlign w:val="bottom"/>
            <w:vMerge w:val="continue"/>
          </w:tcPr>
          <w:p>
            <w:pPr>
              <w:spacing w:after="0"/>
              <w:rPr>
                <w:sz w:val="7"/>
                <w:szCs w:val="7"/>
                <w:color w:val="auto"/>
              </w:rPr>
            </w:pPr>
          </w:p>
        </w:tc>
        <w:tc>
          <w:tcPr>
            <w:tcW w:w="39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5140" w:type="dxa"/>
            <w:vAlign w:val="bottom"/>
          </w:tcPr>
          <w:p>
            <w:pPr>
              <w:ind w:left="160"/>
              <w:spacing w:after="0"/>
              <w:rPr>
                <w:sz w:val="20"/>
                <w:szCs w:val="20"/>
                <w:color w:val="auto"/>
              </w:rPr>
            </w:pPr>
            <w:r>
              <w:rPr>
                <w:rFonts w:ascii="Arial" w:cs="Arial" w:eastAsia="Arial" w:hAnsi="Arial"/>
                <w:sz w:val="16"/>
                <w:szCs w:val="16"/>
                <w:color w:val="auto"/>
              </w:rPr>
              <w:t>Austin, TX 78746</w:t>
            </w:r>
          </w:p>
        </w:tc>
        <w:tc>
          <w:tcPr>
            <w:tcW w:w="3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140" w:type="dxa"/>
            <w:vAlign w:val="bottom"/>
            <w:shd w:val="clear" w:color="auto" w:fill="ACACAC"/>
          </w:tcPr>
          <w:p>
            <w:pPr>
              <w:ind w:left="160"/>
              <w:spacing w:after="0"/>
              <w:rPr>
                <w:sz w:val="20"/>
                <w:szCs w:val="20"/>
                <w:color w:val="auto"/>
              </w:rPr>
            </w:pPr>
            <w:r>
              <w:rPr>
                <w:rFonts w:ascii="Arial" w:cs="Arial" w:eastAsia="Arial" w:hAnsi="Arial"/>
                <w:sz w:val="16"/>
                <w:szCs w:val="16"/>
                <w:color w:val="auto"/>
              </w:rPr>
              <w:t>Cooke &amp; Bieler LP</w:t>
            </w:r>
          </w:p>
        </w:tc>
        <w:tc>
          <w:tcPr>
            <w:tcW w:w="3900" w:type="dxa"/>
            <w:vAlign w:val="bottom"/>
            <w:shd w:val="clear" w:color="auto" w:fill="ACACAC"/>
          </w:tcPr>
          <w:p>
            <w:pPr>
              <w:spacing w:after="0"/>
              <w:rPr>
                <w:sz w:val="19"/>
                <w:szCs w:val="19"/>
                <w:color w:val="auto"/>
              </w:rPr>
            </w:pPr>
          </w:p>
        </w:tc>
        <w:tc>
          <w:tcPr>
            <w:tcW w:w="760" w:type="dxa"/>
            <w:vAlign w:val="bottom"/>
            <w:shd w:val="clear" w:color="auto" w:fill="ACACAC"/>
          </w:tcPr>
          <w:p>
            <w:pPr>
              <w:spacing w:after="0"/>
              <w:rPr>
                <w:sz w:val="19"/>
                <w:szCs w:val="19"/>
                <w:color w:val="auto"/>
              </w:rPr>
            </w:pPr>
          </w:p>
        </w:tc>
        <w:tc>
          <w:tcPr>
            <w:tcW w:w="16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ACACAC"/>
          </w:tcPr>
          <w:p>
            <w:pPr>
              <w:ind w:left="160"/>
              <w:spacing w:after="0"/>
              <w:rPr>
                <w:sz w:val="20"/>
                <w:szCs w:val="20"/>
                <w:color w:val="auto"/>
              </w:rPr>
            </w:pPr>
            <w:r>
              <w:rPr>
                <w:rFonts w:ascii="Arial" w:cs="Arial" w:eastAsia="Arial" w:hAnsi="Arial"/>
                <w:sz w:val="16"/>
                <w:szCs w:val="16"/>
                <w:color w:val="auto"/>
              </w:rPr>
              <w:t>1700 Market Street</w:t>
            </w:r>
          </w:p>
        </w:tc>
        <w:tc>
          <w:tcPr>
            <w:tcW w:w="3900" w:type="dxa"/>
            <w:vAlign w:val="bottom"/>
            <w:shd w:val="clear" w:color="auto" w:fill="ACACAC"/>
          </w:tcPr>
          <w:p>
            <w:pPr>
              <w:jc w:val="center"/>
              <w:ind w:left="1859"/>
              <w:spacing w:after="0"/>
              <w:rPr>
                <w:sz w:val="20"/>
                <w:szCs w:val="20"/>
                <w:color w:val="auto"/>
              </w:rPr>
            </w:pPr>
            <w:r>
              <w:rPr>
                <w:rFonts w:ascii="Arial" w:cs="Arial" w:eastAsia="Arial" w:hAnsi="Arial"/>
                <w:sz w:val="16"/>
                <w:szCs w:val="16"/>
                <w:color w:val="auto"/>
              </w:rPr>
              <w:t>1,912,165 shares of</w:t>
            </w:r>
          </w:p>
        </w:tc>
        <w:tc>
          <w:tcPr>
            <w:tcW w:w="760" w:type="dxa"/>
            <w:vAlign w:val="bottom"/>
            <w:shd w:val="clear" w:color="auto" w:fill="ACACAC"/>
          </w:tcPr>
          <w:p>
            <w:pPr>
              <w:jc w:val="right"/>
              <w:ind w:right="426"/>
              <w:spacing w:after="0"/>
              <w:rPr>
                <w:sz w:val="20"/>
                <w:szCs w:val="20"/>
                <w:color w:val="auto"/>
              </w:rPr>
            </w:pPr>
            <w:r>
              <w:rPr>
                <w:rFonts w:ascii="Arial" w:cs="Arial" w:eastAsia="Arial" w:hAnsi="Arial"/>
                <w:sz w:val="11"/>
                <w:szCs w:val="11"/>
                <w:color w:val="auto"/>
              </w:rPr>
              <w:t>(4)</w:t>
            </w:r>
          </w:p>
        </w:tc>
        <w:tc>
          <w:tcPr>
            <w:tcW w:w="1620" w:type="dxa"/>
            <w:vAlign w:val="bottom"/>
            <w:vMerge w:val="restart"/>
            <w:shd w:val="clear" w:color="auto" w:fill="ACACAC"/>
          </w:tcPr>
          <w:p>
            <w:pPr>
              <w:jc w:val="center"/>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100"/>
        </w:trPr>
        <w:tc>
          <w:tcPr>
            <w:tcW w:w="5140" w:type="dxa"/>
            <w:vAlign w:val="bottom"/>
            <w:vMerge w:val="restart"/>
            <w:shd w:val="clear" w:color="auto" w:fill="ACACAC"/>
          </w:tcPr>
          <w:p>
            <w:pPr>
              <w:ind w:left="160"/>
              <w:spacing w:after="0"/>
              <w:rPr>
                <w:sz w:val="20"/>
                <w:szCs w:val="20"/>
                <w:color w:val="auto"/>
              </w:rPr>
            </w:pPr>
            <w:r>
              <w:rPr>
                <w:rFonts w:ascii="Arial" w:cs="Arial" w:eastAsia="Arial" w:hAnsi="Arial"/>
                <w:sz w:val="16"/>
                <w:szCs w:val="16"/>
                <w:color w:val="auto"/>
              </w:rPr>
              <w:t>Suite 3222</w:t>
            </w:r>
          </w:p>
        </w:tc>
        <w:tc>
          <w:tcPr>
            <w:tcW w:w="3900" w:type="dxa"/>
            <w:vAlign w:val="bottom"/>
            <w:vMerge w:val="restart"/>
            <w:shd w:val="clear" w:color="auto" w:fill="ACACAC"/>
          </w:tcPr>
          <w:p>
            <w:pPr>
              <w:jc w:val="center"/>
              <w:ind w:left="1879"/>
              <w:spacing w:after="0"/>
              <w:rPr>
                <w:sz w:val="20"/>
                <w:szCs w:val="20"/>
                <w:color w:val="auto"/>
              </w:rPr>
            </w:pPr>
            <w:r>
              <w:rPr>
                <w:rFonts w:ascii="Arial" w:cs="Arial" w:eastAsia="Arial" w:hAnsi="Arial"/>
                <w:sz w:val="16"/>
                <w:szCs w:val="16"/>
                <w:color w:val="auto"/>
              </w:rPr>
              <w:t>Common Stock</w:t>
            </w:r>
          </w:p>
        </w:tc>
        <w:tc>
          <w:tcPr>
            <w:tcW w:w="760" w:type="dxa"/>
            <w:vAlign w:val="bottom"/>
            <w:shd w:val="clear" w:color="auto" w:fill="ACACAC"/>
          </w:tcPr>
          <w:p>
            <w:pPr>
              <w:spacing w:after="0"/>
              <w:rPr>
                <w:sz w:val="8"/>
                <w:szCs w:val="8"/>
                <w:color w:val="auto"/>
              </w:rPr>
            </w:pPr>
          </w:p>
        </w:tc>
        <w:tc>
          <w:tcPr>
            <w:tcW w:w="1620" w:type="dxa"/>
            <w:vAlign w:val="bottom"/>
            <w:vMerge w:val="continue"/>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140" w:type="dxa"/>
            <w:vAlign w:val="bottom"/>
            <w:vMerge w:val="continue"/>
            <w:shd w:val="clear" w:color="auto" w:fill="ACACAC"/>
          </w:tcPr>
          <w:p>
            <w:pPr>
              <w:spacing w:after="0"/>
              <w:rPr>
                <w:sz w:val="7"/>
                <w:szCs w:val="7"/>
                <w:color w:val="auto"/>
              </w:rPr>
            </w:pPr>
          </w:p>
        </w:tc>
        <w:tc>
          <w:tcPr>
            <w:tcW w:w="3900" w:type="dxa"/>
            <w:vAlign w:val="bottom"/>
            <w:vMerge w:val="continue"/>
            <w:shd w:val="clear" w:color="auto" w:fill="ACACAC"/>
          </w:tcPr>
          <w:p>
            <w:pPr>
              <w:spacing w:after="0"/>
              <w:rPr>
                <w:sz w:val="7"/>
                <w:szCs w:val="7"/>
                <w:color w:val="auto"/>
              </w:rPr>
            </w:pPr>
          </w:p>
        </w:tc>
        <w:tc>
          <w:tcPr>
            <w:tcW w:w="760" w:type="dxa"/>
            <w:vAlign w:val="bottom"/>
            <w:shd w:val="clear" w:color="auto" w:fill="ACACAC"/>
          </w:tcPr>
          <w:p>
            <w:pPr>
              <w:spacing w:after="0"/>
              <w:rPr>
                <w:sz w:val="7"/>
                <w:szCs w:val="7"/>
                <w:color w:val="auto"/>
              </w:rPr>
            </w:pPr>
          </w:p>
        </w:tc>
        <w:tc>
          <w:tcPr>
            <w:tcW w:w="1620" w:type="dxa"/>
            <w:vAlign w:val="bottom"/>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5140" w:type="dxa"/>
            <w:vAlign w:val="bottom"/>
            <w:shd w:val="clear" w:color="auto" w:fill="ACACAC"/>
          </w:tcPr>
          <w:p>
            <w:pPr>
              <w:ind w:left="160"/>
              <w:spacing w:after="0"/>
              <w:rPr>
                <w:sz w:val="20"/>
                <w:szCs w:val="20"/>
                <w:color w:val="auto"/>
              </w:rPr>
            </w:pPr>
            <w:r>
              <w:rPr>
                <w:rFonts w:ascii="Arial" w:cs="Arial" w:eastAsia="Arial" w:hAnsi="Arial"/>
                <w:sz w:val="16"/>
                <w:szCs w:val="16"/>
                <w:color w:val="auto"/>
              </w:rPr>
              <w:t>Philadelphia, PA 19103</w:t>
            </w:r>
          </w:p>
        </w:tc>
        <w:tc>
          <w:tcPr>
            <w:tcW w:w="3900" w:type="dxa"/>
            <w:vAlign w:val="bottom"/>
            <w:shd w:val="clear" w:color="auto" w:fill="ACACAC"/>
          </w:tcPr>
          <w:p>
            <w:pPr>
              <w:spacing w:after="0"/>
              <w:rPr>
                <w:sz w:val="18"/>
                <w:szCs w:val="18"/>
                <w:color w:val="auto"/>
              </w:rPr>
            </w:pPr>
          </w:p>
        </w:tc>
        <w:tc>
          <w:tcPr>
            <w:tcW w:w="760" w:type="dxa"/>
            <w:vAlign w:val="bottom"/>
            <w:shd w:val="clear" w:color="auto" w:fill="ACACAC"/>
          </w:tcPr>
          <w:p>
            <w:pPr>
              <w:spacing w:after="0"/>
              <w:rPr>
                <w:sz w:val="18"/>
                <w:szCs w:val="18"/>
                <w:color w:val="auto"/>
              </w:rPr>
            </w:pPr>
          </w:p>
        </w:tc>
        <w:tc>
          <w:tcPr>
            <w:tcW w:w="16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40" w:type="dxa"/>
            <w:vAlign w:val="bottom"/>
          </w:tcPr>
          <w:p>
            <w:pPr>
              <w:ind w:left="160"/>
              <w:spacing w:after="0"/>
              <w:rPr>
                <w:sz w:val="20"/>
                <w:szCs w:val="20"/>
                <w:color w:val="auto"/>
              </w:rPr>
            </w:pPr>
            <w:r>
              <w:rPr>
                <w:rFonts w:ascii="Arial" w:cs="Arial" w:eastAsia="Arial" w:hAnsi="Arial"/>
                <w:sz w:val="16"/>
                <w:szCs w:val="16"/>
                <w:color w:val="auto"/>
              </w:rPr>
              <w:t>The Vanguard Group</w:t>
            </w:r>
          </w:p>
        </w:tc>
        <w:tc>
          <w:tcPr>
            <w:tcW w:w="3900" w:type="dxa"/>
            <w:vAlign w:val="bottom"/>
            <w:vMerge w:val="restart"/>
          </w:tcPr>
          <w:p>
            <w:pPr>
              <w:jc w:val="center"/>
              <w:ind w:left="1859"/>
              <w:spacing w:after="0"/>
              <w:rPr>
                <w:sz w:val="20"/>
                <w:szCs w:val="20"/>
                <w:color w:val="auto"/>
              </w:rPr>
            </w:pPr>
            <w:r>
              <w:rPr>
                <w:rFonts w:ascii="Arial" w:cs="Arial" w:eastAsia="Arial" w:hAnsi="Arial"/>
                <w:sz w:val="16"/>
                <w:szCs w:val="16"/>
                <w:color w:val="auto"/>
              </w:rPr>
              <w:t>1,793,111 shares of</w:t>
            </w:r>
          </w:p>
        </w:tc>
        <w:tc>
          <w:tcPr>
            <w:tcW w:w="760" w:type="dxa"/>
            <w:vAlign w:val="bottom"/>
            <w:vMerge w:val="restart"/>
          </w:tcPr>
          <w:p>
            <w:pPr>
              <w:jc w:val="right"/>
              <w:ind w:right="426"/>
              <w:spacing w:after="0"/>
              <w:rPr>
                <w:sz w:val="20"/>
                <w:szCs w:val="20"/>
                <w:color w:val="auto"/>
              </w:rPr>
            </w:pPr>
            <w:r>
              <w:rPr>
                <w:rFonts w:ascii="Arial" w:cs="Arial" w:eastAsia="Arial" w:hAnsi="Arial"/>
                <w:sz w:val="11"/>
                <w:szCs w:val="11"/>
                <w:color w:val="auto"/>
              </w:rPr>
              <w:t>(5)</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140" w:type="dxa"/>
            <w:vAlign w:val="bottom"/>
            <w:vMerge w:val="restart"/>
          </w:tcPr>
          <w:p>
            <w:pPr>
              <w:ind w:left="160"/>
              <w:spacing w:after="0"/>
              <w:rPr>
                <w:sz w:val="20"/>
                <w:szCs w:val="20"/>
                <w:color w:val="auto"/>
              </w:rPr>
            </w:pPr>
            <w:r>
              <w:rPr>
                <w:rFonts w:ascii="Arial" w:cs="Arial" w:eastAsia="Arial" w:hAnsi="Arial"/>
                <w:sz w:val="16"/>
                <w:szCs w:val="16"/>
                <w:color w:val="auto"/>
              </w:rPr>
              <w:t>100 Vanguard Blvd.</w:t>
            </w:r>
          </w:p>
        </w:tc>
        <w:tc>
          <w:tcPr>
            <w:tcW w:w="39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95"/>
        </w:trPr>
        <w:tc>
          <w:tcPr>
            <w:tcW w:w="5140" w:type="dxa"/>
            <w:vAlign w:val="bottom"/>
            <w:vMerge w:val="continue"/>
          </w:tcPr>
          <w:p>
            <w:pPr>
              <w:spacing w:after="0"/>
              <w:rPr>
                <w:sz w:val="8"/>
                <w:szCs w:val="8"/>
                <w:color w:val="auto"/>
              </w:rPr>
            </w:pPr>
          </w:p>
        </w:tc>
        <w:tc>
          <w:tcPr>
            <w:tcW w:w="3900" w:type="dxa"/>
            <w:vAlign w:val="bottom"/>
            <w:vMerge w:val="restart"/>
          </w:tcPr>
          <w:p>
            <w:pPr>
              <w:jc w:val="center"/>
              <w:ind w:left="1879"/>
              <w:spacing w:after="0"/>
              <w:rPr>
                <w:sz w:val="20"/>
                <w:szCs w:val="20"/>
                <w:color w:val="auto"/>
              </w:rPr>
            </w:pPr>
            <w:r>
              <w:rPr>
                <w:rFonts w:ascii="Arial" w:cs="Arial" w:eastAsia="Arial" w:hAnsi="Arial"/>
                <w:sz w:val="16"/>
                <w:szCs w:val="16"/>
                <w:color w:val="auto"/>
              </w:rPr>
              <w:t>Common Stock</w:t>
            </w:r>
          </w:p>
        </w:tc>
        <w:tc>
          <w:tcPr>
            <w:tcW w:w="76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140" w:type="dxa"/>
            <w:vAlign w:val="bottom"/>
            <w:vMerge w:val="restart"/>
          </w:tcPr>
          <w:p>
            <w:pPr>
              <w:ind w:left="160"/>
              <w:spacing w:after="0"/>
              <w:rPr>
                <w:sz w:val="20"/>
                <w:szCs w:val="20"/>
                <w:color w:val="auto"/>
              </w:rPr>
            </w:pPr>
            <w:r>
              <w:rPr>
                <w:rFonts w:ascii="Arial" w:cs="Arial" w:eastAsia="Arial" w:hAnsi="Arial"/>
                <w:sz w:val="16"/>
                <w:szCs w:val="16"/>
                <w:color w:val="auto"/>
              </w:rPr>
              <w:t>Malvern, PA 19355</w:t>
            </w:r>
          </w:p>
        </w:tc>
        <w:tc>
          <w:tcPr>
            <w:tcW w:w="39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140" w:type="dxa"/>
            <w:vAlign w:val="bottom"/>
            <w:vMerge w:val="continue"/>
          </w:tcPr>
          <w:p>
            <w:pPr>
              <w:spacing w:after="0"/>
              <w:rPr>
                <w:sz w:val="8"/>
                <w:szCs w:val="8"/>
                <w:color w:val="auto"/>
              </w:rPr>
            </w:pPr>
          </w:p>
        </w:tc>
        <w:tc>
          <w:tcPr>
            <w:tcW w:w="3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160"/>
              <w:spacing w:after="0"/>
              <w:rPr>
                <w:sz w:val="20"/>
                <w:szCs w:val="20"/>
                <w:color w:val="auto"/>
              </w:rPr>
            </w:pPr>
            <w:r>
              <w:rPr>
                <w:rFonts w:ascii="Arial" w:cs="Arial" w:eastAsia="Arial" w:hAnsi="Arial"/>
                <w:sz w:val="16"/>
                <w:szCs w:val="16"/>
                <w:color w:val="auto"/>
              </w:rPr>
              <w:t>LSV Asset Management</w:t>
            </w:r>
          </w:p>
        </w:tc>
        <w:tc>
          <w:tcPr>
            <w:tcW w:w="3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140" w:type="dxa"/>
            <w:vAlign w:val="bottom"/>
          </w:tcPr>
          <w:p>
            <w:pPr>
              <w:ind w:left="160"/>
              <w:spacing w:after="0"/>
              <w:rPr>
                <w:sz w:val="20"/>
                <w:szCs w:val="20"/>
                <w:color w:val="auto"/>
              </w:rPr>
            </w:pPr>
            <w:r>
              <w:rPr>
                <w:rFonts w:ascii="Arial" w:cs="Arial" w:eastAsia="Arial" w:hAnsi="Arial"/>
                <w:sz w:val="16"/>
                <w:szCs w:val="16"/>
                <w:color w:val="auto"/>
              </w:rPr>
              <w:t>155 N. Wacker Drive</w:t>
            </w:r>
          </w:p>
        </w:tc>
        <w:tc>
          <w:tcPr>
            <w:tcW w:w="3900" w:type="dxa"/>
            <w:vAlign w:val="bottom"/>
          </w:tcPr>
          <w:p>
            <w:pPr>
              <w:jc w:val="center"/>
              <w:ind w:left="1859"/>
              <w:spacing w:after="0"/>
              <w:rPr>
                <w:sz w:val="20"/>
                <w:szCs w:val="20"/>
                <w:color w:val="auto"/>
              </w:rPr>
            </w:pPr>
            <w:r>
              <w:rPr>
                <w:rFonts w:ascii="Arial" w:cs="Arial" w:eastAsia="Arial" w:hAnsi="Arial"/>
                <w:sz w:val="16"/>
                <w:szCs w:val="16"/>
                <w:color w:val="auto"/>
              </w:rPr>
              <w:t>1,642,100 shares of</w:t>
            </w:r>
          </w:p>
        </w:tc>
        <w:tc>
          <w:tcPr>
            <w:tcW w:w="760" w:type="dxa"/>
            <w:vAlign w:val="bottom"/>
          </w:tcPr>
          <w:p>
            <w:pPr>
              <w:jc w:val="right"/>
              <w:ind w:right="426"/>
              <w:spacing w:after="0"/>
              <w:rPr>
                <w:sz w:val="20"/>
                <w:szCs w:val="20"/>
                <w:color w:val="auto"/>
              </w:rPr>
            </w:pPr>
            <w:r>
              <w:rPr>
                <w:rFonts w:ascii="Arial" w:cs="Arial" w:eastAsia="Arial" w:hAnsi="Arial"/>
                <w:sz w:val="11"/>
                <w:szCs w:val="11"/>
                <w:color w:val="auto"/>
              </w:rPr>
              <w:t>(6)</w:t>
            </w: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100"/>
        </w:trPr>
        <w:tc>
          <w:tcPr>
            <w:tcW w:w="5140" w:type="dxa"/>
            <w:vAlign w:val="bottom"/>
            <w:vMerge w:val="restart"/>
          </w:tcPr>
          <w:p>
            <w:pPr>
              <w:ind w:left="160"/>
              <w:spacing w:after="0"/>
              <w:rPr>
                <w:sz w:val="20"/>
                <w:szCs w:val="20"/>
                <w:color w:val="auto"/>
              </w:rPr>
            </w:pPr>
            <w:r>
              <w:rPr>
                <w:rFonts w:ascii="Arial" w:cs="Arial" w:eastAsia="Arial" w:hAnsi="Arial"/>
                <w:sz w:val="16"/>
                <w:szCs w:val="16"/>
                <w:color w:val="auto"/>
              </w:rPr>
              <w:t>Suite 4600</w:t>
            </w:r>
          </w:p>
        </w:tc>
        <w:tc>
          <w:tcPr>
            <w:tcW w:w="3900" w:type="dxa"/>
            <w:vAlign w:val="bottom"/>
            <w:vMerge w:val="restart"/>
          </w:tcPr>
          <w:p>
            <w:pPr>
              <w:jc w:val="center"/>
              <w:ind w:left="1879"/>
              <w:spacing w:after="0"/>
              <w:rPr>
                <w:sz w:val="20"/>
                <w:szCs w:val="20"/>
                <w:color w:val="auto"/>
              </w:rPr>
            </w:pPr>
            <w:r>
              <w:rPr>
                <w:rFonts w:ascii="Arial" w:cs="Arial" w:eastAsia="Arial" w:hAnsi="Arial"/>
                <w:sz w:val="16"/>
                <w:szCs w:val="16"/>
                <w:color w:val="auto"/>
              </w:rPr>
              <w:t>Common Stock</w:t>
            </w:r>
          </w:p>
        </w:tc>
        <w:tc>
          <w:tcPr>
            <w:tcW w:w="76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140" w:type="dxa"/>
            <w:vAlign w:val="bottom"/>
            <w:vMerge w:val="continue"/>
          </w:tcPr>
          <w:p>
            <w:pPr>
              <w:spacing w:after="0"/>
              <w:rPr>
                <w:sz w:val="7"/>
                <w:szCs w:val="7"/>
                <w:color w:val="auto"/>
              </w:rPr>
            </w:pPr>
          </w:p>
        </w:tc>
        <w:tc>
          <w:tcPr>
            <w:tcW w:w="39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514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Chicago, IL 60606</w:t>
      </w:r>
    </w:p>
    <w:p>
      <w:pPr>
        <w:spacing w:after="0" w:line="89"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4"/>
          <w:szCs w:val="14"/>
          <w:color w:val="auto"/>
        </w:rPr>
        <w:t>Based on 31,684,985 outstanding shares of Common Stock on October 22, 2019.</w:t>
      </w:r>
    </w:p>
    <w:p>
      <w:pPr>
        <w:spacing w:after="0" w:line="1" w:lineRule="exact"/>
        <w:rPr>
          <w:rFonts w:ascii="Arial" w:cs="Arial" w:eastAsia="Arial" w:hAnsi="Arial"/>
          <w:sz w:val="13"/>
          <w:szCs w:val="13"/>
          <w:color w:val="auto"/>
        </w:rPr>
      </w:pPr>
    </w:p>
    <w:p>
      <w:pPr>
        <w:ind w:left="260" w:hanging="252"/>
        <w:spacing w:after="0" w:line="241" w:lineRule="auto"/>
        <w:tabs>
          <w:tab w:leader="none" w:pos="260" w:val="left"/>
        </w:tabs>
        <w:numPr>
          <w:ilvl w:val="0"/>
          <w:numId w:val="7"/>
        </w:numPr>
        <w:rPr>
          <w:rFonts w:ascii="Arial" w:cs="Arial" w:eastAsia="Arial" w:hAnsi="Arial"/>
          <w:sz w:val="13"/>
          <w:szCs w:val="13"/>
          <w:color w:val="auto"/>
        </w:rPr>
      </w:pPr>
      <w:r>
        <w:rPr>
          <w:rFonts w:ascii="Arial" w:cs="Arial" w:eastAsia="Arial" w:hAnsi="Arial"/>
          <w:sz w:val="14"/>
          <w:szCs w:val="14"/>
          <w:color w:val="auto"/>
        </w:rPr>
        <w:t>Based on information provided in a Schedule 13G/A filed with the SEC on January 31, 2019 by BlackRock, Inc., a parent holding company ("Blackrock"). BlackRock reported that it has sole power to vote or direct the vote of 4,168,816 shares and sole power to dispose of or direct the disposition of 4,237,554 shares.</w:t>
      </w:r>
    </w:p>
    <w:p>
      <w:pPr>
        <w:jc w:val="both"/>
        <w:ind w:left="260" w:hanging="252"/>
        <w:spacing w:after="0" w:line="244" w:lineRule="auto"/>
        <w:tabs>
          <w:tab w:leader="none" w:pos="260" w:val="left"/>
        </w:tabs>
        <w:numPr>
          <w:ilvl w:val="0"/>
          <w:numId w:val="7"/>
        </w:numPr>
        <w:rPr>
          <w:rFonts w:ascii="Arial" w:cs="Arial" w:eastAsia="Arial" w:hAnsi="Arial"/>
          <w:sz w:val="13"/>
          <w:szCs w:val="13"/>
          <w:color w:val="auto"/>
        </w:rPr>
      </w:pPr>
      <w:r>
        <w:rPr>
          <w:rFonts w:ascii="Arial" w:cs="Arial" w:eastAsia="Arial" w:hAnsi="Arial"/>
          <w:sz w:val="14"/>
          <w:szCs w:val="14"/>
          <w:color w:val="auto"/>
        </w:rPr>
        <w:t>Based on information provided in a Schedule 13G/A filed with the SEC on February 8, 2019 by Dimensional Fund Advisors LP, an investment adviser ("DFA"). DFA reported that it has sole power to vote or direct the vote of 2,007,737 shares and sole power to dispose of or direct the disposition of 2,105,885 shares. DFA notes in its Schedule 13G/A filing that it furnishes investment advice to four investment companies registered under the Investment Company Act of 1940, and serves as investment manager or sub-adviser to certain other commingled funds, group trusts and separate accounts (collectively, the "Funds"). In certain cases, subsidiaries of DFA may act as an adviser or sub-adviser to certain Funds. In its role as investment adviser, sub-adviser and/or manager, DFA or its subsidiaries (collectively, "Dimensional") may possess voting and/or investment power over the securities of the Company that are owned by the Funds, and may be deemed to be the beneficial owner of the shares of the Company held by the Funds. However, all securities reported in its Schedule 13G/A are owned by the Funds and Dimensional disclaims beneficial ownership of such securities.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03" w:right="239" w:bottom="1440" w:gutter="0" w:footer="0" w:header="0"/>
          <w:type w:val="continuous"/>
        </w:sectPr>
      </w:pPr>
    </w:p>
    <w:bookmarkStart w:id="6" w:name="page7"/>
    <w:bookmarkEnd w:id="6"/>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60" w:hanging="252"/>
        <w:spacing w:after="0" w:line="241"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information provided in a Schedule 13G/A filed with the SEC on February 11, 2019 by Cooke &amp; Bieler LP, an investment adviser. Cooke &amp; Bieler LP reported that it has shared power to vote or direct the vote of 1,702,973 shares and shared power to dispose of or direct the disposition of 1,912,165 shares.</w:t>
      </w:r>
    </w:p>
    <w:p>
      <w:pPr>
        <w:jc w:val="both"/>
        <w:ind w:left="260" w:right="20" w:hanging="252"/>
        <w:spacing w:after="0" w:line="243"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information provided in a Schedule 13G filed with the SEC on February 12, 2019 by The Vanguard Group, an investment adviser. The Vanguard Group reported that it has sole voting power over 63,876 shares, shared voting power over 2,300 shares, sole dispositive power over 1,730,138 shares and shared dispositive power over 62,973 shares.</w:t>
      </w:r>
    </w:p>
    <w:p>
      <w:pPr>
        <w:spacing w:after="0" w:line="160" w:lineRule="exact"/>
        <w:rPr>
          <w:rFonts w:ascii="Arial" w:cs="Arial" w:eastAsia="Arial" w:hAnsi="Arial"/>
          <w:sz w:val="14"/>
          <w:szCs w:val="14"/>
          <w:color w:val="auto"/>
        </w:rPr>
      </w:pPr>
    </w:p>
    <w:p>
      <w:pPr>
        <w:ind w:left="260" w:hanging="252"/>
        <w:spacing w:after="0" w:line="258"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information provided in a Schedule 13G filed with the SEC on February 13, 2019 by LSV Asset Management, an investment adviser. LSV Asset Management reported that it has sole power to vote or direct the vote of 920,548 shares and sole power to dispose of or direct the disposition of 1,642,100 shares.</w:t>
      </w:r>
    </w:p>
    <w:p>
      <w:pPr>
        <w:spacing w:after="0" w:line="3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following table sets forth certain information known to us with respect to beneficial ownership of our Common Stock, as defined in Rule 13d-3 under the Exchange Act, at October 22, 2019 for (i) each of our directors and director nominees, (ii) each named executive officer of the Company ("NEO") in the summary compensation table below, and (iii) all current executive officers and directors as a group. Except as otherwise indicated, the named beneficial owner has sole voting and investment power with respect to the shares held by such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6677025</wp:posOffset>
            </wp:positionH>
            <wp:positionV relativeFrom="paragraph">
              <wp:posOffset>67945</wp:posOffset>
            </wp:positionV>
            <wp:extent cx="889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67945</wp:posOffset>
            </wp:positionV>
            <wp:extent cx="889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67945</wp:posOffset>
            </wp:positionV>
            <wp:extent cx="889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67945</wp:posOffset>
            </wp:positionV>
            <wp:extent cx="8890"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67945</wp:posOffset>
            </wp:positionV>
            <wp:extent cx="8890"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44577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40" w:type="dxa"/>
            <w:vAlign w:val="bottom"/>
            <w:shd w:val="clear" w:color="auto" w:fill="BF2115"/>
          </w:tcPr>
          <w:p>
            <w:pPr>
              <w:spacing w:after="0"/>
              <w:rPr>
                <w:sz w:val="15"/>
                <w:szCs w:val="15"/>
                <w:color w:val="auto"/>
              </w:rPr>
            </w:pPr>
          </w:p>
        </w:tc>
        <w:tc>
          <w:tcPr>
            <w:tcW w:w="1980" w:type="dxa"/>
            <w:vAlign w:val="bottom"/>
            <w:shd w:val="clear" w:color="auto" w:fill="BF2115"/>
          </w:tcPr>
          <w:p>
            <w:pPr>
              <w:jc w:val="center"/>
              <w:ind w:left="381"/>
              <w:spacing w:after="0"/>
              <w:rPr>
                <w:sz w:val="20"/>
                <w:szCs w:val="20"/>
                <w:color w:val="auto"/>
              </w:rPr>
            </w:pPr>
            <w:r>
              <w:rPr>
                <w:rFonts w:ascii="Arial" w:cs="Arial" w:eastAsia="Arial" w:hAnsi="Arial"/>
                <w:sz w:val="14"/>
                <w:szCs w:val="14"/>
                <w:b w:val="1"/>
                <w:bCs w:val="1"/>
                <w:color w:val="FFFFFF"/>
              </w:rPr>
              <w:t>Shares of</w:t>
            </w:r>
          </w:p>
        </w:tc>
        <w:tc>
          <w:tcPr>
            <w:tcW w:w="1260" w:type="dxa"/>
            <w:vAlign w:val="bottom"/>
            <w:shd w:val="clear" w:color="auto" w:fill="BF2115"/>
          </w:tcPr>
          <w:p>
            <w:pPr>
              <w:spacing w:after="0"/>
              <w:rPr>
                <w:sz w:val="15"/>
                <w:szCs w:val="15"/>
                <w:color w:val="auto"/>
              </w:rPr>
            </w:pPr>
          </w:p>
        </w:tc>
        <w:tc>
          <w:tcPr>
            <w:tcW w:w="1220" w:type="dxa"/>
            <w:vAlign w:val="bottom"/>
            <w:shd w:val="clear" w:color="auto" w:fill="BF2115"/>
          </w:tcPr>
          <w:p>
            <w:pPr>
              <w:spacing w:after="0"/>
              <w:rPr>
                <w:sz w:val="15"/>
                <w:szCs w:val="15"/>
                <w:color w:val="auto"/>
              </w:rPr>
            </w:pPr>
          </w:p>
        </w:tc>
        <w:tc>
          <w:tcPr>
            <w:tcW w:w="12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Total Shares</w:t>
            </w:r>
          </w:p>
        </w:tc>
        <w:tc>
          <w:tcPr>
            <w:tcW w:w="90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40" w:type="dxa"/>
            <w:vAlign w:val="bottom"/>
            <w:shd w:val="clear" w:color="auto" w:fill="BF2115"/>
          </w:tcPr>
          <w:p>
            <w:pPr>
              <w:spacing w:after="0"/>
              <w:rPr>
                <w:sz w:val="14"/>
                <w:szCs w:val="14"/>
                <w:color w:val="auto"/>
              </w:rPr>
            </w:pPr>
          </w:p>
        </w:tc>
        <w:tc>
          <w:tcPr>
            <w:tcW w:w="1980" w:type="dxa"/>
            <w:vAlign w:val="bottom"/>
            <w:shd w:val="clear" w:color="auto" w:fill="BF2115"/>
          </w:tcPr>
          <w:p>
            <w:pPr>
              <w:jc w:val="center"/>
              <w:ind w:left="381"/>
              <w:spacing w:after="0"/>
              <w:rPr>
                <w:sz w:val="20"/>
                <w:szCs w:val="20"/>
                <w:color w:val="auto"/>
              </w:rPr>
            </w:pPr>
            <w:r>
              <w:rPr>
                <w:rFonts w:ascii="Arial" w:cs="Arial" w:eastAsia="Arial" w:hAnsi="Arial"/>
                <w:sz w:val="14"/>
                <w:szCs w:val="14"/>
                <w:b w:val="1"/>
                <w:bCs w:val="1"/>
                <w:color w:val="FFFFFF"/>
              </w:rPr>
              <w:t>Common</w:t>
            </w:r>
          </w:p>
        </w:tc>
        <w:tc>
          <w:tcPr>
            <w:tcW w:w="1260" w:type="dxa"/>
            <w:vAlign w:val="bottom"/>
            <w:shd w:val="clear" w:color="auto" w:fill="BF2115"/>
          </w:tcPr>
          <w:p>
            <w:pPr>
              <w:jc w:val="center"/>
              <w:ind w:right="61"/>
              <w:spacing w:after="0"/>
              <w:rPr>
                <w:sz w:val="20"/>
                <w:szCs w:val="20"/>
                <w:color w:val="auto"/>
              </w:rPr>
            </w:pPr>
            <w:r>
              <w:rPr>
                <w:rFonts w:ascii="Arial" w:cs="Arial" w:eastAsia="Arial" w:hAnsi="Arial"/>
                <w:sz w:val="14"/>
                <w:szCs w:val="14"/>
                <w:b w:val="1"/>
                <w:bCs w:val="1"/>
                <w:color w:val="FFFFFF"/>
              </w:rPr>
              <w:t>Exercisable</w:t>
            </w:r>
          </w:p>
        </w:tc>
        <w:tc>
          <w:tcPr>
            <w:tcW w:w="1220" w:type="dxa"/>
            <w:vAlign w:val="bottom"/>
            <w:shd w:val="clear" w:color="auto" w:fill="BF2115"/>
          </w:tcPr>
          <w:p>
            <w:pPr>
              <w:jc w:val="center"/>
              <w:ind w:right="21"/>
              <w:spacing w:after="0"/>
              <w:rPr>
                <w:sz w:val="20"/>
                <w:szCs w:val="20"/>
                <w:color w:val="auto"/>
              </w:rPr>
            </w:pPr>
            <w:r>
              <w:rPr>
                <w:rFonts w:ascii="Arial" w:cs="Arial" w:eastAsia="Arial" w:hAnsi="Arial"/>
                <w:sz w:val="14"/>
                <w:szCs w:val="14"/>
                <w:b w:val="1"/>
                <w:bCs w:val="1"/>
                <w:color w:val="FFFFFF"/>
              </w:rPr>
              <w:t>Winnebago</w:t>
            </w:r>
          </w:p>
        </w:tc>
        <w:tc>
          <w:tcPr>
            <w:tcW w:w="12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of Common</w:t>
            </w:r>
          </w:p>
        </w:tc>
        <w:tc>
          <w:tcPr>
            <w:tcW w:w="900" w:type="dxa"/>
            <w:vAlign w:val="bottom"/>
            <w:shd w:val="clear" w:color="auto" w:fill="BF2115"/>
          </w:tcPr>
          <w:p>
            <w:pPr>
              <w:jc w:val="right"/>
              <w:ind w:right="259"/>
              <w:spacing w:after="0"/>
              <w:rPr>
                <w:sz w:val="20"/>
                <w:szCs w:val="20"/>
                <w:color w:val="auto"/>
              </w:rPr>
            </w:pPr>
            <w:r>
              <w:rPr>
                <w:rFonts w:ascii="Arial" w:cs="Arial" w:eastAsia="Arial" w:hAnsi="Arial"/>
                <w:sz w:val="14"/>
                <w:szCs w:val="14"/>
                <w:b w:val="1"/>
                <w:bCs w:val="1"/>
                <w:color w:val="FFFFFF"/>
              </w:rPr>
              <w:t>% of</w:t>
            </w:r>
          </w:p>
        </w:tc>
        <w:tc>
          <w:tcPr>
            <w:tcW w:w="0" w:type="dxa"/>
            <w:vAlign w:val="bottom"/>
          </w:tcPr>
          <w:p>
            <w:pPr>
              <w:spacing w:after="0"/>
              <w:rPr>
                <w:sz w:val="1"/>
                <w:szCs w:val="1"/>
                <w:color w:val="auto"/>
              </w:rPr>
            </w:pPr>
          </w:p>
        </w:tc>
      </w:tr>
      <w:tr>
        <w:trPr>
          <w:trHeight w:val="162"/>
        </w:trPr>
        <w:tc>
          <w:tcPr>
            <w:tcW w:w="4840" w:type="dxa"/>
            <w:vAlign w:val="bottom"/>
            <w:vMerge w:val="restart"/>
            <w:shd w:val="clear" w:color="auto" w:fill="BF2115"/>
          </w:tcPr>
          <w:p>
            <w:pPr>
              <w:ind w:left="40"/>
              <w:spacing w:after="0"/>
              <w:rPr>
                <w:sz w:val="20"/>
                <w:szCs w:val="20"/>
                <w:color w:val="auto"/>
              </w:rPr>
            </w:pPr>
            <w:r>
              <w:rPr>
                <w:rFonts w:ascii="Arial" w:cs="Arial" w:eastAsia="Arial" w:hAnsi="Arial"/>
                <w:sz w:val="16"/>
                <w:szCs w:val="16"/>
                <w:b w:val="1"/>
                <w:bCs w:val="1"/>
                <w:color w:val="FFFFFF"/>
              </w:rPr>
              <w:t>Name</w:t>
            </w:r>
          </w:p>
        </w:tc>
        <w:tc>
          <w:tcPr>
            <w:tcW w:w="1980" w:type="dxa"/>
            <w:vAlign w:val="bottom"/>
            <w:shd w:val="clear" w:color="auto" w:fill="BF2115"/>
          </w:tcPr>
          <w:p>
            <w:pPr>
              <w:jc w:val="center"/>
              <w:ind w:left="421"/>
              <w:spacing w:after="0"/>
              <w:rPr>
                <w:sz w:val="20"/>
                <w:szCs w:val="20"/>
                <w:color w:val="auto"/>
              </w:rPr>
            </w:pPr>
            <w:r>
              <w:rPr>
                <w:rFonts w:ascii="Arial" w:cs="Arial" w:eastAsia="Arial" w:hAnsi="Arial"/>
                <w:sz w:val="14"/>
                <w:szCs w:val="14"/>
                <w:b w:val="1"/>
                <w:bCs w:val="1"/>
                <w:color w:val="FFFFFF"/>
              </w:rPr>
              <w:t>Stock Owned</w:t>
            </w:r>
          </w:p>
        </w:tc>
        <w:tc>
          <w:tcPr>
            <w:tcW w:w="1260" w:type="dxa"/>
            <w:vAlign w:val="bottom"/>
            <w:shd w:val="clear" w:color="auto" w:fill="BF2115"/>
          </w:tcPr>
          <w:p>
            <w:pPr>
              <w:jc w:val="center"/>
              <w:ind w:right="61"/>
              <w:spacing w:after="0"/>
              <w:rPr>
                <w:sz w:val="20"/>
                <w:szCs w:val="20"/>
                <w:color w:val="auto"/>
              </w:rPr>
            </w:pPr>
            <w:r>
              <w:rPr>
                <w:rFonts w:ascii="Arial" w:cs="Arial" w:eastAsia="Arial" w:hAnsi="Arial"/>
                <w:sz w:val="14"/>
                <w:szCs w:val="14"/>
                <w:b w:val="1"/>
                <w:bCs w:val="1"/>
                <w:color w:val="FFFFFF"/>
              </w:rPr>
              <w:t>Stock</w:t>
            </w:r>
          </w:p>
        </w:tc>
        <w:tc>
          <w:tcPr>
            <w:tcW w:w="1220" w:type="dxa"/>
            <w:vAlign w:val="bottom"/>
            <w:shd w:val="clear" w:color="auto" w:fill="BF2115"/>
          </w:tcPr>
          <w:p>
            <w:pPr>
              <w:jc w:val="center"/>
              <w:ind w:right="21"/>
              <w:spacing w:after="0"/>
              <w:rPr>
                <w:sz w:val="20"/>
                <w:szCs w:val="20"/>
                <w:color w:val="auto"/>
              </w:rPr>
            </w:pPr>
            <w:r>
              <w:rPr>
                <w:rFonts w:ascii="Arial" w:cs="Arial" w:eastAsia="Arial" w:hAnsi="Arial"/>
                <w:sz w:val="14"/>
                <w:szCs w:val="14"/>
                <w:b w:val="1"/>
                <w:bCs w:val="1"/>
                <w:color w:val="FFFFFF"/>
              </w:rPr>
              <w:t>Stock</w:t>
            </w:r>
          </w:p>
        </w:tc>
        <w:tc>
          <w:tcPr>
            <w:tcW w:w="12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Stock Owned</w:t>
            </w:r>
          </w:p>
        </w:tc>
        <w:tc>
          <w:tcPr>
            <w:tcW w:w="9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Common</w:t>
            </w:r>
          </w:p>
        </w:tc>
        <w:tc>
          <w:tcPr>
            <w:tcW w:w="0" w:type="dxa"/>
            <w:vAlign w:val="bottom"/>
          </w:tcPr>
          <w:p>
            <w:pPr>
              <w:spacing w:after="0"/>
              <w:rPr>
                <w:sz w:val="1"/>
                <w:szCs w:val="1"/>
                <w:color w:val="auto"/>
              </w:rPr>
            </w:pPr>
          </w:p>
        </w:tc>
      </w:tr>
      <w:tr>
        <w:trPr>
          <w:trHeight w:val="202"/>
        </w:trPr>
        <w:tc>
          <w:tcPr>
            <w:tcW w:w="4840" w:type="dxa"/>
            <w:vAlign w:val="bottom"/>
            <w:vMerge w:val="continue"/>
            <w:shd w:val="clear" w:color="auto" w:fill="BF2115"/>
          </w:tcPr>
          <w:p>
            <w:pPr>
              <w:spacing w:after="0"/>
              <w:rPr>
                <w:sz w:val="17"/>
                <w:szCs w:val="17"/>
                <w:color w:val="auto"/>
              </w:rPr>
            </w:pPr>
          </w:p>
        </w:tc>
        <w:tc>
          <w:tcPr>
            <w:tcW w:w="1980" w:type="dxa"/>
            <w:vAlign w:val="bottom"/>
            <w:shd w:val="clear" w:color="auto" w:fill="BF2115"/>
          </w:tcPr>
          <w:p>
            <w:pPr>
              <w:jc w:val="center"/>
              <w:ind w:left="381"/>
              <w:spacing w:after="0"/>
              <w:rPr>
                <w:sz w:val="20"/>
                <w:szCs w:val="20"/>
                <w:color w:val="auto"/>
              </w:rPr>
            </w:pPr>
            <w:r>
              <w:rPr>
                <w:rFonts w:ascii="Arial" w:cs="Arial" w:eastAsia="Arial" w:hAnsi="Arial"/>
                <w:sz w:val="14"/>
                <w:szCs w:val="14"/>
                <w:b w:val="1"/>
                <w:bCs w:val="1"/>
                <w:color w:val="FFFFFF"/>
                <w:w w:val="98"/>
              </w:rPr>
              <w:t>Outright</w:t>
            </w:r>
            <w:r>
              <w:rPr>
                <w:rFonts w:ascii="Arial" w:cs="Arial" w:eastAsia="Arial" w:hAnsi="Arial"/>
                <w:sz w:val="17"/>
                <w:szCs w:val="17"/>
                <w:b w:val="1"/>
                <w:bCs w:val="1"/>
                <w:color w:val="FFFFFF"/>
                <w:w w:val="98"/>
                <w:vertAlign w:val="superscript"/>
              </w:rPr>
              <w:t>(1)</w:t>
            </w:r>
          </w:p>
        </w:tc>
        <w:tc>
          <w:tcPr>
            <w:tcW w:w="1260" w:type="dxa"/>
            <w:vAlign w:val="bottom"/>
            <w:shd w:val="clear" w:color="auto" w:fill="BF2115"/>
          </w:tcPr>
          <w:p>
            <w:pPr>
              <w:jc w:val="center"/>
              <w:ind w:right="21"/>
              <w:spacing w:after="0"/>
              <w:rPr>
                <w:sz w:val="20"/>
                <w:szCs w:val="20"/>
                <w:color w:val="auto"/>
              </w:rPr>
            </w:pPr>
            <w:r>
              <w:rPr>
                <w:rFonts w:ascii="Arial" w:cs="Arial" w:eastAsia="Arial" w:hAnsi="Arial"/>
                <w:sz w:val="14"/>
                <w:szCs w:val="14"/>
                <w:b w:val="1"/>
                <w:bCs w:val="1"/>
                <w:color w:val="FFFFFF"/>
                <w:w w:val="95"/>
              </w:rPr>
              <w:t>Options</w:t>
            </w:r>
            <w:r>
              <w:rPr>
                <w:rFonts w:ascii="Arial" w:cs="Arial" w:eastAsia="Arial" w:hAnsi="Arial"/>
                <w:sz w:val="17"/>
                <w:szCs w:val="17"/>
                <w:b w:val="1"/>
                <w:bCs w:val="1"/>
                <w:color w:val="FFFFFF"/>
                <w:w w:val="95"/>
                <w:vertAlign w:val="superscript"/>
              </w:rPr>
              <w:t>(2)</w:t>
            </w:r>
          </w:p>
        </w:tc>
        <w:tc>
          <w:tcPr>
            <w:tcW w:w="12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Units</w:t>
            </w:r>
            <w:r>
              <w:rPr>
                <w:rFonts w:ascii="Arial" w:cs="Arial" w:eastAsia="Arial" w:hAnsi="Arial"/>
                <w:sz w:val="17"/>
                <w:szCs w:val="17"/>
                <w:b w:val="1"/>
                <w:bCs w:val="1"/>
                <w:color w:val="FFFFFF"/>
                <w:w w:val="98"/>
                <w:vertAlign w:val="superscript"/>
              </w:rPr>
              <w:t>(3)</w:t>
            </w:r>
          </w:p>
        </w:tc>
        <w:tc>
          <w:tcPr>
            <w:tcW w:w="12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Beneficially</w:t>
            </w:r>
          </w:p>
        </w:tc>
        <w:tc>
          <w:tcPr>
            <w:tcW w:w="9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6"/>
              </w:rPr>
              <w:t>Stock</w:t>
            </w:r>
            <w:r>
              <w:rPr>
                <w:rFonts w:ascii="Arial" w:cs="Arial" w:eastAsia="Arial" w:hAnsi="Arial"/>
                <w:sz w:val="17"/>
                <w:szCs w:val="17"/>
                <w:b w:val="1"/>
                <w:bCs w:val="1"/>
                <w:color w:val="FFFFFF"/>
                <w:w w:val="96"/>
                <w:vertAlign w:val="superscript"/>
              </w:rPr>
              <w:t>(4)</w:t>
            </w:r>
          </w:p>
        </w:tc>
        <w:tc>
          <w:tcPr>
            <w:tcW w:w="0" w:type="dxa"/>
            <w:vAlign w:val="bottom"/>
          </w:tcPr>
          <w:p>
            <w:pPr>
              <w:spacing w:after="0"/>
              <w:rPr>
                <w:sz w:val="1"/>
                <w:szCs w:val="1"/>
                <w:color w:val="auto"/>
              </w:rPr>
            </w:pPr>
          </w:p>
        </w:tc>
      </w:tr>
      <w:tr>
        <w:trPr>
          <w:trHeight w:val="154"/>
        </w:trPr>
        <w:tc>
          <w:tcPr>
            <w:tcW w:w="4840" w:type="dxa"/>
            <w:vAlign w:val="bottom"/>
            <w:vMerge w:val="restart"/>
            <w:shd w:val="clear" w:color="auto" w:fill="ACACAC"/>
          </w:tcPr>
          <w:p>
            <w:pPr>
              <w:ind w:left="40"/>
              <w:spacing w:after="0"/>
              <w:rPr>
                <w:sz w:val="20"/>
                <w:szCs w:val="20"/>
                <w:color w:val="auto"/>
              </w:rPr>
            </w:pPr>
            <w:r>
              <w:rPr>
                <w:rFonts w:ascii="Arial" w:cs="Arial" w:eastAsia="Arial" w:hAnsi="Arial"/>
                <w:sz w:val="16"/>
                <w:szCs w:val="16"/>
                <w:color w:val="auto"/>
              </w:rPr>
              <w:t>Maria F. Blase</w:t>
            </w:r>
          </w:p>
        </w:tc>
        <w:tc>
          <w:tcPr>
            <w:tcW w:w="1980" w:type="dxa"/>
            <w:vAlign w:val="bottom"/>
            <w:vMerge w:val="restart"/>
            <w:shd w:val="clear" w:color="auto" w:fill="ACACAC"/>
          </w:tcPr>
          <w:p>
            <w:pPr>
              <w:jc w:val="right"/>
              <w:ind w:right="101"/>
              <w:spacing w:after="0"/>
              <w:rPr>
                <w:sz w:val="20"/>
                <w:szCs w:val="20"/>
                <w:color w:val="auto"/>
              </w:rPr>
            </w:pPr>
            <w:r>
              <w:rPr>
                <w:rFonts w:ascii="Arial" w:cs="Arial" w:eastAsia="Arial" w:hAnsi="Arial"/>
                <w:sz w:val="16"/>
                <w:szCs w:val="16"/>
                <w:color w:val="auto"/>
              </w:rPr>
              <w:t>2,997</w:t>
            </w:r>
          </w:p>
        </w:tc>
        <w:tc>
          <w:tcPr>
            <w:tcW w:w="1260" w:type="dxa"/>
            <w:vAlign w:val="bottom"/>
            <w:vMerge w:val="restart"/>
            <w:shd w:val="clear" w:color="auto" w:fill="ACACAC"/>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ACACAC"/>
          </w:tcPr>
          <w:p>
            <w:pPr>
              <w:jc w:val="right"/>
              <w:ind w:right="41"/>
              <w:spacing w:after="0"/>
              <w:rPr>
                <w:sz w:val="20"/>
                <w:szCs w:val="20"/>
                <w:color w:val="auto"/>
              </w:rPr>
            </w:pPr>
            <w:r>
              <w:rPr>
                <w:rFonts w:ascii="Arial" w:cs="Arial" w:eastAsia="Arial" w:hAnsi="Arial"/>
                <w:sz w:val="16"/>
                <w:szCs w:val="16"/>
                <w:color w:val="auto"/>
              </w:rPr>
              <w:t>2,997</w:t>
            </w:r>
          </w:p>
        </w:tc>
        <w:tc>
          <w:tcPr>
            <w:tcW w:w="900" w:type="dxa"/>
            <w:vAlign w:val="bottom"/>
            <w:shd w:val="clear" w:color="auto" w:fill="ACACAC"/>
          </w:tcPr>
          <w:p>
            <w:pPr>
              <w:jc w:val="right"/>
              <w:ind w:right="259"/>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90"/>
        </w:trPr>
        <w:tc>
          <w:tcPr>
            <w:tcW w:w="4840" w:type="dxa"/>
            <w:vAlign w:val="bottom"/>
            <w:vMerge w:val="continue"/>
            <w:shd w:val="clear" w:color="auto" w:fill="ACACAC"/>
          </w:tcPr>
          <w:p>
            <w:pPr>
              <w:spacing w:after="0"/>
              <w:rPr>
                <w:sz w:val="7"/>
                <w:szCs w:val="7"/>
                <w:color w:val="auto"/>
              </w:rPr>
            </w:pPr>
          </w:p>
        </w:tc>
        <w:tc>
          <w:tcPr>
            <w:tcW w:w="1980" w:type="dxa"/>
            <w:vAlign w:val="bottom"/>
            <w:vMerge w:val="continue"/>
            <w:shd w:val="clear" w:color="auto" w:fill="ACACAC"/>
          </w:tcPr>
          <w:p>
            <w:pPr>
              <w:spacing w:after="0"/>
              <w:rPr>
                <w:sz w:val="7"/>
                <w:szCs w:val="7"/>
                <w:color w:val="auto"/>
              </w:rPr>
            </w:pPr>
          </w:p>
        </w:tc>
        <w:tc>
          <w:tcPr>
            <w:tcW w:w="1260" w:type="dxa"/>
            <w:vAlign w:val="bottom"/>
            <w:vMerge w:val="continue"/>
            <w:shd w:val="clear" w:color="auto" w:fill="ACACAC"/>
          </w:tcPr>
          <w:p>
            <w:pPr>
              <w:spacing w:after="0"/>
              <w:rPr>
                <w:sz w:val="7"/>
                <w:szCs w:val="7"/>
                <w:color w:val="auto"/>
              </w:rPr>
            </w:pPr>
          </w:p>
        </w:tc>
        <w:tc>
          <w:tcPr>
            <w:tcW w:w="1220" w:type="dxa"/>
            <w:vAlign w:val="bottom"/>
            <w:vMerge w:val="continue"/>
            <w:shd w:val="clear" w:color="auto" w:fill="ACACAC"/>
          </w:tcPr>
          <w:p>
            <w:pPr>
              <w:spacing w:after="0"/>
              <w:rPr>
                <w:sz w:val="7"/>
                <w:szCs w:val="7"/>
                <w:color w:val="auto"/>
              </w:rPr>
            </w:pPr>
          </w:p>
        </w:tc>
        <w:tc>
          <w:tcPr>
            <w:tcW w:w="1220" w:type="dxa"/>
            <w:vAlign w:val="bottom"/>
            <w:vMerge w:val="continue"/>
            <w:shd w:val="clear" w:color="auto" w:fill="ACACAC"/>
          </w:tcPr>
          <w:p>
            <w:pPr>
              <w:spacing w:after="0"/>
              <w:rPr>
                <w:sz w:val="7"/>
                <w:szCs w:val="7"/>
                <w:color w:val="auto"/>
              </w:rPr>
            </w:pPr>
          </w:p>
        </w:tc>
        <w:tc>
          <w:tcPr>
            <w:tcW w:w="900" w:type="dxa"/>
            <w:vAlign w:val="bottom"/>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4840" w:type="dxa"/>
            <w:vAlign w:val="bottom"/>
            <w:vMerge w:val="restart"/>
          </w:tcPr>
          <w:p>
            <w:pPr>
              <w:ind w:left="40"/>
              <w:spacing w:after="0"/>
              <w:rPr>
                <w:sz w:val="20"/>
                <w:szCs w:val="20"/>
                <w:color w:val="auto"/>
              </w:rPr>
            </w:pPr>
            <w:r>
              <w:rPr>
                <w:rFonts w:ascii="Arial" w:cs="Arial" w:eastAsia="Arial" w:hAnsi="Arial"/>
                <w:sz w:val="16"/>
                <w:szCs w:val="16"/>
                <w:color w:val="auto"/>
              </w:rPr>
              <w:t>Christopher J. Braun</w:t>
            </w:r>
          </w:p>
        </w:tc>
        <w:tc>
          <w:tcPr>
            <w:tcW w:w="1980" w:type="dxa"/>
            <w:vAlign w:val="bottom"/>
            <w:vMerge w:val="restart"/>
          </w:tcPr>
          <w:p>
            <w:pPr>
              <w:jc w:val="right"/>
              <w:ind w:right="101"/>
              <w:spacing w:after="0"/>
              <w:rPr>
                <w:sz w:val="20"/>
                <w:szCs w:val="20"/>
                <w:color w:val="auto"/>
              </w:rPr>
            </w:pPr>
            <w:r>
              <w:rPr>
                <w:rFonts w:ascii="Arial" w:cs="Arial" w:eastAsia="Arial" w:hAnsi="Arial"/>
                <w:sz w:val="16"/>
                <w:szCs w:val="16"/>
                <w:color w:val="auto"/>
              </w:rPr>
              <w:t>12,737</w:t>
            </w:r>
          </w:p>
        </w:tc>
        <w:tc>
          <w:tcPr>
            <w:tcW w:w="126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41"/>
              <w:spacing w:after="0"/>
              <w:rPr>
                <w:sz w:val="20"/>
                <w:szCs w:val="20"/>
                <w:color w:val="auto"/>
              </w:rPr>
            </w:pPr>
            <w:r>
              <w:rPr>
                <w:rFonts w:ascii="Arial" w:cs="Arial" w:eastAsia="Arial" w:hAnsi="Arial"/>
                <w:sz w:val="16"/>
                <w:szCs w:val="16"/>
                <w:color w:val="auto"/>
              </w:rPr>
              <w:t>12,737</w:t>
            </w:r>
          </w:p>
        </w:tc>
        <w:tc>
          <w:tcPr>
            <w:tcW w:w="900" w:type="dxa"/>
            <w:vAlign w:val="bottom"/>
          </w:tcPr>
          <w:p>
            <w:pPr>
              <w:jc w:val="right"/>
              <w:ind w:right="259"/>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80"/>
        </w:trPr>
        <w:tc>
          <w:tcPr>
            <w:tcW w:w="484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840" w:type="dxa"/>
            <w:vAlign w:val="bottom"/>
            <w:vMerge w:val="restart"/>
            <w:shd w:val="clear" w:color="auto" w:fill="ACACAC"/>
          </w:tcPr>
          <w:p>
            <w:pPr>
              <w:ind w:left="40"/>
              <w:spacing w:after="0"/>
              <w:rPr>
                <w:sz w:val="20"/>
                <w:szCs w:val="20"/>
                <w:color w:val="auto"/>
              </w:rPr>
            </w:pPr>
            <w:r>
              <w:rPr>
                <w:rFonts w:ascii="Arial" w:cs="Arial" w:eastAsia="Arial" w:hAnsi="Arial"/>
                <w:sz w:val="16"/>
                <w:szCs w:val="16"/>
                <w:color w:val="auto"/>
              </w:rPr>
              <w:t>Stacy L. Bogart</w:t>
            </w:r>
          </w:p>
        </w:tc>
        <w:tc>
          <w:tcPr>
            <w:tcW w:w="1980" w:type="dxa"/>
            <w:vAlign w:val="bottom"/>
            <w:vMerge w:val="restart"/>
            <w:shd w:val="clear" w:color="auto" w:fill="ACACAC"/>
          </w:tcPr>
          <w:p>
            <w:pPr>
              <w:jc w:val="right"/>
              <w:ind w:right="101"/>
              <w:spacing w:after="0"/>
              <w:rPr>
                <w:sz w:val="20"/>
                <w:szCs w:val="20"/>
                <w:color w:val="auto"/>
              </w:rPr>
            </w:pPr>
            <w:r>
              <w:rPr>
                <w:rFonts w:ascii="Arial" w:cs="Arial" w:eastAsia="Arial" w:hAnsi="Arial"/>
                <w:sz w:val="16"/>
                <w:szCs w:val="16"/>
                <w:color w:val="auto"/>
              </w:rPr>
              <w:t>1,145</w:t>
            </w:r>
          </w:p>
        </w:tc>
        <w:tc>
          <w:tcPr>
            <w:tcW w:w="1260" w:type="dxa"/>
            <w:vAlign w:val="bottom"/>
            <w:vMerge w:val="restart"/>
            <w:shd w:val="clear" w:color="auto" w:fill="ACACAC"/>
          </w:tcPr>
          <w:p>
            <w:pPr>
              <w:jc w:val="right"/>
              <w:ind w:right="101"/>
              <w:spacing w:after="0"/>
              <w:rPr>
                <w:sz w:val="20"/>
                <w:szCs w:val="20"/>
                <w:color w:val="auto"/>
              </w:rPr>
            </w:pPr>
            <w:r>
              <w:rPr>
                <w:rFonts w:ascii="Arial" w:cs="Arial" w:eastAsia="Arial" w:hAnsi="Arial"/>
                <w:sz w:val="16"/>
                <w:szCs w:val="16"/>
                <w:color w:val="auto"/>
              </w:rPr>
              <w:t>3,274</w:t>
            </w:r>
          </w:p>
        </w:tc>
        <w:tc>
          <w:tcPr>
            <w:tcW w:w="122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ACACAC"/>
          </w:tcPr>
          <w:p>
            <w:pPr>
              <w:jc w:val="right"/>
              <w:ind w:right="41"/>
              <w:spacing w:after="0"/>
              <w:rPr>
                <w:sz w:val="20"/>
                <w:szCs w:val="20"/>
                <w:color w:val="auto"/>
              </w:rPr>
            </w:pPr>
            <w:r>
              <w:rPr>
                <w:rFonts w:ascii="Arial" w:cs="Arial" w:eastAsia="Arial" w:hAnsi="Arial"/>
                <w:sz w:val="16"/>
                <w:szCs w:val="16"/>
                <w:color w:val="auto"/>
              </w:rPr>
              <w:t>4,419</w:t>
            </w:r>
          </w:p>
        </w:tc>
        <w:tc>
          <w:tcPr>
            <w:tcW w:w="900" w:type="dxa"/>
            <w:vAlign w:val="bottom"/>
            <w:shd w:val="clear" w:color="auto" w:fill="ACACAC"/>
          </w:tcPr>
          <w:p>
            <w:pPr>
              <w:jc w:val="right"/>
              <w:ind w:right="259"/>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90"/>
        </w:trPr>
        <w:tc>
          <w:tcPr>
            <w:tcW w:w="4840" w:type="dxa"/>
            <w:vAlign w:val="bottom"/>
            <w:vMerge w:val="continue"/>
            <w:shd w:val="clear" w:color="auto" w:fill="ACACAC"/>
          </w:tcPr>
          <w:p>
            <w:pPr>
              <w:spacing w:after="0"/>
              <w:rPr>
                <w:sz w:val="7"/>
                <w:szCs w:val="7"/>
                <w:color w:val="auto"/>
              </w:rPr>
            </w:pPr>
          </w:p>
        </w:tc>
        <w:tc>
          <w:tcPr>
            <w:tcW w:w="1980" w:type="dxa"/>
            <w:vAlign w:val="bottom"/>
            <w:vMerge w:val="continue"/>
            <w:shd w:val="clear" w:color="auto" w:fill="ACACAC"/>
          </w:tcPr>
          <w:p>
            <w:pPr>
              <w:spacing w:after="0"/>
              <w:rPr>
                <w:sz w:val="7"/>
                <w:szCs w:val="7"/>
                <w:color w:val="auto"/>
              </w:rPr>
            </w:pPr>
          </w:p>
        </w:tc>
        <w:tc>
          <w:tcPr>
            <w:tcW w:w="1260" w:type="dxa"/>
            <w:vAlign w:val="bottom"/>
            <w:vMerge w:val="continue"/>
            <w:shd w:val="clear" w:color="auto" w:fill="ACACAC"/>
          </w:tcPr>
          <w:p>
            <w:pPr>
              <w:spacing w:after="0"/>
              <w:rPr>
                <w:sz w:val="7"/>
                <w:szCs w:val="7"/>
                <w:color w:val="auto"/>
              </w:rPr>
            </w:pPr>
          </w:p>
        </w:tc>
        <w:tc>
          <w:tcPr>
            <w:tcW w:w="1220" w:type="dxa"/>
            <w:vAlign w:val="bottom"/>
            <w:vMerge w:val="continue"/>
            <w:shd w:val="clear" w:color="auto" w:fill="ACACAC"/>
          </w:tcPr>
          <w:p>
            <w:pPr>
              <w:spacing w:after="0"/>
              <w:rPr>
                <w:sz w:val="7"/>
                <w:szCs w:val="7"/>
                <w:color w:val="auto"/>
              </w:rPr>
            </w:pPr>
          </w:p>
        </w:tc>
        <w:tc>
          <w:tcPr>
            <w:tcW w:w="1220" w:type="dxa"/>
            <w:vAlign w:val="bottom"/>
            <w:vMerge w:val="continue"/>
            <w:shd w:val="clear" w:color="auto" w:fill="ACACAC"/>
          </w:tcPr>
          <w:p>
            <w:pPr>
              <w:spacing w:after="0"/>
              <w:rPr>
                <w:sz w:val="7"/>
                <w:szCs w:val="7"/>
                <w:color w:val="auto"/>
              </w:rPr>
            </w:pPr>
          </w:p>
        </w:tc>
        <w:tc>
          <w:tcPr>
            <w:tcW w:w="900" w:type="dxa"/>
            <w:vAlign w:val="bottom"/>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4840" w:type="dxa"/>
            <w:vAlign w:val="bottom"/>
            <w:vMerge w:val="restart"/>
          </w:tcPr>
          <w:p>
            <w:pPr>
              <w:ind w:left="40"/>
              <w:spacing w:after="0"/>
              <w:rPr>
                <w:sz w:val="20"/>
                <w:szCs w:val="20"/>
                <w:color w:val="auto"/>
              </w:rPr>
            </w:pPr>
            <w:r>
              <w:rPr>
                <w:rFonts w:ascii="Arial" w:cs="Arial" w:eastAsia="Arial" w:hAnsi="Arial"/>
                <w:sz w:val="16"/>
                <w:szCs w:val="16"/>
                <w:color w:val="auto"/>
              </w:rPr>
              <w:t>Robert M. Chiusano</w:t>
            </w:r>
          </w:p>
        </w:tc>
        <w:tc>
          <w:tcPr>
            <w:tcW w:w="1980" w:type="dxa"/>
            <w:vAlign w:val="bottom"/>
            <w:vMerge w:val="restart"/>
          </w:tcPr>
          <w:p>
            <w:pPr>
              <w:jc w:val="right"/>
              <w:ind w:right="101"/>
              <w:spacing w:after="0"/>
              <w:rPr>
                <w:sz w:val="20"/>
                <w:szCs w:val="20"/>
                <w:color w:val="auto"/>
              </w:rPr>
            </w:pPr>
            <w:r>
              <w:rPr>
                <w:rFonts w:ascii="Arial" w:cs="Arial" w:eastAsia="Arial" w:hAnsi="Arial"/>
                <w:sz w:val="16"/>
                <w:szCs w:val="16"/>
                <w:color w:val="auto"/>
              </w:rPr>
              <w:t>27,697</w:t>
            </w:r>
          </w:p>
        </w:tc>
        <w:tc>
          <w:tcPr>
            <w:tcW w:w="126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61"/>
              <w:spacing w:after="0"/>
              <w:rPr>
                <w:sz w:val="20"/>
                <w:szCs w:val="20"/>
                <w:color w:val="auto"/>
              </w:rPr>
            </w:pPr>
            <w:r>
              <w:rPr>
                <w:rFonts w:ascii="Arial" w:cs="Arial" w:eastAsia="Arial" w:hAnsi="Arial"/>
                <w:sz w:val="16"/>
                <w:szCs w:val="16"/>
                <w:color w:val="auto"/>
              </w:rPr>
              <w:t>26,425</w:t>
            </w:r>
          </w:p>
        </w:tc>
        <w:tc>
          <w:tcPr>
            <w:tcW w:w="1220" w:type="dxa"/>
            <w:vAlign w:val="bottom"/>
            <w:vMerge w:val="restart"/>
          </w:tcPr>
          <w:p>
            <w:pPr>
              <w:jc w:val="right"/>
              <w:ind w:right="41"/>
              <w:spacing w:after="0"/>
              <w:rPr>
                <w:sz w:val="20"/>
                <w:szCs w:val="20"/>
                <w:color w:val="auto"/>
              </w:rPr>
            </w:pPr>
            <w:r>
              <w:rPr>
                <w:rFonts w:ascii="Arial" w:cs="Arial" w:eastAsia="Arial" w:hAnsi="Arial"/>
                <w:sz w:val="16"/>
                <w:szCs w:val="16"/>
                <w:color w:val="auto"/>
              </w:rPr>
              <w:t>54,122</w:t>
            </w:r>
          </w:p>
        </w:tc>
        <w:tc>
          <w:tcPr>
            <w:tcW w:w="900" w:type="dxa"/>
            <w:vAlign w:val="bottom"/>
          </w:tcPr>
          <w:p>
            <w:pPr>
              <w:jc w:val="right"/>
              <w:ind w:right="259"/>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80"/>
        </w:trPr>
        <w:tc>
          <w:tcPr>
            <w:tcW w:w="484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840" w:type="dxa"/>
            <w:vAlign w:val="bottom"/>
            <w:shd w:val="clear" w:color="auto" w:fill="ACACAC"/>
          </w:tcPr>
          <w:p>
            <w:pPr>
              <w:ind w:left="40"/>
              <w:spacing w:after="0"/>
              <w:rPr>
                <w:sz w:val="20"/>
                <w:szCs w:val="20"/>
                <w:color w:val="auto"/>
              </w:rPr>
            </w:pPr>
            <w:r>
              <w:rPr>
                <w:rFonts w:ascii="Arial" w:cs="Arial" w:eastAsia="Arial" w:hAnsi="Arial"/>
                <w:sz w:val="16"/>
                <w:szCs w:val="16"/>
                <w:color w:val="auto"/>
              </w:rPr>
              <w:t>Donald J. Clark</w:t>
            </w:r>
          </w:p>
        </w:tc>
        <w:tc>
          <w:tcPr>
            <w:tcW w:w="1980" w:type="dxa"/>
            <w:vAlign w:val="bottom"/>
            <w:shd w:val="clear" w:color="auto" w:fill="ACACAC"/>
          </w:tcPr>
          <w:p>
            <w:pPr>
              <w:jc w:val="right"/>
              <w:ind w:right="101"/>
              <w:spacing w:after="0"/>
              <w:rPr>
                <w:sz w:val="20"/>
                <w:szCs w:val="20"/>
                <w:color w:val="auto"/>
              </w:rPr>
            </w:pPr>
            <w:r>
              <w:rPr>
                <w:rFonts w:ascii="Arial" w:cs="Arial" w:eastAsia="Arial" w:hAnsi="Arial"/>
                <w:sz w:val="16"/>
                <w:szCs w:val="16"/>
                <w:color w:val="auto"/>
              </w:rPr>
              <w:t>764,426</w:t>
            </w:r>
          </w:p>
        </w:tc>
        <w:tc>
          <w:tcPr>
            <w:tcW w:w="1260" w:type="dxa"/>
            <w:vAlign w:val="bottom"/>
            <w:shd w:val="clear" w:color="auto" w:fill="ACACAC"/>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shd w:val="clear" w:color="auto" w:fill="ACACAC"/>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shd w:val="clear" w:color="auto" w:fill="ACACAC"/>
          </w:tcPr>
          <w:p>
            <w:pPr>
              <w:jc w:val="right"/>
              <w:ind w:right="41"/>
              <w:spacing w:after="0"/>
              <w:rPr>
                <w:sz w:val="20"/>
                <w:szCs w:val="20"/>
                <w:color w:val="auto"/>
              </w:rPr>
            </w:pPr>
            <w:r>
              <w:rPr>
                <w:rFonts w:ascii="Arial" w:cs="Arial" w:eastAsia="Arial" w:hAnsi="Arial"/>
                <w:sz w:val="16"/>
                <w:szCs w:val="16"/>
                <w:color w:val="auto"/>
              </w:rPr>
              <w:t>764,426</w:t>
            </w:r>
          </w:p>
        </w:tc>
        <w:tc>
          <w:tcPr>
            <w:tcW w:w="900" w:type="dxa"/>
            <w:vAlign w:val="bottom"/>
            <w:shd w:val="clear" w:color="auto" w:fill="ACACAC"/>
          </w:tcPr>
          <w:p>
            <w:pPr>
              <w:jc w:val="center"/>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54"/>
        </w:trPr>
        <w:tc>
          <w:tcPr>
            <w:tcW w:w="4840" w:type="dxa"/>
            <w:vAlign w:val="bottom"/>
            <w:vMerge w:val="restart"/>
          </w:tcPr>
          <w:p>
            <w:pPr>
              <w:ind w:left="40"/>
              <w:spacing w:after="0"/>
              <w:rPr>
                <w:sz w:val="20"/>
                <w:szCs w:val="20"/>
                <w:color w:val="auto"/>
              </w:rPr>
            </w:pPr>
            <w:r>
              <w:rPr>
                <w:rFonts w:ascii="Arial" w:cs="Arial" w:eastAsia="Arial" w:hAnsi="Arial"/>
                <w:sz w:val="16"/>
                <w:szCs w:val="16"/>
                <w:color w:val="auto"/>
              </w:rPr>
              <w:t>William C. Fisher</w:t>
            </w:r>
          </w:p>
        </w:tc>
        <w:tc>
          <w:tcPr>
            <w:tcW w:w="1980" w:type="dxa"/>
            <w:vAlign w:val="bottom"/>
            <w:vMerge w:val="restart"/>
          </w:tcPr>
          <w:p>
            <w:pPr>
              <w:jc w:val="right"/>
              <w:ind w:right="101"/>
              <w:spacing w:after="0"/>
              <w:rPr>
                <w:sz w:val="20"/>
                <w:szCs w:val="20"/>
                <w:color w:val="auto"/>
              </w:rPr>
            </w:pPr>
            <w:r>
              <w:rPr>
                <w:rFonts w:ascii="Arial" w:cs="Arial" w:eastAsia="Arial" w:hAnsi="Arial"/>
                <w:sz w:val="16"/>
                <w:szCs w:val="16"/>
                <w:color w:val="auto"/>
              </w:rPr>
              <w:t>19,737</w:t>
            </w:r>
          </w:p>
        </w:tc>
        <w:tc>
          <w:tcPr>
            <w:tcW w:w="126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61"/>
              <w:spacing w:after="0"/>
              <w:rPr>
                <w:sz w:val="20"/>
                <w:szCs w:val="20"/>
                <w:color w:val="auto"/>
              </w:rPr>
            </w:pPr>
            <w:r>
              <w:rPr>
                <w:rFonts w:ascii="Arial" w:cs="Arial" w:eastAsia="Arial" w:hAnsi="Arial"/>
                <w:sz w:val="16"/>
                <w:szCs w:val="16"/>
                <w:color w:val="auto"/>
              </w:rPr>
              <w:t>7,851</w:t>
            </w:r>
          </w:p>
        </w:tc>
        <w:tc>
          <w:tcPr>
            <w:tcW w:w="1220" w:type="dxa"/>
            <w:vAlign w:val="bottom"/>
            <w:vMerge w:val="restart"/>
          </w:tcPr>
          <w:p>
            <w:pPr>
              <w:jc w:val="right"/>
              <w:ind w:right="41"/>
              <w:spacing w:after="0"/>
              <w:rPr>
                <w:sz w:val="20"/>
                <w:szCs w:val="20"/>
                <w:color w:val="auto"/>
              </w:rPr>
            </w:pPr>
            <w:r>
              <w:rPr>
                <w:rFonts w:ascii="Arial" w:cs="Arial" w:eastAsia="Arial" w:hAnsi="Arial"/>
                <w:sz w:val="16"/>
                <w:szCs w:val="16"/>
                <w:color w:val="auto"/>
              </w:rPr>
              <w:t>27,588</w:t>
            </w:r>
          </w:p>
        </w:tc>
        <w:tc>
          <w:tcPr>
            <w:tcW w:w="900" w:type="dxa"/>
            <w:vAlign w:val="bottom"/>
          </w:tcPr>
          <w:p>
            <w:pPr>
              <w:jc w:val="right"/>
              <w:ind w:right="259"/>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80"/>
        </w:trPr>
        <w:tc>
          <w:tcPr>
            <w:tcW w:w="484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840" w:type="dxa"/>
            <w:vAlign w:val="bottom"/>
            <w:vMerge w:val="restart"/>
            <w:shd w:val="clear" w:color="auto" w:fill="ACACAC"/>
          </w:tcPr>
          <w:p>
            <w:pPr>
              <w:ind w:left="40"/>
              <w:spacing w:after="0"/>
              <w:rPr>
                <w:sz w:val="20"/>
                <w:szCs w:val="20"/>
                <w:color w:val="auto"/>
              </w:rPr>
            </w:pPr>
            <w:r>
              <w:rPr>
                <w:rFonts w:ascii="Arial" w:cs="Arial" w:eastAsia="Arial" w:hAnsi="Arial"/>
                <w:sz w:val="16"/>
                <w:szCs w:val="16"/>
                <w:color w:val="auto"/>
              </w:rPr>
              <w:t>Michael J. Happe</w:t>
            </w:r>
          </w:p>
        </w:tc>
        <w:tc>
          <w:tcPr>
            <w:tcW w:w="1980" w:type="dxa"/>
            <w:vAlign w:val="bottom"/>
            <w:vMerge w:val="restart"/>
            <w:shd w:val="clear" w:color="auto" w:fill="ACACAC"/>
          </w:tcPr>
          <w:p>
            <w:pPr>
              <w:jc w:val="right"/>
              <w:ind w:right="101"/>
              <w:spacing w:after="0"/>
              <w:rPr>
                <w:sz w:val="20"/>
                <w:szCs w:val="20"/>
                <w:color w:val="auto"/>
              </w:rPr>
            </w:pPr>
            <w:r>
              <w:rPr>
                <w:rFonts w:ascii="Arial" w:cs="Arial" w:eastAsia="Arial" w:hAnsi="Arial"/>
                <w:sz w:val="16"/>
                <w:szCs w:val="16"/>
                <w:color w:val="auto"/>
              </w:rPr>
              <w:t>50,651</w:t>
            </w:r>
          </w:p>
        </w:tc>
        <w:tc>
          <w:tcPr>
            <w:tcW w:w="1260" w:type="dxa"/>
            <w:vAlign w:val="bottom"/>
            <w:vMerge w:val="restart"/>
            <w:shd w:val="clear" w:color="auto" w:fill="ACACAC"/>
          </w:tcPr>
          <w:p>
            <w:pPr>
              <w:jc w:val="right"/>
              <w:ind w:right="101"/>
              <w:spacing w:after="0"/>
              <w:rPr>
                <w:sz w:val="20"/>
                <w:szCs w:val="20"/>
                <w:color w:val="auto"/>
              </w:rPr>
            </w:pPr>
            <w:r>
              <w:rPr>
                <w:rFonts w:ascii="Arial" w:cs="Arial" w:eastAsia="Arial" w:hAnsi="Arial"/>
                <w:sz w:val="16"/>
                <w:szCs w:val="16"/>
                <w:color w:val="auto"/>
              </w:rPr>
              <w:t>73,253</w:t>
            </w:r>
          </w:p>
        </w:tc>
        <w:tc>
          <w:tcPr>
            <w:tcW w:w="122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ACACAC"/>
          </w:tcPr>
          <w:p>
            <w:pPr>
              <w:jc w:val="right"/>
              <w:ind w:right="41"/>
              <w:spacing w:after="0"/>
              <w:rPr>
                <w:sz w:val="20"/>
                <w:szCs w:val="20"/>
                <w:color w:val="auto"/>
              </w:rPr>
            </w:pPr>
            <w:r>
              <w:rPr>
                <w:rFonts w:ascii="Arial" w:cs="Arial" w:eastAsia="Arial" w:hAnsi="Arial"/>
                <w:sz w:val="16"/>
                <w:szCs w:val="16"/>
                <w:color w:val="auto"/>
              </w:rPr>
              <w:t>123,904</w:t>
            </w:r>
          </w:p>
        </w:tc>
        <w:tc>
          <w:tcPr>
            <w:tcW w:w="900" w:type="dxa"/>
            <w:vAlign w:val="bottom"/>
            <w:shd w:val="clear" w:color="auto" w:fill="ACACAC"/>
          </w:tcPr>
          <w:p>
            <w:pPr>
              <w:jc w:val="right"/>
              <w:ind w:right="259"/>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90"/>
        </w:trPr>
        <w:tc>
          <w:tcPr>
            <w:tcW w:w="4840" w:type="dxa"/>
            <w:vAlign w:val="bottom"/>
            <w:vMerge w:val="continue"/>
            <w:shd w:val="clear" w:color="auto" w:fill="ACACAC"/>
          </w:tcPr>
          <w:p>
            <w:pPr>
              <w:spacing w:after="0"/>
              <w:rPr>
                <w:sz w:val="7"/>
                <w:szCs w:val="7"/>
                <w:color w:val="auto"/>
              </w:rPr>
            </w:pPr>
          </w:p>
        </w:tc>
        <w:tc>
          <w:tcPr>
            <w:tcW w:w="1980" w:type="dxa"/>
            <w:vAlign w:val="bottom"/>
            <w:vMerge w:val="continue"/>
            <w:shd w:val="clear" w:color="auto" w:fill="ACACAC"/>
          </w:tcPr>
          <w:p>
            <w:pPr>
              <w:spacing w:after="0"/>
              <w:rPr>
                <w:sz w:val="7"/>
                <w:szCs w:val="7"/>
                <w:color w:val="auto"/>
              </w:rPr>
            </w:pPr>
          </w:p>
        </w:tc>
        <w:tc>
          <w:tcPr>
            <w:tcW w:w="1260" w:type="dxa"/>
            <w:vAlign w:val="bottom"/>
            <w:vMerge w:val="continue"/>
            <w:shd w:val="clear" w:color="auto" w:fill="ACACAC"/>
          </w:tcPr>
          <w:p>
            <w:pPr>
              <w:spacing w:after="0"/>
              <w:rPr>
                <w:sz w:val="7"/>
                <w:szCs w:val="7"/>
                <w:color w:val="auto"/>
              </w:rPr>
            </w:pPr>
          </w:p>
        </w:tc>
        <w:tc>
          <w:tcPr>
            <w:tcW w:w="1220" w:type="dxa"/>
            <w:vAlign w:val="bottom"/>
            <w:vMerge w:val="continue"/>
            <w:shd w:val="clear" w:color="auto" w:fill="ACACAC"/>
          </w:tcPr>
          <w:p>
            <w:pPr>
              <w:spacing w:after="0"/>
              <w:rPr>
                <w:sz w:val="7"/>
                <w:szCs w:val="7"/>
                <w:color w:val="auto"/>
              </w:rPr>
            </w:pPr>
          </w:p>
        </w:tc>
        <w:tc>
          <w:tcPr>
            <w:tcW w:w="1220" w:type="dxa"/>
            <w:vAlign w:val="bottom"/>
            <w:vMerge w:val="continue"/>
            <w:shd w:val="clear" w:color="auto" w:fill="ACACAC"/>
          </w:tcPr>
          <w:p>
            <w:pPr>
              <w:spacing w:after="0"/>
              <w:rPr>
                <w:sz w:val="7"/>
                <w:szCs w:val="7"/>
                <w:color w:val="auto"/>
              </w:rPr>
            </w:pPr>
          </w:p>
        </w:tc>
        <w:tc>
          <w:tcPr>
            <w:tcW w:w="900" w:type="dxa"/>
            <w:vAlign w:val="bottom"/>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4840" w:type="dxa"/>
            <w:vAlign w:val="bottom"/>
            <w:vMerge w:val="restart"/>
          </w:tcPr>
          <w:p>
            <w:pPr>
              <w:ind w:left="40"/>
              <w:spacing w:after="0"/>
              <w:rPr>
                <w:sz w:val="20"/>
                <w:szCs w:val="20"/>
                <w:color w:val="auto"/>
              </w:rPr>
            </w:pPr>
            <w:r>
              <w:rPr>
                <w:rFonts w:ascii="Arial" w:cs="Arial" w:eastAsia="Arial" w:hAnsi="Arial"/>
                <w:sz w:val="16"/>
                <w:szCs w:val="16"/>
                <w:color w:val="auto"/>
              </w:rPr>
              <w:t>Brian D. Hazelton</w:t>
            </w:r>
          </w:p>
        </w:tc>
        <w:tc>
          <w:tcPr>
            <w:tcW w:w="1980" w:type="dxa"/>
            <w:vAlign w:val="bottom"/>
            <w:vMerge w:val="restart"/>
          </w:tcPr>
          <w:p>
            <w:pPr>
              <w:jc w:val="right"/>
              <w:ind w:right="101"/>
              <w:spacing w:after="0"/>
              <w:rPr>
                <w:sz w:val="20"/>
                <w:szCs w:val="20"/>
                <w:color w:val="auto"/>
              </w:rPr>
            </w:pPr>
            <w:r>
              <w:rPr>
                <w:rFonts w:ascii="Arial" w:cs="Arial" w:eastAsia="Arial" w:hAnsi="Arial"/>
                <w:sz w:val="16"/>
                <w:szCs w:val="16"/>
                <w:color w:val="auto"/>
              </w:rPr>
              <w:t>18,831</w:t>
            </w:r>
          </w:p>
        </w:tc>
        <w:tc>
          <w:tcPr>
            <w:tcW w:w="1260" w:type="dxa"/>
            <w:vAlign w:val="bottom"/>
            <w:vMerge w:val="restart"/>
          </w:tcPr>
          <w:p>
            <w:pPr>
              <w:jc w:val="right"/>
              <w:ind w:right="101"/>
              <w:spacing w:after="0"/>
              <w:rPr>
                <w:sz w:val="20"/>
                <w:szCs w:val="20"/>
                <w:color w:val="auto"/>
              </w:rPr>
            </w:pPr>
            <w:r>
              <w:rPr>
                <w:rFonts w:ascii="Arial" w:cs="Arial" w:eastAsia="Arial" w:hAnsi="Arial"/>
                <w:sz w:val="16"/>
                <w:szCs w:val="16"/>
                <w:color w:val="auto"/>
              </w:rPr>
              <w:t>16,439</w:t>
            </w:r>
          </w:p>
        </w:tc>
        <w:tc>
          <w:tcPr>
            <w:tcW w:w="122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41"/>
              <w:spacing w:after="0"/>
              <w:rPr>
                <w:sz w:val="20"/>
                <w:szCs w:val="20"/>
                <w:color w:val="auto"/>
              </w:rPr>
            </w:pPr>
            <w:r>
              <w:rPr>
                <w:rFonts w:ascii="Arial" w:cs="Arial" w:eastAsia="Arial" w:hAnsi="Arial"/>
                <w:sz w:val="16"/>
                <w:szCs w:val="16"/>
                <w:color w:val="auto"/>
              </w:rPr>
              <w:t>35,270</w:t>
            </w:r>
          </w:p>
        </w:tc>
        <w:tc>
          <w:tcPr>
            <w:tcW w:w="900" w:type="dxa"/>
            <w:vAlign w:val="bottom"/>
          </w:tcPr>
          <w:p>
            <w:pPr>
              <w:jc w:val="right"/>
              <w:ind w:right="259"/>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80"/>
        </w:trPr>
        <w:tc>
          <w:tcPr>
            <w:tcW w:w="484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840" w:type="dxa"/>
            <w:vAlign w:val="bottom"/>
            <w:vMerge w:val="restart"/>
            <w:shd w:val="clear" w:color="auto" w:fill="ACACAC"/>
          </w:tcPr>
          <w:p>
            <w:pPr>
              <w:ind w:left="40"/>
              <w:spacing w:after="0"/>
              <w:rPr>
                <w:sz w:val="20"/>
                <w:szCs w:val="20"/>
                <w:color w:val="auto"/>
              </w:rPr>
            </w:pPr>
            <w:r>
              <w:rPr>
                <w:rFonts w:ascii="Arial" w:cs="Arial" w:eastAsia="Arial" w:hAnsi="Arial"/>
                <w:sz w:val="16"/>
                <w:szCs w:val="16"/>
                <w:color w:val="auto"/>
              </w:rPr>
              <w:t>Bryan L. Hughes</w:t>
            </w:r>
          </w:p>
        </w:tc>
        <w:tc>
          <w:tcPr>
            <w:tcW w:w="1980" w:type="dxa"/>
            <w:vAlign w:val="bottom"/>
            <w:vMerge w:val="restart"/>
            <w:shd w:val="clear" w:color="auto" w:fill="ACACAC"/>
          </w:tcPr>
          <w:p>
            <w:pPr>
              <w:jc w:val="right"/>
              <w:ind w:right="101"/>
              <w:spacing w:after="0"/>
              <w:rPr>
                <w:sz w:val="20"/>
                <w:szCs w:val="20"/>
                <w:color w:val="auto"/>
              </w:rPr>
            </w:pPr>
            <w:r>
              <w:rPr>
                <w:rFonts w:ascii="Arial" w:cs="Arial" w:eastAsia="Arial" w:hAnsi="Arial"/>
                <w:sz w:val="16"/>
                <w:szCs w:val="16"/>
                <w:color w:val="auto"/>
              </w:rPr>
              <w:t>18,733</w:t>
            </w:r>
          </w:p>
        </w:tc>
        <w:tc>
          <w:tcPr>
            <w:tcW w:w="1260" w:type="dxa"/>
            <w:vAlign w:val="bottom"/>
            <w:vMerge w:val="restart"/>
            <w:shd w:val="clear" w:color="auto" w:fill="ACACAC"/>
          </w:tcPr>
          <w:p>
            <w:pPr>
              <w:jc w:val="right"/>
              <w:ind w:right="101"/>
              <w:spacing w:after="0"/>
              <w:rPr>
                <w:sz w:val="20"/>
                <w:szCs w:val="20"/>
                <w:color w:val="auto"/>
              </w:rPr>
            </w:pPr>
            <w:r>
              <w:rPr>
                <w:rFonts w:ascii="Arial" w:cs="Arial" w:eastAsia="Arial" w:hAnsi="Arial"/>
                <w:sz w:val="16"/>
                <w:szCs w:val="16"/>
                <w:color w:val="auto"/>
              </w:rPr>
              <w:t>9,393</w:t>
            </w:r>
          </w:p>
        </w:tc>
        <w:tc>
          <w:tcPr>
            <w:tcW w:w="122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ACACAC"/>
          </w:tcPr>
          <w:p>
            <w:pPr>
              <w:jc w:val="right"/>
              <w:ind w:right="41"/>
              <w:spacing w:after="0"/>
              <w:rPr>
                <w:sz w:val="20"/>
                <w:szCs w:val="20"/>
                <w:color w:val="auto"/>
              </w:rPr>
            </w:pPr>
            <w:r>
              <w:rPr>
                <w:rFonts w:ascii="Arial" w:cs="Arial" w:eastAsia="Arial" w:hAnsi="Arial"/>
                <w:sz w:val="16"/>
                <w:szCs w:val="16"/>
                <w:color w:val="auto"/>
              </w:rPr>
              <w:t>28,126</w:t>
            </w:r>
          </w:p>
        </w:tc>
        <w:tc>
          <w:tcPr>
            <w:tcW w:w="900" w:type="dxa"/>
            <w:vAlign w:val="bottom"/>
            <w:shd w:val="clear" w:color="auto" w:fill="ACACAC"/>
          </w:tcPr>
          <w:p>
            <w:pPr>
              <w:jc w:val="right"/>
              <w:ind w:right="259"/>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90"/>
        </w:trPr>
        <w:tc>
          <w:tcPr>
            <w:tcW w:w="4840" w:type="dxa"/>
            <w:vAlign w:val="bottom"/>
            <w:vMerge w:val="continue"/>
            <w:shd w:val="clear" w:color="auto" w:fill="ACACAC"/>
          </w:tcPr>
          <w:p>
            <w:pPr>
              <w:spacing w:after="0"/>
              <w:rPr>
                <w:sz w:val="7"/>
                <w:szCs w:val="7"/>
                <w:color w:val="auto"/>
              </w:rPr>
            </w:pPr>
          </w:p>
        </w:tc>
        <w:tc>
          <w:tcPr>
            <w:tcW w:w="1980" w:type="dxa"/>
            <w:vAlign w:val="bottom"/>
            <w:vMerge w:val="continue"/>
            <w:shd w:val="clear" w:color="auto" w:fill="ACACAC"/>
          </w:tcPr>
          <w:p>
            <w:pPr>
              <w:spacing w:after="0"/>
              <w:rPr>
                <w:sz w:val="7"/>
                <w:szCs w:val="7"/>
                <w:color w:val="auto"/>
              </w:rPr>
            </w:pPr>
          </w:p>
        </w:tc>
        <w:tc>
          <w:tcPr>
            <w:tcW w:w="1260" w:type="dxa"/>
            <w:vAlign w:val="bottom"/>
            <w:vMerge w:val="continue"/>
            <w:shd w:val="clear" w:color="auto" w:fill="ACACAC"/>
          </w:tcPr>
          <w:p>
            <w:pPr>
              <w:spacing w:after="0"/>
              <w:rPr>
                <w:sz w:val="7"/>
                <w:szCs w:val="7"/>
                <w:color w:val="auto"/>
              </w:rPr>
            </w:pPr>
          </w:p>
        </w:tc>
        <w:tc>
          <w:tcPr>
            <w:tcW w:w="1220" w:type="dxa"/>
            <w:vAlign w:val="bottom"/>
            <w:vMerge w:val="continue"/>
            <w:shd w:val="clear" w:color="auto" w:fill="ACACAC"/>
          </w:tcPr>
          <w:p>
            <w:pPr>
              <w:spacing w:after="0"/>
              <w:rPr>
                <w:sz w:val="7"/>
                <w:szCs w:val="7"/>
                <w:color w:val="auto"/>
              </w:rPr>
            </w:pPr>
          </w:p>
        </w:tc>
        <w:tc>
          <w:tcPr>
            <w:tcW w:w="1220" w:type="dxa"/>
            <w:vAlign w:val="bottom"/>
            <w:vMerge w:val="continue"/>
            <w:shd w:val="clear" w:color="auto" w:fill="ACACAC"/>
          </w:tcPr>
          <w:p>
            <w:pPr>
              <w:spacing w:after="0"/>
              <w:rPr>
                <w:sz w:val="7"/>
                <w:szCs w:val="7"/>
                <w:color w:val="auto"/>
              </w:rPr>
            </w:pPr>
          </w:p>
        </w:tc>
        <w:tc>
          <w:tcPr>
            <w:tcW w:w="900" w:type="dxa"/>
            <w:vAlign w:val="bottom"/>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4840" w:type="dxa"/>
            <w:vAlign w:val="bottom"/>
            <w:vMerge w:val="restart"/>
          </w:tcPr>
          <w:p>
            <w:pPr>
              <w:ind w:left="40"/>
              <w:spacing w:after="0"/>
              <w:rPr>
                <w:sz w:val="20"/>
                <w:szCs w:val="20"/>
                <w:color w:val="auto"/>
              </w:rPr>
            </w:pPr>
            <w:r>
              <w:rPr>
                <w:rFonts w:ascii="Arial" w:cs="Arial" w:eastAsia="Arial" w:hAnsi="Arial"/>
                <w:sz w:val="16"/>
                <w:szCs w:val="16"/>
                <w:color w:val="auto"/>
              </w:rPr>
              <w:t>David W. Miles</w:t>
            </w:r>
          </w:p>
        </w:tc>
        <w:tc>
          <w:tcPr>
            <w:tcW w:w="1980" w:type="dxa"/>
            <w:vAlign w:val="bottom"/>
            <w:vMerge w:val="restart"/>
          </w:tcPr>
          <w:p>
            <w:pPr>
              <w:jc w:val="right"/>
              <w:ind w:right="101"/>
              <w:spacing w:after="0"/>
              <w:rPr>
                <w:sz w:val="20"/>
                <w:szCs w:val="20"/>
                <w:color w:val="auto"/>
              </w:rPr>
            </w:pPr>
            <w:r>
              <w:rPr>
                <w:rFonts w:ascii="Arial" w:cs="Arial" w:eastAsia="Arial" w:hAnsi="Arial"/>
                <w:sz w:val="16"/>
                <w:szCs w:val="16"/>
                <w:color w:val="auto"/>
              </w:rPr>
              <w:t>9,737</w:t>
            </w:r>
          </w:p>
        </w:tc>
        <w:tc>
          <w:tcPr>
            <w:tcW w:w="126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61"/>
              <w:spacing w:after="0"/>
              <w:rPr>
                <w:sz w:val="20"/>
                <w:szCs w:val="20"/>
                <w:color w:val="auto"/>
              </w:rPr>
            </w:pPr>
            <w:r>
              <w:rPr>
                <w:rFonts w:ascii="Arial" w:cs="Arial" w:eastAsia="Arial" w:hAnsi="Arial"/>
                <w:sz w:val="16"/>
                <w:szCs w:val="16"/>
                <w:color w:val="auto"/>
              </w:rPr>
              <w:t>922</w:t>
            </w:r>
          </w:p>
        </w:tc>
        <w:tc>
          <w:tcPr>
            <w:tcW w:w="1220" w:type="dxa"/>
            <w:vAlign w:val="bottom"/>
            <w:vMerge w:val="restart"/>
          </w:tcPr>
          <w:p>
            <w:pPr>
              <w:jc w:val="right"/>
              <w:ind w:right="41"/>
              <w:spacing w:after="0"/>
              <w:rPr>
                <w:sz w:val="20"/>
                <w:szCs w:val="20"/>
                <w:color w:val="auto"/>
              </w:rPr>
            </w:pPr>
            <w:r>
              <w:rPr>
                <w:rFonts w:ascii="Arial" w:cs="Arial" w:eastAsia="Arial" w:hAnsi="Arial"/>
                <w:sz w:val="16"/>
                <w:szCs w:val="16"/>
                <w:color w:val="auto"/>
              </w:rPr>
              <w:t>10,659</w:t>
            </w:r>
          </w:p>
        </w:tc>
        <w:tc>
          <w:tcPr>
            <w:tcW w:w="900" w:type="dxa"/>
            <w:vAlign w:val="bottom"/>
          </w:tcPr>
          <w:p>
            <w:pPr>
              <w:jc w:val="right"/>
              <w:ind w:right="259"/>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80"/>
        </w:trPr>
        <w:tc>
          <w:tcPr>
            <w:tcW w:w="484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840" w:type="dxa"/>
            <w:vAlign w:val="bottom"/>
            <w:vMerge w:val="restart"/>
            <w:shd w:val="clear" w:color="auto" w:fill="ACACAC"/>
          </w:tcPr>
          <w:p>
            <w:pPr>
              <w:ind w:left="40"/>
              <w:spacing w:after="0"/>
              <w:rPr>
                <w:sz w:val="20"/>
                <w:szCs w:val="20"/>
                <w:color w:val="auto"/>
              </w:rPr>
            </w:pPr>
            <w:r>
              <w:rPr>
                <w:rFonts w:ascii="Arial" w:cs="Arial" w:eastAsia="Arial" w:hAnsi="Arial"/>
                <w:sz w:val="16"/>
                <w:szCs w:val="16"/>
                <w:color w:val="auto"/>
              </w:rPr>
              <w:t>Richard D. Moss</w:t>
            </w:r>
          </w:p>
        </w:tc>
        <w:tc>
          <w:tcPr>
            <w:tcW w:w="1980" w:type="dxa"/>
            <w:vAlign w:val="bottom"/>
            <w:vMerge w:val="restart"/>
            <w:shd w:val="clear" w:color="auto" w:fill="ACACAC"/>
          </w:tcPr>
          <w:p>
            <w:pPr>
              <w:jc w:val="right"/>
              <w:ind w:right="101"/>
              <w:spacing w:after="0"/>
              <w:rPr>
                <w:sz w:val="20"/>
                <w:szCs w:val="20"/>
                <w:color w:val="auto"/>
              </w:rPr>
            </w:pPr>
            <w:r>
              <w:rPr>
                <w:rFonts w:ascii="Arial" w:cs="Arial" w:eastAsia="Arial" w:hAnsi="Arial"/>
                <w:sz w:val="16"/>
                <w:szCs w:val="16"/>
                <w:color w:val="auto"/>
              </w:rPr>
              <w:t>8,137</w:t>
            </w:r>
          </w:p>
        </w:tc>
        <w:tc>
          <w:tcPr>
            <w:tcW w:w="1260" w:type="dxa"/>
            <w:vAlign w:val="bottom"/>
            <w:vMerge w:val="restart"/>
            <w:shd w:val="clear" w:color="auto" w:fill="ACACAC"/>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ACACAC"/>
          </w:tcPr>
          <w:p>
            <w:pPr>
              <w:jc w:val="right"/>
              <w:ind w:right="41"/>
              <w:spacing w:after="0"/>
              <w:rPr>
                <w:sz w:val="20"/>
                <w:szCs w:val="20"/>
                <w:color w:val="auto"/>
              </w:rPr>
            </w:pPr>
            <w:r>
              <w:rPr>
                <w:rFonts w:ascii="Arial" w:cs="Arial" w:eastAsia="Arial" w:hAnsi="Arial"/>
                <w:sz w:val="16"/>
                <w:szCs w:val="16"/>
                <w:color w:val="auto"/>
              </w:rPr>
              <w:t>8,137</w:t>
            </w:r>
          </w:p>
        </w:tc>
        <w:tc>
          <w:tcPr>
            <w:tcW w:w="900" w:type="dxa"/>
            <w:vAlign w:val="bottom"/>
            <w:shd w:val="clear" w:color="auto" w:fill="ACACAC"/>
          </w:tcPr>
          <w:p>
            <w:pPr>
              <w:jc w:val="right"/>
              <w:ind w:right="259"/>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90"/>
        </w:trPr>
        <w:tc>
          <w:tcPr>
            <w:tcW w:w="4840" w:type="dxa"/>
            <w:vAlign w:val="bottom"/>
            <w:vMerge w:val="continue"/>
            <w:shd w:val="clear" w:color="auto" w:fill="ACACAC"/>
          </w:tcPr>
          <w:p>
            <w:pPr>
              <w:spacing w:after="0"/>
              <w:rPr>
                <w:sz w:val="7"/>
                <w:szCs w:val="7"/>
                <w:color w:val="auto"/>
              </w:rPr>
            </w:pPr>
          </w:p>
        </w:tc>
        <w:tc>
          <w:tcPr>
            <w:tcW w:w="1980" w:type="dxa"/>
            <w:vAlign w:val="bottom"/>
            <w:vMerge w:val="continue"/>
            <w:shd w:val="clear" w:color="auto" w:fill="ACACAC"/>
          </w:tcPr>
          <w:p>
            <w:pPr>
              <w:spacing w:after="0"/>
              <w:rPr>
                <w:sz w:val="7"/>
                <w:szCs w:val="7"/>
                <w:color w:val="auto"/>
              </w:rPr>
            </w:pPr>
          </w:p>
        </w:tc>
        <w:tc>
          <w:tcPr>
            <w:tcW w:w="1260" w:type="dxa"/>
            <w:vAlign w:val="bottom"/>
            <w:vMerge w:val="continue"/>
            <w:shd w:val="clear" w:color="auto" w:fill="ACACAC"/>
          </w:tcPr>
          <w:p>
            <w:pPr>
              <w:spacing w:after="0"/>
              <w:rPr>
                <w:sz w:val="7"/>
                <w:szCs w:val="7"/>
                <w:color w:val="auto"/>
              </w:rPr>
            </w:pPr>
          </w:p>
        </w:tc>
        <w:tc>
          <w:tcPr>
            <w:tcW w:w="1220" w:type="dxa"/>
            <w:vAlign w:val="bottom"/>
            <w:vMerge w:val="continue"/>
            <w:shd w:val="clear" w:color="auto" w:fill="ACACAC"/>
          </w:tcPr>
          <w:p>
            <w:pPr>
              <w:spacing w:after="0"/>
              <w:rPr>
                <w:sz w:val="7"/>
                <w:szCs w:val="7"/>
                <w:color w:val="auto"/>
              </w:rPr>
            </w:pPr>
          </w:p>
        </w:tc>
        <w:tc>
          <w:tcPr>
            <w:tcW w:w="1220" w:type="dxa"/>
            <w:vAlign w:val="bottom"/>
            <w:vMerge w:val="continue"/>
            <w:shd w:val="clear" w:color="auto" w:fill="ACACAC"/>
          </w:tcPr>
          <w:p>
            <w:pPr>
              <w:spacing w:after="0"/>
              <w:rPr>
                <w:sz w:val="7"/>
                <w:szCs w:val="7"/>
                <w:color w:val="auto"/>
              </w:rPr>
            </w:pPr>
          </w:p>
        </w:tc>
        <w:tc>
          <w:tcPr>
            <w:tcW w:w="900" w:type="dxa"/>
            <w:vAlign w:val="bottom"/>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4840" w:type="dxa"/>
            <w:vAlign w:val="bottom"/>
            <w:vMerge w:val="restart"/>
          </w:tcPr>
          <w:p>
            <w:pPr>
              <w:ind w:left="40"/>
              <w:spacing w:after="0"/>
              <w:rPr>
                <w:sz w:val="20"/>
                <w:szCs w:val="20"/>
                <w:color w:val="auto"/>
              </w:rPr>
            </w:pPr>
            <w:r>
              <w:rPr>
                <w:rFonts w:ascii="Arial" w:cs="Arial" w:eastAsia="Arial" w:hAnsi="Arial"/>
                <w:sz w:val="16"/>
                <w:szCs w:val="16"/>
                <w:color w:val="auto"/>
              </w:rPr>
              <w:t>John M. Murabito</w:t>
            </w:r>
          </w:p>
        </w:tc>
        <w:tc>
          <w:tcPr>
            <w:tcW w:w="1980" w:type="dxa"/>
            <w:vAlign w:val="bottom"/>
            <w:vMerge w:val="restart"/>
          </w:tcPr>
          <w:p>
            <w:pPr>
              <w:jc w:val="right"/>
              <w:ind w:right="101"/>
              <w:spacing w:after="0"/>
              <w:rPr>
                <w:sz w:val="20"/>
                <w:szCs w:val="20"/>
                <w:color w:val="auto"/>
              </w:rPr>
            </w:pPr>
            <w:r>
              <w:rPr>
                <w:rFonts w:ascii="Arial" w:cs="Arial" w:eastAsia="Arial" w:hAnsi="Arial"/>
                <w:sz w:val="16"/>
                <w:szCs w:val="16"/>
                <w:color w:val="auto"/>
              </w:rPr>
              <w:t>6,837</w:t>
            </w:r>
          </w:p>
        </w:tc>
        <w:tc>
          <w:tcPr>
            <w:tcW w:w="126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41"/>
              <w:spacing w:after="0"/>
              <w:rPr>
                <w:sz w:val="20"/>
                <w:szCs w:val="20"/>
                <w:color w:val="auto"/>
              </w:rPr>
            </w:pPr>
            <w:r>
              <w:rPr>
                <w:rFonts w:ascii="Arial" w:cs="Arial" w:eastAsia="Arial" w:hAnsi="Arial"/>
                <w:sz w:val="16"/>
                <w:szCs w:val="16"/>
                <w:color w:val="auto"/>
              </w:rPr>
              <w:t>6,837</w:t>
            </w:r>
          </w:p>
        </w:tc>
        <w:tc>
          <w:tcPr>
            <w:tcW w:w="900" w:type="dxa"/>
            <w:vAlign w:val="bottom"/>
          </w:tcPr>
          <w:p>
            <w:pPr>
              <w:jc w:val="right"/>
              <w:ind w:right="259"/>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80"/>
        </w:trPr>
        <w:tc>
          <w:tcPr>
            <w:tcW w:w="484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840" w:type="dxa"/>
            <w:vAlign w:val="bottom"/>
            <w:shd w:val="clear" w:color="auto" w:fill="ACACAC"/>
          </w:tcPr>
          <w:p>
            <w:pPr>
              <w:ind w:left="40"/>
              <w:spacing w:after="0"/>
              <w:rPr>
                <w:sz w:val="20"/>
                <w:szCs w:val="20"/>
                <w:color w:val="auto"/>
              </w:rPr>
            </w:pPr>
            <w:r>
              <w:rPr>
                <w:rFonts w:ascii="Arial" w:cs="Arial" w:eastAsia="Arial" w:hAnsi="Arial"/>
                <w:sz w:val="16"/>
                <w:szCs w:val="16"/>
                <w:color w:val="auto"/>
              </w:rPr>
              <w:t>Directors and executive officers as a group (17 persons)</w:t>
            </w:r>
          </w:p>
        </w:tc>
        <w:tc>
          <w:tcPr>
            <w:tcW w:w="1980" w:type="dxa"/>
            <w:vAlign w:val="bottom"/>
            <w:shd w:val="clear" w:color="auto" w:fill="ACACAC"/>
          </w:tcPr>
          <w:p>
            <w:pPr>
              <w:jc w:val="right"/>
              <w:ind w:right="101"/>
              <w:spacing w:after="0"/>
              <w:rPr>
                <w:sz w:val="20"/>
                <w:szCs w:val="20"/>
                <w:color w:val="auto"/>
              </w:rPr>
            </w:pPr>
            <w:r>
              <w:rPr>
                <w:rFonts w:ascii="Arial" w:cs="Arial" w:eastAsia="Arial" w:hAnsi="Arial"/>
                <w:sz w:val="16"/>
                <w:szCs w:val="16"/>
                <w:color w:val="auto"/>
              </w:rPr>
              <w:t>1,033,848</w:t>
            </w:r>
          </w:p>
        </w:tc>
        <w:tc>
          <w:tcPr>
            <w:tcW w:w="1260" w:type="dxa"/>
            <w:vAlign w:val="bottom"/>
            <w:shd w:val="clear" w:color="auto" w:fill="ACACAC"/>
          </w:tcPr>
          <w:p>
            <w:pPr>
              <w:jc w:val="right"/>
              <w:ind w:right="101"/>
              <w:spacing w:after="0"/>
              <w:rPr>
                <w:sz w:val="20"/>
                <w:szCs w:val="20"/>
                <w:color w:val="auto"/>
              </w:rPr>
            </w:pPr>
            <w:r>
              <w:rPr>
                <w:rFonts w:ascii="Arial" w:cs="Arial" w:eastAsia="Arial" w:hAnsi="Arial"/>
                <w:sz w:val="16"/>
                <w:szCs w:val="16"/>
                <w:color w:val="auto"/>
              </w:rPr>
              <w:t>148,177</w:t>
            </w:r>
          </w:p>
        </w:tc>
        <w:tc>
          <w:tcPr>
            <w:tcW w:w="1220" w:type="dxa"/>
            <w:vAlign w:val="bottom"/>
            <w:shd w:val="clear" w:color="auto" w:fill="ACACAC"/>
          </w:tcPr>
          <w:p>
            <w:pPr>
              <w:jc w:val="right"/>
              <w:ind w:right="61"/>
              <w:spacing w:after="0"/>
              <w:rPr>
                <w:sz w:val="20"/>
                <w:szCs w:val="20"/>
                <w:color w:val="auto"/>
              </w:rPr>
            </w:pPr>
            <w:r>
              <w:rPr>
                <w:rFonts w:ascii="Arial" w:cs="Arial" w:eastAsia="Arial" w:hAnsi="Arial"/>
                <w:sz w:val="16"/>
                <w:szCs w:val="16"/>
                <w:color w:val="auto"/>
              </w:rPr>
              <w:t>35,198</w:t>
            </w:r>
          </w:p>
        </w:tc>
        <w:tc>
          <w:tcPr>
            <w:tcW w:w="1220" w:type="dxa"/>
            <w:vAlign w:val="bottom"/>
            <w:shd w:val="clear" w:color="auto" w:fill="ACACAC"/>
          </w:tcPr>
          <w:p>
            <w:pPr>
              <w:jc w:val="right"/>
              <w:ind w:right="41"/>
              <w:spacing w:after="0"/>
              <w:rPr>
                <w:sz w:val="20"/>
                <w:szCs w:val="20"/>
                <w:color w:val="auto"/>
              </w:rPr>
            </w:pPr>
            <w:r>
              <w:rPr>
                <w:rFonts w:ascii="Arial" w:cs="Arial" w:eastAsia="Arial" w:hAnsi="Arial"/>
                <w:sz w:val="16"/>
                <w:szCs w:val="16"/>
                <w:color w:val="auto"/>
              </w:rPr>
              <w:t>1,217,223</w:t>
            </w:r>
          </w:p>
        </w:tc>
        <w:tc>
          <w:tcPr>
            <w:tcW w:w="900" w:type="dxa"/>
            <w:vAlign w:val="bottom"/>
            <w:shd w:val="clear" w:color="auto" w:fill="ACACAC"/>
          </w:tcPr>
          <w:p>
            <w:pPr>
              <w:jc w:val="center"/>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60" w:hanging="252"/>
        <w:spacing w:after="0" w:line="241"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the following shares not currently outstanding but deemed beneficially owned because of the right to acquire them pursuant to restricted stock units that vest within 60 days or have vested but have not yet been distributed: 2,997 shares for each of Ms. Blase and Messrs. Braun, Chiusano, Fisher, Miles, Moss and Murabito.</w:t>
      </w: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shares underlying stock options that are currently exercisable or become exercisable within 60 days.</w:t>
      </w:r>
    </w:p>
    <w:p>
      <w:pPr>
        <w:spacing w:after="0" w:line="1" w:lineRule="exact"/>
        <w:rPr>
          <w:rFonts w:ascii="Arial" w:cs="Arial" w:eastAsia="Arial" w:hAnsi="Arial"/>
          <w:sz w:val="14"/>
          <w:szCs w:val="14"/>
          <w:color w:val="auto"/>
        </w:rPr>
      </w:pPr>
    </w:p>
    <w:p>
      <w:pPr>
        <w:jc w:val="both"/>
        <w:ind w:left="260" w:hanging="252"/>
        <w:spacing w:after="0" w:line="241"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Winnebago Stock Units held under our Directors' Deferred Compensation Plan as of October 22, 2019 (see further discussion of the plan in the Director Compensation section). These units are vested and will be settled 100% in Common Stock upon the earliest of the following events: director's termination of service, death or disability or a "change in control" of the Company, as defined in the plan.</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Based on 31,684,985 outstanding shares of Common Stock on October 22, 2019.</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357568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8"/>
          <w:szCs w:val="28"/>
          <w:b w:val="1"/>
          <w:bCs w:val="1"/>
          <w:color w:val="BF2115"/>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Board, as part of its continuing obligation to determine the appropriate role for the Chair, has concluded that at this time the Company should have an independent Chair. The Board concluded that this structure provides us</w:t>
      </w:r>
    </w:p>
    <w:p>
      <w:pPr>
        <w:spacing w:after="0" w:line="1" w:lineRule="exact"/>
        <w:rPr>
          <w:sz w:val="20"/>
          <w:szCs w:val="20"/>
          <w:color w:val="auto"/>
        </w:rPr>
      </w:pPr>
    </w:p>
    <w:p>
      <w:pPr>
        <w:sectPr>
          <w:pgSz w:w="11900" w:h="16838" w:orient="portrait"/>
          <w:cols w:equalWidth="0" w:num="2">
            <w:col w:w="5100" w:space="720"/>
            <w:col w:w="5600"/>
          </w:cols>
          <w:pgMar w:left="240" w:top="303" w:right="2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color w:val="828282"/>
        </w:rPr>
        <w:t>Board Leadership Structure</w:t>
      </w:r>
    </w:p>
    <w:p>
      <w:pPr>
        <w:spacing w:after="0" w:line="20" w:lineRule="exact"/>
        <w:rPr>
          <w:sz w:val="20"/>
          <w:szCs w:val="20"/>
          <w:color w:val="auto"/>
        </w:rPr>
      </w:pPr>
      <w:r>
        <w:rPr>
          <w:sz w:val="20"/>
          <w:szCs w:val="20"/>
          <w:color w:val="auto"/>
        </w:rPr>
        <w:br w:type="column"/>
      </w:r>
    </w:p>
    <w:p>
      <w:pPr>
        <w:spacing w:after="0" w:line="299" w:lineRule="auto"/>
        <w:rPr>
          <w:sz w:val="20"/>
          <w:szCs w:val="20"/>
          <w:color w:val="auto"/>
        </w:rPr>
      </w:pPr>
      <w:r>
        <w:rPr>
          <w:rFonts w:ascii="Arial" w:cs="Arial" w:eastAsia="Arial" w:hAnsi="Arial"/>
          <w:sz w:val="16"/>
          <w:szCs w:val="16"/>
          <w:color w:val="auto"/>
        </w:rPr>
        <w:t>with a strong governance and leadership structure that is designed to exercise independent oversight of members of our management team</w:t>
      </w:r>
    </w:p>
    <w:p>
      <w:pPr>
        <w:spacing w:after="0" w:line="1" w:lineRule="exact"/>
        <w:rPr>
          <w:sz w:val="20"/>
          <w:szCs w:val="20"/>
          <w:color w:val="auto"/>
        </w:rPr>
      </w:pPr>
    </w:p>
    <w:p>
      <w:pPr>
        <w:sectPr>
          <w:pgSz w:w="11900" w:h="16838" w:orient="portrait"/>
          <w:cols w:equalWidth="0" w:num="2">
            <w:col w:w="5100" w:space="720"/>
            <w:col w:w="5600"/>
          </w:cols>
          <w:pgMar w:left="240" w:top="303" w:right="239" w:bottom="1440" w:gutter="0" w:footer="0" w:header="0"/>
          <w:type w:val="continuous"/>
        </w:sectPr>
      </w:pPr>
    </w:p>
    <w:p>
      <w:pPr>
        <w:spacing w:after="0" w:line="5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By-Laws and Corporate Governance Policy delegate to the Board of Directors the right to exercise its discretion to either separate or combine the offices of Board Chair and Chief Executive Officer ("CEO"). This decision is based upon the Board's determination of what is in the best interests of Winnebago Industries and our shareholders, in light of then-current and anticipated future circumstances and taking into consideration succession planning, skills and experience of the individual(s) filling those positions, and other relevant factors.</w:t>
      </w:r>
    </w:p>
    <w:p>
      <w:pPr>
        <w:spacing w:after="0" w:line="20" w:lineRule="exact"/>
        <w:rPr>
          <w:sz w:val="20"/>
          <w:szCs w:val="20"/>
          <w:color w:val="auto"/>
        </w:rPr>
      </w:pPr>
      <w:r>
        <w:rPr>
          <w:sz w:val="20"/>
          <w:szCs w:val="20"/>
          <w:color w:val="auto"/>
        </w:rPr>
        <w:br w:type="column"/>
      </w:r>
    </w:p>
    <w:p>
      <w:pPr>
        <w:jc w:val="both"/>
        <w:ind w:left="160"/>
        <w:spacing w:after="0" w:line="307" w:lineRule="auto"/>
        <w:rPr>
          <w:sz w:val="20"/>
          <w:szCs w:val="20"/>
          <w:color w:val="auto"/>
        </w:rPr>
      </w:pPr>
      <w:r>
        <w:rPr>
          <w:rFonts w:ascii="Arial" w:cs="Arial" w:eastAsia="Arial" w:hAnsi="Arial"/>
          <w:sz w:val="16"/>
          <w:szCs w:val="16"/>
          <w:color w:val="auto"/>
        </w:rPr>
        <w:t>("Management") and key issues related to strategy and risk. Mr. Chiusano, an independent director, served as Chair from June 2016 to June 2019. The Board thanks him for his sound business advice, valued counsel and many contributions to the Company. The Board appointed Mr. Miles, an independent director, to serve as Chair beginning on June 16, 2019.</w:t>
      </w:r>
    </w:p>
    <w:p>
      <w:pPr>
        <w:spacing w:after="0" w:line="160" w:lineRule="exact"/>
        <w:rPr>
          <w:sz w:val="20"/>
          <w:szCs w:val="20"/>
          <w:color w:val="auto"/>
        </w:rPr>
      </w:pPr>
    </w:p>
    <w:p>
      <w:pPr>
        <w:jc w:val="both"/>
        <w:ind w:left="160"/>
        <w:spacing w:after="0" w:line="260" w:lineRule="auto"/>
        <w:rPr>
          <w:sz w:val="20"/>
          <w:szCs w:val="20"/>
          <w:color w:val="auto"/>
        </w:rPr>
      </w:pPr>
      <w:r>
        <w:rPr>
          <w:rFonts w:ascii="Arial" w:cs="Arial" w:eastAsia="Arial" w:hAnsi="Arial"/>
          <w:sz w:val="16"/>
          <w:szCs w:val="16"/>
          <w:color w:val="auto"/>
        </w:rPr>
        <w:t>In addition, only independent directors serve on the Audit Committee, the Human Resources Committee and the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ectPr>
          <w:pgSz w:w="11900" w:h="16838" w:orient="portrait"/>
          <w:cols w:equalWidth="0" w:num="2">
            <w:col w:w="5600" w:space="60"/>
            <w:col w:w="5760"/>
          </w:cols>
          <w:pgMar w:left="240" w:top="303" w:right="239" w:bottom="1440" w:gutter="0" w:footer="0" w:header="0"/>
          <w:type w:val="continuous"/>
        </w:sectPr>
      </w:pPr>
    </w:p>
    <w:bookmarkStart w:id="7" w:name="page8"/>
    <w:bookmarkEnd w:id="7"/>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Nominating and Governance Committee of the Board. Non-employee directors regularly hold executive sessions of the Board outside the presence of the CEO or any other employee under the Corporate Governance Policy that requires the Board's independent directors to hold executive sessions at least once each year; such executive sessions are led by the Chair.</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recognizes that, depending on the specific characteristics and circumstances of the Company, other leadership structures might also be appropriate. The Company is committed to reviewing this determination on an annual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According to the Company's Corporate Governance Policy, whenever the Chair of the Board is also the CEO or an employee of the Company, the non-employee directors shall select an independent director to preside or lead at each executive session (the “Lead Director”). The Company's Corporate Governance Policy sets forth the authority, duties and responsibilities of any Lead Director.</w:t>
      </w:r>
    </w:p>
    <w:p>
      <w:pPr>
        <w:spacing w:after="0" w:line="939"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p>
      <w:pPr>
        <w:spacing w:after="0"/>
        <w:rPr>
          <w:sz w:val="20"/>
          <w:szCs w:val="20"/>
          <w:color w:val="auto"/>
        </w:rPr>
      </w:pPr>
      <w:r>
        <w:rPr>
          <w:rFonts w:ascii="Arial" w:cs="Arial" w:eastAsia="Arial" w:hAnsi="Arial"/>
          <w:sz w:val="22"/>
          <w:szCs w:val="22"/>
          <w:color w:val="828282"/>
        </w:rPr>
        <w:t>Required Committees of the Board</w:t>
      </w:r>
    </w:p>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has established standing Audit, Human Resources, Nominating and Governance and Finance Committees to assist it in the discharge of its responsibilities. Each of such committees is governed by a written charter. A description of each committee, including its membership, principal responsibilities, and meeting frequency, is set forth below.</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620" w:type="dxa"/>
            <w:vAlign w:val="bottom"/>
          </w:tcPr>
          <w:p>
            <w:pPr>
              <w:spacing w:after="0"/>
              <w:rPr>
                <w:sz w:val="21"/>
                <w:szCs w:val="21"/>
                <w:color w:val="auto"/>
              </w:rPr>
            </w:pPr>
          </w:p>
        </w:tc>
        <w:tc>
          <w:tcPr>
            <w:tcW w:w="1360" w:type="dxa"/>
            <w:vAlign w:val="bottom"/>
            <w:shd w:val="clear" w:color="auto" w:fill="BF2115"/>
          </w:tcPr>
          <w:p>
            <w:pPr>
              <w:spacing w:after="0"/>
              <w:rPr>
                <w:sz w:val="21"/>
                <w:szCs w:val="21"/>
                <w:color w:val="auto"/>
              </w:rPr>
            </w:pPr>
          </w:p>
        </w:tc>
        <w:tc>
          <w:tcPr>
            <w:tcW w:w="3120" w:type="dxa"/>
            <w:vAlign w:val="bottom"/>
            <w:gridSpan w:val="2"/>
            <w:shd w:val="clear" w:color="auto" w:fill="BF2115"/>
          </w:tcPr>
          <w:p>
            <w:pPr>
              <w:ind w:left="580"/>
              <w:spacing w:after="0"/>
              <w:rPr>
                <w:sz w:val="20"/>
                <w:szCs w:val="20"/>
                <w:color w:val="auto"/>
              </w:rPr>
            </w:pPr>
            <w:r>
              <w:rPr>
                <w:rFonts w:ascii="Arial" w:cs="Arial" w:eastAsia="Arial" w:hAnsi="Arial"/>
                <w:sz w:val="16"/>
                <w:szCs w:val="16"/>
                <w:b w:val="1"/>
                <w:bCs w:val="1"/>
                <w:color w:val="FFFFFF"/>
              </w:rPr>
              <w:t>Committees of the Board</w:t>
            </w:r>
          </w:p>
        </w:tc>
        <w:tc>
          <w:tcPr>
            <w:tcW w:w="1320" w:type="dxa"/>
            <w:vAlign w:val="bottom"/>
            <w:shd w:val="clear" w:color="auto" w:fill="BF2115"/>
          </w:tcPr>
          <w:p>
            <w:pPr>
              <w:spacing w:after="0"/>
              <w:rPr>
                <w:sz w:val="21"/>
                <w:szCs w:val="21"/>
                <w:color w:val="auto"/>
              </w:rPr>
            </w:pPr>
          </w:p>
        </w:tc>
      </w:tr>
      <w:tr>
        <w:trPr>
          <w:trHeight w:val="231"/>
        </w:trPr>
        <w:tc>
          <w:tcPr>
            <w:tcW w:w="5620" w:type="dxa"/>
            <w:vAlign w:val="bottom"/>
          </w:tcPr>
          <w:p>
            <w:pPr>
              <w:spacing w:after="0"/>
              <w:rPr>
                <w:sz w:val="20"/>
                <w:szCs w:val="20"/>
                <w:color w:val="auto"/>
              </w:rPr>
            </w:pPr>
          </w:p>
        </w:tc>
        <w:tc>
          <w:tcPr>
            <w:tcW w:w="1360" w:type="dxa"/>
            <w:vAlign w:val="bottom"/>
            <w:shd w:val="clear" w:color="auto" w:fill="BF2115"/>
          </w:tcPr>
          <w:p>
            <w:pPr>
              <w:spacing w:after="0"/>
              <w:rPr>
                <w:sz w:val="20"/>
                <w:szCs w:val="20"/>
                <w:color w:val="auto"/>
              </w:rPr>
            </w:pPr>
          </w:p>
        </w:tc>
        <w:tc>
          <w:tcPr>
            <w:tcW w:w="1420" w:type="dxa"/>
            <w:vAlign w:val="bottom"/>
            <w:shd w:val="clear" w:color="auto" w:fill="BF2115"/>
          </w:tcPr>
          <w:p>
            <w:pPr>
              <w:jc w:val="center"/>
              <w:ind w:left="119"/>
              <w:spacing w:after="0"/>
              <w:rPr>
                <w:sz w:val="20"/>
                <w:szCs w:val="20"/>
                <w:color w:val="auto"/>
              </w:rPr>
            </w:pPr>
            <w:r>
              <w:rPr>
                <w:rFonts w:ascii="Arial" w:cs="Arial" w:eastAsia="Arial" w:hAnsi="Arial"/>
                <w:sz w:val="16"/>
                <w:szCs w:val="16"/>
                <w:b w:val="1"/>
                <w:bCs w:val="1"/>
                <w:color w:val="FFFFFF"/>
                <w:w w:val="99"/>
              </w:rPr>
              <w:t>Human</w:t>
            </w:r>
          </w:p>
        </w:tc>
        <w:tc>
          <w:tcPr>
            <w:tcW w:w="17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Nominating and</w:t>
            </w:r>
          </w:p>
        </w:tc>
        <w:tc>
          <w:tcPr>
            <w:tcW w:w="1320" w:type="dxa"/>
            <w:vAlign w:val="bottom"/>
            <w:shd w:val="clear" w:color="auto" w:fill="BF2115"/>
          </w:tcPr>
          <w:p>
            <w:pPr>
              <w:spacing w:after="0"/>
              <w:rPr>
                <w:sz w:val="20"/>
                <w:szCs w:val="20"/>
                <w:color w:val="auto"/>
              </w:rPr>
            </w:pPr>
          </w:p>
        </w:tc>
      </w:tr>
      <w:tr>
        <w:trPr>
          <w:trHeight w:val="228"/>
        </w:trPr>
        <w:tc>
          <w:tcPr>
            <w:tcW w:w="5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shd w:val="clear" w:color="auto" w:fill="BF2115"/>
          </w:tcPr>
          <w:p>
            <w:pPr>
              <w:jc w:val="center"/>
              <w:ind w:left="19"/>
              <w:spacing w:after="0"/>
              <w:rPr>
                <w:sz w:val="20"/>
                <w:szCs w:val="20"/>
                <w:color w:val="auto"/>
              </w:rPr>
            </w:pPr>
            <w:r>
              <w:rPr>
                <w:rFonts w:ascii="Arial" w:cs="Arial" w:eastAsia="Arial" w:hAnsi="Arial"/>
                <w:sz w:val="16"/>
                <w:szCs w:val="16"/>
                <w:b w:val="1"/>
                <w:bCs w:val="1"/>
                <w:color w:val="FFFFFF"/>
              </w:rPr>
              <w:t>Audit</w:t>
            </w:r>
          </w:p>
        </w:tc>
        <w:tc>
          <w:tcPr>
            <w:tcW w:w="1420" w:type="dxa"/>
            <w:vAlign w:val="bottom"/>
            <w:tcBorders>
              <w:bottom w:val="single" w:sz="8" w:color="auto"/>
            </w:tcBorders>
            <w:shd w:val="clear" w:color="auto" w:fill="BF2115"/>
          </w:tcPr>
          <w:p>
            <w:pPr>
              <w:jc w:val="center"/>
              <w:ind w:left="119"/>
              <w:spacing w:after="0"/>
              <w:rPr>
                <w:sz w:val="20"/>
                <w:szCs w:val="20"/>
                <w:color w:val="auto"/>
              </w:rPr>
            </w:pPr>
            <w:r>
              <w:rPr>
                <w:rFonts w:ascii="Arial" w:cs="Arial" w:eastAsia="Arial" w:hAnsi="Arial"/>
                <w:sz w:val="16"/>
                <w:szCs w:val="16"/>
                <w:b w:val="1"/>
                <w:bCs w:val="1"/>
                <w:color w:val="FFFFFF"/>
              </w:rPr>
              <w:t>Resources</w:t>
            </w:r>
          </w:p>
        </w:tc>
        <w:tc>
          <w:tcPr>
            <w:tcW w:w="170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Governance</w:t>
            </w:r>
          </w:p>
        </w:tc>
        <w:tc>
          <w:tcPr>
            <w:tcW w:w="1320" w:type="dxa"/>
            <w:vAlign w:val="bottom"/>
            <w:tcBorders>
              <w:bottom w:val="single" w:sz="8" w:color="auto"/>
            </w:tcBorders>
            <w:shd w:val="clear" w:color="auto" w:fill="BF2115"/>
          </w:tcPr>
          <w:p>
            <w:pPr>
              <w:jc w:val="center"/>
              <w:ind w:right="59"/>
              <w:spacing w:after="0"/>
              <w:rPr>
                <w:sz w:val="20"/>
                <w:szCs w:val="20"/>
                <w:color w:val="auto"/>
              </w:rPr>
            </w:pPr>
            <w:r>
              <w:rPr>
                <w:rFonts w:ascii="Arial" w:cs="Arial" w:eastAsia="Arial" w:hAnsi="Arial"/>
                <w:sz w:val="16"/>
                <w:szCs w:val="16"/>
                <w:b w:val="1"/>
                <w:bCs w:val="1"/>
                <w:color w:val="FFFFFF"/>
              </w:rPr>
              <w:t>Finance</w:t>
            </w:r>
          </w:p>
        </w:tc>
      </w:tr>
      <w:tr>
        <w:trPr>
          <w:trHeight w:val="270"/>
        </w:trPr>
        <w:tc>
          <w:tcPr>
            <w:tcW w:w="5620" w:type="dxa"/>
            <w:vAlign w:val="bottom"/>
            <w:shd w:val="clear" w:color="auto" w:fill="ACACAC"/>
          </w:tcPr>
          <w:p>
            <w:pPr>
              <w:ind w:left="40"/>
              <w:spacing w:after="0"/>
              <w:rPr>
                <w:sz w:val="20"/>
                <w:szCs w:val="20"/>
                <w:color w:val="auto"/>
              </w:rPr>
            </w:pPr>
            <w:r>
              <w:rPr>
                <w:rFonts w:ascii="Arial" w:cs="Arial" w:eastAsia="Arial" w:hAnsi="Arial"/>
                <w:sz w:val="16"/>
                <w:szCs w:val="16"/>
                <w:color w:val="auto"/>
              </w:rPr>
              <w:t>Maria F. Blase</w:t>
            </w:r>
            <w:r>
              <w:rPr>
                <w:rFonts w:ascii="Arial" w:cs="Arial" w:eastAsia="Arial" w:hAnsi="Arial"/>
                <w:sz w:val="21"/>
                <w:szCs w:val="21"/>
                <w:color w:val="auto"/>
                <w:vertAlign w:val="superscript"/>
              </w:rPr>
              <w:t>(1)(2)</w:t>
            </w:r>
          </w:p>
        </w:tc>
        <w:tc>
          <w:tcPr>
            <w:tcW w:w="1360" w:type="dxa"/>
            <w:vAlign w:val="bottom"/>
            <w:shd w:val="clear" w:color="auto" w:fill="ACACAC"/>
          </w:tcPr>
          <w:p>
            <w:pPr>
              <w:jc w:val="center"/>
              <w:ind w:left="19"/>
              <w:spacing w:after="0"/>
              <w:rPr>
                <w:sz w:val="20"/>
                <w:szCs w:val="20"/>
                <w:color w:val="auto"/>
              </w:rPr>
            </w:pPr>
            <w:r>
              <w:rPr>
                <w:rFonts w:ascii="Arial" w:cs="Arial" w:eastAsia="Arial" w:hAnsi="Arial"/>
                <w:sz w:val="16"/>
                <w:szCs w:val="16"/>
                <w:color w:val="auto"/>
                <w:w w:val="93"/>
              </w:rPr>
              <w:t>X</w:t>
            </w:r>
          </w:p>
        </w:tc>
        <w:tc>
          <w:tcPr>
            <w:tcW w:w="1420" w:type="dxa"/>
            <w:vAlign w:val="bottom"/>
            <w:shd w:val="clear" w:color="auto" w:fill="ACACAC"/>
          </w:tcPr>
          <w:p>
            <w:pPr>
              <w:spacing w:after="0"/>
              <w:rPr>
                <w:sz w:val="23"/>
                <w:szCs w:val="23"/>
                <w:color w:val="auto"/>
              </w:rPr>
            </w:pPr>
          </w:p>
        </w:tc>
        <w:tc>
          <w:tcPr>
            <w:tcW w:w="1700" w:type="dxa"/>
            <w:vAlign w:val="bottom"/>
            <w:shd w:val="clear" w:color="auto" w:fill="ACACAC"/>
          </w:tcPr>
          <w:p>
            <w:pPr>
              <w:spacing w:after="0"/>
              <w:rPr>
                <w:sz w:val="23"/>
                <w:szCs w:val="23"/>
                <w:color w:val="auto"/>
              </w:rPr>
            </w:pPr>
          </w:p>
        </w:tc>
        <w:tc>
          <w:tcPr>
            <w:tcW w:w="1320" w:type="dxa"/>
            <w:vAlign w:val="bottom"/>
            <w:shd w:val="clear" w:color="auto" w:fill="ACACAC"/>
          </w:tcPr>
          <w:p>
            <w:pPr>
              <w:jc w:val="center"/>
              <w:ind w:right="59"/>
              <w:spacing w:after="0"/>
              <w:rPr>
                <w:sz w:val="20"/>
                <w:szCs w:val="20"/>
                <w:color w:val="auto"/>
              </w:rPr>
            </w:pPr>
            <w:r>
              <w:rPr>
                <w:rFonts w:ascii="Arial" w:cs="Arial" w:eastAsia="Arial" w:hAnsi="Arial"/>
                <w:sz w:val="16"/>
                <w:szCs w:val="16"/>
                <w:color w:val="auto"/>
                <w:w w:val="99"/>
              </w:rPr>
              <w:t>Chair</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Christopher J. Braun </w:t>
            </w:r>
            <w:r>
              <w:rPr>
                <w:rFonts w:ascii="Arial" w:cs="Arial" w:eastAsia="Arial" w:hAnsi="Arial"/>
                <w:sz w:val="21"/>
                <w:szCs w:val="21"/>
                <w:color w:val="auto"/>
                <w:vertAlign w:val="superscript"/>
              </w:rPr>
              <w:t>(1)</w:t>
            </w:r>
          </w:p>
        </w:tc>
        <w:tc>
          <w:tcPr>
            <w:tcW w:w="1360" w:type="dxa"/>
            <w:vAlign w:val="bottom"/>
          </w:tcPr>
          <w:p>
            <w:pPr>
              <w:spacing w:after="0"/>
              <w:rPr>
                <w:sz w:val="23"/>
                <w:szCs w:val="23"/>
                <w:color w:val="auto"/>
              </w:rPr>
            </w:pPr>
          </w:p>
        </w:tc>
        <w:tc>
          <w:tcPr>
            <w:tcW w:w="1420" w:type="dxa"/>
            <w:vAlign w:val="bottom"/>
          </w:tcPr>
          <w:p>
            <w:pPr>
              <w:jc w:val="center"/>
              <w:ind w:left="119"/>
              <w:spacing w:after="0"/>
              <w:rPr>
                <w:sz w:val="20"/>
                <w:szCs w:val="20"/>
                <w:color w:val="auto"/>
              </w:rPr>
            </w:pPr>
            <w:r>
              <w:rPr>
                <w:rFonts w:ascii="Arial" w:cs="Arial" w:eastAsia="Arial" w:hAnsi="Arial"/>
                <w:sz w:val="16"/>
                <w:szCs w:val="16"/>
                <w:color w:val="auto"/>
                <w:w w:val="93"/>
              </w:rPr>
              <w:t>X</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320" w:type="dxa"/>
            <w:vAlign w:val="bottom"/>
          </w:tcPr>
          <w:p>
            <w:pPr>
              <w:spacing w:after="0"/>
              <w:rPr>
                <w:sz w:val="23"/>
                <w:szCs w:val="23"/>
                <w:color w:val="auto"/>
              </w:rPr>
            </w:pPr>
          </w:p>
        </w:tc>
      </w:tr>
      <w:tr>
        <w:trPr>
          <w:trHeight w:val="270"/>
        </w:trPr>
        <w:tc>
          <w:tcPr>
            <w:tcW w:w="5620" w:type="dxa"/>
            <w:vAlign w:val="bottom"/>
            <w:shd w:val="clear" w:color="auto" w:fill="ACACAC"/>
          </w:tcPr>
          <w:p>
            <w:pPr>
              <w:ind w:left="40"/>
              <w:spacing w:after="0"/>
              <w:rPr>
                <w:sz w:val="20"/>
                <w:szCs w:val="20"/>
                <w:color w:val="auto"/>
              </w:rPr>
            </w:pPr>
            <w:r>
              <w:rPr>
                <w:rFonts w:ascii="Arial" w:cs="Arial" w:eastAsia="Arial" w:hAnsi="Arial"/>
                <w:sz w:val="16"/>
                <w:szCs w:val="16"/>
                <w:color w:val="auto"/>
              </w:rPr>
              <w:t xml:space="preserve">Robert M. Chiusano </w:t>
            </w:r>
            <w:r>
              <w:rPr>
                <w:rFonts w:ascii="Arial" w:cs="Arial" w:eastAsia="Arial" w:hAnsi="Arial"/>
                <w:sz w:val="21"/>
                <w:szCs w:val="21"/>
                <w:color w:val="auto"/>
                <w:vertAlign w:val="superscript"/>
              </w:rPr>
              <w:t>(1)</w:t>
            </w:r>
          </w:p>
        </w:tc>
        <w:tc>
          <w:tcPr>
            <w:tcW w:w="1360" w:type="dxa"/>
            <w:vAlign w:val="bottom"/>
            <w:shd w:val="clear" w:color="auto" w:fill="ACACAC"/>
          </w:tcPr>
          <w:p>
            <w:pPr>
              <w:spacing w:after="0"/>
              <w:rPr>
                <w:sz w:val="23"/>
                <w:szCs w:val="23"/>
                <w:color w:val="auto"/>
              </w:rPr>
            </w:pPr>
          </w:p>
        </w:tc>
        <w:tc>
          <w:tcPr>
            <w:tcW w:w="1420" w:type="dxa"/>
            <w:vAlign w:val="bottom"/>
            <w:shd w:val="clear" w:color="auto" w:fill="ACACAC"/>
          </w:tcPr>
          <w:p>
            <w:pPr>
              <w:jc w:val="center"/>
              <w:ind w:left="119"/>
              <w:spacing w:after="0"/>
              <w:rPr>
                <w:sz w:val="20"/>
                <w:szCs w:val="20"/>
                <w:color w:val="auto"/>
              </w:rPr>
            </w:pPr>
            <w:r>
              <w:rPr>
                <w:rFonts w:ascii="Arial" w:cs="Arial" w:eastAsia="Arial" w:hAnsi="Arial"/>
                <w:sz w:val="16"/>
                <w:szCs w:val="16"/>
                <w:color w:val="auto"/>
                <w:w w:val="93"/>
              </w:rPr>
              <w:t>X</w:t>
            </w:r>
          </w:p>
        </w:tc>
        <w:tc>
          <w:tcPr>
            <w:tcW w:w="1700" w:type="dxa"/>
            <w:vAlign w:val="bottom"/>
            <w:shd w:val="clear" w:color="auto" w:fill="ACACAC"/>
          </w:tcPr>
          <w:p>
            <w:pPr>
              <w:spacing w:after="0"/>
              <w:rPr>
                <w:sz w:val="23"/>
                <w:szCs w:val="23"/>
                <w:color w:val="auto"/>
              </w:rPr>
            </w:pPr>
          </w:p>
        </w:tc>
        <w:tc>
          <w:tcPr>
            <w:tcW w:w="1320" w:type="dxa"/>
            <w:vAlign w:val="bottom"/>
            <w:shd w:val="clear" w:color="auto" w:fill="ACACAC"/>
          </w:tcPr>
          <w:p>
            <w:pPr>
              <w:jc w:val="center"/>
              <w:ind w:right="59"/>
              <w:spacing w:after="0"/>
              <w:rPr>
                <w:sz w:val="20"/>
                <w:szCs w:val="20"/>
                <w:color w:val="auto"/>
              </w:rPr>
            </w:pPr>
            <w:r>
              <w:rPr>
                <w:rFonts w:ascii="Arial" w:cs="Arial" w:eastAsia="Arial" w:hAnsi="Arial"/>
                <w:sz w:val="16"/>
                <w:szCs w:val="16"/>
                <w:color w:val="auto"/>
                <w:w w:val="93"/>
              </w:rPr>
              <w:t>X</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William C. Fisher </w:t>
            </w:r>
            <w:r>
              <w:rPr>
                <w:rFonts w:ascii="Arial" w:cs="Arial" w:eastAsia="Arial" w:hAnsi="Arial"/>
                <w:sz w:val="21"/>
                <w:szCs w:val="21"/>
                <w:color w:val="auto"/>
                <w:vertAlign w:val="superscript"/>
              </w:rPr>
              <w:t>(1)</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w w:val="93"/>
              </w:rPr>
              <w:t>X</w:t>
            </w:r>
          </w:p>
        </w:tc>
        <w:tc>
          <w:tcPr>
            <w:tcW w:w="14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320" w:type="dxa"/>
            <w:vAlign w:val="bottom"/>
          </w:tcPr>
          <w:p>
            <w:pPr>
              <w:spacing w:after="0"/>
              <w:rPr>
                <w:sz w:val="23"/>
                <w:szCs w:val="23"/>
                <w:color w:val="auto"/>
              </w:rPr>
            </w:pPr>
          </w:p>
        </w:tc>
      </w:tr>
      <w:tr>
        <w:trPr>
          <w:trHeight w:val="270"/>
        </w:trPr>
        <w:tc>
          <w:tcPr>
            <w:tcW w:w="5620" w:type="dxa"/>
            <w:vAlign w:val="bottom"/>
            <w:shd w:val="clear" w:color="auto" w:fill="ACACAC"/>
          </w:tcPr>
          <w:p>
            <w:pPr>
              <w:ind w:left="40"/>
              <w:spacing w:after="0"/>
              <w:rPr>
                <w:sz w:val="20"/>
                <w:szCs w:val="20"/>
                <w:color w:val="auto"/>
              </w:rPr>
            </w:pPr>
            <w:r>
              <w:rPr>
                <w:rFonts w:ascii="Arial" w:cs="Arial" w:eastAsia="Arial" w:hAnsi="Arial"/>
                <w:sz w:val="16"/>
                <w:szCs w:val="16"/>
                <w:color w:val="auto"/>
              </w:rPr>
              <w:t xml:space="preserve">David W. Miles (Chair) </w:t>
            </w:r>
            <w:r>
              <w:rPr>
                <w:rFonts w:ascii="Arial" w:cs="Arial" w:eastAsia="Arial" w:hAnsi="Arial"/>
                <w:sz w:val="21"/>
                <w:szCs w:val="21"/>
                <w:color w:val="auto"/>
                <w:vertAlign w:val="superscript"/>
              </w:rPr>
              <w:t>(1)(2)</w:t>
            </w:r>
          </w:p>
        </w:tc>
        <w:tc>
          <w:tcPr>
            <w:tcW w:w="1360" w:type="dxa"/>
            <w:vAlign w:val="bottom"/>
            <w:shd w:val="clear" w:color="auto" w:fill="ACACAC"/>
          </w:tcPr>
          <w:p>
            <w:pPr>
              <w:jc w:val="center"/>
              <w:ind w:left="19"/>
              <w:spacing w:after="0"/>
              <w:rPr>
                <w:sz w:val="20"/>
                <w:szCs w:val="20"/>
                <w:color w:val="auto"/>
              </w:rPr>
            </w:pPr>
            <w:r>
              <w:rPr>
                <w:rFonts w:ascii="Arial" w:cs="Arial" w:eastAsia="Arial" w:hAnsi="Arial"/>
                <w:sz w:val="16"/>
                <w:szCs w:val="16"/>
                <w:color w:val="auto"/>
                <w:w w:val="93"/>
              </w:rPr>
              <w:t>X</w:t>
            </w:r>
          </w:p>
        </w:tc>
        <w:tc>
          <w:tcPr>
            <w:tcW w:w="1420" w:type="dxa"/>
            <w:vAlign w:val="bottom"/>
            <w:shd w:val="clear" w:color="auto" w:fill="ACACAC"/>
          </w:tcPr>
          <w:p>
            <w:pPr>
              <w:spacing w:after="0"/>
              <w:rPr>
                <w:sz w:val="23"/>
                <w:szCs w:val="23"/>
                <w:color w:val="auto"/>
              </w:rPr>
            </w:pPr>
          </w:p>
        </w:tc>
        <w:tc>
          <w:tcPr>
            <w:tcW w:w="1700" w:type="dxa"/>
            <w:vAlign w:val="bottom"/>
            <w:shd w:val="clear" w:color="auto" w:fill="ACACAC"/>
          </w:tcPr>
          <w:p>
            <w:pPr>
              <w:spacing w:after="0"/>
              <w:rPr>
                <w:sz w:val="23"/>
                <w:szCs w:val="23"/>
                <w:color w:val="auto"/>
              </w:rPr>
            </w:pPr>
          </w:p>
        </w:tc>
        <w:tc>
          <w:tcPr>
            <w:tcW w:w="1320" w:type="dxa"/>
            <w:vAlign w:val="bottom"/>
            <w:shd w:val="clear" w:color="auto" w:fill="ACACAC"/>
          </w:tcPr>
          <w:p>
            <w:pPr>
              <w:jc w:val="center"/>
              <w:ind w:right="59"/>
              <w:spacing w:after="0"/>
              <w:rPr>
                <w:sz w:val="20"/>
                <w:szCs w:val="20"/>
                <w:color w:val="auto"/>
              </w:rPr>
            </w:pPr>
            <w:r>
              <w:rPr>
                <w:rFonts w:ascii="Arial" w:cs="Arial" w:eastAsia="Arial" w:hAnsi="Arial"/>
                <w:sz w:val="16"/>
                <w:szCs w:val="16"/>
                <w:color w:val="auto"/>
                <w:w w:val="93"/>
              </w:rPr>
              <w:t>X</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Richard D. Moss </w:t>
            </w:r>
            <w:r>
              <w:rPr>
                <w:rFonts w:ascii="Arial" w:cs="Arial" w:eastAsia="Arial" w:hAnsi="Arial"/>
                <w:sz w:val="21"/>
                <w:szCs w:val="21"/>
                <w:color w:val="auto"/>
                <w:vertAlign w:val="superscript"/>
              </w:rPr>
              <w:t>(1)(2)</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w w:val="99"/>
              </w:rPr>
              <w:t>Chair</w:t>
            </w:r>
          </w:p>
        </w:tc>
        <w:tc>
          <w:tcPr>
            <w:tcW w:w="14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color w:val="auto"/>
                <w:w w:val="93"/>
              </w:rPr>
              <w:t>X</w:t>
            </w:r>
          </w:p>
        </w:tc>
      </w:tr>
      <w:tr>
        <w:trPr>
          <w:trHeight w:val="270"/>
        </w:trPr>
        <w:tc>
          <w:tcPr>
            <w:tcW w:w="5620" w:type="dxa"/>
            <w:vAlign w:val="bottom"/>
            <w:shd w:val="clear" w:color="auto" w:fill="ACACAC"/>
          </w:tcPr>
          <w:p>
            <w:pPr>
              <w:ind w:left="40"/>
              <w:spacing w:after="0"/>
              <w:rPr>
                <w:sz w:val="20"/>
                <w:szCs w:val="20"/>
                <w:color w:val="auto"/>
              </w:rPr>
            </w:pPr>
            <w:r>
              <w:rPr>
                <w:rFonts w:ascii="Arial" w:cs="Arial" w:eastAsia="Arial" w:hAnsi="Arial"/>
                <w:sz w:val="16"/>
                <w:szCs w:val="16"/>
                <w:color w:val="auto"/>
              </w:rPr>
              <w:t xml:space="preserve">John M. Murabito </w:t>
            </w:r>
            <w:r>
              <w:rPr>
                <w:rFonts w:ascii="Arial" w:cs="Arial" w:eastAsia="Arial" w:hAnsi="Arial"/>
                <w:sz w:val="21"/>
                <w:szCs w:val="21"/>
                <w:color w:val="auto"/>
                <w:vertAlign w:val="superscript"/>
              </w:rPr>
              <w:t>(1)</w:t>
            </w:r>
          </w:p>
        </w:tc>
        <w:tc>
          <w:tcPr>
            <w:tcW w:w="1360" w:type="dxa"/>
            <w:vAlign w:val="bottom"/>
            <w:shd w:val="clear" w:color="auto" w:fill="ACACAC"/>
          </w:tcPr>
          <w:p>
            <w:pPr>
              <w:spacing w:after="0"/>
              <w:rPr>
                <w:sz w:val="23"/>
                <w:szCs w:val="23"/>
                <w:color w:val="auto"/>
              </w:rPr>
            </w:pPr>
          </w:p>
        </w:tc>
        <w:tc>
          <w:tcPr>
            <w:tcW w:w="1420" w:type="dxa"/>
            <w:vAlign w:val="bottom"/>
            <w:shd w:val="clear" w:color="auto" w:fill="ACACAC"/>
          </w:tcPr>
          <w:p>
            <w:pPr>
              <w:jc w:val="center"/>
              <w:ind w:left="119"/>
              <w:spacing w:after="0"/>
              <w:rPr>
                <w:sz w:val="20"/>
                <w:szCs w:val="20"/>
                <w:color w:val="auto"/>
              </w:rPr>
            </w:pPr>
            <w:r>
              <w:rPr>
                <w:rFonts w:ascii="Arial" w:cs="Arial" w:eastAsia="Arial" w:hAnsi="Arial"/>
                <w:sz w:val="16"/>
                <w:szCs w:val="16"/>
                <w:color w:val="auto"/>
                <w:w w:val="99"/>
              </w:rPr>
              <w:t>Chair</w:t>
            </w:r>
          </w:p>
        </w:tc>
        <w:tc>
          <w:tcPr>
            <w:tcW w:w="1700" w:type="dxa"/>
            <w:vAlign w:val="bottom"/>
            <w:shd w:val="clear" w:color="auto" w:fill="ACACAC"/>
          </w:tcPr>
          <w:p>
            <w:pPr>
              <w:jc w:val="center"/>
              <w:spacing w:after="0"/>
              <w:rPr>
                <w:sz w:val="20"/>
                <w:szCs w:val="20"/>
                <w:color w:val="auto"/>
              </w:rPr>
            </w:pPr>
            <w:r>
              <w:rPr>
                <w:rFonts w:ascii="Arial" w:cs="Arial" w:eastAsia="Arial" w:hAnsi="Arial"/>
                <w:sz w:val="16"/>
                <w:szCs w:val="16"/>
                <w:color w:val="auto"/>
                <w:w w:val="93"/>
              </w:rPr>
              <w:t>X</w:t>
            </w:r>
          </w:p>
        </w:tc>
        <w:tc>
          <w:tcPr>
            <w:tcW w:w="1320" w:type="dxa"/>
            <w:vAlign w:val="bottom"/>
            <w:shd w:val="clear" w:color="auto" w:fill="ACACAC"/>
          </w:tcPr>
          <w:p>
            <w:pPr>
              <w:spacing w:after="0"/>
              <w:rPr>
                <w:sz w:val="23"/>
                <w:szCs w:val="23"/>
                <w:color w:val="auto"/>
              </w:rPr>
            </w:pPr>
          </w:p>
        </w:tc>
      </w:tr>
      <w:tr>
        <w:trPr>
          <w:trHeight w:val="237"/>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Number of meetings in Fiscal 2019</w:t>
            </w:r>
          </w:p>
        </w:tc>
        <w:tc>
          <w:tcPr>
            <w:tcW w:w="136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89"/>
              </w:rPr>
              <w:t>7</w:t>
            </w:r>
          </w:p>
        </w:tc>
        <w:tc>
          <w:tcPr>
            <w:tcW w:w="14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5</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w:t>
            </w: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5</w:t>
            </w:r>
          </w:p>
        </w:tc>
      </w:tr>
      <w:tr>
        <w:trPr>
          <w:trHeight w:val="237"/>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Conducted a self-assessment of its performance</w:t>
            </w:r>
          </w:p>
        </w:tc>
        <w:tc>
          <w:tcPr>
            <w:tcW w:w="13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93"/>
              </w:rPr>
              <w:t>X</w:t>
            </w:r>
          </w:p>
        </w:tc>
        <w:tc>
          <w:tcPr>
            <w:tcW w:w="14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93"/>
              </w:rPr>
              <w:t>X</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3"/>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-1817370</wp:posOffset>
            </wp:positionV>
            <wp:extent cx="3687445"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87445" cy="291465"/>
                    </a:xfrm>
                    <a:prstGeom prst="rect">
                      <a:avLst/>
                    </a:prstGeom>
                    <a:noFill/>
                  </pic:spPr>
                </pic:pic>
              </a:graphicData>
            </a:graphic>
          </wp:anchor>
        </w:drawing>
      </w:r>
    </w:p>
    <w:p>
      <w:pPr>
        <w:spacing w:after="0" w:line="39"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4"/>
          <w:szCs w:val="14"/>
          <w:color w:val="auto"/>
        </w:rPr>
        <w:t>Determined to be "independent" under applicable listing standards of the New York Stock Exchange ("NYSE").</w:t>
      </w:r>
    </w:p>
    <w:p>
      <w:pPr>
        <w:spacing w:after="0" w:line="1" w:lineRule="exact"/>
        <w:rPr>
          <w:rFonts w:ascii="Arial" w:cs="Arial" w:eastAsia="Arial" w:hAnsi="Arial"/>
          <w:sz w:val="13"/>
          <w:szCs w:val="13"/>
          <w:color w:val="auto"/>
        </w:rPr>
      </w:pPr>
    </w:p>
    <w:p>
      <w:pPr>
        <w:ind w:left="260" w:hanging="252"/>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4"/>
          <w:szCs w:val="14"/>
          <w:color w:val="auto"/>
        </w:rPr>
        <w:t>Designated as an "audit committee financial expert" for purposes of Item 407, Regulation S-K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220345</wp:posOffset>
            </wp:positionV>
            <wp:extent cx="7212330" cy="21012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210121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Arial" w:cs="Arial" w:eastAsia="Arial" w:hAnsi="Arial"/>
          <w:sz w:val="25"/>
          <w:szCs w:val="25"/>
          <w:color w:val="828282"/>
        </w:rPr>
        <w:t>Audit Committee</w:t>
      </w:r>
    </w:p>
    <w:p>
      <w:pPr>
        <w:spacing w:after="0" w:line="356" w:lineRule="exact"/>
        <w:rPr>
          <w:sz w:val="20"/>
          <w:szCs w:val="20"/>
          <w:color w:val="auto"/>
        </w:rPr>
      </w:pPr>
    </w:p>
    <w:p>
      <w:pPr>
        <w:ind w:left="80"/>
        <w:spacing w:after="0"/>
        <w:rPr>
          <w:sz w:val="20"/>
          <w:szCs w:val="20"/>
          <w:color w:val="auto"/>
        </w:rPr>
      </w:pPr>
      <w:r>
        <w:rPr>
          <w:rFonts w:ascii="Arial" w:cs="Arial" w:eastAsia="Arial" w:hAnsi="Arial"/>
          <w:sz w:val="20"/>
          <w:szCs w:val="20"/>
          <w:color w:val="BF2115"/>
        </w:rPr>
        <w:t>Members</w:t>
      </w:r>
    </w:p>
    <w:p>
      <w:pPr>
        <w:spacing w:after="0" w:line="100" w:lineRule="exact"/>
        <w:rPr>
          <w:sz w:val="20"/>
          <w:szCs w:val="20"/>
          <w:color w:val="auto"/>
        </w:rPr>
      </w:pPr>
    </w:p>
    <w:p>
      <w:pPr>
        <w:ind w:left="80" w:right="220"/>
        <w:spacing w:after="0" w:line="398" w:lineRule="auto"/>
        <w:rPr>
          <w:sz w:val="20"/>
          <w:szCs w:val="20"/>
          <w:color w:val="auto"/>
        </w:rPr>
      </w:pPr>
      <w:r>
        <w:rPr>
          <w:rFonts w:ascii="Arial" w:cs="Arial" w:eastAsia="Arial" w:hAnsi="Arial"/>
          <w:sz w:val="16"/>
          <w:szCs w:val="16"/>
          <w:color w:val="BF2115"/>
        </w:rPr>
        <w:t>Richard D. Moss, Chair Maria F. Blase William C. Fisher David W. Miles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Each year, the committee appoints the independent registered public accountant to examine our financial statements. It reviews with 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 regarding internal controls. Others in regular attendance for part of the Audit Committee meeting typically include: the Board Chair; the CEO; the CFO; the Vice President, General Counsel and Secretary; and the Corporate Controller.</w:t>
      </w:r>
    </w:p>
    <w:p>
      <w:pPr>
        <w:spacing w:after="0" w:line="18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Audit Committee meets at least annually with the CFO, the internal auditors and the independent auditors in separate executive sessions. The Audit Committee is also prepared to meet privately at any time at the request of the independent registered public accountant or members of our Management to review any special situation arising on any of the above subjects. The Audit Committee also performs other duties as set forth in its written charter which is available for review on the Corporate Governance portion of the Investor Relations section of our Web Site at http://www.winnebagoind.com. The Audit Committee annually reviews its written charter and recommends to the Board such changes as it deems necessary.</w:t>
      </w:r>
    </w:p>
    <w:p>
      <w:pPr>
        <w:spacing w:after="0" w:line="200" w:lineRule="exact"/>
        <w:rPr>
          <w:sz w:val="20"/>
          <w:szCs w:val="20"/>
          <w:color w:val="auto"/>
        </w:rPr>
      </w:pPr>
    </w:p>
    <w:p>
      <w:pPr>
        <w:sectPr>
          <w:pgSz w:w="11900" w:h="16838" w:orient="portrait"/>
          <w:cols w:equalWidth="0" w:num="2">
            <w:col w:w="1980" w:space="720"/>
            <w:col w:w="8720"/>
          </w:cols>
          <w:pgMar w:left="240" w:top="303" w:right="2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03" w:right="239" w:bottom="1440" w:gutter="0" w:footer="0" w:header="0"/>
          <w:type w:val="continuous"/>
        </w:sectPr>
      </w:pPr>
    </w:p>
    <w:bookmarkStart w:id="8" w:name="page9"/>
    <w:bookmarkEnd w:id="8"/>
    <w:p>
      <w:pPr>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112395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360680</wp:posOffset>
            </wp:positionV>
            <wp:extent cx="7212330" cy="22383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2238375"/>
                    </a:xfrm>
                    <a:prstGeom prst="rect">
                      <a:avLst/>
                    </a:prstGeom>
                    <a:noFill/>
                  </pic:spPr>
                </pic:pic>
              </a:graphicData>
            </a:graphic>
          </wp:anchor>
        </w:drawing>
      </w:r>
    </w:p>
    <w:p>
      <w:pPr>
        <w:sectPr>
          <w:pgSz w:w="11900" w:h="16838" w:orient="portrait"/>
          <w:cols w:equalWidth="0" w:num="1">
            <w:col w:w="11260"/>
          </w:cols>
          <w:pgMar w:left="280" w:top="3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right="120"/>
        <w:spacing w:after="0" w:line="254" w:lineRule="auto"/>
        <w:rPr>
          <w:sz w:val="20"/>
          <w:szCs w:val="20"/>
          <w:color w:val="auto"/>
        </w:rPr>
      </w:pPr>
      <w:r>
        <w:rPr>
          <w:rFonts w:ascii="Arial" w:cs="Arial" w:eastAsia="Arial" w:hAnsi="Arial"/>
          <w:sz w:val="25"/>
          <w:szCs w:val="25"/>
          <w:color w:val="828282"/>
        </w:rPr>
        <w:t>Nominating and Governance Committee</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20"/>
          <w:szCs w:val="20"/>
          <w:color w:val="BF2115"/>
        </w:rPr>
        <w:t>Members</w:t>
      </w:r>
    </w:p>
    <w:p>
      <w:pPr>
        <w:spacing w:after="0" w:line="46" w:lineRule="exact"/>
        <w:rPr>
          <w:sz w:val="20"/>
          <w:szCs w:val="20"/>
          <w:color w:val="auto"/>
        </w:rPr>
      </w:pPr>
    </w:p>
    <w:p>
      <w:pPr>
        <w:ind w:left="40" w:right="200"/>
        <w:spacing w:after="0" w:line="324" w:lineRule="auto"/>
        <w:rPr>
          <w:sz w:val="20"/>
          <w:szCs w:val="20"/>
          <w:color w:val="auto"/>
        </w:rPr>
      </w:pPr>
      <w:r>
        <w:rPr>
          <w:rFonts w:ascii="Arial" w:cs="Arial" w:eastAsia="Arial" w:hAnsi="Arial"/>
          <w:sz w:val="16"/>
          <w:szCs w:val="16"/>
          <w:color w:val="BF2115"/>
        </w:rPr>
        <w:t>William C. Fisher, Chair Christopher J. Braun John M. Murabito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Nominating and Governance Committee's charter, which is available for review on the Corporate Governance portion of the Investor Relations section of our Web Site at http://www.winnebagoind.com, establishes the scope of the committee's duties to include: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are able to communicate with members of the Board; (4) developing and recommending to the Board a Corporate Governance Policy applicable to the Company; and (5) reviewing and approving Related Person Transactions (as defined below).</w:t>
      </w:r>
    </w:p>
    <w:p>
      <w:pPr>
        <w:spacing w:after="0" w:line="18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committee recommended to the Board the director-nominees proposed in this Proxy Statement for election by the shareholders. The Nominating and Governance Committee reviews the qualifications of, and recommends to the Board, candidates to fill Board vacancies as they may occur during the year. The Nominating and Governance Committee will consider suggestions from all sources, including shareholders, regarding possible candidates for director. See also "Fiscal 2020 Shareholder Proposals" for a summary of the procedures that shareholders should follow to nominate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-1674495</wp:posOffset>
            </wp:positionH>
            <wp:positionV relativeFrom="paragraph">
              <wp:posOffset>248920</wp:posOffset>
            </wp:positionV>
            <wp:extent cx="7212330" cy="16376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16376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720"/>
            <w:col w:w="8600"/>
          </w:cols>
          <w:pgMar w:left="280" w:top="303" w:right="35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25"/>
          <w:szCs w:val="25"/>
          <w:color w:val="828282"/>
        </w:rPr>
        <w:t>Finance Committee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20"/>
          <w:szCs w:val="20"/>
          <w:color w:val="BF2115"/>
        </w:rPr>
        <w:t>Members</w:t>
      </w:r>
    </w:p>
    <w:p>
      <w:pPr>
        <w:spacing w:after="0" w:line="46" w:lineRule="exact"/>
        <w:rPr>
          <w:sz w:val="20"/>
          <w:szCs w:val="20"/>
          <w:color w:val="auto"/>
        </w:rPr>
      </w:pPr>
    </w:p>
    <w:p>
      <w:pPr>
        <w:ind w:left="40" w:right="680"/>
        <w:spacing w:after="0" w:line="321" w:lineRule="auto"/>
        <w:rPr>
          <w:sz w:val="20"/>
          <w:szCs w:val="20"/>
          <w:color w:val="auto"/>
        </w:rPr>
      </w:pPr>
      <w:r>
        <w:rPr>
          <w:rFonts w:ascii="Arial" w:cs="Arial" w:eastAsia="Arial" w:hAnsi="Arial"/>
          <w:sz w:val="16"/>
          <w:szCs w:val="16"/>
          <w:color w:val="BF2115"/>
        </w:rPr>
        <w:t>Maria F. Blase, Chair Robert M. Chiusano David W. Miles Richard D. Moss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Finance Committee's charter, which is available for review on the Corporate Governance portion of the Investor Relations section of our Web Site at http://www.winnebagoind.com, establishes the scope of the committee's duties to include: recommending to the Board financial policies, goals, and budgets that support the financial health, strategic goals, mission, and values of the Company, including the long-range financial plan of the Company, and annual capital budgets; evaluating major capital expenditures and financial transactions.</w:t>
      </w:r>
    </w:p>
    <w:p>
      <w:pPr>
        <w:spacing w:after="0" w:line="17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Finance Committee has oversight in the following specific areas: strategic transactions, capitalization and debt and equity offerings, capital expenditure plans, financial review of business plans, rating agencies and investor relations, dividends, share repurchase authorizations, investment policy, debt management, tax strategies, and financial risk management.</w:t>
      </w:r>
    </w:p>
    <w:p>
      <w:pPr>
        <w:spacing w:after="0" w:line="200" w:lineRule="exact"/>
        <w:rPr>
          <w:sz w:val="20"/>
          <w:szCs w:val="20"/>
          <w:color w:val="auto"/>
        </w:rPr>
      </w:pPr>
    </w:p>
    <w:p>
      <w:pPr>
        <w:sectPr>
          <w:pgSz w:w="11900" w:h="16838" w:orient="portrait"/>
          <w:cols w:equalWidth="0" w:num="2">
            <w:col w:w="2240" w:space="420"/>
            <w:col w:w="8600"/>
          </w:cols>
          <w:pgMar w:left="280" w:top="303" w:right="359" w:bottom="1440" w:gutter="0" w:footer="0" w:header="0"/>
          <w:type w:val="continuous"/>
        </w:sect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280" w:top="303" w:right="359" w:bottom="1440" w:gutter="0" w:footer="0" w:header="0"/>
          <w:type w:val="continuous"/>
        </w:sectPr>
      </w:pPr>
    </w:p>
    <w:bookmarkStart w:id="9" w:name="page10"/>
    <w:bookmarkEnd w:id="9"/>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360680</wp:posOffset>
            </wp:positionV>
            <wp:extent cx="7212330" cy="3422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342201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0"/>
        <w:spacing w:after="0" w:line="261" w:lineRule="auto"/>
        <w:rPr>
          <w:sz w:val="20"/>
          <w:szCs w:val="20"/>
          <w:color w:val="auto"/>
        </w:rPr>
      </w:pPr>
      <w:r>
        <w:rPr>
          <w:rFonts w:ascii="Arial" w:cs="Arial" w:eastAsia="Arial" w:hAnsi="Arial"/>
          <w:sz w:val="25"/>
          <w:szCs w:val="25"/>
          <w:color w:val="828282"/>
        </w:rPr>
        <w:t>Human Resources Committee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0"/>
        <w:spacing w:after="0"/>
        <w:rPr>
          <w:sz w:val="20"/>
          <w:szCs w:val="20"/>
          <w:color w:val="auto"/>
        </w:rPr>
      </w:pPr>
      <w:r>
        <w:rPr>
          <w:rFonts w:ascii="Arial" w:cs="Arial" w:eastAsia="Arial" w:hAnsi="Arial"/>
          <w:sz w:val="20"/>
          <w:szCs w:val="20"/>
          <w:color w:val="BF2115"/>
        </w:rPr>
        <w:t>Members</w:t>
      </w:r>
    </w:p>
    <w:p>
      <w:pPr>
        <w:spacing w:after="0" w:line="356" w:lineRule="exact"/>
        <w:rPr>
          <w:sz w:val="20"/>
          <w:szCs w:val="20"/>
          <w:color w:val="auto"/>
        </w:rPr>
      </w:pPr>
    </w:p>
    <w:p>
      <w:pPr>
        <w:ind w:left="80"/>
        <w:spacing w:after="0"/>
        <w:rPr>
          <w:sz w:val="20"/>
          <w:szCs w:val="20"/>
          <w:color w:val="auto"/>
        </w:rPr>
      </w:pPr>
      <w:r>
        <w:rPr>
          <w:rFonts w:ascii="Arial" w:cs="Arial" w:eastAsia="Arial" w:hAnsi="Arial"/>
          <w:sz w:val="16"/>
          <w:szCs w:val="16"/>
          <w:color w:val="BF2115"/>
        </w:rPr>
        <w:t>John M. Murabito, Chair</w:t>
      </w:r>
    </w:p>
    <w:p>
      <w:pPr>
        <w:spacing w:after="0" w:line="356" w:lineRule="exact"/>
        <w:rPr>
          <w:sz w:val="20"/>
          <w:szCs w:val="20"/>
          <w:color w:val="auto"/>
        </w:rPr>
      </w:pPr>
    </w:p>
    <w:p>
      <w:pPr>
        <w:ind w:left="80"/>
        <w:spacing w:after="0"/>
        <w:rPr>
          <w:sz w:val="20"/>
          <w:szCs w:val="20"/>
          <w:color w:val="auto"/>
        </w:rPr>
      </w:pPr>
      <w:r>
        <w:rPr>
          <w:rFonts w:ascii="Arial" w:cs="Arial" w:eastAsia="Arial" w:hAnsi="Arial"/>
          <w:sz w:val="16"/>
          <w:szCs w:val="16"/>
          <w:color w:val="BF2115"/>
        </w:rPr>
        <w:t>Christopher J. Braun</w:t>
      </w:r>
    </w:p>
    <w:p>
      <w:pPr>
        <w:spacing w:after="0" w:line="370" w:lineRule="exact"/>
        <w:rPr>
          <w:sz w:val="20"/>
          <w:szCs w:val="20"/>
          <w:color w:val="auto"/>
        </w:rPr>
      </w:pPr>
    </w:p>
    <w:p>
      <w:pPr>
        <w:ind w:left="80"/>
        <w:spacing w:after="0"/>
        <w:rPr>
          <w:sz w:val="20"/>
          <w:szCs w:val="20"/>
          <w:color w:val="auto"/>
        </w:rPr>
      </w:pPr>
      <w:r>
        <w:rPr>
          <w:rFonts w:ascii="Arial" w:cs="Arial" w:eastAsia="Arial" w:hAnsi="Arial"/>
          <w:sz w:val="16"/>
          <w:szCs w:val="16"/>
          <w:color w:val="BF2115"/>
        </w:rPr>
        <w:t>Robert M. Chiusano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The Human Resources Committee's charter, which is available for review on the Corporate Governance portion of the Investor Relations section of our Web Site at http://www.winnebagoind.com, establishes the scope of the committee's duties to include: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all executive officer compensation, including any executive employment agreements, severance agreements, and change in control agreements; (5) from time to time, reviewing the list of peer group companies used for compensation purposes;</w:t>
      </w:r>
    </w:p>
    <w:p>
      <w:pPr>
        <w:spacing w:after="0" w:line="4" w:lineRule="exact"/>
        <w:rPr>
          <w:sz w:val="20"/>
          <w:szCs w:val="20"/>
          <w:color w:val="auto"/>
        </w:rPr>
      </w:pPr>
    </w:p>
    <w:p>
      <w:pPr>
        <w:ind w:right="60" w:firstLine="9"/>
        <w:spacing w:after="0" w:line="250" w:lineRule="auto"/>
        <w:tabs>
          <w:tab w:leader="none" w:pos="243"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and approving Board retainer fees, attendance fees, and other compensation, if any, to be paid to non-employee directors; (7) reviewing and discussing with Management the Compensation Discussion and Analysis section and certain other disclosures, including those relating to compensation advisors, compensation risk and the "say on pay" vote, as applicable for our Form 10-K and proxy statement; and (8) preparing the committee's annual report on executive compensation for our Form 10-K and proxy statement.</w:t>
      </w:r>
    </w:p>
    <w:p>
      <w:pPr>
        <w:spacing w:after="0" w:line="17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During Fiscal 2018, Mr. Happe recommended to the Committee proposals for base salary as well as short-term and long-term incentive grants for Fiscal 2019. Following Fiscal 2019, Mr. Happe recommended Fiscal 2019 incentive payments based upon financial and individual performance results. The committee separately considers, discusses, modifies as appropriate, and takes action on such proposals and determines the compensation of the CEO and other NEOs. See “Compensation Discussion and Analysis - Determination of Compensation - Role of Management” below for further detail.</w:t>
      </w:r>
    </w:p>
    <w:p>
      <w:pPr>
        <w:spacing w:after="0" w:line="36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Role of Compensation Consultants — The Human Resources Committee is authorized to retain an outside compensation consultant for matters relating to executive compensation. In Fiscal 2019, the committee retained Semler Brossy Consulting Group LLC ("Semler Brossy") to advise on certain executive compensation-related matters, as further described in the "Compensation Discussion and Analysis" Section.</w:t>
      </w:r>
    </w:p>
    <w:p>
      <w:pPr>
        <w:spacing w:after="0" w:line="200" w:lineRule="exact"/>
        <w:rPr>
          <w:sz w:val="20"/>
          <w:szCs w:val="20"/>
          <w:color w:val="auto"/>
        </w:rPr>
      </w:pPr>
    </w:p>
    <w:p>
      <w:pPr>
        <w:sectPr>
          <w:pgSz w:w="11900" w:h="16838" w:orient="portrait"/>
          <w:cols w:equalWidth="0" w:num="2">
            <w:col w:w="2180" w:space="520"/>
            <w:col w:w="8720"/>
          </w:cols>
          <w:pgMar w:left="240" w:top="303" w:right="239" w:bottom="1440" w:gutter="0" w:footer="0" w:header="0"/>
          <w:type w:val="continuous"/>
        </w:sectPr>
      </w:pPr>
    </w:p>
    <w:p>
      <w:pPr>
        <w:spacing w:after="0" w:line="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Board of Directors held five regular meetings and three special meetings during Fiscal 2019. Actions taken by any committee of the Board are reported generally to the Board of Directors at its next meeting. During Fiscal 2019, all of the directors attended more than 75% of the aggregate of Board of Directors' meetings and meetings of committees of the Board on which they served. Our Corporate Governance Policy, discussed below, encourages, but does not require, Board members to attend annual meetings of shareholders. At the last annual meeting of shareholders, all of the then-current directors were in attendance.</w:t>
      </w:r>
    </w:p>
    <w:p>
      <w:pPr>
        <w:spacing w:after="0" w:line="3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 xml:space="preserve">Executive Sessions of Non-Employee Directors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directors meet privately in executive sessions to consider such matters as they deem</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without Management being present, as a routinely scheduled agenda item for every Board meeting and at least once a year pursuant to the requirements of the NYSE. During Fiscal 2019, all non-employee directors were independent.</w:t>
      </w:r>
    </w:p>
    <w:p>
      <w:pPr>
        <w:sectPr>
          <w:pgSz w:w="11900" w:h="16838" w:orient="portrait"/>
          <w:cols w:equalWidth="0" w:num="1">
            <w:col w:w="11420"/>
          </w:cols>
          <w:pgMar w:left="240" w:top="303" w:right="239" w:bottom="1440" w:gutter="0" w:footer="0" w:header="0"/>
          <w:type w:val="continuous"/>
        </w:sect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828282"/>
        </w:rPr>
        <w:t>Procedures With Respect to Nominations of Directors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Nominating and Governance Committee will consider as a candidate any director who has indicated to the Nominating and Governance Committee that he or she is willing to stand for re-election, and who has not reached the age of 72 years prior to the date of re-election to the Board, as well as any other person who is appropriately recommended by any shareholder. The Nominating and Governance Committee may also undertake its own search process for candidates and may retain the services of professional search firms or other third parties to assist in identifying and evaluating potential nominees.</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considering a potential nominee for the Board, candidates also will be assessed in the context of the then-current composition of the Board, the operating requirements of the Company and the long-term interests of all shareholders. In conducting this assessment, the Nominating and Governance Committee will consider diversity (including, but not limited to, age, experience and skills) and such other factors as it deems appropriate given the then-current and anticipated future needs of the Board and the Company in order to maintain a balance of perspectives,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qualifications, qualities and skills on the Board. Although the Nominating and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without regard to race, religion, gender, national origin or other protected category, and under no circumstances will the Nominating and Governance Committee evaluate nominees recommended by a shareholder of the Company pursuant to a process substantially different than that used for other nominees for the same election or appointment of directors.</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Nominating and Governance Committee may also consider such other factors as it may deem are in the best interests of the Company and its shareholders. The Nominating and Governance Committee does, however, believe it appropriate for at least one member of the Board and Audit Committee to meet the criteria as an "audit committee financial expert" as defined by SEC rules.</w:t>
      </w:r>
    </w:p>
    <w:p>
      <w:pPr>
        <w:spacing w:after="0" w:line="832"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03" w:right="239" w:bottom="1440" w:gutter="0" w:footer="0" w:header="0"/>
          <w:type w:val="continuous"/>
        </w:sectPr>
      </w:pPr>
    </w:p>
    <w:bookmarkStart w:id="10" w:name="page11"/>
    <w:bookmarkEnd w:id="10"/>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both"/>
        <w:ind w:right="20"/>
        <w:spacing w:after="0" w:line="249" w:lineRule="auto"/>
        <w:rPr>
          <w:sz w:val="20"/>
          <w:szCs w:val="20"/>
          <w:color w:val="auto"/>
        </w:rPr>
      </w:pPr>
      <w:r>
        <w:rPr>
          <w:rFonts w:ascii="Arial" w:cs="Arial" w:eastAsia="Arial" w:hAnsi="Arial"/>
          <w:sz w:val="22"/>
          <w:szCs w:val="22"/>
          <w:color w:val="828282"/>
        </w:rPr>
        <w:t>Policy and Procedures With Respect to Related Person Transactions</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of Directors adopted the Winnebago Industries, Inc. Related Person Transaction Policy and Procedures, which provides that the Nominating and Governance Committee will review and approve Related Person Transactions (as defined below); provided that the Human Resources Committee will review and approve the compensation of each employee who is an immediate family member of a director or executive officer and whose compensation exceeds $120,000. The Nominating and Governance Committee has delegated authority to its Chair to act between committee meetings.</w:t>
      </w:r>
    </w:p>
    <w:p>
      <w:pPr>
        <w:spacing w:after="0" w:line="3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policy defines a “Related Person Transaction” as a transaction, arrangement or relationship (or any series of similar transactions, arrangements or relationships) in which we were, are or will be a participant and the amount involved exceeds $120,000 and in which any Related Person (as defined below) had, has or will have a direct or indirect material interest, other than:</w:t>
      </w:r>
    </w:p>
    <w:p>
      <w:pPr>
        <w:spacing w:after="0" w:line="15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competitively bid or regulated public utility services transactions,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transactions involving trustee type services,</w:t>
      </w:r>
    </w:p>
    <w:p>
      <w:pPr>
        <w:spacing w:after="0" w:line="5" w:lineRule="exact"/>
        <w:rPr>
          <w:rFonts w:ascii="Arial" w:cs="Arial" w:eastAsia="Arial" w:hAnsi="Arial"/>
          <w:sz w:val="16"/>
          <w:szCs w:val="16"/>
          <w:color w:val="auto"/>
        </w:rPr>
      </w:pPr>
    </w:p>
    <w:p>
      <w:pPr>
        <w:jc w:val="both"/>
        <w:ind w:left="340" w:right="2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transactions in which the Related Person's interest arises solely from ownership of our equity securities and all equity security holders received the same benefit on a pro rata basis,</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employment relationship or transaction involving an executive officer and any related compensation solely resulting from that employment relationship or transaction if:</w:t>
      </w:r>
    </w:p>
    <w:p>
      <w:pPr>
        <w:spacing w:after="0" w:line="1" w:lineRule="exact"/>
        <w:rPr>
          <w:rFonts w:ascii="Arial" w:cs="Arial" w:eastAsia="Arial" w:hAnsi="Arial"/>
          <w:sz w:val="16"/>
          <w:szCs w:val="16"/>
          <w:color w:val="auto"/>
        </w:rPr>
      </w:pPr>
    </w:p>
    <w:p>
      <w:pPr>
        <w:jc w:val="both"/>
        <w:ind w:left="660" w:hanging="328"/>
        <w:spacing w:after="0" w:line="246"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compensation arising from the relationship or transaction is or will be reported pursuant to the SEC's executive and director compensation proxy statement disclosure rules; or</w:t>
      </w:r>
    </w:p>
    <w:p>
      <w:pPr>
        <w:spacing w:after="0" w:line="1" w:lineRule="exact"/>
        <w:rPr>
          <w:rFonts w:ascii="Arial" w:cs="Arial" w:eastAsia="Arial" w:hAnsi="Arial"/>
          <w:sz w:val="16"/>
          <w:szCs w:val="16"/>
          <w:color w:val="auto"/>
        </w:rPr>
      </w:pPr>
    </w:p>
    <w:p>
      <w:pPr>
        <w:jc w:val="both"/>
        <w:ind w:left="660" w:hanging="328"/>
        <w:spacing w:after="0" w:line="246"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executive officer is not an immediate family member of another executive officer or director and such compensation would have been reported under the SEC's executive and director compensation proxy statement disclosure rules as compensation earned for services if the executive officer was a NEO, as that term is defined in the SEC's executive and director compensation proxy statement disclosure rules, and such compensation has been or will be approved, or recommended to our Board of Directors for approval, by the Human Resources Committee of our Board of Directors, or</w:t>
      </w:r>
    </w:p>
    <w:p>
      <w:pPr>
        <w:spacing w:after="0" w:line="4"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the compensation of or transaction with a director is or will be reported pursuant to the SEC's executive and director compensation proxy statement disclosure rules.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“Related Person” is defined as (1) each director, director nominee and executive officer, (2) 5% or greater beneficial owners, or (3) immediate family members of the foregoing persons.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Nominating and Governance Committee will assess whether a proposed transaction is a Related Person Transaction for purposes of the policy. Under the policy, the Chair of the Nominating and Governance Committee has the authority to pre-approve or ratify (as applicable) any Related Person Transaction with a Related Person in which the aggregate amount involved is expected to be less than $500,000.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color w:val="auto"/>
        </w:rPr>
        <w:t>The policy recognizes that certain Related Person Transactions are in our and our shareholders' best interests. Each of the following Related Person Transactions are deemed to be pre-approved by the Nominating and Governance Committee pursuant to the policy, even if the aggregate amount involved will exceed $120,000:</w:t>
      </w:r>
    </w:p>
    <w:p>
      <w:pPr>
        <w:spacing w:after="0" w:line="160" w:lineRule="exact"/>
        <w:rPr>
          <w:sz w:val="20"/>
          <w:szCs w:val="20"/>
          <w:color w:val="auto"/>
        </w:rPr>
      </w:pPr>
    </w:p>
    <w:p>
      <w:pPr>
        <w:jc w:val="both"/>
        <w:ind w:left="500" w:hanging="332"/>
        <w:spacing w:after="0" w:line="253"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BF2115"/>
        </w:rPr>
        <w:t>Certain transactions with other companies</w:t>
      </w:r>
      <w:r>
        <w:rPr>
          <w:rFonts w:ascii="Arial" w:cs="Arial" w:eastAsia="Arial" w:hAnsi="Arial"/>
          <w:sz w:val="16"/>
          <w:szCs w:val="16"/>
          <w:i w:val="1"/>
          <w:iCs w:val="1"/>
          <w:color w:val="2C2C2C"/>
        </w:rPr>
        <w:t>.</w:t>
      </w:r>
      <w:r>
        <w:rPr>
          <w:rFonts w:ascii="Arial" w:cs="Arial" w:eastAsia="Arial" w:hAnsi="Arial"/>
          <w:sz w:val="16"/>
          <w:szCs w:val="16"/>
          <w:color w:val="BF2115"/>
        </w:rPr>
        <w:t xml:space="preserve"> </w:t>
      </w:r>
      <w:r>
        <w:rPr>
          <w:rFonts w:ascii="Arial" w:cs="Arial" w:eastAsia="Arial" w:hAnsi="Arial"/>
          <w:sz w:val="16"/>
          <w:szCs w:val="16"/>
          <w:color w:val="000000"/>
        </w:rPr>
        <w:t>Any transaction with another</w:t>
      </w:r>
      <w:r>
        <w:rPr>
          <w:rFonts w:ascii="Arial" w:cs="Arial" w:eastAsia="Arial" w:hAnsi="Arial"/>
          <w:sz w:val="16"/>
          <w:szCs w:val="16"/>
          <w:color w:val="BF2115"/>
        </w:rPr>
        <w:t xml:space="preserve"> </w:t>
      </w:r>
      <w:r>
        <w:rPr>
          <w:rFonts w:ascii="Arial" w:cs="Arial" w:eastAsia="Arial" w:hAnsi="Arial"/>
          <w:sz w:val="16"/>
          <w:szCs w:val="16"/>
          <w:color w:val="000000"/>
        </w:rPr>
        <w:t>company at which a Related Person's only relationship is as an employee (other than an executive officer), director or beneficial owner of less than 10% of that company's shares or other equity securities, if the aggregate amount involved does not exceed the greater of $1 million, or 2% of that company's total annual revenues.</w:t>
      </w:r>
    </w:p>
    <w:p>
      <w:pPr>
        <w:spacing w:after="0" w:line="159" w:lineRule="exact"/>
        <w:rPr>
          <w:rFonts w:ascii="Arial" w:cs="Arial" w:eastAsia="Arial" w:hAnsi="Arial"/>
          <w:sz w:val="16"/>
          <w:szCs w:val="16"/>
          <w:color w:val="auto"/>
        </w:rPr>
      </w:pPr>
    </w:p>
    <w:p>
      <w:pPr>
        <w:jc w:val="both"/>
        <w:ind w:left="500" w:hanging="332"/>
        <w:spacing w:after="0" w:line="253"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BF2115"/>
        </w:rPr>
        <w:t>Certain Company charitable contributions</w:t>
      </w:r>
      <w:r>
        <w:rPr>
          <w:rFonts w:ascii="Arial" w:cs="Arial" w:eastAsia="Arial" w:hAnsi="Arial"/>
          <w:sz w:val="16"/>
          <w:szCs w:val="16"/>
          <w:i w:val="1"/>
          <w:iCs w:val="1"/>
          <w:color w:val="000000"/>
        </w:rPr>
        <w:t>.</w:t>
      </w:r>
      <w:r>
        <w:rPr>
          <w:rFonts w:ascii="Arial" w:cs="Arial" w:eastAsia="Arial" w:hAnsi="Arial"/>
          <w:sz w:val="16"/>
          <w:szCs w:val="16"/>
          <w:color w:val="BF2115"/>
        </w:rPr>
        <w:t xml:space="preserve"> </w:t>
      </w:r>
      <w:r>
        <w:rPr>
          <w:rFonts w:ascii="Arial" w:cs="Arial" w:eastAsia="Arial" w:hAnsi="Arial"/>
          <w:sz w:val="16"/>
          <w:szCs w:val="16"/>
          <w:color w:val="000000"/>
        </w:rPr>
        <w:t>Any charitable contribution,</w:t>
      </w:r>
      <w:r>
        <w:rPr>
          <w:rFonts w:ascii="Arial" w:cs="Arial" w:eastAsia="Arial" w:hAnsi="Arial"/>
          <w:sz w:val="16"/>
          <w:szCs w:val="16"/>
          <w:color w:val="BF2115"/>
        </w:rPr>
        <w:t xml:space="preserve"> </w:t>
      </w:r>
      <w:r>
        <w:rPr>
          <w:rFonts w:ascii="Arial" w:cs="Arial" w:eastAsia="Arial" w:hAnsi="Arial"/>
          <w:sz w:val="16"/>
          <w:szCs w:val="16"/>
          <w:color w:val="000000"/>
        </w:rPr>
        <w:t>grant or endowment by Winnebago Industries or the Winnebago Industries Foundation to a charitable organization, foundation or university at which a Related Person's only relationship is as an employee (other than an officer), if the aggregate amount involved does not exceed $100,000.</w:t>
      </w:r>
    </w:p>
    <w:p>
      <w:pPr>
        <w:spacing w:after="0" w:line="176"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color w:val="auto"/>
        </w:rPr>
        <w:t>The approval procedures in the policy identify the factors the Nominating and Governance Committee will consider in evaluating whether to approve or ratify Related Person Transactions or material amendments to pre-approved Related Person Transactions. The Nominating and Governance Committee will consider the relevant facts and circumstances, including (if applicable) but not limited to: whether the Related Person Transaction is on terms no less favorable than terms generally available to an unaffiliated third-party under the same or similar circumstances, the extent of the Related Person's interest in the transaction, and whether the proposed Related Person Transaction is in compliance with or would require disclosure under applicable SEC rules and regulations, NYSE listing requirements and our policies.</w:t>
      </w:r>
    </w:p>
    <w:p>
      <w:pPr>
        <w:spacing w:after="0" w:line="178" w:lineRule="exact"/>
        <w:rPr>
          <w:sz w:val="20"/>
          <w:szCs w:val="20"/>
          <w:color w:val="auto"/>
        </w:rPr>
      </w:pPr>
    </w:p>
    <w:p>
      <w:pPr>
        <w:jc w:val="both"/>
        <w:ind w:left="160"/>
        <w:spacing w:after="0" w:line="247" w:lineRule="auto"/>
        <w:rPr>
          <w:sz w:val="20"/>
          <w:szCs w:val="20"/>
          <w:color w:val="auto"/>
        </w:rPr>
      </w:pPr>
      <w:r>
        <w:rPr>
          <w:rFonts w:ascii="Arial" w:cs="Arial" w:eastAsia="Arial" w:hAnsi="Arial"/>
          <w:sz w:val="16"/>
          <w:szCs w:val="16"/>
          <w:color w:val="auto"/>
        </w:rPr>
        <w:t>The policy provides for the annual pre-approval by the Nominating and Governance Committee of certain Related Person Transactions that are identified in the policy, as the policy may be supplemented and amended. During Fiscal 2019, the only related party transactions involved Donald Clark, one of our executive officers, who has a 20% ownership interest in Three Oaks, LLC, an entity which owns the land and buildings that Grand Design RV, LLC ("Grand Design") leases in order to operate its business. These related party transactions consist of the following: (i) On October 25, 2018, Grand Design purchased approximately 31.7 acres of land from Three Oaks, LLC for $729,100, (ii) Grand Design has paid $1,963,296 to Three Oaks, LLC under its lease with Three Oaks, LLC that was entered into on November 8, 2016 and amended on February 7, 2018, and (iii) Grand Design has paid $900,000 to Three Oaks, LLC under its other existing lease with Three Oaks, LLC, which was entered into on October 2, 2016, for a total of $2,863,296 paid to Three Oaks, LLC during Fiscal 2019 under its leases with them. Each of these transactions with Three Oaks, LLC was approved by the Nominating and Governance Committee or the full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ectPr>
          <w:pgSz w:w="11900" w:h="16838" w:orient="portrait"/>
          <w:cols w:equalWidth="0" w:num="2">
            <w:col w:w="5600" w:space="60"/>
            <w:col w:w="5760"/>
          </w:cols>
          <w:pgMar w:left="240" w:top="303" w:right="239" w:bottom="1440" w:gutter="0" w:footer="0" w:header="0"/>
          <w:type w:val="continuous"/>
        </w:sectPr>
      </w:pPr>
    </w:p>
    <w:bookmarkStart w:id="11" w:name="page12"/>
    <w:bookmarkEnd w:id="11"/>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828282"/>
        </w:rPr>
        <w:t>Corporate Governance Policies and Code of Conduct</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of Directors has adopted a Corporate Governance Policy and written charters for its Audit Committee, Human Resources Committee, Nominating and Governance Committee and Finance Committee.</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August 15, 2018, the Board of Directors adopted a revised Code of Conduct applicable to all of our directors, officers, employees and business partners, which superseded the Company's previous Code of Ethics. The revised Code of Conduct incorporates a number of revisions intended to make the document more accessible, broadly applicable, comprehensive and current.</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These policies, charters, codes and other items relating to our governance are available on the Corporate Governance portion of the Investor Relations section of our Web Site at http://www.winnebagoind.com. These documents are also available in print free of charge to any shareholder who requests them in writing from: Winnebago Industries, Inc., Attn: Vice President-General Counsel and Secretary, 13200 Pioneer Trail, Suite 150, Eden Prairie, MN 55347. Information contained on our Web Site is not incorporated into this Proxy Statement or other securities filings.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828282"/>
        </w:rPr>
        <w:t>Director Independence</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our Corporate Governance Policy and NYSE rules, the Board must have a majority of directors who meet the standards for independence. The Board must determine, based on a review of the relevant facts and circumstances, whether each director satisfies the criteria for independence. The Board undertook an annual review of director and director nominee independence. During this review, the Board considered a variety of relevant facts and circumstances, including a review of all transactions and relationships between each director and director nominee or any member of his immediate family and the Company and its subsidiaries and affiliates known to the Company. The Board also considered whether there were any transactions or relationships between directors, nominees or any member of their immediate family (or any entity of which a director, director nominee or an immediate family member is an executive officer, general partner or significant equity holder).</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purpose of this review was to determine whether any such relationships or transactions existed or exist that were inconsistent with a determination that the director or nominee is independent. As a result of this review, the Board, at its meeting in October 2019, affirmatively determined that each of Ms. Blase (Class I director), Mr. Braun (Class I director), Mr. Miles (Class I director), Mr. Chiusano (Class II director), Mr. Moss (Class II director), Mr. Murabito (Class II director), and Mr. Fisher (Class III director), are independent as defined by the relevant provisions of applicable law and the NYSE listing standards, and that each independent director has no material relationship with Winnebago Industries. As a result of this review, the Board determined that a majority of directors are independent.</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All members of the Audit Committee, Human Resources Committee, Nominating and Governance Committee and Finance Committee are independent under any additional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both"/>
        <w:ind w:left="160"/>
        <w:spacing w:after="0" w:line="260" w:lineRule="auto"/>
        <w:rPr>
          <w:sz w:val="20"/>
          <w:szCs w:val="20"/>
          <w:color w:val="auto"/>
        </w:rPr>
      </w:pPr>
      <w:r>
        <w:rPr>
          <w:rFonts w:ascii="Arial" w:cs="Arial" w:eastAsia="Arial" w:hAnsi="Arial"/>
          <w:sz w:val="16"/>
          <w:szCs w:val="16"/>
          <w:color w:val="auto"/>
        </w:rPr>
        <w:t>independence requirements applicable to such committees under the NYSE and SEC standards.</w:t>
      </w:r>
    </w:p>
    <w:p>
      <w:pPr>
        <w:spacing w:after="0" w:line="169" w:lineRule="exact"/>
        <w:rPr>
          <w:sz w:val="20"/>
          <w:szCs w:val="20"/>
          <w:color w:val="auto"/>
        </w:rPr>
      </w:pPr>
    </w:p>
    <w:p>
      <w:pPr>
        <w:jc w:val="both"/>
        <w:ind w:left="160" w:right="20"/>
        <w:spacing w:after="0" w:line="260" w:lineRule="auto"/>
        <w:rPr>
          <w:sz w:val="20"/>
          <w:szCs w:val="20"/>
          <w:color w:val="auto"/>
        </w:rPr>
      </w:pPr>
      <w:r>
        <w:rPr>
          <w:rFonts w:ascii="Arial" w:cs="Arial" w:eastAsia="Arial" w:hAnsi="Arial"/>
          <w:sz w:val="16"/>
          <w:szCs w:val="16"/>
          <w:color w:val="auto"/>
        </w:rPr>
        <w:t>Mr. Happe (Class III director) is not independent because of his employment as CEO and President of the Company.</w:t>
      </w:r>
    </w:p>
    <w:p>
      <w:pPr>
        <w:spacing w:after="0" w:line="241" w:lineRule="exact"/>
        <w:rPr>
          <w:sz w:val="20"/>
          <w:szCs w:val="20"/>
          <w:color w:val="auto"/>
        </w:rPr>
      </w:pPr>
    </w:p>
    <w:p>
      <w:pPr>
        <w:jc w:val="both"/>
        <w:ind w:left="160"/>
        <w:spacing w:after="0" w:line="249" w:lineRule="auto"/>
        <w:rPr>
          <w:sz w:val="20"/>
          <w:szCs w:val="20"/>
          <w:color w:val="auto"/>
        </w:rPr>
      </w:pPr>
      <w:r>
        <w:rPr>
          <w:rFonts w:ascii="Arial" w:cs="Arial" w:eastAsia="Arial" w:hAnsi="Arial"/>
          <w:sz w:val="22"/>
          <w:szCs w:val="22"/>
          <w:color w:val="828282"/>
        </w:rPr>
        <w:t>Shareholder and Other Interested Party Communications with Directors</w:t>
      </w:r>
    </w:p>
    <w:p>
      <w:pPr>
        <w:spacing w:after="0" w:line="172" w:lineRule="exact"/>
        <w:rPr>
          <w:sz w:val="20"/>
          <w:szCs w:val="20"/>
          <w:color w:val="auto"/>
        </w:rPr>
      </w:pPr>
    </w:p>
    <w:p>
      <w:pPr>
        <w:jc w:val="both"/>
        <w:ind w:left="160"/>
        <w:spacing w:after="0" w:line="247" w:lineRule="auto"/>
        <w:rPr>
          <w:sz w:val="20"/>
          <w:szCs w:val="20"/>
          <w:color w:val="auto"/>
        </w:rPr>
      </w:pPr>
      <w:r>
        <w:rPr>
          <w:rFonts w:ascii="Arial" w:cs="Arial" w:eastAsia="Arial" w:hAnsi="Arial"/>
          <w:sz w:val="16"/>
          <w:szCs w:val="16"/>
          <w:color w:val="auto"/>
        </w:rPr>
        <w:t>Shareholders and other interested parties who desire to communicate with our directors or a particular director may write to: Winnebago Industries, Inc., Attn: Vice President-General Counsel and Secretary, 13200 Pioneer Trail, Suite 150, Eden Prairie, MN 55347; or e-mail: SLBogart@winnebagoind.com. All communications must be accompanied by the following information (i) if the person submitting the communication is a shareholder, a statement of the number of shares of Common Stock that the person holds; (ii) if the person submitting the communication is not a shareholder and is submitting the communication to the non-employee directors as an interested party, the nature of the person's interest in the Company; (iii) any special interest, meaning an interest not in the capacity of a shareholder,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Vice President-General Counsel and Secretary, or such other person designated by all non-employee directors of the Board, and if they are relevant and appropriate, they will be forwarded to the Board Chair or applicable Board member or members as expeditiously as reasonably practicable.</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22"/>
          <w:szCs w:val="22"/>
          <w:color w:val="828282"/>
        </w:rPr>
        <w:t>Risk Management Oversight Process</w:t>
      </w:r>
    </w:p>
    <w:p>
      <w:pPr>
        <w:spacing w:after="0" w:line="188"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color w:val="auto"/>
        </w:rPr>
        <w:t>We face a number of risks, including financial, technological, operational, strategic and competitive risks. Management is responsible for the day-to-day management of risks we face, while the Board has responsibility for the oversight of risk management. In its risk oversight role, the Board reviews and monitors our processes for identification, management and mitigation of risk by our Management and assesses whether our processes are adequate and functioning as designed.</w:t>
      </w:r>
    </w:p>
    <w:p>
      <w:pPr>
        <w:spacing w:after="0" w:line="182" w:lineRule="exact"/>
        <w:rPr>
          <w:sz w:val="20"/>
          <w:szCs w:val="20"/>
          <w:color w:val="auto"/>
        </w:rPr>
      </w:pPr>
    </w:p>
    <w:p>
      <w:pPr>
        <w:jc w:val="both"/>
        <w:ind w:left="160"/>
        <w:spacing w:after="0" w:line="247" w:lineRule="auto"/>
        <w:rPr>
          <w:sz w:val="20"/>
          <w:szCs w:val="20"/>
          <w:color w:val="auto"/>
        </w:rPr>
      </w:pPr>
      <w:r>
        <w:rPr>
          <w:rFonts w:ascii="Arial" w:cs="Arial" w:eastAsia="Arial" w:hAnsi="Arial"/>
          <w:sz w:val="16"/>
          <w:szCs w:val="16"/>
          <w:color w:val="auto"/>
        </w:rPr>
        <w:t>Our Board is actively involved in overseeing risk management and it exercises its oversight both through the full Board and the standing committees of the Board: the Audit Committee, the Human Resources Committee, the Nominating and Governance Committee and the Finance Committee. These standing committees exercise oversight of the risks within their areas of responsibility, as disclosed in the descriptions of each of the committees above and in the charters of each of the committees. The Board and these 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have engaged from time to time.</w:t>
      </w:r>
    </w:p>
    <w:p>
      <w:pPr>
        <w:spacing w:after="0" w:line="186"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auto"/>
        </w:rPr>
        <w:t>At meetings of the Board, Management makes presentations to the Board regarding our business strategy, operations, financial performance, annual budgets, technology and other matters.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ectPr>
          <w:pgSz w:w="11900" w:h="16838" w:orient="portrait"/>
          <w:cols w:equalWidth="0" w:num="2">
            <w:col w:w="5600" w:space="60"/>
            <w:col w:w="5760"/>
          </w:cols>
          <w:pgMar w:left="240" w:top="303" w:right="239" w:bottom="1440" w:gutter="0" w:footer="0" w:header="0"/>
          <w:type w:val="continuous"/>
        </w:sectPr>
      </w:pPr>
    </w:p>
    <w:bookmarkStart w:id="12" w:name="page13"/>
    <w:bookmarkEnd w:id="12"/>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Many of these presentations include information relating to the challenges and risks to our business and the Board and Management actively engage in discussion on these topics. Each of the committees also receives reports from Management regarding matters relevant to the work of that committee. These Management reports are supplemented by information relating to risk from our advisors. Additionally, following committee meetings, the Board receives reports by each committee chair regarding the committee’s considerations and actions. In this way, the Board also receives additional information regarding the risk oversight functions performed by each of these committees.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828282"/>
        </w:rPr>
        <w:t>Hedging and Pledging</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Hedging transactions, by offsetting against the market value of our stock, can reduce exposure to changes in the value of our stock and can thereby reduce alignment with the interests of our shareholders. Under our hedging and pledging policy, as revised in October of 2019, which is included in our Insider Trading Policy, all directors, officers, and employees, including their family members and designees, are prohibited at all times from (i) holding any Company securities in a margin account or pledging Company securities as collateral for a loan; (ii) engaging in transactions in puts, calls, or other derivative transactions relating to the Company's securities; (iii) short-selling securities of the Company; and (iv) purchasing any financial instruments (including prepaid variable forward contracts, equity swaps, collars, and exchange funds) that are designed to hedge or offset any decrease in the market value of any equity securities of the Company. The prohibition on hedging does not restrict general portfolio diversification transactions or investments in broad-based index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357568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analyze the total compensation paid to the Board of Directors. Semler Brossy assisted the Committee in reviewing the market data and made recommendations regarding the types and amounts of compensation the Company pays its non-employee directors. The Committee approved increases to the non-employee directors' compensation beginning in Fiscal 2019 and continuing in Fiscal 2020 as described below.</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Employee directors receive no additional compensation for serving on the Board or its committees. During Fiscal 2019, each of our non-employee directors received an annual retainer of $75,000 payable quarterly, a restricted stock unit award valued at $95,000, and reimbursement of expenses incurred in attending Board and committee meetings, and, due to their increased responsibilities and duties, the Chair of the Board received an additional annual retainer of $40,000, the Audit Committee Chair received an additional annual retainer of $10,000, and the Chairs of the other Board committees also received an additional annual retainer of $5,000. Commencing with the October 2019 restricted stock unit grant, directors will receive an increased equity award of $110,000, a $15,000 increase over the prior year, and the annual retainer for the Chair of the Board and of each committee was increased by $5,000, to $45,000 for the Chair of the Board, $15,000 for the Audit Committee Chair, and $10,000 for the Chairs of the other Board committees.</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Effective in October of 2018, all director awards became prospective for the upcoming year. This means that any new directors will receive a prorated award at the next regularly scheduled Board meeting, if the next regularly scheduled Board meeting is not the meeting at which annual awards are granted. Directors who joined prior to this time will receive an award of the annual grant prior to separation of service from the Board.</w:t>
      </w:r>
    </w:p>
    <w:p>
      <w:pPr>
        <w:spacing w:after="0" w:line="200"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Director Compensation</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Beginning  in  Fiscal  2018  and  continuing  in  Fiscal  2019,  the  Human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Resources Committee engaged Semler Brossy to</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828282"/>
        </w:rPr>
        <w:t>Director Compensation Table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total compensation paid to each non-employee director for Fiscal 2019, other than reimbursement for travel expenses: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160" w:type="dxa"/>
            <w:vAlign w:val="bottom"/>
            <w:shd w:val="clear" w:color="auto" w:fill="BF2115"/>
          </w:tcPr>
          <w:p>
            <w:pPr>
              <w:spacing w:after="0"/>
              <w:rPr>
                <w:sz w:val="17"/>
                <w:szCs w:val="17"/>
                <w:color w:val="auto"/>
              </w:rPr>
            </w:pPr>
          </w:p>
        </w:tc>
        <w:tc>
          <w:tcPr>
            <w:tcW w:w="1600" w:type="dxa"/>
            <w:vAlign w:val="bottom"/>
            <w:shd w:val="clear" w:color="auto" w:fill="BF2115"/>
          </w:tcPr>
          <w:p>
            <w:pPr>
              <w:spacing w:after="0"/>
              <w:rPr>
                <w:sz w:val="17"/>
                <w:szCs w:val="17"/>
                <w:color w:val="auto"/>
              </w:rPr>
            </w:pPr>
          </w:p>
        </w:tc>
        <w:tc>
          <w:tcPr>
            <w:tcW w:w="1520" w:type="dxa"/>
            <w:vAlign w:val="bottom"/>
            <w:shd w:val="clear" w:color="auto" w:fill="BF2115"/>
          </w:tcPr>
          <w:p>
            <w:pPr>
              <w:jc w:val="center"/>
              <w:ind w:right="99"/>
              <w:spacing w:after="0"/>
              <w:rPr>
                <w:sz w:val="20"/>
                <w:szCs w:val="20"/>
                <w:color w:val="auto"/>
              </w:rPr>
            </w:pPr>
            <w:r>
              <w:rPr>
                <w:rFonts w:ascii="Arial" w:cs="Arial" w:eastAsia="Arial" w:hAnsi="Arial"/>
                <w:sz w:val="16"/>
                <w:szCs w:val="16"/>
                <w:b w:val="1"/>
                <w:bCs w:val="1"/>
                <w:color w:val="FFFFFF"/>
              </w:rPr>
              <w:t>Fees Earned or</w:t>
            </w:r>
          </w:p>
        </w:tc>
        <w:tc>
          <w:tcPr>
            <w:tcW w:w="340" w:type="dxa"/>
            <w:vAlign w:val="bottom"/>
            <w:shd w:val="clear" w:color="auto" w:fill="BF2115"/>
          </w:tcPr>
          <w:p>
            <w:pPr>
              <w:spacing w:after="0"/>
              <w:rPr>
                <w:sz w:val="17"/>
                <w:szCs w:val="17"/>
                <w:color w:val="auto"/>
              </w:rPr>
            </w:pPr>
          </w:p>
        </w:tc>
        <w:tc>
          <w:tcPr>
            <w:tcW w:w="1460" w:type="dxa"/>
            <w:vAlign w:val="bottom"/>
            <w:shd w:val="clear" w:color="auto" w:fill="BF2115"/>
          </w:tcPr>
          <w:p>
            <w:pPr>
              <w:jc w:val="center"/>
              <w:ind w:right="299"/>
              <w:spacing w:after="0"/>
              <w:rPr>
                <w:sz w:val="20"/>
                <w:szCs w:val="20"/>
                <w:color w:val="auto"/>
              </w:rPr>
            </w:pPr>
            <w:r>
              <w:rPr>
                <w:rFonts w:ascii="Arial" w:cs="Arial" w:eastAsia="Arial" w:hAnsi="Arial"/>
                <w:sz w:val="16"/>
                <w:szCs w:val="16"/>
                <w:b w:val="1"/>
                <w:bCs w:val="1"/>
                <w:color w:val="FFFFFF"/>
              </w:rPr>
              <w:t>Stock</w:t>
            </w:r>
          </w:p>
        </w:tc>
        <w:tc>
          <w:tcPr>
            <w:tcW w:w="15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All Other</w:t>
            </w:r>
          </w:p>
        </w:tc>
        <w:tc>
          <w:tcPr>
            <w:tcW w:w="420" w:type="dxa"/>
            <w:vAlign w:val="bottom"/>
            <w:shd w:val="clear" w:color="auto" w:fill="BF2115"/>
          </w:tcPr>
          <w:p>
            <w:pPr>
              <w:spacing w:after="0"/>
              <w:rPr>
                <w:sz w:val="17"/>
                <w:szCs w:val="17"/>
                <w:color w:val="auto"/>
              </w:rPr>
            </w:pPr>
          </w:p>
        </w:tc>
        <w:tc>
          <w:tcPr>
            <w:tcW w:w="1380" w:type="dxa"/>
            <w:vAlign w:val="bottom"/>
            <w:shd w:val="clear" w:color="auto" w:fill="BF2115"/>
          </w:tcPr>
          <w:p>
            <w:pPr>
              <w:spacing w:after="0"/>
              <w:rPr>
                <w:sz w:val="17"/>
                <w:szCs w:val="17"/>
                <w:color w:val="auto"/>
              </w:rPr>
            </w:pPr>
          </w:p>
        </w:tc>
      </w:tr>
      <w:tr>
        <w:trPr>
          <w:trHeight w:val="189"/>
        </w:trPr>
        <w:tc>
          <w:tcPr>
            <w:tcW w:w="3160" w:type="dxa"/>
            <w:vAlign w:val="bottom"/>
            <w:shd w:val="clear" w:color="auto" w:fill="BF2115"/>
          </w:tcPr>
          <w:p>
            <w:pPr>
              <w:spacing w:after="0"/>
              <w:rPr>
                <w:sz w:val="16"/>
                <w:szCs w:val="16"/>
                <w:color w:val="auto"/>
              </w:rPr>
            </w:pPr>
          </w:p>
        </w:tc>
        <w:tc>
          <w:tcPr>
            <w:tcW w:w="1600" w:type="dxa"/>
            <w:vAlign w:val="bottom"/>
            <w:shd w:val="clear" w:color="auto" w:fill="BF2115"/>
          </w:tcPr>
          <w:p>
            <w:pPr>
              <w:spacing w:after="0"/>
              <w:rPr>
                <w:sz w:val="16"/>
                <w:szCs w:val="16"/>
                <w:color w:val="auto"/>
              </w:rPr>
            </w:pPr>
          </w:p>
        </w:tc>
        <w:tc>
          <w:tcPr>
            <w:tcW w:w="1520" w:type="dxa"/>
            <w:vAlign w:val="bottom"/>
            <w:shd w:val="clear" w:color="auto" w:fill="BF2115"/>
          </w:tcPr>
          <w:p>
            <w:pPr>
              <w:jc w:val="center"/>
              <w:ind w:right="59"/>
              <w:spacing w:after="0" w:line="189" w:lineRule="exact"/>
              <w:rPr>
                <w:sz w:val="20"/>
                <w:szCs w:val="20"/>
                <w:color w:val="auto"/>
              </w:rPr>
            </w:pPr>
            <w:r>
              <w:rPr>
                <w:rFonts w:ascii="Arial" w:cs="Arial" w:eastAsia="Arial" w:hAnsi="Arial"/>
                <w:sz w:val="16"/>
                <w:szCs w:val="16"/>
                <w:b w:val="1"/>
                <w:bCs w:val="1"/>
                <w:color w:val="FFFFFF"/>
                <w:w w:val="93"/>
              </w:rPr>
              <w:t>Paid in Cash</w:t>
            </w:r>
            <w:r>
              <w:rPr>
                <w:rFonts w:ascii="Arial" w:cs="Arial" w:eastAsia="Arial" w:hAnsi="Arial"/>
                <w:sz w:val="21"/>
                <w:szCs w:val="21"/>
                <w:b w:val="1"/>
                <w:bCs w:val="1"/>
                <w:color w:val="FFFFFF"/>
                <w:w w:val="93"/>
                <w:vertAlign w:val="superscript"/>
              </w:rPr>
              <w:t>(1)(2)</w:t>
            </w:r>
          </w:p>
        </w:tc>
        <w:tc>
          <w:tcPr>
            <w:tcW w:w="340" w:type="dxa"/>
            <w:vAlign w:val="bottom"/>
            <w:shd w:val="clear" w:color="auto" w:fill="BF2115"/>
          </w:tcPr>
          <w:p>
            <w:pPr>
              <w:spacing w:after="0"/>
              <w:rPr>
                <w:sz w:val="16"/>
                <w:szCs w:val="16"/>
                <w:color w:val="auto"/>
              </w:rPr>
            </w:pPr>
          </w:p>
        </w:tc>
        <w:tc>
          <w:tcPr>
            <w:tcW w:w="1460" w:type="dxa"/>
            <w:vAlign w:val="bottom"/>
            <w:shd w:val="clear" w:color="auto" w:fill="BF2115"/>
          </w:tcPr>
          <w:p>
            <w:pPr>
              <w:jc w:val="center"/>
              <w:ind w:right="299"/>
              <w:spacing w:after="0" w:line="189" w:lineRule="exact"/>
              <w:rPr>
                <w:sz w:val="20"/>
                <w:szCs w:val="20"/>
                <w:color w:val="auto"/>
              </w:rPr>
            </w:pPr>
            <w:r>
              <w:rPr>
                <w:rFonts w:ascii="Arial" w:cs="Arial" w:eastAsia="Arial" w:hAnsi="Arial"/>
                <w:sz w:val="16"/>
                <w:szCs w:val="16"/>
                <w:b w:val="1"/>
                <w:bCs w:val="1"/>
                <w:color w:val="FFFFFF"/>
                <w:w w:val="96"/>
              </w:rPr>
              <w:t>Awards</w:t>
            </w:r>
            <w:r>
              <w:rPr>
                <w:rFonts w:ascii="Arial" w:cs="Arial" w:eastAsia="Arial" w:hAnsi="Arial"/>
                <w:sz w:val="21"/>
                <w:szCs w:val="21"/>
                <w:b w:val="1"/>
                <w:bCs w:val="1"/>
                <w:color w:val="FFFFFF"/>
                <w:w w:val="96"/>
                <w:vertAlign w:val="superscript"/>
              </w:rPr>
              <w:t>(3)</w:t>
            </w:r>
          </w:p>
        </w:tc>
        <w:tc>
          <w:tcPr>
            <w:tcW w:w="1540" w:type="dxa"/>
            <w:vAlign w:val="bottom"/>
            <w:shd w:val="clear" w:color="auto" w:fill="BF2115"/>
          </w:tcPr>
          <w:p>
            <w:pPr>
              <w:jc w:val="center"/>
              <w:spacing w:after="0" w:line="189" w:lineRule="exact"/>
              <w:rPr>
                <w:sz w:val="20"/>
                <w:szCs w:val="20"/>
                <w:color w:val="auto"/>
              </w:rPr>
            </w:pPr>
            <w:r>
              <w:rPr>
                <w:rFonts w:ascii="Arial" w:cs="Arial" w:eastAsia="Arial" w:hAnsi="Arial"/>
                <w:sz w:val="16"/>
                <w:szCs w:val="16"/>
                <w:b w:val="1"/>
                <w:bCs w:val="1"/>
                <w:color w:val="FFFFFF"/>
                <w:w w:val="98"/>
              </w:rPr>
              <w:t>Compensation</w:t>
            </w:r>
            <w:r>
              <w:rPr>
                <w:rFonts w:ascii="Arial" w:cs="Arial" w:eastAsia="Arial" w:hAnsi="Arial"/>
                <w:sz w:val="21"/>
                <w:szCs w:val="21"/>
                <w:b w:val="1"/>
                <w:bCs w:val="1"/>
                <w:color w:val="FFFFFF"/>
                <w:w w:val="98"/>
                <w:vertAlign w:val="superscript"/>
              </w:rPr>
              <w:t>(4)</w:t>
            </w:r>
          </w:p>
        </w:tc>
        <w:tc>
          <w:tcPr>
            <w:tcW w:w="420" w:type="dxa"/>
            <w:vAlign w:val="bottom"/>
            <w:shd w:val="clear" w:color="auto" w:fill="BF2115"/>
          </w:tcPr>
          <w:p>
            <w:pPr>
              <w:spacing w:after="0"/>
              <w:rPr>
                <w:sz w:val="16"/>
                <w:szCs w:val="16"/>
                <w:color w:val="auto"/>
              </w:rPr>
            </w:pPr>
          </w:p>
        </w:tc>
        <w:tc>
          <w:tcPr>
            <w:tcW w:w="1380" w:type="dxa"/>
            <w:vAlign w:val="bottom"/>
            <w:shd w:val="clear" w:color="auto" w:fill="BF2115"/>
          </w:tcPr>
          <w:p>
            <w:pPr>
              <w:spacing w:after="0"/>
              <w:rPr>
                <w:sz w:val="16"/>
                <w:szCs w:val="16"/>
                <w:color w:val="auto"/>
              </w:rPr>
            </w:pPr>
          </w:p>
        </w:tc>
      </w:tr>
      <w:tr>
        <w:trPr>
          <w:trHeight w:val="234"/>
        </w:trPr>
        <w:tc>
          <w:tcPr>
            <w:tcW w:w="3160" w:type="dxa"/>
            <w:vAlign w:val="bottom"/>
            <w:shd w:val="clear" w:color="auto" w:fill="BF2115"/>
          </w:tcPr>
          <w:p>
            <w:pPr>
              <w:ind w:left="40"/>
              <w:spacing w:after="0"/>
              <w:rPr>
                <w:sz w:val="20"/>
                <w:szCs w:val="20"/>
                <w:color w:val="auto"/>
              </w:rPr>
            </w:pPr>
            <w:r>
              <w:rPr>
                <w:rFonts w:ascii="Arial" w:cs="Arial" w:eastAsia="Arial" w:hAnsi="Arial"/>
                <w:sz w:val="16"/>
                <w:szCs w:val="16"/>
                <w:b w:val="1"/>
                <w:bCs w:val="1"/>
                <w:color w:val="FFFFFF"/>
              </w:rPr>
              <w:t>Director</w:t>
            </w:r>
          </w:p>
        </w:tc>
        <w:tc>
          <w:tcPr>
            <w:tcW w:w="1600" w:type="dxa"/>
            <w:vAlign w:val="bottom"/>
            <w:shd w:val="clear" w:color="auto" w:fill="BF2115"/>
          </w:tcPr>
          <w:p>
            <w:pPr>
              <w:spacing w:after="0"/>
              <w:rPr>
                <w:sz w:val="20"/>
                <w:szCs w:val="20"/>
                <w:color w:val="auto"/>
              </w:rPr>
            </w:pPr>
          </w:p>
        </w:tc>
        <w:tc>
          <w:tcPr>
            <w:tcW w:w="1520" w:type="dxa"/>
            <w:vAlign w:val="bottom"/>
            <w:shd w:val="clear" w:color="auto" w:fill="BF2115"/>
          </w:tcPr>
          <w:p>
            <w:pPr>
              <w:jc w:val="center"/>
              <w:ind w:right="59"/>
              <w:spacing w:after="0"/>
              <w:rPr>
                <w:sz w:val="20"/>
                <w:szCs w:val="20"/>
                <w:color w:val="auto"/>
              </w:rPr>
            </w:pPr>
            <w:r>
              <w:rPr>
                <w:rFonts w:ascii="Arial" w:cs="Arial" w:eastAsia="Arial" w:hAnsi="Arial"/>
                <w:sz w:val="16"/>
                <w:szCs w:val="16"/>
                <w:b w:val="1"/>
                <w:bCs w:val="1"/>
                <w:color w:val="FFFFFF"/>
                <w:w w:val="91"/>
              </w:rPr>
              <w:t>($)</w:t>
            </w:r>
          </w:p>
        </w:tc>
        <w:tc>
          <w:tcPr>
            <w:tcW w:w="340" w:type="dxa"/>
            <w:vAlign w:val="bottom"/>
            <w:shd w:val="clear" w:color="auto" w:fill="BF2115"/>
          </w:tcPr>
          <w:p>
            <w:pPr>
              <w:spacing w:after="0"/>
              <w:rPr>
                <w:sz w:val="20"/>
                <w:szCs w:val="20"/>
                <w:color w:val="auto"/>
              </w:rPr>
            </w:pPr>
          </w:p>
        </w:tc>
        <w:tc>
          <w:tcPr>
            <w:tcW w:w="1460" w:type="dxa"/>
            <w:vAlign w:val="bottom"/>
            <w:shd w:val="clear" w:color="auto" w:fill="BF2115"/>
          </w:tcPr>
          <w:p>
            <w:pPr>
              <w:jc w:val="center"/>
              <w:ind w:right="299"/>
              <w:spacing w:after="0"/>
              <w:rPr>
                <w:sz w:val="20"/>
                <w:szCs w:val="20"/>
                <w:color w:val="auto"/>
              </w:rPr>
            </w:pPr>
            <w:r>
              <w:rPr>
                <w:rFonts w:ascii="Arial" w:cs="Arial" w:eastAsia="Arial" w:hAnsi="Arial"/>
                <w:sz w:val="16"/>
                <w:szCs w:val="16"/>
                <w:b w:val="1"/>
                <w:bCs w:val="1"/>
                <w:color w:val="FFFFFF"/>
              </w:rPr>
              <w:t>($)</w:t>
            </w:r>
          </w:p>
        </w:tc>
        <w:tc>
          <w:tcPr>
            <w:tcW w:w="15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420" w:type="dxa"/>
            <w:vAlign w:val="bottom"/>
            <w:shd w:val="clear" w:color="auto" w:fill="BF2115"/>
          </w:tcPr>
          <w:p>
            <w:pPr>
              <w:spacing w:after="0"/>
              <w:rPr>
                <w:sz w:val="20"/>
                <w:szCs w:val="20"/>
                <w:color w:val="auto"/>
              </w:rPr>
            </w:pPr>
          </w:p>
        </w:tc>
        <w:tc>
          <w:tcPr>
            <w:tcW w:w="1380" w:type="dxa"/>
            <w:vAlign w:val="bottom"/>
            <w:shd w:val="clear" w:color="auto" w:fill="BF2115"/>
          </w:tcPr>
          <w:p>
            <w:pPr>
              <w:jc w:val="right"/>
              <w:ind w:right="459"/>
              <w:spacing w:after="0"/>
              <w:rPr>
                <w:sz w:val="20"/>
                <w:szCs w:val="20"/>
                <w:color w:val="auto"/>
              </w:rPr>
            </w:pPr>
            <w:r>
              <w:rPr>
                <w:rFonts w:ascii="Arial" w:cs="Arial" w:eastAsia="Arial" w:hAnsi="Arial"/>
                <w:sz w:val="16"/>
                <w:szCs w:val="16"/>
                <w:b w:val="1"/>
                <w:bCs w:val="1"/>
                <w:color w:val="FFFFFF"/>
              </w:rPr>
              <w:t>Total ($)</w:t>
            </w:r>
          </w:p>
        </w:tc>
      </w:tr>
      <w:tr>
        <w:trPr>
          <w:trHeight w:val="243"/>
        </w:trPr>
        <w:tc>
          <w:tcPr>
            <w:tcW w:w="3160" w:type="dxa"/>
            <w:vAlign w:val="bottom"/>
            <w:shd w:val="clear" w:color="auto" w:fill="ACACAC"/>
          </w:tcPr>
          <w:p>
            <w:pPr>
              <w:ind w:left="40"/>
              <w:spacing w:after="0"/>
              <w:rPr>
                <w:sz w:val="20"/>
                <w:szCs w:val="20"/>
                <w:color w:val="auto"/>
              </w:rPr>
            </w:pPr>
            <w:r>
              <w:rPr>
                <w:rFonts w:ascii="Arial" w:cs="Arial" w:eastAsia="Arial" w:hAnsi="Arial"/>
                <w:sz w:val="16"/>
                <w:szCs w:val="16"/>
                <w:color w:val="auto"/>
              </w:rPr>
              <w:t>Maria F. Blase</w:t>
            </w:r>
          </w:p>
        </w:tc>
        <w:tc>
          <w:tcPr>
            <w:tcW w:w="1600" w:type="dxa"/>
            <w:vAlign w:val="bottom"/>
            <w:shd w:val="clear" w:color="auto" w:fill="ACACA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71,250</w:t>
            </w:r>
          </w:p>
        </w:tc>
        <w:tc>
          <w:tcPr>
            <w:tcW w:w="340" w:type="dxa"/>
            <w:vAlign w:val="bottom"/>
            <w:shd w:val="clear" w:color="auto" w:fill="ACACAC"/>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ACACAC"/>
          </w:tcPr>
          <w:p>
            <w:pPr>
              <w:jc w:val="right"/>
              <w:ind w:right="99"/>
              <w:spacing w:after="0"/>
              <w:rPr>
                <w:sz w:val="20"/>
                <w:szCs w:val="20"/>
                <w:color w:val="auto"/>
              </w:rPr>
            </w:pPr>
            <w:r>
              <w:rPr>
                <w:rFonts w:ascii="Arial" w:cs="Arial" w:eastAsia="Arial" w:hAnsi="Arial"/>
                <w:sz w:val="16"/>
                <w:szCs w:val="16"/>
                <w:color w:val="auto"/>
              </w:rPr>
              <w:t>95,005</w:t>
            </w:r>
          </w:p>
        </w:tc>
        <w:tc>
          <w:tcPr>
            <w:tcW w:w="1540" w:type="dxa"/>
            <w:vAlign w:val="bottom"/>
            <w:shd w:val="clear" w:color="auto" w:fill="ACACAC"/>
          </w:tcPr>
          <w:p>
            <w:pPr>
              <w:jc w:val="center"/>
              <w:spacing w:after="0"/>
              <w:rPr>
                <w:sz w:val="20"/>
                <w:szCs w:val="20"/>
                <w:color w:val="auto"/>
              </w:rPr>
            </w:pPr>
            <w:r>
              <w:rPr>
                <w:rFonts w:ascii="Arial" w:cs="Arial" w:eastAsia="Arial" w:hAnsi="Arial"/>
                <w:sz w:val="16"/>
                <w:szCs w:val="16"/>
                <w:color w:val="auto"/>
              </w:rPr>
              <w:t>$—</w:t>
            </w:r>
          </w:p>
        </w:tc>
        <w:tc>
          <w:tcPr>
            <w:tcW w:w="420" w:type="dxa"/>
            <w:vAlign w:val="bottom"/>
            <w:shd w:val="clear" w:color="auto" w:fill="ACACAC"/>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166,255</w:t>
            </w:r>
          </w:p>
        </w:tc>
      </w:tr>
      <w:tr>
        <w:trPr>
          <w:trHeight w:val="233"/>
        </w:trPr>
        <w:tc>
          <w:tcPr>
            <w:tcW w:w="3160" w:type="dxa"/>
            <w:vAlign w:val="bottom"/>
          </w:tcPr>
          <w:p>
            <w:pPr>
              <w:ind w:left="40"/>
              <w:spacing w:after="0"/>
              <w:rPr>
                <w:sz w:val="20"/>
                <w:szCs w:val="20"/>
                <w:color w:val="auto"/>
              </w:rPr>
            </w:pPr>
            <w:r>
              <w:rPr>
                <w:rFonts w:ascii="Arial" w:cs="Arial" w:eastAsia="Arial" w:hAnsi="Arial"/>
                <w:sz w:val="16"/>
                <w:szCs w:val="16"/>
                <w:color w:val="auto"/>
              </w:rPr>
              <w:t>Christopher J. Braun</w:t>
            </w:r>
          </w:p>
        </w:tc>
        <w:tc>
          <w:tcPr>
            <w:tcW w:w="16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75,000</w:t>
            </w:r>
          </w:p>
        </w:tc>
        <w:tc>
          <w:tcPr>
            <w:tcW w:w="340" w:type="dxa"/>
            <w:vAlign w:val="bottom"/>
          </w:tcPr>
          <w:p>
            <w:pPr>
              <w:spacing w:after="0"/>
              <w:rPr>
                <w:sz w:val="20"/>
                <w:szCs w:val="20"/>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95,005</w:t>
            </w:r>
          </w:p>
        </w:tc>
        <w:tc>
          <w:tcPr>
            <w:tcW w:w="15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170,005</w:t>
            </w:r>
          </w:p>
        </w:tc>
      </w:tr>
      <w:tr>
        <w:trPr>
          <w:trHeight w:val="253"/>
        </w:trPr>
        <w:tc>
          <w:tcPr>
            <w:tcW w:w="3160" w:type="dxa"/>
            <w:vAlign w:val="bottom"/>
            <w:shd w:val="clear" w:color="auto" w:fill="ACACAC"/>
          </w:tcPr>
          <w:p>
            <w:pPr>
              <w:ind w:left="40"/>
              <w:spacing w:after="0"/>
              <w:rPr>
                <w:sz w:val="20"/>
                <w:szCs w:val="20"/>
                <w:color w:val="auto"/>
              </w:rPr>
            </w:pPr>
            <w:r>
              <w:rPr>
                <w:rFonts w:ascii="Arial" w:cs="Arial" w:eastAsia="Arial" w:hAnsi="Arial"/>
                <w:sz w:val="16"/>
                <w:szCs w:val="16"/>
                <w:color w:val="auto"/>
              </w:rPr>
              <w:t>Robert M. Chiusano</w:t>
            </w:r>
          </w:p>
        </w:tc>
        <w:tc>
          <w:tcPr>
            <w:tcW w:w="1600" w:type="dxa"/>
            <w:vAlign w:val="bottom"/>
            <w:shd w:val="clear" w:color="auto" w:fill="ACACAC"/>
          </w:tcPr>
          <w:p>
            <w:pPr>
              <w:spacing w:after="0"/>
              <w:rPr>
                <w:sz w:val="21"/>
                <w:szCs w:val="21"/>
                <w:color w:val="auto"/>
              </w:rPr>
            </w:pPr>
          </w:p>
        </w:tc>
        <w:tc>
          <w:tcPr>
            <w:tcW w:w="15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106,667</w:t>
            </w:r>
          </w:p>
        </w:tc>
        <w:tc>
          <w:tcPr>
            <w:tcW w:w="340" w:type="dxa"/>
            <w:vAlign w:val="bottom"/>
            <w:shd w:val="clear" w:color="auto" w:fill="ACACAC"/>
          </w:tcPr>
          <w:p>
            <w:pPr>
              <w:spacing w:after="0"/>
              <w:rPr>
                <w:sz w:val="21"/>
                <w:szCs w:val="21"/>
                <w:color w:val="auto"/>
              </w:rPr>
            </w:pPr>
          </w:p>
        </w:tc>
        <w:tc>
          <w:tcPr>
            <w:tcW w:w="1460" w:type="dxa"/>
            <w:vAlign w:val="bottom"/>
            <w:shd w:val="clear" w:color="auto" w:fill="ACACAC"/>
          </w:tcPr>
          <w:p>
            <w:pPr>
              <w:jc w:val="right"/>
              <w:ind w:right="99"/>
              <w:spacing w:after="0"/>
              <w:rPr>
                <w:sz w:val="20"/>
                <w:szCs w:val="20"/>
                <w:color w:val="auto"/>
              </w:rPr>
            </w:pPr>
            <w:r>
              <w:rPr>
                <w:rFonts w:ascii="Arial" w:cs="Arial" w:eastAsia="Arial" w:hAnsi="Arial"/>
                <w:sz w:val="16"/>
                <w:szCs w:val="16"/>
                <w:color w:val="auto"/>
              </w:rPr>
              <w:t>95,005</w:t>
            </w:r>
          </w:p>
        </w:tc>
        <w:tc>
          <w:tcPr>
            <w:tcW w:w="1540" w:type="dxa"/>
            <w:vAlign w:val="bottom"/>
            <w:shd w:val="clear" w:color="auto" w:fill="ACACAC"/>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shd w:val="clear" w:color="auto" w:fill="ACACAC"/>
          </w:tcPr>
          <w:p>
            <w:pPr>
              <w:spacing w:after="0"/>
              <w:rPr>
                <w:sz w:val="21"/>
                <w:szCs w:val="21"/>
                <w:color w:val="auto"/>
              </w:rPr>
            </w:pPr>
          </w:p>
        </w:tc>
        <w:tc>
          <w:tcPr>
            <w:tcW w:w="138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201,672</w:t>
            </w:r>
          </w:p>
        </w:tc>
      </w:tr>
      <w:tr>
        <w:trPr>
          <w:trHeight w:val="233"/>
        </w:trPr>
        <w:tc>
          <w:tcPr>
            <w:tcW w:w="3160" w:type="dxa"/>
            <w:vAlign w:val="bottom"/>
          </w:tcPr>
          <w:p>
            <w:pPr>
              <w:ind w:left="40"/>
              <w:spacing w:after="0"/>
              <w:rPr>
                <w:sz w:val="20"/>
                <w:szCs w:val="20"/>
                <w:color w:val="auto"/>
              </w:rPr>
            </w:pPr>
            <w:r>
              <w:rPr>
                <w:rFonts w:ascii="Arial" w:cs="Arial" w:eastAsia="Arial" w:hAnsi="Arial"/>
                <w:sz w:val="16"/>
                <w:szCs w:val="16"/>
                <w:color w:val="auto"/>
              </w:rPr>
              <w:t>William C. Fisher</w:t>
            </w:r>
          </w:p>
        </w:tc>
        <w:tc>
          <w:tcPr>
            <w:tcW w:w="16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80,000</w:t>
            </w:r>
          </w:p>
        </w:tc>
        <w:tc>
          <w:tcPr>
            <w:tcW w:w="340" w:type="dxa"/>
            <w:vAlign w:val="bottom"/>
          </w:tcPr>
          <w:p>
            <w:pPr>
              <w:spacing w:after="0"/>
              <w:rPr>
                <w:sz w:val="20"/>
                <w:szCs w:val="20"/>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95,005</w:t>
            </w:r>
          </w:p>
        </w:tc>
        <w:tc>
          <w:tcPr>
            <w:tcW w:w="15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175,005</w:t>
            </w:r>
          </w:p>
        </w:tc>
      </w:tr>
      <w:tr>
        <w:trPr>
          <w:trHeight w:val="253"/>
        </w:trPr>
        <w:tc>
          <w:tcPr>
            <w:tcW w:w="3160" w:type="dxa"/>
            <w:vAlign w:val="bottom"/>
            <w:shd w:val="clear" w:color="auto" w:fill="ACACAC"/>
          </w:tcPr>
          <w:p>
            <w:pPr>
              <w:ind w:left="40"/>
              <w:spacing w:after="0"/>
              <w:rPr>
                <w:sz w:val="20"/>
                <w:szCs w:val="20"/>
                <w:color w:val="auto"/>
              </w:rPr>
            </w:pPr>
            <w:r>
              <w:rPr>
                <w:rFonts w:ascii="Arial" w:cs="Arial" w:eastAsia="Arial" w:hAnsi="Arial"/>
                <w:sz w:val="16"/>
                <w:szCs w:val="16"/>
                <w:color w:val="auto"/>
              </w:rPr>
              <w:t>David W. Miles</w:t>
            </w:r>
          </w:p>
        </w:tc>
        <w:tc>
          <w:tcPr>
            <w:tcW w:w="1600" w:type="dxa"/>
            <w:vAlign w:val="bottom"/>
            <w:shd w:val="clear" w:color="auto" w:fill="ACACAC"/>
          </w:tcPr>
          <w:p>
            <w:pPr>
              <w:spacing w:after="0"/>
              <w:rPr>
                <w:sz w:val="21"/>
                <w:szCs w:val="21"/>
                <w:color w:val="auto"/>
              </w:rPr>
            </w:pPr>
          </w:p>
        </w:tc>
        <w:tc>
          <w:tcPr>
            <w:tcW w:w="15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87,292</w:t>
            </w:r>
          </w:p>
        </w:tc>
        <w:tc>
          <w:tcPr>
            <w:tcW w:w="340" w:type="dxa"/>
            <w:vAlign w:val="bottom"/>
            <w:shd w:val="clear" w:color="auto" w:fill="ACACAC"/>
          </w:tcPr>
          <w:p>
            <w:pPr>
              <w:spacing w:after="0"/>
              <w:rPr>
                <w:sz w:val="21"/>
                <w:szCs w:val="21"/>
                <w:color w:val="auto"/>
              </w:rPr>
            </w:pPr>
          </w:p>
        </w:tc>
        <w:tc>
          <w:tcPr>
            <w:tcW w:w="1460" w:type="dxa"/>
            <w:vAlign w:val="bottom"/>
            <w:shd w:val="clear" w:color="auto" w:fill="ACACAC"/>
          </w:tcPr>
          <w:p>
            <w:pPr>
              <w:jc w:val="right"/>
              <w:ind w:right="99"/>
              <w:spacing w:after="0"/>
              <w:rPr>
                <w:sz w:val="20"/>
                <w:szCs w:val="20"/>
                <w:color w:val="auto"/>
              </w:rPr>
            </w:pPr>
            <w:r>
              <w:rPr>
                <w:rFonts w:ascii="Arial" w:cs="Arial" w:eastAsia="Arial" w:hAnsi="Arial"/>
                <w:sz w:val="16"/>
                <w:szCs w:val="16"/>
                <w:color w:val="auto"/>
              </w:rPr>
              <w:t>95,005</w:t>
            </w:r>
          </w:p>
        </w:tc>
        <w:tc>
          <w:tcPr>
            <w:tcW w:w="1540" w:type="dxa"/>
            <w:vAlign w:val="bottom"/>
            <w:shd w:val="clear" w:color="auto" w:fill="ACACAC"/>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shd w:val="clear" w:color="auto" w:fill="ACACAC"/>
          </w:tcPr>
          <w:p>
            <w:pPr>
              <w:spacing w:after="0"/>
              <w:rPr>
                <w:sz w:val="21"/>
                <w:szCs w:val="21"/>
                <w:color w:val="auto"/>
              </w:rPr>
            </w:pPr>
          </w:p>
        </w:tc>
        <w:tc>
          <w:tcPr>
            <w:tcW w:w="138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182,297</w:t>
            </w:r>
          </w:p>
        </w:tc>
      </w:tr>
      <w:tr>
        <w:trPr>
          <w:trHeight w:val="233"/>
        </w:trPr>
        <w:tc>
          <w:tcPr>
            <w:tcW w:w="3160" w:type="dxa"/>
            <w:vAlign w:val="bottom"/>
          </w:tcPr>
          <w:p>
            <w:pPr>
              <w:ind w:left="40"/>
              <w:spacing w:after="0"/>
              <w:rPr>
                <w:sz w:val="20"/>
                <w:szCs w:val="20"/>
                <w:color w:val="auto"/>
              </w:rPr>
            </w:pPr>
            <w:r>
              <w:rPr>
                <w:rFonts w:ascii="Arial" w:cs="Arial" w:eastAsia="Arial" w:hAnsi="Arial"/>
                <w:sz w:val="16"/>
                <w:szCs w:val="16"/>
                <w:color w:val="auto"/>
              </w:rPr>
              <w:t>Richard D. Moss</w:t>
            </w:r>
          </w:p>
        </w:tc>
        <w:tc>
          <w:tcPr>
            <w:tcW w:w="16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85,000</w:t>
            </w:r>
          </w:p>
        </w:tc>
        <w:tc>
          <w:tcPr>
            <w:tcW w:w="340" w:type="dxa"/>
            <w:vAlign w:val="bottom"/>
          </w:tcPr>
          <w:p>
            <w:pPr>
              <w:spacing w:after="0"/>
              <w:rPr>
                <w:sz w:val="20"/>
                <w:szCs w:val="20"/>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95,005</w:t>
            </w:r>
          </w:p>
        </w:tc>
        <w:tc>
          <w:tcPr>
            <w:tcW w:w="15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180,005</w:t>
            </w:r>
          </w:p>
        </w:tc>
      </w:tr>
      <w:tr>
        <w:trPr>
          <w:trHeight w:val="253"/>
        </w:trPr>
        <w:tc>
          <w:tcPr>
            <w:tcW w:w="3160" w:type="dxa"/>
            <w:vAlign w:val="bottom"/>
            <w:shd w:val="clear" w:color="auto" w:fill="ACACAC"/>
          </w:tcPr>
          <w:p>
            <w:pPr>
              <w:ind w:left="40"/>
              <w:spacing w:after="0"/>
              <w:rPr>
                <w:sz w:val="20"/>
                <w:szCs w:val="20"/>
                <w:color w:val="auto"/>
              </w:rPr>
            </w:pPr>
            <w:r>
              <w:rPr>
                <w:rFonts w:ascii="Arial" w:cs="Arial" w:eastAsia="Arial" w:hAnsi="Arial"/>
                <w:sz w:val="16"/>
                <w:szCs w:val="16"/>
                <w:color w:val="auto"/>
              </w:rPr>
              <w:t>John M. Murabito</w:t>
            </w:r>
          </w:p>
        </w:tc>
        <w:tc>
          <w:tcPr>
            <w:tcW w:w="1600" w:type="dxa"/>
            <w:vAlign w:val="bottom"/>
            <w:shd w:val="clear" w:color="auto" w:fill="ACACAC"/>
          </w:tcPr>
          <w:p>
            <w:pPr>
              <w:spacing w:after="0"/>
              <w:rPr>
                <w:sz w:val="21"/>
                <w:szCs w:val="21"/>
                <w:color w:val="auto"/>
              </w:rPr>
            </w:pPr>
          </w:p>
        </w:tc>
        <w:tc>
          <w:tcPr>
            <w:tcW w:w="15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80,000</w:t>
            </w:r>
          </w:p>
        </w:tc>
        <w:tc>
          <w:tcPr>
            <w:tcW w:w="340" w:type="dxa"/>
            <w:vAlign w:val="bottom"/>
            <w:shd w:val="clear" w:color="auto" w:fill="ACACAC"/>
          </w:tcPr>
          <w:p>
            <w:pPr>
              <w:spacing w:after="0"/>
              <w:rPr>
                <w:sz w:val="21"/>
                <w:szCs w:val="21"/>
                <w:color w:val="auto"/>
              </w:rPr>
            </w:pPr>
          </w:p>
        </w:tc>
        <w:tc>
          <w:tcPr>
            <w:tcW w:w="1460" w:type="dxa"/>
            <w:vAlign w:val="bottom"/>
            <w:shd w:val="clear" w:color="auto" w:fill="ACACAC"/>
          </w:tcPr>
          <w:p>
            <w:pPr>
              <w:jc w:val="right"/>
              <w:ind w:right="99"/>
              <w:spacing w:after="0"/>
              <w:rPr>
                <w:sz w:val="20"/>
                <w:szCs w:val="20"/>
                <w:color w:val="auto"/>
              </w:rPr>
            </w:pPr>
            <w:r>
              <w:rPr>
                <w:rFonts w:ascii="Arial" w:cs="Arial" w:eastAsia="Arial" w:hAnsi="Arial"/>
                <w:sz w:val="16"/>
                <w:szCs w:val="16"/>
                <w:color w:val="auto"/>
              </w:rPr>
              <w:t>95,005</w:t>
            </w:r>
          </w:p>
        </w:tc>
        <w:tc>
          <w:tcPr>
            <w:tcW w:w="1540" w:type="dxa"/>
            <w:vAlign w:val="bottom"/>
            <w:shd w:val="clear" w:color="auto" w:fill="ACACAC"/>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shd w:val="clear" w:color="auto" w:fill="ACACAC"/>
          </w:tcPr>
          <w:p>
            <w:pPr>
              <w:spacing w:after="0"/>
              <w:rPr>
                <w:sz w:val="21"/>
                <w:szCs w:val="21"/>
                <w:color w:val="auto"/>
              </w:rPr>
            </w:pPr>
          </w:p>
        </w:tc>
        <w:tc>
          <w:tcPr>
            <w:tcW w:w="138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175,005</w:t>
            </w:r>
          </w:p>
        </w:tc>
      </w:tr>
      <w:tr>
        <w:trPr>
          <w:trHeight w:val="300"/>
        </w:trPr>
        <w:tc>
          <w:tcPr>
            <w:tcW w:w="3160" w:type="dxa"/>
            <w:vAlign w:val="bottom"/>
          </w:tcPr>
          <w:p>
            <w:pPr>
              <w:ind w:left="40"/>
              <w:spacing w:after="0"/>
              <w:rPr>
                <w:sz w:val="20"/>
                <w:szCs w:val="20"/>
                <w:color w:val="auto"/>
              </w:rPr>
            </w:pPr>
            <w:r>
              <w:rPr>
                <w:rFonts w:ascii="Arial" w:cs="Arial" w:eastAsia="Arial" w:hAnsi="Arial"/>
                <w:sz w:val="16"/>
                <w:szCs w:val="16"/>
                <w:color w:val="auto"/>
              </w:rPr>
              <w:t>Martha T. Rodamaker</w:t>
            </w:r>
            <w:r>
              <w:rPr>
                <w:rFonts w:ascii="Arial" w:cs="Arial" w:eastAsia="Arial" w:hAnsi="Arial"/>
                <w:sz w:val="21"/>
                <w:szCs w:val="21"/>
                <w:color w:val="auto"/>
                <w:vertAlign w:val="superscript"/>
              </w:rPr>
              <w:t>(5)</w:t>
            </w:r>
          </w:p>
        </w:tc>
        <w:tc>
          <w:tcPr>
            <w:tcW w:w="16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21,023</w:t>
            </w:r>
          </w:p>
        </w:tc>
        <w:tc>
          <w:tcPr>
            <w:tcW w:w="340" w:type="dxa"/>
            <w:vAlign w:val="bottom"/>
          </w:tcPr>
          <w:p>
            <w:pPr>
              <w:spacing w:after="0"/>
              <w:rPr>
                <w:sz w:val="24"/>
                <w:szCs w:val="24"/>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95,005</w:t>
            </w:r>
          </w:p>
        </w:tc>
        <w:tc>
          <w:tcPr>
            <w:tcW w:w="15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Pr>
          <w:p>
            <w:pPr>
              <w:spacing w:after="0"/>
              <w:rPr>
                <w:sz w:val="24"/>
                <w:szCs w:val="24"/>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116,028</w:t>
            </w:r>
          </w:p>
        </w:tc>
      </w:tr>
    </w:tbl>
    <w:p>
      <w:pPr>
        <w:spacing w:after="0" w:line="2"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3"/>
          <w:szCs w:val="13"/>
          <w:color w:val="auto"/>
        </w:rPr>
      </w:pPr>
      <w:r>
        <w:rPr>
          <w:rFonts w:ascii="Arial" w:cs="Arial" w:eastAsia="Arial" w:hAnsi="Arial"/>
          <w:sz w:val="14"/>
          <w:szCs w:val="14"/>
          <w:color w:val="auto"/>
        </w:rPr>
        <w:t>Our directors may elect to receive retainer fees in cash or may defer their retainer fees into the Directors' Deferred Compensation Plan.</w:t>
      </w:r>
    </w:p>
    <w:p>
      <w:pPr>
        <w:spacing w:after="0" w:line="1" w:lineRule="exact"/>
        <w:rPr>
          <w:rFonts w:ascii="Arial" w:cs="Arial" w:eastAsia="Arial" w:hAnsi="Arial"/>
          <w:sz w:val="13"/>
          <w:szCs w:val="13"/>
          <w:color w:val="auto"/>
        </w:rPr>
      </w:pPr>
    </w:p>
    <w:p>
      <w:pPr>
        <w:ind w:left="260" w:hanging="252"/>
        <w:spacing w:after="0" w:line="258" w:lineRule="auto"/>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Chair of the Board received an additional $40,000 retainer per year, the Audit Committee Chair receives an additional $10,000 retainer per year, and the Chairs of the other Board committees receive an additional $5,000 retainer per year, each of which are reflected in these figures.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303" w:right="239" w:bottom="1440" w:gutter="0" w:footer="0" w:header="0"/>
          <w:type w:val="continuous"/>
        </w:sectPr>
      </w:pPr>
    </w:p>
    <w:bookmarkStart w:id="13" w:name="page14"/>
    <w:bookmarkEnd w:id="13"/>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4"/>
          <w:szCs w:val="14"/>
          <w:color w:val="auto"/>
        </w:rPr>
        <w:t>These awards are valued at $31.70 per share, the closing stock price on October 15, 2018, the date of the restricted stock grant.</w:t>
      </w:r>
    </w:p>
    <w:p>
      <w:pPr>
        <w:spacing w:after="0" w:line="1" w:lineRule="exact"/>
        <w:rPr>
          <w:rFonts w:ascii="Arial" w:cs="Arial" w:eastAsia="Arial" w:hAnsi="Arial"/>
          <w:sz w:val="13"/>
          <w:szCs w:val="13"/>
          <w:color w:val="auto"/>
        </w:rPr>
      </w:pPr>
    </w:p>
    <w:p>
      <w:pPr>
        <w:ind w:left="260" w:hanging="252"/>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4"/>
          <w:szCs w:val="14"/>
          <w:color w:val="auto"/>
        </w:rPr>
        <w:t>None of the directors received perquisites and other personal benefits in an aggregate amount of $10,000 or more.</w:t>
      </w:r>
    </w:p>
    <w:p>
      <w:pPr>
        <w:spacing w:after="0" w:line="1" w:lineRule="exact"/>
        <w:rPr>
          <w:rFonts w:ascii="Arial" w:cs="Arial" w:eastAsia="Arial" w:hAnsi="Arial"/>
          <w:sz w:val="13"/>
          <w:szCs w:val="13"/>
          <w:color w:val="auto"/>
        </w:rPr>
      </w:pPr>
    </w:p>
    <w:p>
      <w:pPr>
        <w:ind w:left="260" w:hanging="252"/>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Ms. Rodamaker retired from the Board of Directors on December 11, 2018.</w:t>
      </w:r>
    </w:p>
    <w:p>
      <w:pPr>
        <w:sectPr>
          <w:pgSz w:w="11900" w:h="16838" w:orient="portrait"/>
          <w:cols w:equalWidth="0" w:num="1">
            <w:col w:w="11420"/>
          </w:cols>
          <w:pgMar w:left="240" w:top="303" w:right="239" w:bottom="1440" w:gutter="0" w:footer="0" w:header="0"/>
        </w:sectPr>
      </w:pPr>
    </w:p>
    <w:p>
      <w:pPr>
        <w:spacing w:after="0" w:line="219" w:lineRule="exact"/>
        <w:rPr>
          <w:sz w:val="20"/>
          <w:szCs w:val="20"/>
          <w:color w:val="auto"/>
        </w:rPr>
      </w:pPr>
    </w:p>
    <w:p>
      <w:pPr>
        <w:ind w:right="160"/>
        <w:spacing w:after="0" w:line="249" w:lineRule="auto"/>
        <w:rPr>
          <w:sz w:val="20"/>
          <w:szCs w:val="20"/>
          <w:color w:val="auto"/>
        </w:rPr>
      </w:pPr>
      <w:r>
        <w:rPr>
          <w:rFonts w:ascii="Arial" w:cs="Arial" w:eastAsia="Arial" w:hAnsi="Arial"/>
          <w:sz w:val="22"/>
          <w:szCs w:val="22"/>
          <w:color w:val="828282"/>
        </w:rPr>
        <w:t>Non-Employee Director Equity Awards Outstanding as of August 31, 2019</w:t>
      </w:r>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August 31, 2019, our non-employee directors held the restricted stock awards and stock units set forth below. The stock units in the right column were granted under the Directors' Deferred Compensation Plan described below.</w:t>
      </w:r>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940" w:type="dxa"/>
            <w:vAlign w:val="bottom"/>
            <w:shd w:val="clear" w:color="auto" w:fill="BF2115"/>
          </w:tcPr>
          <w:p>
            <w:pPr>
              <w:spacing w:after="0"/>
              <w:rPr>
                <w:sz w:val="17"/>
                <w:szCs w:val="17"/>
                <w:color w:val="auto"/>
              </w:rPr>
            </w:pPr>
          </w:p>
        </w:tc>
        <w:tc>
          <w:tcPr>
            <w:tcW w:w="1860" w:type="dxa"/>
            <w:vAlign w:val="bottom"/>
            <w:shd w:val="clear" w:color="auto" w:fill="BF2115"/>
          </w:tcPr>
          <w:p>
            <w:pPr>
              <w:jc w:val="right"/>
              <w:ind w:right="139"/>
              <w:spacing w:after="0"/>
              <w:rPr>
                <w:sz w:val="20"/>
                <w:szCs w:val="20"/>
                <w:color w:val="auto"/>
              </w:rPr>
            </w:pPr>
            <w:r>
              <w:rPr>
                <w:rFonts w:ascii="Arial" w:cs="Arial" w:eastAsia="Arial" w:hAnsi="Arial"/>
                <w:sz w:val="16"/>
                <w:szCs w:val="16"/>
                <w:b w:val="1"/>
                <w:bCs w:val="1"/>
                <w:color w:val="FFFFFF"/>
              </w:rPr>
              <w:t>Restricted Stock</w:t>
            </w:r>
          </w:p>
        </w:tc>
        <w:tc>
          <w:tcPr>
            <w:tcW w:w="1680" w:type="dxa"/>
            <w:vAlign w:val="bottom"/>
            <w:shd w:val="clear" w:color="auto" w:fill="BF2115"/>
          </w:tcPr>
          <w:p>
            <w:pPr>
              <w:spacing w:after="0"/>
              <w:rPr>
                <w:sz w:val="17"/>
                <w:szCs w:val="17"/>
                <w:color w:val="auto"/>
              </w:rPr>
            </w:pPr>
          </w:p>
        </w:tc>
      </w:tr>
      <w:tr>
        <w:trPr>
          <w:trHeight w:val="234"/>
        </w:trPr>
        <w:tc>
          <w:tcPr>
            <w:tcW w:w="194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Director</w:t>
            </w:r>
          </w:p>
        </w:tc>
        <w:tc>
          <w:tcPr>
            <w:tcW w:w="1860" w:type="dxa"/>
            <w:vAlign w:val="bottom"/>
            <w:shd w:val="clear" w:color="auto" w:fill="BF2115"/>
          </w:tcPr>
          <w:p>
            <w:pPr>
              <w:jc w:val="right"/>
              <w:ind w:right="219"/>
              <w:spacing w:after="0"/>
              <w:rPr>
                <w:sz w:val="20"/>
                <w:szCs w:val="20"/>
                <w:color w:val="auto"/>
              </w:rPr>
            </w:pPr>
            <w:r>
              <w:rPr>
                <w:rFonts w:ascii="Arial" w:cs="Arial" w:eastAsia="Arial" w:hAnsi="Arial"/>
                <w:sz w:val="16"/>
                <w:szCs w:val="16"/>
                <w:b w:val="1"/>
                <w:bCs w:val="1"/>
                <w:color w:val="FFFFFF"/>
              </w:rPr>
              <w:t>Awards / Units</w:t>
            </w:r>
          </w:p>
        </w:tc>
        <w:tc>
          <w:tcPr>
            <w:tcW w:w="1680" w:type="dxa"/>
            <w:vAlign w:val="bottom"/>
            <w:shd w:val="clear" w:color="auto" w:fill="BF2115"/>
          </w:tcPr>
          <w:p>
            <w:pPr>
              <w:jc w:val="right"/>
              <w:spacing w:after="0"/>
              <w:rPr>
                <w:sz w:val="20"/>
                <w:szCs w:val="20"/>
                <w:color w:val="auto"/>
              </w:rPr>
            </w:pPr>
            <w:r>
              <w:rPr>
                <w:rFonts w:ascii="Arial" w:cs="Arial" w:eastAsia="Arial" w:hAnsi="Arial"/>
                <w:sz w:val="16"/>
                <w:szCs w:val="16"/>
                <w:b w:val="1"/>
                <w:bCs w:val="1"/>
                <w:color w:val="FFFFFF"/>
              </w:rPr>
              <w:t>Deferred Stock Units</w:t>
            </w:r>
          </w:p>
        </w:tc>
      </w:tr>
      <w:tr>
        <w:trPr>
          <w:trHeight w:val="243"/>
        </w:trPr>
        <w:tc>
          <w:tcPr>
            <w:tcW w:w="1940" w:type="dxa"/>
            <w:vAlign w:val="bottom"/>
            <w:shd w:val="clear" w:color="auto" w:fill="ACACAC"/>
          </w:tcPr>
          <w:p>
            <w:pPr>
              <w:ind w:left="20"/>
              <w:spacing w:after="0"/>
              <w:rPr>
                <w:sz w:val="20"/>
                <w:szCs w:val="20"/>
                <w:color w:val="auto"/>
              </w:rPr>
            </w:pPr>
            <w:r>
              <w:rPr>
                <w:rFonts w:ascii="Arial" w:cs="Arial" w:eastAsia="Arial" w:hAnsi="Arial"/>
                <w:sz w:val="16"/>
                <w:szCs w:val="16"/>
                <w:color w:val="auto"/>
              </w:rPr>
              <w:t>Maria F. Blase</w:t>
            </w:r>
          </w:p>
        </w:tc>
        <w:tc>
          <w:tcPr>
            <w:tcW w:w="1860" w:type="dxa"/>
            <w:vAlign w:val="bottom"/>
            <w:shd w:val="clear" w:color="auto" w:fill="ACACAC"/>
          </w:tcPr>
          <w:p>
            <w:pPr>
              <w:jc w:val="right"/>
              <w:spacing w:after="0"/>
              <w:rPr>
                <w:sz w:val="20"/>
                <w:szCs w:val="20"/>
                <w:color w:val="auto"/>
              </w:rPr>
            </w:pPr>
            <w:r>
              <w:rPr>
                <w:rFonts w:ascii="Arial" w:cs="Arial" w:eastAsia="Arial" w:hAnsi="Arial"/>
                <w:sz w:val="16"/>
                <w:szCs w:val="16"/>
                <w:color w:val="auto"/>
              </w:rPr>
              <w:t>2,997</w:t>
            </w:r>
          </w:p>
        </w:tc>
        <w:tc>
          <w:tcPr>
            <w:tcW w:w="16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1940" w:type="dxa"/>
            <w:vAlign w:val="bottom"/>
          </w:tcPr>
          <w:p>
            <w:pPr>
              <w:ind w:left="20"/>
              <w:spacing w:after="0"/>
              <w:rPr>
                <w:sz w:val="20"/>
                <w:szCs w:val="20"/>
                <w:color w:val="auto"/>
              </w:rPr>
            </w:pPr>
            <w:r>
              <w:rPr>
                <w:rFonts w:ascii="Arial" w:cs="Arial" w:eastAsia="Arial" w:hAnsi="Arial"/>
                <w:sz w:val="16"/>
                <w:szCs w:val="16"/>
                <w:color w:val="auto"/>
              </w:rPr>
              <w:t>Christopher J. Braun</w:t>
            </w:r>
          </w:p>
        </w:tc>
        <w:tc>
          <w:tcPr>
            <w:tcW w:w="1860" w:type="dxa"/>
            <w:vAlign w:val="bottom"/>
          </w:tcPr>
          <w:p>
            <w:pPr>
              <w:jc w:val="right"/>
              <w:spacing w:after="0"/>
              <w:rPr>
                <w:sz w:val="20"/>
                <w:szCs w:val="20"/>
                <w:color w:val="auto"/>
              </w:rPr>
            </w:pPr>
            <w:r>
              <w:rPr>
                <w:rFonts w:ascii="Arial" w:cs="Arial" w:eastAsia="Arial" w:hAnsi="Arial"/>
                <w:sz w:val="16"/>
                <w:szCs w:val="16"/>
                <w:color w:val="auto"/>
              </w:rPr>
              <w:t>7,737</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1940" w:type="dxa"/>
            <w:vAlign w:val="bottom"/>
            <w:shd w:val="clear" w:color="auto" w:fill="ACACAC"/>
          </w:tcPr>
          <w:p>
            <w:pPr>
              <w:ind w:left="20"/>
              <w:spacing w:after="0"/>
              <w:rPr>
                <w:sz w:val="20"/>
                <w:szCs w:val="20"/>
                <w:color w:val="auto"/>
              </w:rPr>
            </w:pPr>
            <w:r>
              <w:rPr>
                <w:rFonts w:ascii="Arial" w:cs="Arial" w:eastAsia="Arial" w:hAnsi="Arial"/>
                <w:sz w:val="16"/>
                <w:szCs w:val="16"/>
                <w:color w:val="auto"/>
              </w:rPr>
              <w:t>Robert M. Chiusano</w:t>
            </w:r>
          </w:p>
        </w:tc>
        <w:tc>
          <w:tcPr>
            <w:tcW w:w="1860" w:type="dxa"/>
            <w:vAlign w:val="bottom"/>
            <w:shd w:val="clear" w:color="auto" w:fill="ACACAC"/>
          </w:tcPr>
          <w:p>
            <w:pPr>
              <w:jc w:val="right"/>
              <w:spacing w:after="0"/>
              <w:rPr>
                <w:sz w:val="20"/>
                <w:szCs w:val="20"/>
                <w:color w:val="auto"/>
              </w:rPr>
            </w:pPr>
            <w:r>
              <w:rPr>
                <w:rFonts w:ascii="Arial" w:cs="Arial" w:eastAsia="Arial" w:hAnsi="Arial"/>
                <w:sz w:val="16"/>
                <w:szCs w:val="16"/>
                <w:color w:val="auto"/>
              </w:rPr>
              <w:t>23,237</w:t>
            </w:r>
          </w:p>
        </w:tc>
        <w:tc>
          <w:tcPr>
            <w:tcW w:w="16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26,425</w:t>
            </w:r>
          </w:p>
        </w:tc>
      </w:tr>
      <w:tr>
        <w:trPr>
          <w:trHeight w:val="233"/>
        </w:trPr>
        <w:tc>
          <w:tcPr>
            <w:tcW w:w="1940" w:type="dxa"/>
            <w:vAlign w:val="bottom"/>
          </w:tcPr>
          <w:p>
            <w:pPr>
              <w:ind w:left="20"/>
              <w:spacing w:after="0"/>
              <w:rPr>
                <w:sz w:val="20"/>
                <w:szCs w:val="20"/>
                <w:color w:val="auto"/>
              </w:rPr>
            </w:pPr>
            <w:r>
              <w:rPr>
                <w:rFonts w:ascii="Arial" w:cs="Arial" w:eastAsia="Arial" w:hAnsi="Arial"/>
                <w:sz w:val="16"/>
                <w:szCs w:val="16"/>
                <w:color w:val="auto"/>
              </w:rPr>
              <w:t>William C. Fisher</w:t>
            </w:r>
          </w:p>
        </w:tc>
        <w:tc>
          <w:tcPr>
            <w:tcW w:w="1860" w:type="dxa"/>
            <w:vAlign w:val="bottom"/>
          </w:tcPr>
          <w:p>
            <w:pPr>
              <w:jc w:val="right"/>
              <w:spacing w:after="0"/>
              <w:rPr>
                <w:sz w:val="20"/>
                <w:szCs w:val="20"/>
                <w:color w:val="auto"/>
              </w:rPr>
            </w:pPr>
            <w:r>
              <w:rPr>
                <w:rFonts w:ascii="Arial" w:cs="Arial" w:eastAsia="Arial" w:hAnsi="Arial"/>
                <w:sz w:val="16"/>
                <w:szCs w:val="16"/>
                <w:color w:val="auto"/>
              </w:rPr>
              <w:t>13,737</w:t>
            </w:r>
          </w:p>
        </w:tc>
        <w:tc>
          <w:tcPr>
            <w:tcW w:w="1680" w:type="dxa"/>
            <w:vAlign w:val="bottom"/>
          </w:tcPr>
          <w:p>
            <w:pPr>
              <w:jc w:val="right"/>
              <w:spacing w:after="0"/>
              <w:rPr>
                <w:sz w:val="20"/>
                <w:szCs w:val="20"/>
                <w:color w:val="auto"/>
              </w:rPr>
            </w:pPr>
            <w:r>
              <w:rPr>
                <w:rFonts w:ascii="Arial" w:cs="Arial" w:eastAsia="Arial" w:hAnsi="Arial"/>
                <w:sz w:val="16"/>
                <w:szCs w:val="16"/>
                <w:color w:val="auto"/>
              </w:rPr>
              <w:t>7,851</w:t>
            </w:r>
          </w:p>
        </w:tc>
      </w:tr>
      <w:tr>
        <w:trPr>
          <w:trHeight w:val="253"/>
        </w:trPr>
        <w:tc>
          <w:tcPr>
            <w:tcW w:w="1940" w:type="dxa"/>
            <w:vAlign w:val="bottom"/>
            <w:shd w:val="clear" w:color="auto" w:fill="ACACAC"/>
          </w:tcPr>
          <w:p>
            <w:pPr>
              <w:ind w:left="20"/>
              <w:spacing w:after="0"/>
              <w:rPr>
                <w:sz w:val="20"/>
                <w:szCs w:val="20"/>
                <w:color w:val="auto"/>
              </w:rPr>
            </w:pPr>
            <w:r>
              <w:rPr>
                <w:rFonts w:ascii="Arial" w:cs="Arial" w:eastAsia="Arial" w:hAnsi="Arial"/>
                <w:sz w:val="16"/>
                <w:szCs w:val="16"/>
                <w:color w:val="auto"/>
              </w:rPr>
              <w:t>David W. Miles</w:t>
            </w:r>
          </w:p>
        </w:tc>
        <w:tc>
          <w:tcPr>
            <w:tcW w:w="1860" w:type="dxa"/>
            <w:vAlign w:val="bottom"/>
            <w:shd w:val="clear" w:color="auto" w:fill="ACACAC"/>
          </w:tcPr>
          <w:p>
            <w:pPr>
              <w:jc w:val="right"/>
              <w:spacing w:after="0"/>
              <w:rPr>
                <w:sz w:val="20"/>
                <w:szCs w:val="20"/>
                <w:color w:val="auto"/>
              </w:rPr>
            </w:pPr>
            <w:r>
              <w:rPr>
                <w:rFonts w:ascii="Arial" w:cs="Arial" w:eastAsia="Arial" w:hAnsi="Arial"/>
                <w:sz w:val="16"/>
                <w:szCs w:val="16"/>
                <w:color w:val="auto"/>
              </w:rPr>
              <w:t>7,737</w:t>
            </w:r>
          </w:p>
        </w:tc>
        <w:tc>
          <w:tcPr>
            <w:tcW w:w="16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922</w:t>
            </w:r>
          </w:p>
        </w:tc>
      </w:tr>
      <w:tr>
        <w:trPr>
          <w:trHeight w:val="233"/>
        </w:trPr>
        <w:tc>
          <w:tcPr>
            <w:tcW w:w="1940" w:type="dxa"/>
            <w:vAlign w:val="bottom"/>
          </w:tcPr>
          <w:p>
            <w:pPr>
              <w:ind w:left="20"/>
              <w:spacing w:after="0"/>
              <w:rPr>
                <w:sz w:val="20"/>
                <w:szCs w:val="20"/>
                <w:color w:val="auto"/>
              </w:rPr>
            </w:pPr>
            <w:r>
              <w:rPr>
                <w:rFonts w:ascii="Arial" w:cs="Arial" w:eastAsia="Arial" w:hAnsi="Arial"/>
                <w:sz w:val="16"/>
                <w:szCs w:val="16"/>
                <w:color w:val="auto"/>
              </w:rPr>
              <w:t>Richard D. Moss</w:t>
            </w:r>
          </w:p>
        </w:tc>
        <w:tc>
          <w:tcPr>
            <w:tcW w:w="1860" w:type="dxa"/>
            <w:vAlign w:val="bottom"/>
          </w:tcPr>
          <w:p>
            <w:pPr>
              <w:jc w:val="right"/>
              <w:spacing w:after="0"/>
              <w:rPr>
                <w:sz w:val="20"/>
                <w:szCs w:val="20"/>
                <w:color w:val="auto"/>
              </w:rPr>
            </w:pPr>
            <w:r>
              <w:rPr>
                <w:rFonts w:ascii="Arial" w:cs="Arial" w:eastAsia="Arial" w:hAnsi="Arial"/>
                <w:sz w:val="16"/>
                <w:szCs w:val="16"/>
                <w:color w:val="auto"/>
              </w:rPr>
              <w:t>5,137</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1940" w:type="dxa"/>
            <w:vAlign w:val="bottom"/>
            <w:shd w:val="clear" w:color="auto" w:fill="ACACAC"/>
          </w:tcPr>
          <w:p>
            <w:pPr>
              <w:ind w:left="20"/>
              <w:spacing w:after="0"/>
              <w:rPr>
                <w:sz w:val="20"/>
                <w:szCs w:val="20"/>
                <w:color w:val="auto"/>
              </w:rPr>
            </w:pPr>
            <w:r>
              <w:rPr>
                <w:rFonts w:ascii="Arial" w:cs="Arial" w:eastAsia="Arial" w:hAnsi="Arial"/>
                <w:sz w:val="16"/>
                <w:szCs w:val="16"/>
                <w:color w:val="auto"/>
              </w:rPr>
              <w:t>John M. Murabito</w:t>
            </w:r>
          </w:p>
        </w:tc>
        <w:tc>
          <w:tcPr>
            <w:tcW w:w="1860" w:type="dxa"/>
            <w:vAlign w:val="bottom"/>
            <w:shd w:val="clear" w:color="auto" w:fill="ACACAC"/>
          </w:tcPr>
          <w:p>
            <w:pPr>
              <w:jc w:val="right"/>
              <w:spacing w:after="0"/>
              <w:rPr>
                <w:sz w:val="20"/>
                <w:szCs w:val="20"/>
                <w:color w:val="auto"/>
              </w:rPr>
            </w:pPr>
            <w:r>
              <w:rPr>
                <w:rFonts w:ascii="Arial" w:cs="Arial" w:eastAsia="Arial" w:hAnsi="Arial"/>
                <w:sz w:val="16"/>
                <w:szCs w:val="16"/>
                <w:color w:val="auto"/>
              </w:rPr>
              <w:t>5,137</w:t>
            </w:r>
          </w:p>
        </w:tc>
        <w:tc>
          <w:tcPr>
            <w:tcW w:w="16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1940" w:type="dxa"/>
            <w:vAlign w:val="bottom"/>
          </w:tcPr>
          <w:p>
            <w:pPr>
              <w:ind w:left="20"/>
              <w:spacing w:after="0"/>
              <w:rPr>
                <w:sz w:val="20"/>
                <w:szCs w:val="20"/>
                <w:color w:val="auto"/>
              </w:rPr>
            </w:pPr>
            <w:r>
              <w:rPr>
                <w:rFonts w:ascii="Arial" w:cs="Arial" w:eastAsia="Arial" w:hAnsi="Arial"/>
                <w:sz w:val="16"/>
                <w:szCs w:val="16"/>
                <w:color w:val="auto"/>
              </w:rPr>
              <w:t>Martha T. Rodamaker</w:t>
            </w: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10,098</w:t>
            </w: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applied to the participant's Money Credits is the 30-year Treasury bond yield as of the first business day of the plan year.</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Winnebago Stock Units are units credited in the form of Common Stock of the Company in accordance with the participant's annual deferral election. The shares of our Common Stock issued in connection with our Directors' Deferred Compensation Plan consists of our treasury shares and like all of our Common Stock, generally, will accrue dividends, if any, paid by us on our Common Stock. Winnebago Stock Units will be recorded in such participant's account on the basis of the closing price of a share of our Common Stock on the NYSE on the date upon which the account is credited.</w:t>
      </w:r>
    </w:p>
    <w:p>
      <w:pPr>
        <w:spacing w:after="0" w:line="7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Winnebago stock units credited to participant's accounts are included in the Common Stock ownership table under the caption “Voting Securities and Principal Holders Thereof.” The directors, however, do not have any rights to vote or dispose of any shares of Common Stock underlying the stock units until their service as director ends or upon his or her attainment of age 69-1/2 while serving as a director.</w:t>
      </w:r>
    </w:p>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event of a “change of control" of the Company, as defined in the Directors' Deferred Compensation Plan, a participant generally will receive a lump-sum distribution of his or her account within 30 days following his or her termination of service as a director after such change in control.</w:t>
      </w:r>
    </w:p>
    <w:p>
      <w:pPr>
        <w:spacing w:after="0" w:line="200"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828282"/>
        </w:rPr>
        <w:t>Director Ownership Guidelines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Corporate Governance Policy requires us to maintain guidelines encouraging non-employee director stock ownership. The guidelines currently in effect require non-employee directors to hold Common Stock, stock units or other equity equivalents having a market value of at least 500% of their annual cash retainer of $75,000 (as well as any additional cash retainer amounts earned relating to his or her chair positions), and that they attain this level of stock ownership within five years of becoming a director. Based on the holdings noted above, all non-employee directors have met this goal, or are on track to meet this goal, within the prescribed five-year time frame.</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828282"/>
        </w:rPr>
        <w:t>Directors' Deferred Compensation Plan</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Effective April 1, 1997, the Board of Directors adopted the Winnebago Industries, Inc. Directors' Deferred Compensation Plan (as amended, the “Directors' Deferred Compensation Plan”). The purpose of the Directors' Deferred Compensation Plan is to enable non-employee directors (the “participants”) to receive compensation for board service in a form other than as direct payments and to defer taxes on such compensation.</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 participant may elect to apply either 50% or 100% of his or her annual cash retainer amounts to either, but not both, of the following forms: “Money Credits” or “Winnebago Stock Units,” and as of October of 2018, may elect to defer 100% of his or her equity award as deferred compensation in the form of "Winnebago Stock Units."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Money Credits are units credited in the form of dollars in accordance with the participant's election to such participant's account established by the Company. The Money Credits accrue interest from the credit date. Presently, the interest rate to be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828282"/>
        </w:rPr>
        <w:t>Director Annual Equity Grants</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Fiscal 2019 equity awards granted in October 2018 were made pursuant to the Winnebago Industries, Inc. 2014 Omnibus Equity, Performance Award and Incentive Compensation Plan, which provided that no non-employee director may be granted, during any fiscal year, awards consisting of stock awards or performance awards covering or relating to more than 10,000 shares of Common Stock or non-qualified stock options for more than 20,000 shares of Common Stock during any fiscal year. In keeping with this governance principle, the Winnebago Industries, Inc. 2019 Omnibus Incentive Plan, adopted by our shareholders in December 2018, limits the aggregate grant date fair value of all equity awards to a non-employee director during a calendar year to not more than $300,000, excluding awards granted at a director's request in lieu of cash retainers or other fees payable in cash.</w:t>
      </w:r>
    </w:p>
    <w:p>
      <w:pPr>
        <w:spacing w:after="0" w:line="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Beginning with the Fiscal 2019 annual equity awards, we began to grant restricted stock units rather than restricted stock to our non-employee directors. Also, each director equity award, awarded in the form of restricted stock units, will vest approximately one year from the date of the applicable grant (or, approximately 13 months in the case of the October 2018 grant only), provided that participants are restricted from selling, pledging or transferring the Common Stock underlying the vested restricted stock units until the date the participant separates from service on the Board. In the event that a participant terminates his or her service as a director prior to the vesting of the underlying restricted stock unit award, the award will be forfeited by the director. Directors also may elect to defer settlement of their vested restricted stock units until the director's service to the Company terminates.</w:t>
      </w:r>
    </w:p>
    <w:p>
      <w:pPr>
        <w:spacing w:after="0" w:line="1344"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03" w:right="239" w:bottom="1440" w:gutter="0" w:footer="0" w:header="0"/>
          <w:type w:val="continuous"/>
        </w:sectPr>
      </w:pPr>
    </w:p>
    <w:bookmarkStart w:id="14" w:name="page15"/>
    <w:bookmarkEnd w:id="14"/>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357568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is divided into three classes with staggered terms, as nearly equal in number as possible. Our bylaws provide that our Board is comprised of between three and fifteen directors. The number of directors currently on the Board is eight, and the number of directors to be elected at the Annual Meeting has been set at three. The Board regularly reviews its composition and the mix of skills and experience of the directors. In the future, the Board may determine it is appropriate to increase its size in order to add a director or directors that would add value to the Company.</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of Directors of the Company adopted a majority voting policy for the election of directors in uncontested elections. Under this policy, in any uncontested election of directors of the Company, if any nominee receives less than a majority of the votes cast for the nominee, that nominee shall still be elected, but must tender their resignation to the full Board of Directors for consideration at the next regularly scheduled meeting of the Board of Directors. The Board of Directors shall only not accept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tendered resignation for, in their judgment, a compelling reason. If the Board of Directors</w:t>
      </w:r>
      <w:r>
        <w:rPr>
          <w:rFonts w:ascii="Arial" w:cs="Arial" w:eastAsia="Arial" w:hAnsi="Arial"/>
          <w:sz w:val="16"/>
          <w:szCs w:val="16"/>
          <w:b w:val="1"/>
          <w:bCs w:val="1"/>
          <w:color w:val="auto"/>
        </w:rPr>
        <w:t>,</w:t>
      </w:r>
      <w:r>
        <w:rPr>
          <w:rFonts w:ascii="Arial" w:cs="Arial" w:eastAsia="Arial" w:hAnsi="Arial"/>
          <w:sz w:val="16"/>
          <w:szCs w:val="16"/>
          <w:color w:val="auto"/>
        </w:rPr>
        <w:t xml:space="preserve"> with the affected director not participating, does not accept the resignation at the regularly scheduled meeting following the election, then the nominee shall be considered elected and may serve out the term to which they were elected. In any contested election of directors where the number of nominees exceeds the number of available positions, strict plurality voting shall apply.</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Directors are elected for a term of three years. At the Annual Meeting, the term of office of the Class II directors (Messrs. Chiusano, Moss and Murabito) will expire. Messrs. Chiusano, Moss and Murabito have been nominated as Class II directors. The Class II directors will be elected to serve in that class until the annual meeting following our Fiscal 2022 or until their respective successors are elected.</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828282"/>
        </w:rPr>
        <w:t>YOUR BOARD OF DIRECTORS UNANIMOUSLY RECOMMENDS THAT YOU VOTE FOR THE ELECTION OF THE DIRECTOR NOMINEES.</w:t>
      </w:r>
    </w:p>
    <w:p>
      <w:pPr>
        <w:spacing w:after="0" w:line="666"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828282"/>
        </w:rPr>
        <w:t>Nominees for Class II Director to be Elected to Serve Until the Annual Meeting Following Fiscal 2022:</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22"/>
          <w:szCs w:val="22"/>
          <w:color w:val="828282"/>
        </w:rPr>
        <w:t>Robert M. Chiusano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30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036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440"/>
        <w:spacing w:after="0"/>
        <w:rPr>
          <w:sz w:val="20"/>
          <w:szCs w:val="20"/>
          <w:color w:val="auto"/>
        </w:rPr>
      </w:pPr>
      <w:r>
        <w:rPr>
          <w:rFonts w:ascii="Arial" w:cs="Arial" w:eastAsia="Arial" w:hAnsi="Arial"/>
          <w:sz w:val="22"/>
          <w:szCs w:val="22"/>
          <w:color w:val="828282"/>
        </w:rPr>
        <w:t>Committees</w:t>
      </w:r>
    </w:p>
    <w:p>
      <w:pPr>
        <w:ind w:left="2600" w:hanging="161"/>
        <w:spacing w:after="0"/>
        <w:tabs>
          <w:tab w:leader="none" w:pos="2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Human Resources</w:t>
      </w:r>
    </w:p>
    <w:p>
      <w:pPr>
        <w:spacing w:after="0" w:line="18" w:lineRule="exact"/>
        <w:rPr>
          <w:rFonts w:ascii="Arial" w:cs="Arial" w:eastAsia="Arial" w:hAnsi="Arial"/>
          <w:sz w:val="16"/>
          <w:szCs w:val="16"/>
          <w:color w:val="auto"/>
        </w:rPr>
      </w:pPr>
    </w:p>
    <w:p>
      <w:pPr>
        <w:ind w:left="2600" w:hanging="161"/>
        <w:spacing w:after="0"/>
        <w:tabs>
          <w:tab w:leader="none" w:pos="2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Finance</w:t>
      </w:r>
    </w:p>
    <w:p>
      <w:pPr>
        <w:spacing w:after="0" w:line="189" w:lineRule="exact"/>
        <w:rPr>
          <w:sz w:val="20"/>
          <w:szCs w:val="20"/>
          <w:color w:val="auto"/>
        </w:rPr>
      </w:pPr>
    </w:p>
    <w:p>
      <w:pPr>
        <w:ind w:left="2440"/>
        <w:spacing w:after="0"/>
        <w:rPr>
          <w:sz w:val="20"/>
          <w:szCs w:val="20"/>
          <w:color w:val="auto"/>
        </w:rPr>
      </w:pPr>
      <w:r>
        <w:rPr>
          <w:rFonts w:ascii="Arial" w:cs="Arial" w:eastAsia="Arial" w:hAnsi="Arial"/>
          <w:sz w:val="22"/>
          <w:szCs w:val="22"/>
          <w:color w:val="828282"/>
        </w:rPr>
        <w:t xml:space="preserve">Age: </w:t>
      </w:r>
      <w:r>
        <w:rPr>
          <w:rFonts w:ascii="Arial" w:cs="Arial" w:eastAsia="Arial" w:hAnsi="Arial"/>
          <w:sz w:val="22"/>
          <w:szCs w:val="22"/>
          <w:color w:val="000000"/>
        </w:rPr>
        <w:t>68</w:t>
      </w:r>
    </w:p>
    <w:p>
      <w:pPr>
        <w:ind w:left="2440"/>
        <w:spacing w:after="0"/>
        <w:rPr>
          <w:sz w:val="20"/>
          <w:szCs w:val="20"/>
          <w:color w:val="auto"/>
        </w:rPr>
      </w:pPr>
      <w:r>
        <w:rPr>
          <w:rFonts w:ascii="Arial" w:cs="Arial" w:eastAsia="Arial" w:hAnsi="Arial"/>
          <w:sz w:val="22"/>
          <w:szCs w:val="22"/>
          <w:color w:val="828282"/>
        </w:rPr>
        <w:t xml:space="preserve">Director Since: </w:t>
      </w:r>
      <w:r>
        <w:rPr>
          <w:rFonts w:ascii="Arial" w:cs="Arial" w:eastAsia="Arial" w:hAnsi="Arial"/>
          <w:sz w:val="22"/>
          <w:szCs w:val="22"/>
          <w:color w:val="000000"/>
        </w:rPr>
        <w:t>2008</w:t>
      </w:r>
    </w:p>
    <w:p>
      <w:pPr>
        <w:spacing w:after="0" w:line="296" w:lineRule="exact"/>
        <w:rPr>
          <w:sz w:val="20"/>
          <w:szCs w:val="20"/>
          <w:color w:val="auto"/>
        </w:rPr>
      </w:pPr>
    </w:p>
    <w:p>
      <w:pPr>
        <w:ind w:left="380" w:right="40"/>
        <w:spacing w:after="0" w:line="249" w:lineRule="auto"/>
        <w:rPr>
          <w:sz w:val="20"/>
          <w:szCs w:val="20"/>
          <w:color w:val="auto"/>
        </w:rPr>
      </w:pPr>
      <w:r>
        <w:rPr>
          <w:rFonts w:ascii="Arial" w:cs="Arial" w:eastAsia="Arial" w:hAnsi="Arial"/>
          <w:sz w:val="16"/>
          <w:szCs w:val="16"/>
          <w:color w:val="auto"/>
        </w:rPr>
        <w:t>Robert M. Chiusano, 68, has been a director since 2008 and served as Chairman of the Board from 2016 to 2019. Mr. Chiusano has served as a principal in RMC Consulting, LLC, a company focused on leadership development and operational excellence, since 2007. Mr. Chiusano previously served as Executive Vice President and Special Assistant to the CEO and a former Executive Vice President and Chief Operating Officer of both the Government and Commercial Systems business segments of Rockwell Collins, Inc. Mr. Chiusano also currently serves as an adjunct professor in the University of Iowa College of Engineering where he has served since 2001 and is a member of the Coe College Board of Trustees where he serves as the Chairman of the College Relations Committee.</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22"/>
          <w:szCs w:val="22"/>
          <w:color w:val="828282"/>
        </w:rPr>
        <w:t>Skills and Qualifications:</w:t>
      </w:r>
    </w:p>
    <w:p>
      <w:pPr>
        <w:spacing w:after="0" w:line="53" w:lineRule="exact"/>
        <w:rPr>
          <w:sz w:val="20"/>
          <w:szCs w:val="20"/>
          <w:color w:val="auto"/>
        </w:rPr>
      </w:pPr>
    </w:p>
    <w:p>
      <w:pPr>
        <w:ind w:left="380" w:right="160"/>
        <w:spacing w:after="0" w:line="253" w:lineRule="auto"/>
        <w:rPr>
          <w:sz w:val="20"/>
          <w:szCs w:val="20"/>
          <w:color w:val="auto"/>
        </w:rPr>
      </w:pPr>
      <w:r>
        <w:rPr>
          <w:rFonts w:ascii="Arial" w:cs="Arial" w:eastAsia="Arial" w:hAnsi="Arial"/>
          <w:sz w:val="16"/>
          <w:szCs w:val="16"/>
          <w:color w:val="auto"/>
        </w:rPr>
        <w:t>As the former Chief Operating Officer of both Government and Commercial Systems of Rockwell Collins, Inc., Mr. Chiusano brings senior level business leadership and strategic planning skills and an operating background to the Board. As principal of RMC Consulting, LLC, he also brings leadership development and operational excellence skills to the Board.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03"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104775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828282"/>
        </w:rPr>
        <w:t>Richard (Rick) D. Moss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15240</wp:posOffset>
            </wp:positionV>
            <wp:extent cx="7246620" cy="127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2776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Committees</w:t>
      </w:r>
    </w:p>
    <w:p>
      <w:pPr>
        <w:ind w:left="2560" w:hanging="161"/>
        <w:spacing w:after="0"/>
        <w:tabs>
          <w:tab w:leader="none" w:pos="2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Audit (Chair)</w:t>
      </w:r>
    </w:p>
    <w:p>
      <w:pPr>
        <w:spacing w:after="0" w:line="18" w:lineRule="exact"/>
        <w:rPr>
          <w:rFonts w:ascii="Arial" w:cs="Arial" w:eastAsia="Arial" w:hAnsi="Arial"/>
          <w:sz w:val="16"/>
          <w:szCs w:val="16"/>
          <w:color w:val="auto"/>
        </w:rPr>
      </w:pPr>
    </w:p>
    <w:p>
      <w:pPr>
        <w:ind w:left="2560" w:hanging="161"/>
        <w:spacing w:after="0"/>
        <w:tabs>
          <w:tab w:leader="none" w:pos="2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Finance</w:t>
      </w:r>
    </w:p>
    <w:p>
      <w:pPr>
        <w:spacing w:after="0" w:line="189"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 xml:space="preserve">Age: </w:t>
      </w:r>
      <w:r>
        <w:rPr>
          <w:rFonts w:ascii="Arial" w:cs="Arial" w:eastAsia="Arial" w:hAnsi="Arial"/>
          <w:sz w:val="22"/>
          <w:szCs w:val="22"/>
          <w:color w:val="000000"/>
        </w:rPr>
        <w:t>61</w:t>
      </w:r>
    </w:p>
    <w:p>
      <w:pPr>
        <w:ind w:left="2400"/>
        <w:spacing w:after="0"/>
        <w:rPr>
          <w:sz w:val="20"/>
          <w:szCs w:val="20"/>
          <w:color w:val="auto"/>
        </w:rPr>
      </w:pPr>
      <w:r>
        <w:rPr>
          <w:rFonts w:ascii="Arial" w:cs="Arial" w:eastAsia="Arial" w:hAnsi="Arial"/>
          <w:sz w:val="22"/>
          <w:szCs w:val="22"/>
          <w:color w:val="828282"/>
        </w:rPr>
        <w:t xml:space="preserve">Director Since: </w:t>
      </w:r>
      <w:r>
        <w:rPr>
          <w:rFonts w:ascii="Arial" w:cs="Arial" w:eastAsia="Arial" w:hAnsi="Arial"/>
          <w:sz w:val="22"/>
          <w:szCs w:val="22"/>
          <w:color w:val="000000"/>
        </w:rPr>
        <w:t>2017</w:t>
      </w:r>
    </w:p>
    <w:p>
      <w:pPr>
        <w:spacing w:after="0" w:line="296" w:lineRule="exact"/>
        <w:rPr>
          <w:sz w:val="20"/>
          <w:szCs w:val="20"/>
          <w:color w:val="auto"/>
        </w:rPr>
      </w:pPr>
    </w:p>
    <w:p>
      <w:pPr>
        <w:ind w:left="340" w:right="40"/>
        <w:spacing w:after="0" w:line="249" w:lineRule="auto"/>
        <w:rPr>
          <w:sz w:val="20"/>
          <w:szCs w:val="20"/>
          <w:color w:val="auto"/>
        </w:rPr>
      </w:pPr>
      <w:r>
        <w:rPr>
          <w:rFonts w:ascii="Arial" w:cs="Arial" w:eastAsia="Arial" w:hAnsi="Arial"/>
          <w:sz w:val="16"/>
          <w:szCs w:val="16"/>
          <w:color w:val="auto"/>
        </w:rPr>
        <w:t>Richard (Rick) D. Moss, 61, was appointed to the Board of Directors in February 2017. Most recently, Mr. Moss served as the Chief Financial Officer of Hanesbrands, Inc., a leading global basic apparel manufacturer, from 2011 until his retirement on December 31, 2017. Mr. Moss joined Hanesbrands as Senior Vice President - Finance and Treasurer and had several roles increasing in scope and complexity prior to becoming Chief Financial Officer. Prior to his roles at Hanesbrands, Mr. Moss served as CFO of Chattem Inc., a consumer products company. Mr. Moss has been a director of Nature's Sunshine Products, Inc. since May 2018, and also serves as a director for the Center for Creative Economy. Due to Mr. Moss' relevant experience in finance, accounting, and auditing, the Board determined he is an audit committee financial expert.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22"/>
          <w:szCs w:val="22"/>
          <w:color w:val="828282"/>
        </w:rPr>
        <w:t>Skills and Qualifications:</w:t>
      </w:r>
    </w:p>
    <w:p>
      <w:pPr>
        <w:spacing w:after="0" w:line="53" w:lineRule="exact"/>
        <w:rPr>
          <w:sz w:val="20"/>
          <w:szCs w:val="20"/>
          <w:color w:val="auto"/>
        </w:rPr>
      </w:pPr>
    </w:p>
    <w:p>
      <w:pPr>
        <w:ind w:left="340" w:right="80"/>
        <w:spacing w:after="0" w:line="253" w:lineRule="auto"/>
        <w:rPr>
          <w:sz w:val="20"/>
          <w:szCs w:val="20"/>
          <w:color w:val="auto"/>
        </w:rPr>
      </w:pPr>
      <w:r>
        <w:rPr>
          <w:rFonts w:ascii="Arial" w:cs="Arial" w:eastAsia="Arial" w:hAnsi="Arial"/>
          <w:sz w:val="16"/>
          <w:szCs w:val="16"/>
          <w:color w:val="auto"/>
        </w:rPr>
        <w:t>With his many years of experience as a chief financial officer and executive at a public company, Mr. Moss provides the Board expertise in financial and strategic planning, mergers, acquisitions and integration of businesses following mergers and acquisitions, as well as capital allocation strategies and complex financial issues.</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828282"/>
        </w:rPr>
        <w:t>John M. Murabito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15240</wp:posOffset>
            </wp:positionV>
            <wp:extent cx="7246620" cy="127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2776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Committees</w:t>
      </w:r>
    </w:p>
    <w:p>
      <w:pPr>
        <w:ind w:left="2560" w:hanging="161"/>
        <w:spacing w:after="0"/>
        <w:tabs>
          <w:tab w:leader="none" w:pos="2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Human Resources (Chair)</w:t>
      </w:r>
    </w:p>
    <w:p>
      <w:pPr>
        <w:spacing w:after="0" w:line="18" w:lineRule="exact"/>
        <w:rPr>
          <w:rFonts w:ascii="Arial" w:cs="Arial" w:eastAsia="Arial" w:hAnsi="Arial"/>
          <w:sz w:val="16"/>
          <w:szCs w:val="16"/>
          <w:color w:val="auto"/>
        </w:rPr>
      </w:pPr>
    </w:p>
    <w:p>
      <w:pPr>
        <w:ind w:left="2560" w:hanging="161"/>
        <w:spacing w:after="0"/>
        <w:tabs>
          <w:tab w:leader="none" w:pos="2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Nominating and Governance</w:t>
      </w:r>
    </w:p>
    <w:p>
      <w:pPr>
        <w:spacing w:after="0" w:line="189"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 xml:space="preserve">Age: </w:t>
      </w:r>
      <w:r>
        <w:rPr>
          <w:rFonts w:ascii="Arial" w:cs="Arial" w:eastAsia="Arial" w:hAnsi="Arial"/>
          <w:sz w:val="22"/>
          <w:szCs w:val="22"/>
          <w:color w:val="000000"/>
        </w:rPr>
        <w:t>60</w:t>
      </w:r>
    </w:p>
    <w:p>
      <w:pPr>
        <w:ind w:left="2400"/>
        <w:spacing w:after="0"/>
        <w:rPr>
          <w:sz w:val="20"/>
          <w:szCs w:val="20"/>
          <w:color w:val="auto"/>
        </w:rPr>
      </w:pPr>
      <w:r>
        <w:rPr>
          <w:rFonts w:ascii="Arial" w:cs="Arial" w:eastAsia="Arial" w:hAnsi="Arial"/>
          <w:sz w:val="22"/>
          <w:szCs w:val="22"/>
          <w:color w:val="828282"/>
        </w:rPr>
        <w:t xml:space="preserve">Director Since: </w:t>
      </w:r>
      <w:r>
        <w:rPr>
          <w:rFonts w:ascii="Arial" w:cs="Arial" w:eastAsia="Arial" w:hAnsi="Arial"/>
          <w:sz w:val="22"/>
          <w:szCs w:val="22"/>
          <w:color w:val="000000"/>
        </w:rPr>
        <w:t>2017</w:t>
      </w:r>
    </w:p>
    <w:p>
      <w:pPr>
        <w:spacing w:after="0" w:line="296" w:lineRule="exact"/>
        <w:rPr>
          <w:sz w:val="20"/>
          <w:szCs w:val="20"/>
          <w:color w:val="auto"/>
        </w:rPr>
      </w:pPr>
    </w:p>
    <w:p>
      <w:pPr>
        <w:ind w:left="340"/>
        <w:spacing w:after="0" w:line="250" w:lineRule="auto"/>
        <w:rPr>
          <w:sz w:val="20"/>
          <w:szCs w:val="20"/>
          <w:color w:val="auto"/>
        </w:rPr>
      </w:pPr>
      <w:r>
        <w:rPr>
          <w:rFonts w:ascii="Arial" w:cs="Arial" w:eastAsia="Arial" w:hAnsi="Arial"/>
          <w:sz w:val="16"/>
          <w:szCs w:val="16"/>
          <w:color w:val="auto"/>
        </w:rPr>
        <w:t>John M. Murabito, age 60, was appointed to the Board of Directors in May 2017. He has served as the Executive Vice President and Chief Human Resources Officer of Cigna Corporation, a health services company, since 2003. His other Human Resources leadership roles have included Chief Human Resources Officer at Monsanto Company and Group Vice President, Human Resources for Frito-Lay, Inc., a division of PepsiCo. Mr. Murabito is a Fellow and Chair of the National Academy of Human Resources, a Member of the Boards of Trustees of the Human Resources Policy Association and the American Health Policy Institute, and serves as Chair of the Board of Trustees for Augustana College in Rock Island, Illinois.</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22"/>
          <w:szCs w:val="22"/>
          <w:color w:val="828282"/>
        </w:rPr>
        <w:t>Skills and Qualifications:</w:t>
      </w:r>
    </w:p>
    <w:p>
      <w:pPr>
        <w:spacing w:after="0" w:line="53" w:lineRule="exact"/>
        <w:rPr>
          <w:sz w:val="20"/>
          <w:szCs w:val="20"/>
          <w:color w:val="auto"/>
        </w:rPr>
      </w:pPr>
    </w:p>
    <w:p>
      <w:pPr>
        <w:ind w:left="340" w:right="120"/>
        <w:spacing w:after="0" w:line="260" w:lineRule="auto"/>
        <w:rPr>
          <w:sz w:val="20"/>
          <w:szCs w:val="20"/>
          <w:color w:val="auto"/>
        </w:rPr>
      </w:pPr>
      <w:r>
        <w:rPr>
          <w:rFonts w:ascii="Arial" w:cs="Arial" w:eastAsia="Arial" w:hAnsi="Arial"/>
          <w:sz w:val="16"/>
          <w:szCs w:val="16"/>
          <w:color w:val="auto"/>
        </w:rPr>
        <w:t>Mr. Murabito brings strong executive leadership and talent management expertise to our Board as a senior executive of a public company. He provides valuable insights on human capital, executive compensation, leadership development and succession planning to the Board.</w:t>
      </w: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280" w:top="303" w:right="359" w:bottom="1440" w:gutter="0" w:footer="0" w:header="0"/>
        </w:sectPr>
      </w:pPr>
    </w:p>
    <w:bookmarkStart w:id="16" w:name="page17"/>
    <w:bookmarkEnd w:id="16"/>
    <w:p>
      <w:pPr>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104775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828282"/>
        </w:rPr>
        <w:t>Class III Directors Whose Term Expires at the Annual Meeting Following Fiscal 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828282"/>
        </w:rPr>
        <w:t>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15240</wp:posOffset>
            </wp:positionV>
            <wp:extent cx="7246620" cy="127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 xml:space="preserve">Age: </w:t>
      </w:r>
      <w:r>
        <w:rPr>
          <w:rFonts w:ascii="Arial" w:cs="Arial" w:eastAsia="Arial" w:hAnsi="Arial"/>
          <w:sz w:val="22"/>
          <w:szCs w:val="22"/>
          <w:color w:val="000000"/>
        </w:rPr>
        <w:t>48</w:t>
      </w:r>
    </w:p>
    <w:p>
      <w:pPr>
        <w:ind w:left="2400"/>
        <w:spacing w:after="0"/>
        <w:rPr>
          <w:sz w:val="20"/>
          <w:szCs w:val="20"/>
          <w:color w:val="auto"/>
        </w:rPr>
      </w:pPr>
      <w:r>
        <w:rPr>
          <w:rFonts w:ascii="Arial" w:cs="Arial" w:eastAsia="Arial" w:hAnsi="Arial"/>
          <w:sz w:val="22"/>
          <w:szCs w:val="22"/>
          <w:color w:val="828282"/>
        </w:rPr>
        <w:t xml:space="preserve">Director Since: </w:t>
      </w:r>
      <w:r>
        <w:rPr>
          <w:rFonts w:ascii="Arial" w:cs="Arial" w:eastAsia="Arial" w:hAnsi="Arial"/>
          <w:sz w:val="22"/>
          <w:szCs w:val="22"/>
          <w:color w:val="000000"/>
        </w:rPr>
        <w:t>2016</w:t>
      </w:r>
    </w:p>
    <w:p>
      <w:pPr>
        <w:spacing w:after="0" w:line="296" w:lineRule="exact"/>
        <w:rPr>
          <w:sz w:val="20"/>
          <w:szCs w:val="20"/>
          <w:color w:val="auto"/>
        </w:rPr>
      </w:pPr>
    </w:p>
    <w:p>
      <w:pPr>
        <w:ind w:left="340" w:right="440"/>
        <w:spacing w:after="0" w:line="251" w:lineRule="auto"/>
        <w:rPr>
          <w:sz w:val="20"/>
          <w:szCs w:val="20"/>
          <w:color w:val="auto"/>
        </w:rPr>
      </w:pPr>
      <w:r>
        <w:rPr>
          <w:rFonts w:ascii="Arial" w:cs="Arial" w:eastAsia="Arial" w:hAnsi="Arial"/>
          <w:sz w:val="16"/>
          <w:szCs w:val="16"/>
          <w:color w:val="auto"/>
        </w:rPr>
        <w:t>Michael J. Happe, 48, joined Winnebago in January 2016, as the President, CEO and a director. He previously worked at The Toro Company, a manufacturer of turf maintenance equipment and irrigation system supplies, where he most recently served as an Executive Officer and Group Vice President of Toro’s Residential and Contractor businesses, until 2015. A 19-year veteran of Toro, he held a series of senior leadership positions throughout his career across a variety of the company’s domestic and international divisions.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22"/>
          <w:szCs w:val="22"/>
          <w:color w:val="828282"/>
        </w:rPr>
        <w:t>Skills and Qualifications:</w:t>
      </w:r>
    </w:p>
    <w:p>
      <w:pPr>
        <w:spacing w:after="0" w:line="53" w:lineRule="exact"/>
        <w:rPr>
          <w:sz w:val="20"/>
          <w:szCs w:val="20"/>
          <w:color w:val="auto"/>
        </w:rPr>
      </w:pPr>
    </w:p>
    <w:p>
      <w:pPr>
        <w:ind w:left="340" w:right="180"/>
        <w:spacing w:after="0" w:line="253" w:lineRule="auto"/>
        <w:rPr>
          <w:sz w:val="20"/>
          <w:szCs w:val="20"/>
          <w:color w:val="auto"/>
        </w:rPr>
      </w:pPr>
      <w:r>
        <w:rPr>
          <w:rFonts w:ascii="Arial" w:cs="Arial" w:eastAsia="Arial" w:hAnsi="Arial"/>
          <w:sz w:val="16"/>
          <w:szCs w:val="16"/>
          <w:color w:val="auto"/>
        </w:rPr>
        <w:t>Mr. Happe's knowledge of all aspects of the business as CEO and his drive for excellence position him well to serve on the Board. His extensive experience and positions rising in complexity and breadth at Toro, including global business affairs, brings further expertise in corporate leadership and development and execution of business growth strategy.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828282"/>
        </w:rPr>
        <w:t>William C.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15240</wp:posOffset>
            </wp:positionV>
            <wp:extent cx="7246620" cy="127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2776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Committees</w:t>
      </w:r>
    </w:p>
    <w:p>
      <w:pPr>
        <w:ind w:left="2560" w:hanging="161"/>
        <w:spacing w:after="0"/>
        <w:tabs>
          <w:tab w:leader="none" w:pos="2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Audit</w:t>
      </w:r>
    </w:p>
    <w:p>
      <w:pPr>
        <w:spacing w:after="0" w:line="18" w:lineRule="exact"/>
        <w:rPr>
          <w:rFonts w:ascii="Arial" w:cs="Arial" w:eastAsia="Arial" w:hAnsi="Arial"/>
          <w:sz w:val="16"/>
          <w:szCs w:val="16"/>
          <w:color w:val="auto"/>
        </w:rPr>
      </w:pPr>
    </w:p>
    <w:p>
      <w:pPr>
        <w:ind w:left="2560" w:hanging="161"/>
        <w:spacing w:after="0"/>
        <w:tabs>
          <w:tab w:leader="none" w:pos="2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Nominating and Governance (Chair)</w:t>
      </w:r>
    </w:p>
    <w:p>
      <w:pPr>
        <w:spacing w:after="0" w:line="189"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 xml:space="preserve">Age: </w:t>
      </w:r>
      <w:r>
        <w:rPr>
          <w:rFonts w:ascii="Arial" w:cs="Arial" w:eastAsia="Arial" w:hAnsi="Arial"/>
          <w:sz w:val="22"/>
          <w:szCs w:val="22"/>
          <w:color w:val="000000"/>
        </w:rPr>
        <w:t>65</w:t>
      </w:r>
    </w:p>
    <w:p>
      <w:pPr>
        <w:ind w:left="2400"/>
        <w:spacing w:after="0"/>
        <w:rPr>
          <w:sz w:val="20"/>
          <w:szCs w:val="20"/>
          <w:color w:val="auto"/>
        </w:rPr>
      </w:pPr>
      <w:r>
        <w:rPr>
          <w:rFonts w:ascii="Arial" w:cs="Arial" w:eastAsia="Arial" w:hAnsi="Arial"/>
          <w:sz w:val="22"/>
          <w:szCs w:val="22"/>
          <w:color w:val="828282"/>
        </w:rPr>
        <w:t xml:space="preserve">Director Since: </w:t>
      </w:r>
      <w:r>
        <w:rPr>
          <w:rFonts w:ascii="Arial" w:cs="Arial" w:eastAsia="Arial" w:hAnsi="Arial"/>
          <w:sz w:val="22"/>
          <w:szCs w:val="22"/>
          <w:color w:val="000000"/>
        </w:rPr>
        <w:t>2015</w:t>
      </w:r>
    </w:p>
    <w:p>
      <w:pPr>
        <w:spacing w:after="0" w:line="296" w:lineRule="exact"/>
        <w:rPr>
          <w:sz w:val="20"/>
          <w:szCs w:val="20"/>
          <w:color w:val="auto"/>
        </w:rPr>
      </w:pPr>
    </w:p>
    <w:p>
      <w:pPr>
        <w:ind w:left="340" w:right="20"/>
        <w:spacing w:after="0" w:line="249" w:lineRule="auto"/>
        <w:rPr>
          <w:sz w:val="20"/>
          <w:szCs w:val="20"/>
          <w:color w:val="auto"/>
        </w:rPr>
      </w:pPr>
      <w:r>
        <w:rPr>
          <w:rFonts w:ascii="Arial" w:cs="Arial" w:eastAsia="Arial" w:hAnsi="Arial"/>
          <w:sz w:val="16"/>
          <w:szCs w:val="16"/>
          <w:color w:val="auto"/>
        </w:rPr>
        <w:t>William C. Fisher, 65, a retired business executive, has been a director since March 2015. Mr. Fisher was the Chief Information Officer from 1999 until 2007 of Polaris Industries Inc., a manufacturer of power sports products. He was Vice President and CIO from November 2007 until his retirement in February 2015. During his tenure at Polaris, he also served as the General Manager of Service from 2005 until 2014 overseeing all technical, dealer, and consumer service operations. Prior to joining Polaris, Mr. Fisher was employed by MTS Systems for 15 years in various positions in information services, software engineering (applications and embedded control systems), factory automation, vehicle testing, and general management. Before that time, Mr. Fisher worked as a civil engineer for Anderson-Nichols and he later joined Autocon Industries, where he developed process control software.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22"/>
          <w:szCs w:val="22"/>
          <w:color w:val="828282"/>
        </w:rPr>
        <w:t>Skills and Qualifications:</w:t>
      </w:r>
    </w:p>
    <w:p>
      <w:pPr>
        <w:spacing w:after="0" w:line="5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Mr. Fisher's experience as CIO at Polaris Industries has provided substantial experience in information technology and security issues. His experience in service and consumer service operations and familiarity with highly discretionary consumer products are key assets as we focus on improved service and operational efficiency.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20"/>
          </w:cols>
          <w:pgMar w:left="280" w:top="303" w:right="299" w:bottom="1440" w:gutter="0" w:footer="0" w:header="0"/>
        </w:sectPr>
      </w:pPr>
    </w:p>
    <w:bookmarkStart w:id="17" w:name="page18"/>
    <w:bookmarkEnd w:id="17"/>
    <w:p>
      <w:pPr>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104775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828282"/>
        </w:rPr>
        <w:t>Class I Directors Whose Term Expires at the Annual Meeting Following Fiscal 2021: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828282"/>
        </w:rPr>
        <w:t>Maria F. Blase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15240</wp:posOffset>
            </wp:positionV>
            <wp:extent cx="7246620" cy="12604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Committees</w:t>
      </w:r>
    </w:p>
    <w:p>
      <w:pPr>
        <w:ind w:left="2560" w:hanging="161"/>
        <w:spacing w:after="0"/>
        <w:tabs>
          <w:tab w:leader="none" w:pos="2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Audit</w:t>
      </w:r>
    </w:p>
    <w:p>
      <w:pPr>
        <w:spacing w:after="0" w:line="18" w:lineRule="exact"/>
        <w:rPr>
          <w:rFonts w:ascii="Arial" w:cs="Arial" w:eastAsia="Arial" w:hAnsi="Arial"/>
          <w:sz w:val="16"/>
          <w:szCs w:val="16"/>
          <w:color w:val="auto"/>
        </w:rPr>
      </w:pPr>
    </w:p>
    <w:p>
      <w:pPr>
        <w:ind w:left="2560" w:hanging="161"/>
        <w:spacing w:after="0"/>
        <w:tabs>
          <w:tab w:leader="none" w:pos="2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Finance (Chair)</w:t>
      </w:r>
    </w:p>
    <w:p>
      <w:pPr>
        <w:spacing w:after="0" w:line="378"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 xml:space="preserve">Age: </w:t>
      </w:r>
      <w:r>
        <w:rPr>
          <w:rFonts w:ascii="Arial" w:cs="Arial" w:eastAsia="Arial" w:hAnsi="Arial"/>
          <w:sz w:val="22"/>
          <w:szCs w:val="22"/>
          <w:color w:val="000000"/>
        </w:rPr>
        <w:t>52</w:t>
      </w:r>
    </w:p>
    <w:p>
      <w:pPr>
        <w:ind w:left="2400"/>
        <w:spacing w:after="0"/>
        <w:rPr>
          <w:sz w:val="20"/>
          <w:szCs w:val="20"/>
          <w:color w:val="auto"/>
        </w:rPr>
      </w:pPr>
      <w:r>
        <w:rPr>
          <w:rFonts w:ascii="Arial" w:cs="Arial" w:eastAsia="Arial" w:hAnsi="Arial"/>
          <w:sz w:val="22"/>
          <w:szCs w:val="22"/>
          <w:color w:val="828282"/>
        </w:rPr>
        <w:t xml:space="preserve">Director Since: </w:t>
      </w:r>
      <w:r>
        <w:rPr>
          <w:rFonts w:ascii="Arial" w:cs="Arial" w:eastAsia="Arial" w:hAnsi="Arial"/>
          <w:sz w:val="22"/>
          <w:szCs w:val="22"/>
          <w:color w:val="000000"/>
        </w:rPr>
        <w:t>2018</w:t>
      </w:r>
    </w:p>
    <w:p>
      <w:pPr>
        <w:spacing w:after="0" w:line="33" w:lineRule="exact"/>
        <w:rPr>
          <w:sz w:val="20"/>
          <w:szCs w:val="20"/>
          <w:color w:val="auto"/>
        </w:rPr>
      </w:pPr>
    </w:p>
    <w:p>
      <w:pPr>
        <w:ind w:left="340"/>
        <w:spacing w:after="0" w:line="256" w:lineRule="auto"/>
        <w:rPr>
          <w:sz w:val="20"/>
          <w:szCs w:val="20"/>
          <w:color w:val="auto"/>
        </w:rPr>
      </w:pPr>
      <w:r>
        <w:rPr>
          <w:rFonts w:ascii="Arial" w:cs="Arial" w:eastAsia="Arial" w:hAnsi="Arial"/>
          <w:sz w:val="16"/>
          <w:szCs w:val="16"/>
          <w:b w:val="1"/>
          <w:bCs w:val="1"/>
          <w:color w:val="auto"/>
        </w:rPr>
        <w:t>Maria F. Blase</w:t>
      </w:r>
      <w:r>
        <w:rPr>
          <w:rFonts w:ascii="Arial" w:cs="Arial" w:eastAsia="Arial" w:hAnsi="Arial"/>
          <w:sz w:val="16"/>
          <w:szCs w:val="16"/>
          <w:color w:val="auto"/>
        </w:rPr>
        <w:t>, 52, currently serves as President of the Power Tools and Lifting businesses of Ingersoll Rand, a global industrial manufacturing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Ms. Blase has 25 years of experience with diverse industries, including transport, buildings, services, manufacturing, pharmaceuticals and mining. After joining Ingersoll Rand in 1999, she was promoted to global financial roles of increasing importance, including chief financial officer of the $8 billion Climate Solutions sector. In 2013, she was named President of the HVAC and Transport Latin America business of Ingersoll Rand, and in late 2017 she assumed her most recent role.</w:t>
      </w:r>
    </w:p>
    <w:p>
      <w:pPr>
        <w:spacing w:after="0" w:line="173" w:lineRule="exact"/>
        <w:rPr>
          <w:sz w:val="20"/>
          <w:szCs w:val="20"/>
          <w:color w:val="auto"/>
        </w:rPr>
      </w:pPr>
    </w:p>
    <w:p>
      <w:pPr>
        <w:ind w:left="340" w:right="100"/>
        <w:spacing w:after="0" w:line="260" w:lineRule="auto"/>
        <w:rPr>
          <w:sz w:val="20"/>
          <w:szCs w:val="20"/>
          <w:color w:val="auto"/>
        </w:rPr>
      </w:pPr>
      <w:r>
        <w:rPr>
          <w:rFonts w:ascii="Arial" w:cs="Arial" w:eastAsia="Arial" w:hAnsi="Arial"/>
          <w:sz w:val="16"/>
          <w:szCs w:val="16"/>
          <w:color w:val="auto"/>
        </w:rPr>
        <w:t>Ms. Blase is a CPA and her previous experience includes various positions at KPMG LLP from 1993 to 1999 in increasing scope and complexity. Due to Ms. Blase's relevant experience in finance, accounting and controls, the Board determined that she is an audit committee financial expert.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22"/>
          <w:szCs w:val="22"/>
          <w:color w:val="828282"/>
        </w:rPr>
        <w:t>Skills and Qualifications:</w:t>
      </w:r>
    </w:p>
    <w:p>
      <w:pPr>
        <w:spacing w:after="0" w:line="53" w:lineRule="exact"/>
        <w:rPr>
          <w:sz w:val="20"/>
          <w:szCs w:val="20"/>
          <w:color w:val="auto"/>
        </w:rPr>
      </w:pPr>
    </w:p>
    <w:p>
      <w:pPr>
        <w:ind w:left="340" w:right="60"/>
        <w:spacing w:after="0" w:line="260" w:lineRule="auto"/>
        <w:rPr>
          <w:sz w:val="20"/>
          <w:szCs w:val="20"/>
          <w:color w:val="auto"/>
        </w:rPr>
      </w:pPr>
      <w:r>
        <w:rPr>
          <w:rFonts w:ascii="Arial" w:cs="Arial" w:eastAsia="Arial" w:hAnsi="Arial"/>
          <w:sz w:val="16"/>
          <w:szCs w:val="16"/>
          <w:color w:val="auto"/>
        </w:rPr>
        <w:t>Ms. Blase brings to the Board extensive experience in international, strategic planning, acquisitions and driving business growth. The Board believes her financial and business expertise will add valuable insights to the Board.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828282"/>
        </w:rPr>
        <w:t>Christopher J.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15240</wp:posOffset>
            </wp:positionV>
            <wp:extent cx="7246620" cy="127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2776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Committees</w:t>
      </w:r>
    </w:p>
    <w:p>
      <w:pPr>
        <w:ind w:left="2560" w:hanging="161"/>
        <w:spacing w:after="0"/>
        <w:tabs>
          <w:tab w:leader="none" w:pos="2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Human Resources</w:t>
      </w:r>
    </w:p>
    <w:p>
      <w:pPr>
        <w:spacing w:after="0" w:line="18" w:lineRule="exact"/>
        <w:rPr>
          <w:rFonts w:ascii="Arial" w:cs="Arial" w:eastAsia="Arial" w:hAnsi="Arial"/>
          <w:sz w:val="16"/>
          <w:szCs w:val="16"/>
          <w:color w:val="auto"/>
        </w:rPr>
      </w:pPr>
    </w:p>
    <w:p>
      <w:pPr>
        <w:ind w:left="2560" w:hanging="161"/>
        <w:spacing w:after="0"/>
        <w:tabs>
          <w:tab w:leader="none" w:pos="2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Nominating and Governance</w:t>
      </w:r>
    </w:p>
    <w:p>
      <w:pPr>
        <w:spacing w:after="0" w:line="189"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 xml:space="preserve">Age: </w:t>
      </w:r>
      <w:r>
        <w:rPr>
          <w:rFonts w:ascii="Arial" w:cs="Arial" w:eastAsia="Arial" w:hAnsi="Arial"/>
          <w:sz w:val="22"/>
          <w:szCs w:val="22"/>
          <w:color w:val="000000"/>
        </w:rPr>
        <w:t>59</w:t>
      </w:r>
    </w:p>
    <w:p>
      <w:pPr>
        <w:ind w:left="2400"/>
        <w:spacing w:after="0"/>
        <w:rPr>
          <w:sz w:val="20"/>
          <w:szCs w:val="20"/>
          <w:color w:val="auto"/>
        </w:rPr>
      </w:pPr>
      <w:r>
        <w:rPr>
          <w:rFonts w:ascii="Arial" w:cs="Arial" w:eastAsia="Arial" w:hAnsi="Arial"/>
          <w:sz w:val="22"/>
          <w:szCs w:val="22"/>
          <w:color w:val="828282"/>
        </w:rPr>
        <w:t xml:space="preserve">Director Since: </w:t>
      </w:r>
      <w:r>
        <w:rPr>
          <w:rFonts w:ascii="Arial" w:cs="Arial" w:eastAsia="Arial" w:hAnsi="Arial"/>
          <w:sz w:val="22"/>
          <w:szCs w:val="22"/>
          <w:color w:val="000000"/>
        </w:rPr>
        <w:t>2015</w:t>
      </w:r>
    </w:p>
    <w:p>
      <w:pPr>
        <w:spacing w:after="0" w:line="296" w:lineRule="exact"/>
        <w:rPr>
          <w:sz w:val="20"/>
          <w:szCs w:val="20"/>
          <w:color w:val="auto"/>
        </w:rPr>
      </w:pPr>
    </w:p>
    <w:p>
      <w:pPr>
        <w:ind w:left="340" w:right="20"/>
        <w:spacing w:after="0" w:line="251" w:lineRule="auto"/>
        <w:rPr>
          <w:sz w:val="20"/>
          <w:szCs w:val="20"/>
          <w:color w:val="auto"/>
        </w:rPr>
      </w:pPr>
      <w:r>
        <w:rPr>
          <w:rFonts w:ascii="Arial" w:cs="Arial" w:eastAsia="Arial" w:hAnsi="Arial"/>
          <w:sz w:val="16"/>
          <w:szCs w:val="16"/>
          <w:color w:val="auto"/>
        </w:rPr>
        <w:t>Christopher J. Braun, 59, has been a director since 2015. Mr. Braun has over 30 years of leadership experience encompassing manufacturing, finance and sales. He founded Teton Buildings in 2008 and held the position of CEO through 2013. His previous experience includes CEO of Teton Homes, Executive Vice President - RV Group at Fleetwood Enterprises and various senior management positions within PACCAR Corporation, a manufacturer of Kenworth and Peterbilt trucks.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22"/>
          <w:szCs w:val="22"/>
          <w:color w:val="828282"/>
        </w:rPr>
        <w:t>Skills and Qualifications:</w:t>
      </w:r>
    </w:p>
    <w:p>
      <w:pPr>
        <w:spacing w:after="0" w:line="53" w:lineRule="exact"/>
        <w:rPr>
          <w:sz w:val="20"/>
          <w:szCs w:val="20"/>
          <w:color w:val="auto"/>
        </w:rPr>
      </w:pPr>
    </w:p>
    <w:p>
      <w:pPr>
        <w:ind w:left="340" w:right="20"/>
        <w:spacing w:after="0" w:line="260" w:lineRule="auto"/>
        <w:rPr>
          <w:sz w:val="20"/>
          <w:szCs w:val="20"/>
          <w:color w:val="auto"/>
        </w:rPr>
      </w:pPr>
      <w:r>
        <w:rPr>
          <w:rFonts w:ascii="Arial" w:cs="Arial" w:eastAsia="Arial" w:hAnsi="Arial"/>
          <w:sz w:val="16"/>
          <w:szCs w:val="16"/>
          <w:color w:val="auto"/>
        </w:rPr>
        <w:t>As a recognized leader in the RV industry, Mr. Braun provides keen insights to the Board. His prior experience in the RV industry, combined with his vast manufacturing background and his role as a former CEO make him well-positioned to critically and thoughtfully review and guide the Company's strategy.</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20"/>
          </w:cols>
          <w:pgMar w:left="280" w:top="303" w:right="299" w:bottom="1440" w:gutter="0" w:footer="0" w:header="0"/>
        </w:sectPr>
      </w:pPr>
    </w:p>
    <w:bookmarkStart w:id="18" w:name="page19"/>
    <w:bookmarkEnd w:id="18"/>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22"/>
          <w:szCs w:val="22"/>
          <w:color w:val="828282"/>
        </w:rPr>
        <w:t>David W.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4" w:lineRule="exact"/>
        <w:rPr>
          <w:sz w:val="20"/>
          <w:szCs w:val="20"/>
          <w:color w:val="auto"/>
        </w:rPr>
      </w:pPr>
    </w:p>
    <w:p>
      <w:pPr>
        <w:ind w:left="2440"/>
        <w:spacing w:after="0"/>
        <w:rPr>
          <w:sz w:val="20"/>
          <w:szCs w:val="20"/>
          <w:color w:val="auto"/>
        </w:rPr>
      </w:pPr>
      <w:r>
        <w:rPr>
          <w:rFonts w:ascii="Arial" w:cs="Arial" w:eastAsia="Arial" w:hAnsi="Arial"/>
          <w:sz w:val="22"/>
          <w:szCs w:val="22"/>
          <w:color w:val="828282"/>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-147320</wp:posOffset>
            </wp:positionV>
            <wp:extent cx="857885" cy="1071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885" cy="1071880"/>
                    </a:xfrm>
                    <a:prstGeom prst="rect">
                      <a:avLst/>
                    </a:prstGeom>
                    <a:noFill/>
                  </pic:spPr>
                </pic:pic>
              </a:graphicData>
            </a:graphic>
          </wp:anchor>
        </w:drawing>
      </w:r>
    </w:p>
    <w:p>
      <w:pPr>
        <w:spacing w:after="0" w:line="131" w:lineRule="exact"/>
        <w:rPr>
          <w:sz w:val="20"/>
          <w:szCs w:val="20"/>
          <w:color w:val="auto"/>
        </w:rPr>
      </w:pPr>
    </w:p>
    <w:p>
      <w:pPr>
        <w:ind w:left="2440"/>
        <w:spacing w:after="0"/>
        <w:rPr>
          <w:sz w:val="20"/>
          <w:szCs w:val="20"/>
          <w:color w:val="auto"/>
        </w:rPr>
      </w:pPr>
      <w:r>
        <w:rPr>
          <w:rFonts w:ascii="Arial" w:cs="Arial" w:eastAsia="Arial" w:hAnsi="Arial"/>
          <w:sz w:val="22"/>
          <w:szCs w:val="22"/>
          <w:color w:val="828282"/>
        </w:rPr>
        <w:t>Committees</w:t>
      </w:r>
    </w:p>
    <w:p>
      <w:pPr>
        <w:ind w:left="2600" w:hanging="161"/>
        <w:spacing w:after="0"/>
        <w:tabs>
          <w:tab w:leader="none" w:pos="2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Audit</w:t>
      </w:r>
    </w:p>
    <w:p>
      <w:pPr>
        <w:spacing w:after="0" w:line="18" w:lineRule="exact"/>
        <w:rPr>
          <w:rFonts w:ascii="Arial" w:cs="Arial" w:eastAsia="Arial" w:hAnsi="Arial"/>
          <w:sz w:val="16"/>
          <w:szCs w:val="16"/>
          <w:color w:val="auto"/>
        </w:rPr>
      </w:pPr>
    </w:p>
    <w:p>
      <w:pPr>
        <w:ind w:left="2600" w:hanging="161"/>
        <w:spacing w:after="0"/>
        <w:tabs>
          <w:tab w:leader="none" w:pos="2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Finance</w:t>
      </w:r>
    </w:p>
    <w:p>
      <w:pPr>
        <w:spacing w:after="0" w:line="189" w:lineRule="exact"/>
        <w:rPr>
          <w:sz w:val="20"/>
          <w:szCs w:val="20"/>
          <w:color w:val="auto"/>
        </w:rPr>
      </w:pPr>
    </w:p>
    <w:p>
      <w:pPr>
        <w:ind w:left="2440"/>
        <w:spacing w:after="0"/>
        <w:rPr>
          <w:sz w:val="20"/>
          <w:szCs w:val="20"/>
          <w:color w:val="auto"/>
        </w:rPr>
      </w:pPr>
      <w:r>
        <w:rPr>
          <w:rFonts w:ascii="Arial" w:cs="Arial" w:eastAsia="Arial" w:hAnsi="Arial"/>
          <w:sz w:val="22"/>
          <w:szCs w:val="22"/>
          <w:color w:val="828282"/>
        </w:rPr>
        <w:t xml:space="preserve">Age: </w:t>
      </w:r>
      <w:r>
        <w:rPr>
          <w:rFonts w:ascii="Arial" w:cs="Arial" w:eastAsia="Arial" w:hAnsi="Arial"/>
          <w:sz w:val="22"/>
          <w:szCs w:val="22"/>
          <w:color w:val="000000"/>
        </w:rPr>
        <w:t>62</w:t>
      </w:r>
    </w:p>
    <w:p>
      <w:pPr>
        <w:ind w:left="2440"/>
        <w:spacing w:after="0"/>
        <w:rPr>
          <w:sz w:val="20"/>
          <w:szCs w:val="20"/>
          <w:color w:val="auto"/>
        </w:rPr>
      </w:pPr>
      <w:r>
        <w:rPr>
          <w:rFonts w:ascii="Arial" w:cs="Arial" w:eastAsia="Arial" w:hAnsi="Arial"/>
          <w:sz w:val="22"/>
          <w:szCs w:val="22"/>
          <w:color w:val="828282"/>
        </w:rPr>
        <w:t xml:space="preserve">Director Since: </w:t>
      </w:r>
      <w:r>
        <w:rPr>
          <w:rFonts w:ascii="Arial" w:cs="Arial" w:eastAsia="Arial" w:hAnsi="Arial"/>
          <w:sz w:val="22"/>
          <w:szCs w:val="22"/>
          <w:color w:val="000000"/>
        </w:rPr>
        <w:t>2015</w:t>
      </w:r>
    </w:p>
    <w:p>
      <w:pPr>
        <w:spacing w:after="0" w:line="53" w:lineRule="exact"/>
        <w:rPr>
          <w:sz w:val="20"/>
          <w:szCs w:val="20"/>
          <w:color w:val="auto"/>
        </w:rPr>
      </w:pPr>
    </w:p>
    <w:p>
      <w:pPr>
        <w:ind w:left="500" w:right="140"/>
        <w:spacing w:after="0" w:line="249" w:lineRule="auto"/>
        <w:rPr>
          <w:sz w:val="20"/>
          <w:szCs w:val="20"/>
          <w:color w:val="auto"/>
        </w:rPr>
      </w:pPr>
      <w:r>
        <w:rPr>
          <w:rFonts w:ascii="Arial" w:cs="Arial" w:eastAsia="Arial" w:hAnsi="Arial"/>
          <w:sz w:val="16"/>
          <w:szCs w:val="16"/>
          <w:color w:val="auto"/>
        </w:rPr>
        <w:t>David W. Miles, 62, a financial adviser, entrepreneur and investor, has been a director since 2015 and was elected as Chairman of the Board in 2019. Mr. Miles is co-founder and Managing Principal of ManchesterStory Group, an early-to-growth stage venture capital firm, chairman and principal owner of Miles Capital, Inc., a registered investment advisory firm managing investments in public equities, public debt and alternative asset classes to institutional investors, and founder and manager of The Miles Group, LLC, a firm focused on direct and indirect private equity investments. He is also a director of the Miles Funds, Inc., and a director and chair of the Audit Committee of Northwest Financial Corporation. Due to Mr. Miles' vast experience in finance and as an investment advisor, the Board determined that he is an audit committee financial expert.</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22"/>
          <w:szCs w:val="22"/>
          <w:color w:val="828282"/>
        </w:rPr>
        <w:t>Skills and Qualifications:</w:t>
      </w:r>
    </w:p>
    <w:p>
      <w:pPr>
        <w:spacing w:after="0" w:line="53" w:lineRule="exact"/>
        <w:rPr>
          <w:sz w:val="20"/>
          <w:szCs w:val="20"/>
          <w:color w:val="auto"/>
        </w:rPr>
      </w:pPr>
    </w:p>
    <w:p>
      <w:pPr>
        <w:ind w:left="500" w:right="740"/>
        <w:spacing w:after="0" w:line="260" w:lineRule="auto"/>
        <w:rPr>
          <w:sz w:val="20"/>
          <w:szCs w:val="20"/>
          <w:color w:val="auto"/>
        </w:rPr>
      </w:pPr>
      <w:r>
        <w:rPr>
          <w:rFonts w:ascii="Arial" w:cs="Arial" w:eastAsia="Arial" w:hAnsi="Arial"/>
          <w:sz w:val="16"/>
          <w:szCs w:val="16"/>
          <w:color w:val="auto"/>
        </w:rPr>
        <w:t>Mr. Miles brings legal and investment transaction experience to the Board. He also brings significant expertise in financial reporting and capital allocation strategy.</w:t>
      </w:r>
    </w:p>
    <w:p>
      <w:pPr>
        <w:spacing w:after="0" w:line="38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Nominating and Governance Committee recommended, and the Board approved, the nomination of Messrs. Chiusano, Moss and Murabito as Class II directors.</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Discretionary authority is solicited to vote for the election of a substitute for any of the Class II director nominees (Messrs. Chiusano, Moss and Murabito) who, for any reason currently unknown, cannot be a candidate for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03" w:right="239" w:bottom="1440" w:gutter="0" w:footer="0" w:header="0"/>
        </w:sectPr>
      </w:pPr>
    </w:p>
    <w:bookmarkStart w:id="19" w:name="page20"/>
    <w:bookmarkEnd w:id="19"/>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357568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color w:val="BF2115"/>
        </w:rPr>
        <w:t>Compensation Discussion and Analysis</w:t>
      </w:r>
    </w:p>
    <w:p>
      <w:pPr>
        <w:spacing w:after="0" w:line="28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following Compensation Discussion and Analysis describes the material elements of our executive compensation program. Throughout this discussion, we refer to our named executive officers ("NEOs"). The following individuals are our NEOs for Fiscal 2019:</w:t>
      </w:r>
    </w:p>
    <w:p>
      <w:pPr>
        <w:spacing w:after="0" w:line="176"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Michael J. Happe, CEO and President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Bryan L. Hughes, Vice President, CFO</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Stacy L. Bogart, Vice President, General Counsel &amp; Secretary</w:t>
      </w:r>
    </w:p>
    <w:p>
      <w:pPr>
        <w:spacing w:after="0" w:line="5"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Donald J. Clark, President, Grand Design; Vice President, Winnebago Industries, Inc.</w:t>
      </w:r>
    </w:p>
    <w:p>
      <w:pPr>
        <w:ind w:left="340" w:right="220" w:hanging="332"/>
        <w:spacing w:after="0" w:line="26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Brian D. Hazelton, Vice President and General Manager, Motorhome Business Unit</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color w:val="BF2115"/>
        </w:rPr>
        <w:t>Executive 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designed to reward the achievement of our specific annual, long-term and strategic goals, and which aligns executives' interests with those of the shareholders by rewarding performance above established thresholds, with the ultimate objective of improving shareholder value. The Committee evaluates both performance</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and compensation to ensure that we maintain our ability to attract and retain superior employees in key positions and that compensation provided to key employees remains competitive relative to the compensation paid to similarly situated executives of our Compensation Peers (as defined below). Accordingly, the Committee believes executive compensation packages provided to our executives, including the NEOs, should include both cash and stock-based compensation that reward performance as measured against established goals.</w:t>
      </w:r>
    </w:p>
    <w:p>
      <w:pPr>
        <w:spacing w:after="0" w:line="8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Committee has worked with management to design the current executive compensation programs, following the belief that compensation should reflect the value created for the shareholders while furthering our strategic goals. In doing so, we instituted our compensation programs to achieve the following goals:</w:t>
      </w:r>
    </w:p>
    <w:p>
      <w:pPr>
        <w:spacing w:after="0" w:line="23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Align the interests of Management with those of shareholders;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 fair and competitive compensation;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Integrate compensation with our business plans;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Reward both business and individual performance;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Attract and retain key executives critical to our success.</w:t>
      </w:r>
    </w:p>
    <w:p>
      <w:pPr>
        <w:spacing w:after="0" w:line="37" w:lineRule="exact"/>
        <w:rPr>
          <w:sz w:val="20"/>
          <w:szCs w:val="20"/>
          <w:color w:val="auto"/>
        </w:rPr>
      </w:pPr>
    </w:p>
    <w:p>
      <w:pPr>
        <w:sectPr>
          <w:pgSz w:w="11900" w:h="16838" w:orient="portrait"/>
          <w:cols w:equalWidth="0" w:num="2">
            <w:col w:w="5480" w:space="340"/>
            <w:col w:w="5600"/>
          </w:cols>
          <w:pgMar w:left="240" w:top="303" w:right="239" w:bottom="1440" w:gutter="0" w:footer="0" w:header="0"/>
          <w:type w:val="continuous"/>
        </w:sectPr>
      </w:pPr>
    </w:p>
    <w:p>
      <w:pPr>
        <w:ind w:right="780"/>
        <w:spacing w:after="0" w:line="249" w:lineRule="auto"/>
        <w:rPr>
          <w:sz w:val="20"/>
          <w:szCs w:val="20"/>
          <w:color w:val="auto"/>
        </w:rPr>
      </w:pPr>
      <w:r>
        <w:rPr>
          <w:rFonts w:ascii="Arial" w:cs="Arial" w:eastAsia="Arial" w:hAnsi="Arial"/>
          <w:sz w:val="22"/>
          <w:szCs w:val="22"/>
          <w:color w:val="828282"/>
        </w:rPr>
        <w:t>Executive Compensation Philosophy and Program Objectives</w:t>
      </w:r>
    </w:p>
    <w:p>
      <w:pPr>
        <w:spacing w:after="0" w:line="24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Human Resources Committee (the "Committee") believes that the most effective compensation program is one that is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These objectives emphasize pay for performance by providing an incentive opportunity for performance that meets or exceeds company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427355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828282"/>
        </w:rPr>
        <w:t>Fiscal 2019 Performance Highlights</w:t>
      </w:r>
    </w:p>
    <w:p>
      <w:pPr>
        <w:spacing w:after="0" w:line="18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are highlights of the Company's financial performance in Fiscal 2019 ($ in thousands). Performance across each of these metrics was driven by organic growth in the marine and towables businesses and inorganic growth in the marine business, including the Company's acquisition of Chris-Craft.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40" w:type="dxa"/>
            <w:vAlign w:val="bottom"/>
            <w:tcBorders>
              <w:right w:val="single" w:sz="8" w:color="BF2115"/>
            </w:tcBorders>
            <w:shd w:val="clear" w:color="auto" w:fill="BF2115"/>
          </w:tcPr>
          <w:p>
            <w:pPr>
              <w:spacing w:after="0"/>
              <w:rPr>
                <w:sz w:val="23"/>
                <w:szCs w:val="23"/>
                <w:color w:val="auto"/>
              </w:rPr>
            </w:pPr>
          </w:p>
        </w:tc>
        <w:tc>
          <w:tcPr>
            <w:tcW w:w="1220" w:type="dxa"/>
            <w:vAlign w:val="bottom"/>
            <w:shd w:val="clear" w:color="auto" w:fill="BF2115"/>
          </w:tcPr>
          <w:p>
            <w:pPr>
              <w:spacing w:after="0"/>
              <w:rPr>
                <w:sz w:val="23"/>
                <w:szCs w:val="23"/>
                <w:color w:val="auto"/>
              </w:rPr>
            </w:pPr>
          </w:p>
        </w:tc>
        <w:tc>
          <w:tcPr>
            <w:tcW w:w="2440" w:type="dxa"/>
            <w:vAlign w:val="bottom"/>
            <w:tcBorders>
              <w:right w:val="single" w:sz="8" w:color="BF2115"/>
            </w:tcBorders>
            <w:gridSpan w:val="2"/>
            <w:shd w:val="clear" w:color="auto" w:fill="BF2115"/>
          </w:tcPr>
          <w:p>
            <w:pPr>
              <w:ind w:left="80"/>
              <w:spacing w:after="0"/>
              <w:rPr>
                <w:sz w:val="20"/>
                <w:szCs w:val="20"/>
                <w:color w:val="auto"/>
              </w:rPr>
            </w:pPr>
            <w:r>
              <w:rPr>
                <w:rFonts w:ascii="Arial" w:cs="Arial" w:eastAsia="Arial" w:hAnsi="Arial"/>
                <w:sz w:val="16"/>
                <w:szCs w:val="16"/>
                <w:color w:val="FFFFFF"/>
              </w:rPr>
              <w:t>Incentive Plan</w:t>
            </w:r>
          </w:p>
        </w:tc>
        <w:tc>
          <w:tcPr>
            <w:tcW w:w="2380" w:type="dxa"/>
            <w:vAlign w:val="bottom"/>
            <w:gridSpan w:val="2"/>
            <w:shd w:val="clear" w:color="auto" w:fill="BF2115"/>
          </w:tcPr>
          <w:p>
            <w:pPr>
              <w:ind w:left="1260"/>
              <w:spacing w:after="0"/>
              <w:rPr>
                <w:sz w:val="20"/>
                <w:szCs w:val="20"/>
                <w:color w:val="auto"/>
              </w:rPr>
            </w:pPr>
            <w:r>
              <w:rPr>
                <w:rFonts w:ascii="Arial" w:cs="Arial" w:eastAsia="Arial" w:hAnsi="Arial"/>
                <w:sz w:val="16"/>
                <w:szCs w:val="16"/>
                <w:color w:val="FFFFFF"/>
              </w:rPr>
              <w:t>Performance</w:t>
            </w:r>
            <w:r>
              <w:rPr>
                <w:rFonts w:ascii="Arial" w:cs="Arial" w:eastAsia="Arial" w:hAnsi="Arial"/>
                <w:sz w:val="21"/>
                <w:szCs w:val="21"/>
                <w:color w:val="FFFFFF"/>
                <w:vertAlign w:val="superscript"/>
              </w:rPr>
              <w:t>(1)</w:t>
            </w:r>
          </w:p>
        </w:tc>
        <w:tc>
          <w:tcPr>
            <w:tcW w:w="1240" w:type="dxa"/>
            <w:vAlign w:val="bottom"/>
            <w:shd w:val="clear" w:color="auto" w:fill="BF2115"/>
          </w:tcPr>
          <w:p>
            <w:pPr>
              <w:spacing w:after="0"/>
              <w:rPr>
                <w:sz w:val="23"/>
                <w:szCs w:val="23"/>
                <w:color w:val="auto"/>
              </w:rPr>
            </w:pPr>
          </w:p>
        </w:tc>
      </w:tr>
      <w:tr>
        <w:trPr>
          <w:trHeight w:val="257"/>
        </w:trPr>
        <w:tc>
          <w:tcPr>
            <w:tcW w:w="4140" w:type="dxa"/>
            <w:vAlign w:val="bottom"/>
            <w:tcBorders>
              <w:right w:val="single" w:sz="8" w:color="BF2115"/>
            </w:tcBorders>
            <w:shd w:val="clear" w:color="auto" w:fill="BF2115"/>
          </w:tcPr>
          <w:p>
            <w:pPr>
              <w:ind w:left="40"/>
              <w:spacing w:after="0"/>
              <w:rPr>
                <w:sz w:val="20"/>
                <w:szCs w:val="20"/>
                <w:color w:val="auto"/>
              </w:rPr>
            </w:pPr>
            <w:r>
              <w:rPr>
                <w:rFonts w:ascii="Arial" w:cs="Arial" w:eastAsia="Arial" w:hAnsi="Arial"/>
                <w:sz w:val="16"/>
                <w:szCs w:val="16"/>
                <w:color w:val="FFFFFF"/>
              </w:rPr>
              <w:t>Measure</w:t>
            </w:r>
          </w:p>
        </w:tc>
        <w:tc>
          <w:tcPr>
            <w:tcW w:w="1220" w:type="dxa"/>
            <w:vAlign w:val="bottom"/>
            <w:shd w:val="clear" w:color="auto" w:fill="BF2115"/>
          </w:tcPr>
          <w:p>
            <w:pPr>
              <w:jc w:val="center"/>
              <w:ind w:left="519"/>
              <w:spacing w:after="0"/>
              <w:rPr>
                <w:sz w:val="20"/>
                <w:szCs w:val="20"/>
                <w:color w:val="auto"/>
              </w:rPr>
            </w:pPr>
            <w:r>
              <w:rPr>
                <w:rFonts w:ascii="Arial" w:cs="Arial" w:eastAsia="Arial" w:hAnsi="Arial"/>
                <w:sz w:val="16"/>
                <w:szCs w:val="16"/>
                <w:color w:val="FFFFFF"/>
              </w:rPr>
              <w:t>Annual</w:t>
            </w:r>
          </w:p>
        </w:tc>
        <w:tc>
          <w:tcPr>
            <w:tcW w:w="620" w:type="dxa"/>
            <w:vAlign w:val="bottom"/>
            <w:tcBorders>
              <w:right w:val="single" w:sz="8" w:color="BF2115"/>
            </w:tcBorders>
            <w:shd w:val="clear" w:color="auto" w:fill="BF2115"/>
          </w:tcPr>
          <w:p>
            <w:pPr>
              <w:spacing w:after="0"/>
              <w:rPr>
                <w:sz w:val="22"/>
                <w:szCs w:val="22"/>
                <w:color w:val="auto"/>
              </w:rPr>
            </w:pPr>
          </w:p>
        </w:tc>
        <w:tc>
          <w:tcPr>
            <w:tcW w:w="1820" w:type="dxa"/>
            <w:vAlign w:val="bottom"/>
            <w:tcBorders>
              <w:right w:val="single" w:sz="8" w:color="BF2115"/>
            </w:tcBorders>
            <w:shd w:val="clear" w:color="auto" w:fill="BF2115"/>
          </w:tcPr>
          <w:p>
            <w:pPr>
              <w:jc w:val="center"/>
              <w:spacing w:after="0"/>
              <w:rPr>
                <w:sz w:val="20"/>
                <w:szCs w:val="20"/>
                <w:color w:val="auto"/>
              </w:rPr>
            </w:pPr>
            <w:r>
              <w:rPr>
                <w:rFonts w:ascii="Arial" w:cs="Arial" w:eastAsia="Arial" w:hAnsi="Arial"/>
                <w:sz w:val="16"/>
                <w:szCs w:val="16"/>
                <w:color w:val="FFFFFF"/>
                <w:w w:val="94"/>
              </w:rPr>
              <w:t>Long-Term</w:t>
            </w:r>
            <w:r>
              <w:rPr>
                <w:rFonts w:ascii="Arial" w:cs="Arial" w:eastAsia="Arial" w:hAnsi="Arial"/>
                <w:sz w:val="21"/>
                <w:szCs w:val="21"/>
                <w:color w:val="FFFFFF"/>
                <w:w w:val="94"/>
                <w:vertAlign w:val="superscript"/>
              </w:rPr>
              <w:t>(2)</w:t>
            </w:r>
          </w:p>
        </w:tc>
        <w:tc>
          <w:tcPr>
            <w:tcW w:w="2380" w:type="dxa"/>
            <w:vAlign w:val="bottom"/>
            <w:gridSpan w:val="2"/>
            <w:shd w:val="clear" w:color="auto" w:fill="BF2115"/>
          </w:tcPr>
          <w:p>
            <w:pPr>
              <w:ind w:left="660"/>
              <w:spacing w:after="0"/>
              <w:rPr>
                <w:sz w:val="20"/>
                <w:szCs w:val="20"/>
                <w:color w:val="auto"/>
              </w:rPr>
            </w:pPr>
            <w:r>
              <w:rPr>
                <w:rFonts w:ascii="Arial" w:cs="Arial" w:eastAsia="Arial" w:hAnsi="Arial"/>
                <w:sz w:val="16"/>
                <w:szCs w:val="16"/>
                <w:color w:val="FFFFFF"/>
              </w:rPr>
              <w:t>1-year</w:t>
            </w:r>
          </w:p>
        </w:tc>
        <w:tc>
          <w:tcPr>
            <w:tcW w:w="1240" w:type="dxa"/>
            <w:vAlign w:val="bottom"/>
            <w:shd w:val="clear" w:color="auto" w:fill="BF2115"/>
          </w:tcPr>
          <w:p>
            <w:pPr>
              <w:jc w:val="right"/>
              <w:ind w:right="519"/>
              <w:spacing w:after="0"/>
              <w:rPr>
                <w:sz w:val="20"/>
                <w:szCs w:val="20"/>
                <w:color w:val="auto"/>
              </w:rPr>
            </w:pPr>
            <w:r>
              <w:rPr>
                <w:rFonts w:ascii="Arial" w:cs="Arial" w:eastAsia="Arial" w:hAnsi="Arial"/>
                <w:sz w:val="16"/>
                <w:szCs w:val="16"/>
                <w:color w:val="FFFFFF"/>
                <w:w w:val="99"/>
              </w:rPr>
              <w:t>3-year</w:t>
            </w:r>
            <w:r>
              <w:rPr>
                <w:rFonts w:ascii="Arial" w:cs="Arial" w:eastAsia="Arial" w:hAnsi="Arial"/>
                <w:sz w:val="21"/>
                <w:szCs w:val="21"/>
                <w:color w:val="FFFFFF"/>
                <w:w w:val="99"/>
                <w:vertAlign w:val="superscript"/>
              </w:rPr>
              <w:t>(3)</w:t>
            </w:r>
          </w:p>
        </w:tc>
      </w:tr>
      <w:tr>
        <w:trPr>
          <w:trHeight w:val="270"/>
        </w:trPr>
        <w:tc>
          <w:tcPr>
            <w:tcW w:w="4140" w:type="dxa"/>
            <w:vAlign w:val="bottom"/>
            <w:tcBorders>
              <w:right w:val="single" w:sz="8" w:color="ACACAC"/>
            </w:tcBorders>
            <w:shd w:val="clear" w:color="auto" w:fill="ACACAC"/>
          </w:tcPr>
          <w:p>
            <w:pPr>
              <w:ind w:left="40"/>
              <w:spacing w:after="0"/>
              <w:rPr>
                <w:sz w:val="20"/>
                <w:szCs w:val="20"/>
                <w:color w:val="auto"/>
              </w:rPr>
            </w:pPr>
            <w:r>
              <w:rPr>
                <w:rFonts w:ascii="Arial" w:cs="Arial" w:eastAsia="Arial" w:hAnsi="Arial"/>
                <w:sz w:val="16"/>
                <w:szCs w:val="16"/>
                <w:color w:val="auto"/>
              </w:rPr>
              <w:t>Net Revenue</w:t>
            </w:r>
          </w:p>
        </w:tc>
        <w:tc>
          <w:tcPr>
            <w:tcW w:w="1220" w:type="dxa"/>
            <w:vAlign w:val="bottom"/>
            <w:shd w:val="clear" w:color="auto" w:fill="ACACAC"/>
          </w:tcPr>
          <w:p>
            <w:pPr>
              <w:spacing w:after="0"/>
              <w:rPr>
                <w:sz w:val="23"/>
                <w:szCs w:val="23"/>
                <w:color w:val="auto"/>
              </w:rPr>
            </w:pPr>
          </w:p>
        </w:tc>
        <w:tc>
          <w:tcPr>
            <w:tcW w:w="620" w:type="dxa"/>
            <w:vAlign w:val="bottom"/>
            <w:tcBorders>
              <w:right w:val="single" w:sz="8" w:color="ACACAC"/>
            </w:tcBorders>
            <w:shd w:val="clear" w:color="auto" w:fill="ACACAC"/>
          </w:tcPr>
          <w:p>
            <w:pPr>
              <w:spacing w:after="0"/>
              <w:rPr>
                <w:sz w:val="23"/>
                <w:szCs w:val="23"/>
                <w:color w:val="auto"/>
              </w:rPr>
            </w:pPr>
          </w:p>
        </w:tc>
        <w:tc>
          <w:tcPr>
            <w:tcW w:w="1820" w:type="dxa"/>
            <w:vAlign w:val="bottom"/>
            <w:tcBorders>
              <w:right w:val="single" w:sz="8" w:color="ACACAC"/>
            </w:tcBorders>
            <w:shd w:val="clear" w:color="auto" w:fill="ACACAC"/>
          </w:tcPr>
          <w:p>
            <w:pPr>
              <w:jc w:val="center"/>
              <w:spacing w:after="0"/>
              <w:rPr>
                <w:sz w:val="20"/>
                <w:szCs w:val="20"/>
                <w:color w:val="auto"/>
              </w:rPr>
            </w:pPr>
            <w:r>
              <w:rPr>
                <w:rFonts w:ascii="Arial" w:cs="Arial" w:eastAsia="Arial" w:hAnsi="Arial"/>
                <w:sz w:val="16"/>
                <w:szCs w:val="16"/>
                <w:color w:val="auto"/>
                <w:w w:val="93"/>
              </w:rPr>
              <w:t>X</w:t>
            </w:r>
          </w:p>
        </w:tc>
        <w:tc>
          <w:tcPr>
            <w:tcW w:w="1820" w:type="dxa"/>
            <w:vAlign w:val="bottom"/>
            <w:tcBorders>
              <w:right w:val="single" w:sz="8" w:color="ACACAC"/>
            </w:tcBorders>
            <w:shd w:val="clear" w:color="auto" w:fill="ACACAC"/>
          </w:tcPr>
          <w:p>
            <w:pPr>
              <w:spacing w:after="0"/>
              <w:rPr>
                <w:sz w:val="23"/>
                <w:szCs w:val="23"/>
                <w:color w:val="auto"/>
              </w:rPr>
            </w:pPr>
          </w:p>
        </w:tc>
        <w:tc>
          <w:tcPr>
            <w:tcW w:w="560" w:type="dxa"/>
            <w:vAlign w:val="bottom"/>
            <w:shd w:val="clear" w:color="auto" w:fill="ACACAC"/>
          </w:tcPr>
          <w:p>
            <w:pPr>
              <w:spacing w:after="0"/>
              <w:rPr>
                <w:sz w:val="23"/>
                <w:szCs w:val="23"/>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6"/>
                <w:szCs w:val="16"/>
                <w:color w:val="auto"/>
              </w:rPr>
              <w:t>$5,462,139</w:t>
            </w:r>
          </w:p>
        </w:tc>
      </w:tr>
      <w:tr>
        <w:trPr>
          <w:trHeight w:val="260"/>
        </w:trPr>
        <w:tc>
          <w:tcPr>
            <w:tcW w:w="4140" w:type="dxa"/>
            <w:vAlign w:val="bottom"/>
            <w:tcBorders>
              <w:right w:val="single" w:sz="8" w:color="ACACAC"/>
            </w:tcBorders>
          </w:tcPr>
          <w:p>
            <w:pPr>
              <w:ind w:left="40"/>
              <w:spacing w:after="0"/>
              <w:rPr>
                <w:sz w:val="20"/>
                <w:szCs w:val="20"/>
                <w:color w:val="auto"/>
              </w:rPr>
            </w:pPr>
            <w:r>
              <w:rPr>
                <w:rFonts w:ascii="Arial" w:cs="Arial" w:eastAsia="Arial" w:hAnsi="Arial"/>
                <w:sz w:val="16"/>
                <w:szCs w:val="16"/>
                <w:color w:val="auto"/>
              </w:rPr>
              <w:t>Net Sales Growth</w:t>
            </w:r>
          </w:p>
        </w:tc>
        <w:tc>
          <w:tcPr>
            <w:tcW w:w="1220" w:type="dxa"/>
            <w:vAlign w:val="bottom"/>
          </w:tcPr>
          <w:p>
            <w:pPr>
              <w:jc w:val="center"/>
              <w:ind w:left="519"/>
              <w:spacing w:after="0"/>
              <w:rPr>
                <w:sz w:val="20"/>
                <w:szCs w:val="20"/>
                <w:color w:val="auto"/>
              </w:rPr>
            </w:pPr>
            <w:r>
              <w:rPr>
                <w:rFonts w:ascii="Arial" w:cs="Arial" w:eastAsia="Arial" w:hAnsi="Arial"/>
                <w:sz w:val="16"/>
                <w:szCs w:val="16"/>
                <w:color w:val="auto"/>
                <w:w w:val="93"/>
              </w:rPr>
              <w:t>X</w:t>
            </w:r>
          </w:p>
        </w:tc>
        <w:tc>
          <w:tcPr>
            <w:tcW w:w="620" w:type="dxa"/>
            <w:vAlign w:val="bottom"/>
            <w:tcBorders>
              <w:right w:val="single" w:sz="8" w:color="ACACAC"/>
            </w:tcBorders>
          </w:tcPr>
          <w:p>
            <w:pPr>
              <w:spacing w:after="0"/>
              <w:rPr>
                <w:sz w:val="22"/>
                <w:szCs w:val="22"/>
                <w:color w:val="auto"/>
              </w:rPr>
            </w:pPr>
          </w:p>
        </w:tc>
        <w:tc>
          <w:tcPr>
            <w:tcW w:w="1820" w:type="dxa"/>
            <w:vAlign w:val="bottom"/>
            <w:tcBorders>
              <w:right w:val="single" w:sz="8" w:color="ACACAC"/>
            </w:tcBorders>
          </w:tcPr>
          <w:p>
            <w:pPr>
              <w:spacing w:after="0"/>
              <w:rPr>
                <w:sz w:val="22"/>
                <w:szCs w:val="22"/>
                <w:color w:val="auto"/>
              </w:rPr>
            </w:pPr>
          </w:p>
        </w:tc>
        <w:tc>
          <w:tcPr>
            <w:tcW w:w="1820" w:type="dxa"/>
            <w:vAlign w:val="bottom"/>
            <w:tcBorders>
              <w:right w:val="single" w:sz="8" w:color="ACACAC"/>
            </w:tcBorders>
          </w:tcPr>
          <w:p>
            <w:pPr>
              <w:jc w:val="right"/>
              <w:spacing w:after="0"/>
              <w:rPr>
                <w:sz w:val="20"/>
                <w:szCs w:val="20"/>
                <w:color w:val="auto"/>
              </w:rPr>
            </w:pPr>
            <w:r>
              <w:rPr>
                <w:rFonts w:ascii="Arial" w:cs="Arial" w:eastAsia="Arial" w:hAnsi="Arial"/>
                <w:sz w:val="16"/>
                <w:szCs w:val="16"/>
                <w:color w:val="auto"/>
              </w:rPr>
              <w:t>(1.5%)</w:t>
            </w:r>
          </w:p>
        </w:tc>
        <w:tc>
          <w:tcPr>
            <w:tcW w:w="5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3"/>
        </w:trPr>
        <w:tc>
          <w:tcPr>
            <w:tcW w:w="4140" w:type="dxa"/>
            <w:vAlign w:val="bottom"/>
            <w:tcBorders>
              <w:right w:val="single" w:sz="8" w:color="ACACAC"/>
            </w:tcBorders>
            <w:shd w:val="clear" w:color="auto" w:fill="ACACAC"/>
          </w:tcPr>
          <w:p>
            <w:pPr>
              <w:ind w:left="40"/>
              <w:spacing w:after="0"/>
              <w:rPr>
                <w:sz w:val="20"/>
                <w:szCs w:val="20"/>
                <w:color w:val="auto"/>
              </w:rPr>
            </w:pPr>
            <w:r>
              <w:rPr>
                <w:rFonts w:ascii="Arial" w:cs="Arial" w:eastAsia="Arial" w:hAnsi="Arial"/>
                <w:sz w:val="16"/>
                <w:szCs w:val="16"/>
                <w:color w:val="auto"/>
              </w:rPr>
              <w:t>Operating Income</w:t>
            </w:r>
          </w:p>
        </w:tc>
        <w:tc>
          <w:tcPr>
            <w:tcW w:w="1220" w:type="dxa"/>
            <w:vAlign w:val="bottom"/>
            <w:shd w:val="clear" w:color="auto" w:fill="ACACAC"/>
          </w:tcPr>
          <w:p>
            <w:pPr>
              <w:jc w:val="center"/>
              <w:ind w:left="499"/>
              <w:spacing w:after="0"/>
              <w:rPr>
                <w:sz w:val="20"/>
                <w:szCs w:val="20"/>
                <w:color w:val="auto"/>
              </w:rPr>
            </w:pPr>
            <w:r>
              <w:rPr>
                <w:rFonts w:ascii="Arial" w:cs="Arial" w:eastAsia="Arial" w:hAnsi="Arial"/>
                <w:sz w:val="16"/>
                <w:szCs w:val="16"/>
                <w:color w:val="auto"/>
              </w:rPr>
              <w:t>X</w:t>
            </w:r>
          </w:p>
        </w:tc>
        <w:tc>
          <w:tcPr>
            <w:tcW w:w="620" w:type="dxa"/>
            <w:vAlign w:val="bottom"/>
            <w:tcBorders>
              <w:right w:val="single" w:sz="8" w:color="ACACAC"/>
            </w:tcBorders>
            <w:shd w:val="clear" w:color="auto" w:fill="ACACAC"/>
          </w:tcPr>
          <w:p>
            <w:pPr>
              <w:spacing w:after="0"/>
              <w:rPr>
                <w:sz w:val="21"/>
                <w:szCs w:val="21"/>
                <w:color w:val="auto"/>
              </w:rPr>
            </w:pPr>
          </w:p>
        </w:tc>
        <w:tc>
          <w:tcPr>
            <w:tcW w:w="1820" w:type="dxa"/>
            <w:vAlign w:val="bottom"/>
            <w:tcBorders>
              <w:right w:val="single" w:sz="8" w:color="ACACAC"/>
            </w:tcBorders>
            <w:shd w:val="clear" w:color="auto" w:fill="ACACAC"/>
          </w:tcPr>
          <w:p>
            <w:pPr>
              <w:jc w:val="center"/>
              <w:spacing w:after="0"/>
              <w:rPr>
                <w:sz w:val="20"/>
                <w:szCs w:val="20"/>
                <w:color w:val="auto"/>
              </w:rPr>
            </w:pPr>
            <w:r>
              <w:rPr>
                <w:rFonts w:ascii="Arial" w:cs="Arial" w:eastAsia="Arial" w:hAnsi="Arial"/>
                <w:sz w:val="16"/>
                <w:szCs w:val="16"/>
                <w:color w:val="auto"/>
              </w:rPr>
              <w:t>X</w:t>
            </w:r>
          </w:p>
        </w:tc>
        <w:tc>
          <w:tcPr>
            <w:tcW w:w="182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6"/>
                <w:szCs w:val="16"/>
                <w:color w:val="auto"/>
              </w:rPr>
              <w:t>$155,267</w:t>
            </w:r>
          </w:p>
        </w:tc>
        <w:tc>
          <w:tcPr>
            <w:tcW w:w="560" w:type="dxa"/>
            <w:vAlign w:val="bottom"/>
            <w:shd w:val="clear" w:color="auto" w:fill="ACACAC"/>
          </w:tcPr>
          <w:p>
            <w:pPr>
              <w:spacing w:after="0"/>
              <w:rPr>
                <w:sz w:val="21"/>
                <w:szCs w:val="21"/>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6"/>
                <w:szCs w:val="16"/>
                <w:color w:val="auto"/>
              </w:rPr>
              <w:t>$445,867</w:t>
            </w:r>
          </w:p>
        </w:tc>
      </w:tr>
      <w:tr>
        <w:trPr>
          <w:trHeight w:val="260"/>
        </w:trPr>
        <w:tc>
          <w:tcPr>
            <w:tcW w:w="4140" w:type="dxa"/>
            <w:vAlign w:val="bottom"/>
          </w:tcPr>
          <w:p>
            <w:pPr>
              <w:ind w:left="40"/>
              <w:spacing w:after="0"/>
              <w:rPr>
                <w:sz w:val="20"/>
                <w:szCs w:val="20"/>
                <w:color w:val="auto"/>
              </w:rPr>
            </w:pPr>
            <w:r>
              <w:rPr>
                <w:rFonts w:ascii="Arial" w:cs="Arial" w:eastAsia="Arial" w:hAnsi="Arial"/>
                <w:sz w:val="16"/>
                <w:szCs w:val="16"/>
                <w:color w:val="auto"/>
              </w:rPr>
              <w:t>Net Working Capital</w:t>
            </w:r>
          </w:p>
        </w:tc>
        <w:tc>
          <w:tcPr>
            <w:tcW w:w="1220" w:type="dxa"/>
            <w:vAlign w:val="bottom"/>
          </w:tcPr>
          <w:p>
            <w:pPr>
              <w:jc w:val="center"/>
              <w:ind w:left="499"/>
              <w:spacing w:after="0"/>
              <w:rPr>
                <w:sz w:val="20"/>
                <w:szCs w:val="20"/>
                <w:color w:val="auto"/>
              </w:rPr>
            </w:pPr>
            <w:r>
              <w:rPr>
                <w:rFonts w:ascii="Arial" w:cs="Arial" w:eastAsia="Arial" w:hAnsi="Arial"/>
                <w:sz w:val="16"/>
                <w:szCs w:val="16"/>
                <w:color w:val="auto"/>
              </w:rPr>
              <w:t>X</w:t>
            </w:r>
          </w:p>
        </w:tc>
        <w:tc>
          <w:tcPr>
            <w:tcW w:w="6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15.5%</w:t>
            </w:r>
          </w:p>
        </w:tc>
        <w:tc>
          <w:tcPr>
            <w:tcW w:w="5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4140" w:type="dxa"/>
            <w:vAlign w:val="bottom"/>
            <w:tcBorders>
              <w:right w:val="single" w:sz="8" w:color="ACACAC"/>
            </w:tcBorders>
            <w:shd w:val="clear" w:color="auto" w:fill="ACACAC"/>
          </w:tcPr>
          <w:p>
            <w:pPr>
              <w:ind w:left="40"/>
              <w:spacing w:after="0"/>
              <w:rPr>
                <w:sz w:val="20"/>
                <w:szCs w:val="20"/>
                <w:color w:val="auto"/>
              </w:rPr>
            </w:pPr>
            <w:r>
              <w:rPr>
                <w:rFonts w:ascii="Arial" w:cs="Arial" w:eastAsia="Arial" w:hAnsi="Arial"/>
                <w:sz w:val="16"/>
                <w:szCs w:val="16"/>
                <w:color w:val="auto"/>
              </w:rPr>
              <w:t>Average Return on Invested Capital (ROIC)</w:t>
            </w:r>
          </w:p>
        </w:tc>
        <w:tc>
          <w:tcPr>
            <w:tcW w:w="1220" w:type="dxa"/>
            <w:vAlign w:val="bottom"/>
            <w:shd w:val="clear" w:color="auto" w:fill="ACACAC"/>
          </w:tcPr>
          <w:p>
            <w:pPr>
              <w:spacing w:after="0"/>
              <w:rPr>
                <w:sz w:val="24"/>
                <w:szCs w:val="24"/>
                <w:color w:val="auto"/>
              </w:rPr>
            </w:pPr>
          </w:p>
        </w:tc>
        <w:tc>
          <w:tcPr>
            <w:tcW w:w="620" w:type="dxa"/>
            <w:vAlign w:val="bottom"/>
            <w:tcBorders>
              <w:right w:val="single" w:sz="8" w:color="ACACAC"/>
            </w:tcBorders>
            <w:shd w:val="clear" w:color="auto" w:fill="ACACAC"/>
          </w:tcPr>
          <w:p>
            <w:pPr>
              <w:spacing w:after="0"/>
              <w:rPr>
                <w:sz w:val="24"/>
                <w:szCs w:val="24"/>
                <w:color w:val="auto"/>
              </w:rPr>
            </w:pPr>
          </w:p>
        </w:tc>
        <w:tc>
          <w:tcPr>
            <w:tcW w:w="1820" w:type="dxa"/>
            <w:vAlign w:val="bottom"/>
            <w:tcBorders>
              <w:right w:val="single" w:sz="8" w:color="ACACAC"/>
            </w:tcBorders>
            <w:shd w:val="clear" w:color="auto" w:fill="ACACAC"/>
          </w:tcPr>
          <w:p>
            <w:pPr>
              <w:jc w:val="center"/>
              <w:spacing w:after="0"/>
              <w:rPr>
                <w:sz w:val="20"/>
                <w:szCs w:val="20"/>
                <w:color w:val="auto"/>
              </w:rPr>
            </w:pPr>
            <w:r>
              <w:rPr>
                <w:rFonts w:ascii="Arial" w:cs="Arial" w:eastAsia="Arial" w:hAnsi="Arial"/>
                <w:sz w:val="16"/>
                <w:szCs w:val="16"/>
                <w:color w:val="auto"/>
              </w:rPr>
              <w:t>X</w:t>
            </w:r>
          </w:p>
        </w:tc>
        <w:tc>
          <w:tcPr>
            <w:tcW w:w="1820" w:type="dxa"/>
            <w:vAlign w:val="bottom"/>
            <w:tcBorders>
              <w:right w:val="single" w:sz="8" w:color="ACACAC"/>
            </w:tcBorders>
            <w:shd w:val="clear" w:color="auto" w:fill="ACACAC"/>
          </w:tcPr>
          <w:p>
            <w:pPr>
              <w:spacing w:after="0"/>
              <w:rPr>
                <w:sz w:val="24"/>
                <w:szCs w:val="24"/>
                <w:color w:val="auto"/>
              </w:rPr>
            </w:pPr>
          </w:p>
        </w:tc>
        <w:tc>
          <w:tcPr>
            <w:tcW w:w="560" w:type="dxa"/>
            <w:vAlign w:val="bottom"/>
            <w:shd w:val="clear" w:color="auto" w:fill="ACACAC"/>
          </w:tcPr>
          <w:p>
            <w:pPr>
              <w:spacing w:after="0"/>
              <w:rPr>
                <w:sz w:val="24"/>
                <w:szCs w:val="2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12.35%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-1002665</wp:posOffset>
            </wp:positionV>
            <wp:extent cx="72466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9" w:lineRule="exact"/>
        <w:rPr>
          <w:sz w:val="20"/>
          <w:szCs w:val="20"/>
          <w:color w:val="auto"/>
        </w:rPr>
      </w:pPr>
    </w:p>
    <w:p>
      <w:pPr>
        <w:jc w:val="both"/>
        <w:ind w:left="260" w:hanging="252"/>
        <w:spacing w:after="0" w:line="241" w:lineRule="auto"/>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3-year performance figures reflect adjustments approved by the Human Resources Committee for certain events not contemplated when creating initial targets, consisting of adjustments to each measure relating to: the Tax Cuts and Jobs Act enacted on December 22, 2017, the Company's acquisition of Chris-Craft, and transaction costs associated with the Company's acquisition of Grand Design. No adjustments were made relating to the 1-year performance period.</w:t>
      </w:r>
    </w:p>
    <w:p>
      <w:pPr>
        <w:spacing w:after="0" w:line="1" w:lineRule="exact"/>
        <w:rPr>
          <w:rFonts w:ascii="Arial" w:cs="Arial" w:eastAsia="Arial" w:hAnsi="Arial"/>
          <w:sz w:val="14"/>
          <w:szCs w:val="14"/>
          <w:color w:val="auto"/>
        </w:rPr>
      </w:pPr>
    </w:p>
    <w:p>
      <w:pPr>
        <w:jc w:val="both"/>
        <w:ind w:left="260" w:hanging="252"/>
        <w:spacing w:after="0" w:line="241" w:lineRule="auto"/>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column shows the metrics used for the 2017-2019 Long-Term Incentive Program ("LTIP"), which consist of 40% average return on invested capital, 30% net revenue, and 30% operating income. The metrics for the 2018-2020 LTIP include 40% Return on Equity ("ROE"), 30% operating income and 30% net sales, while the metrics for the 2019-2021 LTIP include 50% average return on invested capital and 50% cumulative diluted EPS.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column shows performance for the period from Fiscal 2017-2019.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03" w:right="239" w:bottom="1440" w:gutter="0" w:footer="0" w:header="0"/>
          <w:type w:val="continuous"/>
        </w:sectPr>
      </w:pPr>
    </w:p>
    <w:bookmarkStart w:id="20" w:name="page21"/>
    <w:bookmarkEnd w:id="20"/>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828282"/>
        </w:rPr>
        <w:t>Impact of Performance on Fiscal 2019 Compensation</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of our NEOs in Fiscal 2019 was directly impacted by our financial performance and total shareholder returns:</w:t>
      </w:r>
    </w:p>
    <w:p>
      <w:pPr>
        <w:spacing w:after="0" w:line="327"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2560" w:type="dxa"/>
            <w:vAlign w:val="bottom"/>
            <w:shd w:val="clear" w:color="auto" w:fill="BF2115"/>
          </w:tcPr>
          <w:p>
            <w:pPr>
              <w:ind w:left="20"/>
              <w:spacing w:after="0"/>
              <w:rPr>
                <w:sz w:val="20"/>
                <w:szCs w:val="20"/>
                <w:color w:val="auto"/>
              </w:rPr>
            </w:pPr>
            <w:r>
              <w:rPr>
                <w:rFonts w:ascii="Arial" w:cs="Arial" w:eastAsia="Arial" w:hAnsi="Arial"/>
                <w:sz w:val="16"/>
                <w:szCs w:val="16"/>
                <w:color w:val="FFFFFF"/>
              </w:rPr>
              <w:t>Performance Objective</w:t>
            </w:r>
          </w:p>
        </w:tc>
        <w:tc>
          <w:tcPr>
            <w:tcW w:w="8080" w:type="dxa"/>
            <w:vAlign w:val="bottom"/>
            <w:shd w:val="clear" w:color="auto" w:fill="BF2115"/>
          </w:tcPr>
          <w:p>
            <w:pPr>
              <w:ind w:left="20"/>
              <w:spacing w:after="0"/>
              <w:rPr>
                <w:sz w:val="20"/>
                <w:szCs w:val="20"/>
                <w:color w:val="auto"/>
              </w:rPr>
            </w:pPr>
            <w:r>
              <w:rPr>
                <w:rFonts w:ascii="Arial" w:cs="Arial" w:eastAsia="Arial" w:hAnsi="Arial"/>
                <w:sz w:val="16"/>
                <w:szCs w:val="16"/>
                <w:color w:val="FFFFFF"/>
              </w:rPr>
              <w:t>Link to 2019 Compensation</w:t>
            </w:r>
          </w:p>
        </w:tc>
        <w:tc>
          <w:tcPr>
            <w:tcW w:w="20" w:type="dxa"/>
            <w:vAlign w:val="bottom"/>
          </w:tcPr>
          <w:p>
            <w:pPr>
              <w:spacing w:after="0"/>
              <w:rPr>
                <w:sz w:val="21"/>
                <w:szCs w:val="21"/>
                <w:color w:val="auto"/>
              </w:rPr>
            </w:pPr>
          </w:p>
        </w:tc>
      </w:tr>
      <w:tr>
        <w:trPr>
          <w:trHeight w:val="218"/>
        </w:trPr>
        <w:tc>
          <w:tcPr>
            <w:tcW w:w="2560" w:type="dxa"/>
            <w:vAlign w:val="bottom"/>
            <w:shd w:val="clear" w:color="auto" w:fill="ACACAC"/>
          </w:tcPr>
          <w:p>
            <w:pPr>
              <w:ind w:left="20"/>
              <w:spacing w:after="0"/>
              <w:rPr>
                <w:sz w:val="20"/>
                <w:szCs w:val="20"/>
                <w:color w:val="auto"/>
              </w:rPr>
            </w:pPr>
            <w:r>
              <w:rPr>
                <w:rFonts w:ascii="Arial" w:cs="Arial" w:eastAsia="Arial" w:hAnsi="Arial"/>
                <w:sz w:val="16"/>
                <w:szCs w:val="16"/>
                <w:color w:val="auto"/>
              </w:rPr>
              <w:t>Financial</w:t>
            </w:r>
          </w:p>
        </w:tc>
        <w:tc>
          <w:tcPr>
            <w:tcW w:w="8080" w:type="dxa"/>
            <w:vAlign w:val="bottom"/>
          </w:tcPr>
          <w:p>
            <w:pPr>
              <w:ind w:left="20"/>
              <w:spacing w:after="0"/>
              <w:rPr>
                <w:sz w:val="20"/>
                <w:szCs w:val="20"/>
                <w:color w:val="auto"/>
              </w:rPr>
            </w:pPr>
            <w:r>
              <w:rPr>
                <w:rFonts w:ascii="Arial" w:cs="Arial" w:eastAsia="Arial" w:hAnsi="Arial"/>
                <w:sz w:val="16"/>
                <w:szCs w:val="16"/>
                <w:color w:val="auto"/>
              </w:rPr>
              <w:t>Ÿ For our CEO, Mr. Happe, 90% of 2019 annual incentive awards was based on achieving targeted levels of</w:t>
            </w:r>
          </w:p>
        </w:tc>
        <w:tc>
          <w:tcPr>
            <w:tcW w:w="20" w:type="dxa"/>
            <w:vAlign w:val="bottom"/>
            <w:shd w:val="clear" w:color="auto" w:fill="ACACAC"/>
          </w:tcPr>
          <w:p>
            <w:pPr>
              <w:spacing w:after="0"/>
              <w:rPr>
                <w:sz w:val="18"/>
                <w:szCs w:val="18"/>
                <w:color w:val="auto"/>
              </w:rPr>
            </w:pPr>
          </w:p>
        </w:tc>
      </w:tr>
      <w:tr>
        <w:trPr>
          <w:trHeight w:val="189"/>
        </w:trPr>
        <w:tc>
          <w:tcPr>
            <w:tcW w:w="2560" w:type="dxa"/>
            <w:vAlign w:val="bottom"/>
            <w:shd w:val="clear" w:color="auto" w:fill="ACACAC"/>
          </w:tcPr>
          <w:p>
            <w:pPr>
              <w:spacing w:after="0"/>
              <w:rPr>
                <w:sz w:val="16"/>
                <w:szCs w:val="16"/>
                <w:color w:val="auto"/>
              </w:rPr>
            </w:pPr>
          </w:p>
        </w:tc>
        <w:tc>
          <w:tcPr>
            <w:tcW w:w="8080" w:type="dxa"/>
            <w:vAlign w:val="bottom"/>
          </w:tcPr>
          <w:p>
            <w:pPr>
              <w:ind w:left="240"/>
              <w:spacing w:after="0"/>
              <w:rPr>
                <w:sz w:val="20"/>
                <w:szCs w:val="20"/>
                <w:color w:val="auto"/>
              </w:rPr>
            </w:pPr>
            <w:r>
              <w:rPr>
                <w:rFonts w:ascii="Arial" w:cs="Arial" w:eastAsia="Arial" w:hAnsi="Arial"/>
                <w:sz w:val="16"/>
                <w:szCs w:val="16"/>
                <w:color w:val="auto"/>
              </w:rPr>
              <w:t>net sales growth (50%), operating income (40%), and working capital (10%) at the company level. The other</w:t>
            </w:r>
          </w:p>
        </w:tc>
        <w:tc>
          <w:tcPr>
            <w:tcW w:w="20" w:type="dxa"/>
            <w:vAlign w:val="bottom"/>
            <w:shd w:val="clear" w:color="auto" w:fill="ACACAC"/>
          </w:tcPr>
          <w:p>
            <w:pPr>
              <w:spacing w:after="0"/>
              <w:rPr>
                <w:sz w:val="16"/>
                <w:szCs w:val="16"/>
                <w:color w:val="auto"/>
              </w:rPr>
            </w:pPr>
          </w:p>
        </w:tc>
      </w:tr>
      <w:tr>
        <w:trPr>
          <w:trHeight w:val="189"/>
        </w:trPr>
        <w:tc>
          <w:tcPr>
            <w:tcW w:w="2560" w:type="dxa"/>
            <w:vAlign w:val="bottom"/>
            <w:shd w:val="clear" w:color="auto" w:fill="ACACAC"/>
          </w:tcPr>
          <w:p>
            <w:pPr>
              <w:spacing w:after="0"/>
              <w:rPr>
                <w:sz w:val="16"/>
                <w:szCs w:val="16"/>
                <w:color w:val="auto"/>
              </w:rPr>
            </w:pPr>
          </w:p>
        </w:tc>
        <w:tc>
          <w:tcPr>
            <w:tcW w:w="8080" w:type="dxa"/>
            <w:vAlign w:val="bottom"/>
          </w:tcPr>
          <w:p>
            <w:pPr>
              <w:ind w:left="240"/>
              <w:spacing w:after="0"/>
              <w:rPr>
                <w:sz w:val="20"/>
                <w:szCs w:val="20"/>
                <w:color w:val="auto"/>
              </w:rPr>
            </w:pPr>
            <w:r>
              <w:rPr>
                <w:rFonts w:ascii="Arial" w:cs="Arial" w:eastAsia="Arial" w:hAnsi="Arial"/>
                <w:sz w:val="16"/>
                <w:szCs w:val="16"/>
                <w:color w:val="auto"/>
              </w:rPr>
              <w:t>10% was tied to individual metrics aligned with goals deemed important to advancing business objectives.</w:t>
            </w:r>
          </w:p>
        </w:tc>
        <w:tc>
          <w:tcPr>
            <w:tcW w:w="20" w:type="dxa"/>
            <w:vAlign w:val="bottom"/>
            <w:shd w:val="clear" w:color="auto" w:fill="ACACAC"/>
          </w:tcPr>
          <w:p>
            <w:pPr>
              <w:spacing w:after="0"/>
              <w:rPr>
                <w:sz w:val="16"/>
                <w:szCs w:val="16"/>
                <w:color w:val="auto"/>
              </w:rPr>
            </w:pPr>
          </w:p>
        </w:tc>
      </w:tr>
      <w:tr>
        <w:trPr>
          <w:trHeight w:val="189"/>
        </w:trPr>
        <w:tc>
          <w:tcPr>
            <w:tcW w:w="2560" w:type="dxa"/>
            <w:vAlign w:val="bottom"/>
            <w:shd w:val="clear" w:color="auto" w:fill="ACACAC"/>
          </w:tcPr>
          <w:p>
            <w:pPr>
              <w:spacing w:after="0"/>
              <w:rPr>
                <w:sz w:val="16"/>
                <w:szCs w:val="16"/>
                <w:color w:val="auto"/>
              </w:rPr>
            </w:pPr>
          </w:p>
        </w:tc>
        <w:tc>
          <w:tcPr>
            <w:tcW w:w="8080" w:type="dxa"/>
            <w:vAlign w:val="bottom"/>
          </w:tcPr>
          <w:p>
            <w:pPr>
              <w:ind w:left="240"/>
              <w:spacing w:after="0"/>
              <w:rPr>
                <w:sz w:val="20"/>
                <w:szCs w:val="20"/>
                <w:color w:val="auto"/>
              </w:rPr>
            </w:pPr>
            <w:r>
              <w:rPr>
                <w:rFonts w:ascii="Arial" w:cs="Arial" w:eastAsia="Arial" w:hAnsi="Arial"/>
                <w:sz w:val="16"/>
                <w:szCs w:val="16"/>
                <w:color w:val="auto"/>
              </w:rPr>
              <w:t>For all NEOs other than Mr. Happe and Mr. Clark, 90% of 2019 annual incentive awards was tied to these</w:t>
            </w:r>
          </w:p>
        </w:tc>
        <w:tc>
          <w:tcPr>
            <w:tcW w:w="20" w:type="dxa"/>
            <w:vAlign w:val="bottom"/>
            <w:shd w:val="clear" w:color="auto" w:fill="ACACAC"/>
          </w:tcPr>
          <w:p>
            <w:pPr>
              <w:spacing w:after="0"/>
              <w:rPr>
                <w:sz w:val="16"/>
                <w:szCs w:val="16"/>
                <w:color w:val="auto"/>
              </w:rPr>
            </w:pPr>
          </w:p>
        </w:tc>
      </w:tr>
      <w:tr>
        <w:trPr>
          <w:trHeight w:val="189"/>
        </w:trPr>
        <w:tc>
          <w:tcPr>
            <w:tcW w:w="2560" w:type="dxa"/>
            <w:vAlign w:val="bottom"/>
            <w:shd w:val="clear" w:color="auto" w:fill="ACACAC"/>
          </w:tcPr>
          <w:p>
            <w:pPr>
              <w:spacing w:after="0"/>
              <w:rPr>
                <w:sz w:val="16"/>
                <w:szCs w:val="16"/>
                <w:color w:val="auto"/>
              </w:rPr>
            </w:pPr>
          </w:p>
        </w:tc>
        <w:tc>
          <w:tcPr>
            <w:tcW w:w="8080" w:type="dxa"/>
            <w:vAlign w:val="bottom"/>
          </w:tcPr>
          <w:p>
            <w:pPr>
              <w:ind w:left="240"/>
              <w:spacing w:after="0"/>
              <w:rPr>
                <w:sz w:val="20"/>
                <w:szCs w:val="20"/>
                <w:color w:val="auto"/>
              </w:rPr>
            </w:pPr>
            <w:r>
              <w:rPr>
                <w:rFonts w:ascii="Arial" w:cs="Arial" w:eastAsia="Arial" w:hAnsi="Arial"/>
                <w:sz w:val="16"/>
                <w:szCs w:val="16"/>
                <w:color w:val="auto"/>
              </w:rPr>
              <w:t>metrics at either the company or business unit level. The other 10% was tied to individual metrics aligned</w:t>
            </w:r>
          </w:p>
        </w:tc>
        <w:tc>
          <w:tcPr>
            <w:tcW w:w="20" w:type="dxa"/>
            <w:vAlign w:val="bottom"/>
            <w:shd w:val="clear" w:color="auto" w:fill="ACACAC"/>
          </w:tcPr>
          <w:p>
            <w:pPr>
              <w:spacing w:after="0"/>
              <w:rPr>
                <w:sz w:val="16"/>
                <w:szCs w:val="16"/>
                <w:color w:val="auto"/>
              </w:rPr>
            </w:pPr>
          </w:p>
        </w:tc>
      </w:tr>
      <w:tr>
        <w:trPr>
          <w:trHeight w:val="195"/>
        </w:trPr>
        <w:tc>
          <w:tcPr>
            <w:tcW w:w="2560" w:type="dxa"/>
            <w:vAlign w:val="bottom"/>
            <w:shd w:val="clear" w:color="auto" w:fill="ACACAC"/>
          </w:tcPr>
          <w:p>
            <w:pPr>
              <w:spacing w:after="0"/>
              <w:rPr>
                <w:sz w:val="16"/>
                <w:szCs w:val="16"/>
                <w:color w:val="auto"/>
              </w:rPr>
            </w:pPr>
          </w:p>
        </w:tc>
        <w:tc>
          <w:tcPr>
            <w:tcW w:w="8080" w:type="dxa"/>
            <w:vAlign w:val="bottom"/>
          </w:tcPr>
          <w:p>
            <w:pPr>
              <w:ind w:left="240"/>
              <w:spacing w:after="0"/>
              <w:rPr>
                <w:sz w:val="20"/>
                <w:szCs w:val="20"/>
                <w:color w:val="auto"/>
              </w:rPr>
            </w:pPr>
            <w:r>
              <w:rPr>
                <w:rFonts w:ascii="Arial" w:cs="Arial" w:eastAsia="Arial" w:hAnsi="Arial"/>
                <w:sz w:val="16"/>
                <w:szCs w:val="16"/>
                <w:color w:val="auto"/>
              </w:rPr>
              <w:t>with goals deemed important to advancing business objectives.</w:t>
            </w:r>
          </w:p>
        </w:tc>
        <w:tc>
          <w:tcPr>
            <w:tcW w:w="20" w:type="dxa"/>
            <w:vAlign w:val="bottom"/>
            <w:shd w:val="clear" w:color="auto" w:fill="ACACAC"/>
          </w:tcPr>
          <w:p>
            <w:pPr>
              <w:spacing w:after="0"/>
              <w:rPr>
                <w:sz w:val="16"/>
                <w:szCs w:val="16"/>
                <w:color w:val="auto"/>
              </w:rPr>
            </w:pPr>
          </w:p>
        </w:tc>
      </w:tr>
      <w:tr>
        <w:trPr>
          <w:trHeight w:val="238"/>
        </w:trPr>
        <w:tc>
          <w:tcPr>
            <w:tcW w:w="2560" w:type="dxa"/>
            <w:vAlign w:val="bottom"/>
            <w:shd w:val="clear" w:color="auto" w:fill="ACACAC"/>
          </w:tcPr>
          <w:p>
            <w:pPr>
              <w:spacing w:after="0"/>
              <w:rPr>
                <w:sz w:val="20"/>
                <w:szCs w:val="20"/>
                <w:color w:val="auto"/>
              </w:rPr>
            </w:pPr>
          </w:p>
        </w:tc>
        <w:tc>
          <w:tcPr>
            <w:tcW w:w="8080" w:type="dxa"/>
            <w:vAlign w:val="bottom"/>
          </w:tcPr>
          <w:p>
            <w:pPr>
              <w:ind w:left="20"/>
              <w:spacing w:after="0"/>
              <w:rPr>
                <w:sz w:val="20"/>
                <w:szCs w:val="20"/>
                <w:color w:val="auto"/>
              </w:rPr>
            </w:pPr>
            <w:r>
              <w:rPr>
                <w:rFonts w:ascii="Arial" w:cs="Arial" w:eastAsia="Arial" w:hAnsi="Arial"/>
                <w:sz w:val="16"/>
                <w:szCs w:val="16"/>
                <w:color w:val="auto"/>
              </w:rPr>
              <w:t>Ÿ Pursuant to the terms of his employment agreement, Mr. Clark's incentive compensation is tied 100% to the</w:t>
            </w:r>
          </w:p>
        </w:tc>
        <w:tc>
          <w:tcPr>
            <w:tcW w:w="20" w:type="dxa"/>
            <w:vAlign w:val="bottom"/>
            <w:shd w:val="clear" w:color="auto" w:fill="ACACAC"/>
          </w:tcPr>
          <w:p>
            <w:pPr>
              <w:spacing w:after="0"/>
              <w:rPr>
                <w:sz w:val="20"/>
                <w:szCs w:val="20"/>
                <w:color w:val="auto"/>
              </w:rPr>
            </w:pPr>
          </w:p>
        </w:tc>
      </w:tr>
      <w:tr>
        <w:trPr>
          <w:trHeight w:val="195"/>
        </w:trPr>
        <w:tc>
          <w:tcPr>
            <w:tcW w:w="2560" w:type="dxa"/>
            <w:vAlign w:val="bottom"/>
            <w:shd w:val="clear" w:color="auto" w:fill="ACACAC"/>
          </w:tcPr>
          <w:p>
            <w:pPr>
              <w:spacing w:after="0"/>
              <w:rPr>
                <w:sz w:val="16"/>
                <w:szCs w:val="16"/>
                <w:color w:val="auto"/>
              </w:rPr>
            </w:pPr>
          </w:p>
        </w:tc>
        <w:tc>
          <w:tcPr>
            <w:tcW w:w="8080" w:type="dxa"/>
            <w:vAlign w:val="bottom"/>
          </w:tcPr>
          <w:p>
            <w:pPr>
              <w:ind w:left="240"/>
              <w:spacing w:after="0"/>
              <w:rPr>
                <w:sz w:val="20"/>
                <w:szCs w:val="20"/>
                <w:color w:val="auto"/>
              </w:rPr>
            </w:pPr>
            <w:r>
              <w:rPr>
                <w:rFonts w:ascii="Arial" w:cs="Arial" w:eastAsia="Arial" w:hAnsi="Arial"/>
                <w:sz w:val="16"/>
                <w:szCs w:val="16"/>
                <w:color w:val="auto"/>
              </w:rPr>
              <w:t>pretax net income of the Grand Design business that is part of our Towable segment.</w:t>
            </w:r>
          </w:p>
        </w:tc>
        <w:tc>
          <w:tcPr>
            <w:tcW w:w="20" w:type="dxa"/>
            <w:vAlign w:val="bottom"/>
            <w:shd w:val="clear" w:color="auto" w:fill="ACACAC"/>
          </w:tcPr>
          <w:p>
            <w:pPr>
              <w:spacing w:after="0"/>
              <w:rPr>
                <w:sz w:val="16"/>
                <w:szCs w:val="16"/>
                <w:color w:val="auto"/>
              </w:rPr>
            </w:pPr>
          </w:p>
        </w:tc>
      </w:tr>
      <w:tr>
        <w:trPr>
          <w:trHeight w:val="238"/>
        </w:trPr>
        <w:tc>
          <w:tcPr>
            <w:tcW w:w="2560" w:type="dxa"/>
            <w:vAlign w:val="bottom"/>
            <w:shd w:val="clear" w:color="auto" w:fill="ACACAC"/>
          </w:tcPr>
          <w:p>
            <w:pPr>
              <w:spacing w:after="0"/>
              <w:rPr>
                <w:sz w:val="20"/>
                <w:szCs w:val="20"/>
                <w:color w:val="auto"/>
              </w:rPr>
            </w:pPr>
          </w:p>
        </w:tc>
        <w:tc>
          <w:tcPr>
            <w:tcW w:w="8080" w:type="dxa"/>
            <w:vAlign w:val="bottom"/>
          </w:tcPr>
          <w:p>
            <w:pPr>
              <w:ind w:left="20"/>
              <w:spacing w:after="0"/>
              <w:rPr>
                <w:sz w:val="20"/>
                <w:szCs w:val="20"/>
                <w:color w:val="auto"/>
              </w:rPr>
            </w:pPr>
            <w:r>
              <w:rPr>
                <w:rFonts w:ascii="Arial" w:cs="Arial" w:eastAsia="Arial" w:hAnsi="Arial"/>
                <w:sz w:val="16"/>
                <w:szCs w:val="16"/>
                <w:color w:val="auto"/>
              </w:rPr>
              <w:t>Ÿ In addition, vesting for the Fiscal 2017-2019 LTIP awards was tied 40% to our three-year average ROIC,</w:t>
            </w:r>
          </w:p>
        </w:tc>
        <w:tc>
          <w:tcPr>
            <w:tcW w:w="20" w:type="dxa"/>
            <w:vAlign w:val="bottom"/>
            <w:shd w:val="clear" w:color="auto" w:fill="ACACAC"/>
          </w:tcPr>
          <w:p>
            <w:pPr>
              <w:spacing w:after="0"/>
              <w:rPr>
                <w:sz w:val="20"/>
                <w:szCs w:val="20"/>
                <w:color w:val="auto"/>
              </w:rPr>
            </w:pPr>
          </w:p>
        </w:tc>
      </w:tr>
      <w:tr>
        <w:trPr>
          <w:trHeight w:val="208"/>
        </w:trPr>
        <w:tc>
          <w:tcPr>
            <w:tcW w:w="2560" w:type="dxa"/>
            <w:vAlign w:val="bottom"/>
            <w:tcBorders>
              <w:bottom w:val="single" w:sz="8" w:color="ACACAC"/>
            </w:tcBorders>
            <w:shd w:val="clear" w:color="auto" w:fill="ACACAC"/>
          </w:tcPr>
          <w:p>
            <w:pPr>
              <w:spacing w:after="0"/>
              <w:rPr>
                <w:sz w:val="18"/>
                <w:szCs w:val="18"/>
                <w:color w:val="auto"/>
              </w:rPr>
            </w:pPr>
          </w:p>
        </w:tc>
        <w:tc>
          <w:tcPr>
            <w:tcW w:w="8080" w:type="dxa"/>
            <w:vAlign w:val="bottom"/>
            <w:tcBorders>
              <w:bottom w:val="single" w:sz="8" w:color="ACACAC"/>
            </w:tcBorders>
          </w:tcPr>
          <w:p>
            <w:pPr>
              <w:ind w:left="240"/>
              <w:spacing w:after="0"/>
              <w:rPr>
                <w:sz w:val="20"/>
                <w:szCs w:val="20"/>
                <w:color w:val="auto"/>
              </w:rPr>
            </w:pPr>
            <w:r>
              <w:rPr>
                <w:rFonts w:ascii="Arial" w:cs="Arial" w:eastAsia="Arial" w:hAnsi="Arial"/>
                <w:sz w:val="16"/>
                <w:szCs w:val="16"/>
                <w:color w:val="auto"/>
              </w:rPr>
              <w:t>30% of cumulative net revenues, and 30% of cumulative operating income.</w:t>
            </w:r>
          </w:p>
        </w:tc>
        <w:tc>
          <w:tcPr>
            <w:tcW w:w="20" w:type="dxa"/>
            <w:vAlign w:val="bottom"/>
            <w:tcBorders>
              <w:bottom w:val="single" w:sz="8" w:color="ACACAC"/>
            </w:tcBorders>
            <w:shd w:val="clear" w:color="auto" w:fill="ACACAC"/>
          </w:tcPr>
          <w:p>
            <w:pPr>
              <w:spacing w:after="0"/>
              <w:rPr>
                <w:sz w:val="18"/>
                <w:szCs w:val="18"/>
                <w:color w:val="auto"/>
              </w:rPr>
            </w:pPr>
          </w:p>
        </w:tc>
      </w:tr>
      <w:tr>
        <w:trPr>
          <w:trHeight w:val="218"/>
        </w:trPr>
        <w:tc>
          <w:tcPr>
            <w:tcW w:w="2560" w:type="dxa"/>
            <w:vAlign w:val="bottom"/>
            <w:shd w:val="clear" w:color="auto" w:fill="ACACAC"/>
          </w:tcPr>
          <w:p>
            <w:pPr>
              <w:ind w:left="20"/>
              <w:spacing w:after="0"/>
              <w:rPr>
                <w:sz w:val="20"/>
                <w:szCs w:val="20"/>
                <w:color w:val="auto"/>
              </w:rPr>
            </w:pPr>
            <w:r>
              <w:rPr>
                <w:rFonts w:ascii="Arial" w:cs="Arial" w:eastAsia="Arial" w:hAnsi="Arial"/>
                <w:sz w:val="16"/>
                <w:szCs w:val="16"/>
                <w:color w:val="auto"/>
              </w:rPr>
              <w:t>Total Shareholder Returns</w:t>
            </w:r>
          </w:p>
        </w:tc>
        <w:tc>
          <w:tcPr>
            <w:tcW w:w="8080" w:type="dxa"/>
            <w:vAlign w:val="bottom"/>
          </w:tcPr>
          <w:p>
            <w:pPr>
              <w:ind w:left="20"/>
              <w:spacing w:after="0"/>
              <w:rPr>
                <w:sz w:val="20"/>
                <w:szCs w:val="20"/>
                <w:color w:val="auto"/>
              </w:rPr>
            </w:pPr>
            <w:r>
              <w:rPr>
                <w:rFonts w:ascii="Arial" w:cs="Arial" w:eastAsia="Arial" w:hAnsi="Arial"/>
                <w:sz w:val="16"/>
                <w:szCs w:val="16"/>
                <w:color w:val="auto"/>
              </w:rPr>
              <w:t>Ÿ With the exception of Mr. Clark, 39% of our NEO compensation on average was delivered in the form of</w:t>
            </w:r>
          </w:p>
        </w:tc>
        <w:tc>
          <w:tcPr>
            <w:tcW w:w="20" w:type="dxa"/>
            <w:vAlign w:val="bottom"/>
            <w:shd w:val="clear" w:color="auto" w:fill="ACACAC"/>
          </w:tcPr>
          <w:p>
            <w:pPr>
              <w:spacing w:after="0"/>
              <w:rPr>
                <w:sz w:val="18"/>
                <w:szCs w:val="18"/>
                <w:color w:val="auto"/>
              </w:rPr>
            </w:pPr>
          </w:p>
        </w:tc>
      </w:tr>
      <w:tr>
        <w:trPr>
          <w:trHeight w:val="195"/>
        </w:trPr>
        <w:tc>
          <w:tcPr>
            <w:tcW w:w="2560" w:type="dxa"/>
            <w:vAlign w:val="bottom"/>
            <w:shd w:val="clear" w:color="auto" w:fill="ACACAC"/>
          </w:tcPr>
          <w:p>
            <w:pPr>
              <w:spacing w:after="0"/>
              <w:rPr>
                <w:sz w:val="16"/>
                <w:szCs w:val="16"/>
                <w:color w:val="auto"/>
              </w:rPr>
            </w:pPr>
          </w:p>
        </w:tc>
        <w:tc>
          <w:tcPr>
            <w:tcW w:w="8080" w:type="dxa"/>
            <w:vAlign w:val="bottom"/>
          </w:tcPr>
          <w:p>
            <w:pPr>
              <w:ind w:left="240"/>
              <w:spacing w:after="0"/>
              <w:rPr>
                <w:sz w:val="20"/>
                <w:szCs w:val="20"/>
                <w:color w:val="auto"/>
              </w:rPr>
            </w:pPr>
            <w:r>
              <w:rPr>
                <w:rFonts w:ascii="Arial" w:cs="Arial" w:eastAsia="Arial" w:hAnsi="Arial"/>
                <w:sz w:val="16"/>
                <w:szCs w:val="16"/>
                <w:color w:val="auto"/>
              </w:rPr>
              <w:t>company equity awards (58% in the case of our CEO).</w:t>
            </w:r>
          </w:p>
        </w:tc>
        <w:tc>
          <w:tcPr>
            <w:tcW w:w="20" w:type="dxa"/>
            <w:vAlign w:val="bottom"/>
            <w:shd w:val="clear" w:color="auto" w:fill="ACACAC"/>
          </w:tcPr>
          <w:p>
            <w:pPr>
              <w:spacing w:after="0"/>
              <w:rPr>
                <w:sz w:val="16"/>
                <w:szCs w:val="16"/>
                <w:color w:val="auto"/>
              </w:rPr>
            </w:pPr>
          </w:p>
        </w:tc>
      </w:tr>
      <w:tr>
        <w:trPr>
          <w:trHeight w:val="238"/>
        </w:trPr>
        <w:tc>
          <w:tcPr>
            <w:tcW w:w="2560" w:type="dxa"/>
            <w:vAlign w:val="bottom"/>
            <w:shd w:val="clear" w:color="auto" w:fill="ACACAC"/>
          </w:tcPr>
          <w:p>
            <w:pPr>
              <w:spacing w:after="0"/>
              <w:rPr>
                <w:sz w:val="20"/>
                <w:szCs w:val="20"/>
                <w:color w:val="auto"/>
              </w:rPr>
            </w:pPr>
          </w:p>
        </w:tc>
        <w:tc>
          <w:tcPr>
            <w:tcW w:w="8080" w:type="dxa"/>
            <w:vAlign w:val="bottom"/>
          </w:tcPr>
          <w:p>
            <w:pPr>
              <w:ind w:left="20"/>
              <w:spacing w:after="0"/>
              <w:rPr>
                <w:sz w:val="20"/>
                <w:szCs w:val="20"/>
                <w:color w:val="auto"/>
              </w:rPr>
            </w:pPr>
            <w:r>
              <w:rPr>
                <w:rFonts w:ascii="Arial" w:cs="Arial" w:eastAsia="Arial" w:hAnsi="Arial"/>
                <w:sz w:val="16"/>
                <w:szCs w:val="16"/>
                <w:color w:val="auto"/>
              </w:rPr>
              <w:t>Ÿ 25% of the annual equity grants made in Fiscal 2019 were in the form of stock options, which only have</w:t>
            </w:r>
          </w:p>
        </w:tc>
        <w:tc>
          <w:tcPr>
            <w:tcW w:w="20" w:type="dxa"/>
            <w:vAlign w:val="bottom"/>
            <w:shd w:val="clear" w:color="auto" w:fill="ACACAC"/>
          </w:tcPr>
          <w:p>
            <w:pPr>
              <w:spacing w:after="0"/>
              <w:rPr>
                <w:sz w:val="20"/>
                <w:szCs w:val="20"/>
                <w:color w:val="auto"/>
              </w:rPr>
            </w:pPr>
          </w:p>
        </w:tc>
      </w:tr>
      <w:tr>
        <w:trPr>
          <w:trHeight w:val="208"/>
        </w:trPr>
        <w:tc>
          <w:tcPr>
            <w:tcW w:w="2560" w:type="dxa"/>
            <w:vAlign w:val="bottom"/>
            <w:shd w:val="clear" w:color="auto" w:fill="ACACAC"/>
          </w:tcPr>
          <w:p>
            <w:pPr>
              <w:spacing w:after="0"/>
              <w:rPr>
                <w:sz w:val="18"/>
                <w:szCs w:val="18"/>
                <w:color w:val="auto"/>
              </w:rPr>
            </w:pPr>
          </w:p>
        </w:tc>
        <w:tc>
          <w:tcPr>
            <w:tcW w:w="8080" w:type="dxa"/>
            <w:vAlign w:val="bottom"/>
            <w:tcBorders>
              <w:bottom w:val="single" w:sz="8" w:color="ACACAC"/>
            </w:tcBorders>
          </w:tcPr>
          <w:p>
            <w:pPr>
              <w:ind w:left="240"/>
              <w:spacing w:after="0"/>
              <w:rPr>
                <w:sz w:val="20"/>
                <w:szCs w:val="20"/>
                <w:color w:val="auto"/>
              </w:rPr>
            </w:pPr>
            <w:r>
              <w:rPr>
                <w:rFonts w:ascii="Arial" w:cs="Arial" w:eastAsia="Arial" w:hAnsi="Arial"/>
                <w:sz w:val="16"/>
                <w:szCs w:val="16"/>
                <w:color w:val="auto"/>
              </w:rPr>
              <w:t>value to the executive if the value of the Company grows for our shareholders.</w:t>
            </w:r>
          </w:p>
        </w:tc>
        <w:tc>
          <w:tcPr>
            <w:tcW w:w="20" w:type="dxa"/>
            <w:vAlign w:val="bottom"/>
            <w:tcBorders>
              <w:bottom w:val="single" w:sz="8" w:color="ACACAC"/>
            </w:tcBorders>
            <w:shd w:val="clear" w:color="auto" w:fill="ACACA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-565150</wp:posOffset>
            </wp:positionV>
            <wp:extent cx="16294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financial performance for Fiscal 2019 is shown in the "Fiscal 2019 Performance Highlights" table on page 16. Based on our performance as measured against predefined goals, the 2017-2019 LTIP paid out at 90.3% of target, and the Fiscal 2019 annual incentive plan paid out as follows for all NEOs, except for Mr. Clark: 21.7% of target for Mr. Happe, 27.8% of target for Mr. Hughes, 28.0% of target for Ms. Bogart, and 15.0% of target for Mr. Hazelton.</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Mr. Clark received a cash incentive award of $5,160,931 in Fiscal 2019, which is a 12.8% increase compared to Fiscal 2018, based on the strong performance of Grand Design during Fiscal 2019. This incentive was paid in four quarterly installments.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828282"/>
        </w:rPr>
        <w:t>Other Pay and Governance Practices</w:t>
      </w:r>
    </w:p>
    <w:p>
      <w:pPr>
        <w:spacing w:after="0" w:line="25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Company has adopted the following key programs, policies and practices to respond to evolving good governance practices in executive compensation and enhance the alignment of our executive compensation programs and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191770</wp:posOffset>
            </wp:positionV>
            <wp:extent cx="6715125" cy="2813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15125" cy="281305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60"/>
        <w:spacing w:after="0"/>
        <w:rPr>
          <w:sz w:val="20"/>
          <w:szCs w:val="20"/>
          <w:color w:val="auto"/>
        </w:rPr>
      </w:pPr>
      <w:r>
        <w:rPr>
          <w:rFonts w:ascii="Arial" w:cs="Arial" w:eastAsia="Arial" w:hAnsi="Arial"/>
          <w:sz w:val="22"/>
          <w:szCs w:val="22"/>
          <w:color w:val="FFFFFF"/>
        </w:rPr>
        <w:t>What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00"/>
        <w:spacing w:after="0"/>
        <w:rPr>
          <w:sz w:val="20"/>
          <w:szCs w:val="20"/>
          <w:color w:val="auto"/>
        </w:rPr>
      </w:pPr>
      <w:r>
        <w:rPr>
          <w:rFonts w:ascii="Arial" w:cs="Arial" w:eastAsia="Arial" w:hAnsi="Arial"/>
          <w:sz w:val="21"/>
          <w:szCs w:val="21"/>
          <w:color w:val="FFFFFF"/>
        </w:rPr>
        <w:t>What we don't do</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323" w:hanging="323"/>
        <w:spacing w:after="0"/>
        <w:tabs>
          <w:tab w:leader="none" w:pos="3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Tie the majority of target total compensation to performance</w:t>
      </w:r>
    </w:p>
    <w:p>
      <w:pPr>
        <w:spacing w:after="0" w:line="72" w:lineRule="exact"/>
        <w:rPr>
          <w:rFonts w:ascii="Arial" w:cs="Arial" w:eastAsia="Arial" w:hAnsi="Arial"/>
          <w:sz w:val="16"/>
          <w:szCs w:val="16"/>
          <w:color w:val="auto"/>
        </w:rPr>
      </w:pPr>
    </w:p>
    <w:p>
      <w:pPr>
        <w:ind w:left="323" w:hanging="323"/>
        <w:spacing w:after="0"/>
        <w:tabs>
          <w:tab w:leader="none" w:pos="3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 appropriate mix of fixed and variable pay to reward company, line of business, and individual performance</w:t>
      </w:r>
    </w:p>
    <w:p>
      <w:pPr>
        <w:spacing w:after="0" w:line="72" w:lineRule="exact"/>
        <w:rPr>
          <w:rFonts w:ascii="Arial" w:cs="Arial" w:eastAsia="Arial" w:hAnsi="Arial"/>
          <w:sz w:val="16"/>
          <w:szCs w:val="16"/>
          <w:color w:val="auto"/>
        </w:rPr>
      </w:pPr>
    </w:p>
    <w:p>
      <w:pPr>
        <w:ind w:left="323" w:hanging="323"/>
        <w:spacing w:after="0"/>
        <w:tabs>
          <w:tab w:leader="none" w:pos="3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Align executive interests with the interests of the shareholders through equity-based awards</w:t>
      </w:r>
    </w:p>
    <w:p>
      <w:pPr>
        <w:spacing w:after="0" w:line="72" w:lineRule="exact"/>
        <w:rPr>
          <w:rFonts w:ascii="Arial" w:cs="Arial" w:eastAsia="Arial" w:hAnsi="Arial"/>
          <w:sz w:val="16"/>
          <w:szCs w:val="16"/>
          <w:color w:val="auto"/>
        </w:rPr>
      </w:pPr>
    </w:p>
    <w:p>
      <w:pPr>
        <w:ind w:left="323" w:right="840" w:hanging="323"/>
        <w:spacing w:after="0" w:line="253" w:lineRule="auto"/>
        <w:tabs>
          <w:tab w:leader="none" w:pos="3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Maintain a "clawback" policy, applicable to our executive officers' incentive awards, which provides for the recoupment of incentive compensation payouts following certain financial restatements or in the event of certain misconduct</w:t>
      </w:r>
    </w:p>
    <w:p>
      <w:pPr>
        <w:spacing w:after="0" w:line="39" w:lineRule="exact"/>
        <w:rPr>
          <w:rFonts w:ascii="Arial" w:cs="Arial" w:eastAsia="Arial" w:hAnsi="Arial"/>
          <w:sz w:val="16"/>
          <w:szCs w:val="16"/>
          <w:color w:val="auto"/>
        </w:rPr>
      </w:pPr>
    </w:p>
    <w:p>
      <w:pPr>
        <w:ind w:left="323" w:hanging="323"/>
        <w:spacing w:after="0"/>
        <w:tabs>
          <w:tab w:leader="none" w:pos="3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Align our performance goals and measures with our strategy and operating plan</w:t>
      </w:r>
    </w:p>
    <w:p>
      <w:pPr>
        <w:spacing w:after="0" w:line="72" w:lineRule="exact"/>
        <w:rPr>
          <w:rFonts w:ascii="Arial" w:cs="Arial" w:eastAsia="Arial" w:hAnsi="Arial"/>
          <w:sz w:val="16"/>
          <w:szCs w:val="16"/>
          <w:color w:val="auto"/>
        </w:rPr>
      </w:pPr>
    </w:p>
    <w:p>
      <w:pPr>
        <w:ind w:left="323" w:hanging="323"/>
        <w:spacing w:after="0"/>
        <w:tabs>
          <w:tab w:leader="none" w:pos="3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Maintain meaningful executive and director stock ownership guidelines</w:t>
      </w:r>
    </w:p>
    <w:p>
      <w:pPr>
        <w:spacing w:after="0" w:line="72" w:lineRule="exact"/>
        <w:rPr>
          <w:rFonts w:ascii="Arial" w:cs="Arial" w:eastAsia="Arial" w:hAnsi="Arial"/>
          <w:sz w:val="16"/>
          <w:szCs w:val="16"/>
          <w:color w:val="auto"/>
        </w:rPr>
      </w:pPr>
    </w:p>
    <w:p>
      <w:pPr>
        <w:ind w:left="323" w:hanging="323"/>
        <w:spacing w:after="0"/>
        <w:tabs>
          <w:tab w:leader="none" w:pos="3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Conduct annual "say-on-pay" advisory votes</w:t>
      </w:r>
    </w:p>
    <w:p>
      <w:pPr>
        <w:spacing w:after="0" w:line="72" w:lineRule="exact"/>
        <w:rPr>
          <w:rFonts w:ascii="Arial" w:cs="Arial" w:eastAsia="Arial" w:hAnsi="Arial"/>
          <w:sz w:val="16"/>
          <w:szCs w:val="16"/>
          <w:color w:val="auto"/>
        </w:rPr>
      </w:pPr>
    </w:p>
    <w:p>
      <w:pPr>
        <w:ind w:left="323" w:hanging="323"/>
        <w:spacing w:after="0"/>
        <w:tabs>
          <w:tab w:leader="none" w:pos="3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Use an outside, independent third-party advisor to provide objective compensation advice</w:t>
      </w:r>
    </w:p>
    <w:p>
      <w:pPr>
        <w:spacing w:after="0" w:line="86" w:lineRule="exact"/>
        <w:rPr>
          <w:sz w:val="20"/>
          <w:szCs w:val="20"/>
          <w:color w:val="auto"/>
        </w:rPr>
      </w:pPr>
    </w:p>
    <w:p>
      <w:pPr>
        <w:ind w:left="323" w:hanging="323"/>
        <w:spacing w:after="0"/>
        <w:tabs>
          <w:tab w:leader="none" w:pos="323"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excessive severance benefits to our executive officers</w:t>
      </w:r>
    </w:p>
    <w:p>
      <w:pPr>
        <w:spacing w:after="0" w:line="72" w:lineRule="exact"/>
        <w:rPr>
          <w:rFonts w:ascii="Arial" w:cs="Arial" w:eastAsia="Arial" w:hAnsi="Arial"/>
          <w:sz w:val="16"/>
          <w:szCs w:val="16"/>
          <w:color w:val="auto"/>
        </w:rPr>
      </w:pPr>
    </w:p>
    <w:p>
      <w:pPr>
        <w:ind w:left="323" w:hanging="323"/>
        <w:spacing w:after="0"/>
        <w:tabs>
          <w:tab w:leader="none" w:pos="323"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tax gross-ups, including excise tax gross-ups upon change in control</w:t>
      </w:r>
    </w:p>
    <w:p>
      <w:pPr>
        <w:spacing w:after="0" w:line="72" w:lineRule="exact"/>
        <w:rPr>
          <w:rFonts w:ascii="Arial" w:cs="Arial" w:eastAsia="Arial" w:hAnsi="Arial"/>
          <w:sz w:val="16"/>
          <w:szCs w:val="16"/>
          <w:color w:val="auto"/>
        </w:rPr>
      </w:pPr>
    </w:p>
    <w:p>
      <w:pPr>
        <w:ind w:left="323" w:right="600" w:hanging="323"/>
        <w:spacing w:after="0" w:line="260" w:lineRule="auto"/>
        <w:tabs>
          <w:tab w:leader="none" w:pos="323"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Make equity awards subject to automatic acceleration of vesting (i.e., "single-trigger") upon change in control (as of Fiscal 2019)</w:t>
      </w:r>
    </w:p>
    <w:p>
      <w:pPr>
        <w:spacing w:after="0" w:line="33" w:lineRule="exact"/>
        <w:rPr>
          <w:rFonts w:ascii="Arial" w:cs="Arial" w:eastAsia="Arial" w:hAnsi="Arial"/>
          <w:sz w:val="16"/>
          <w:szCs w:val="16"/>
          <w:color w:val="auto"/>
        </w:rPr>
      </w:pPr>
    </w:p>
    <w:p>
      <w:pPr>
        <w:ind w:left="323" w:hanging="323"/>
        <w:spacing w:after="0"/>
        <w:tabs>
          <w:tab w:leader="none" w:pos="323"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Allow for hedging or speculative trading of Company securities by executives or directors</w:t>
      </w:r>
    </w:p>
    <w:p>
      <w:pPr>
        <w:spacing w:after="0" w:line="72" w:lineRule="exact"/>
        <w:rPr>
          <w:rFonts w:ascii="Arial" w:cs="Arial" w:eastAsia="Arial" w:hAnsi="Arial"/>
          <w:sz w:val="16"/>
          <w:szCs w:val="16"/>
          <w:color w:val="auto"/>
        </w:rPr>
      </w:pPr>
    </w:p>
    <w:p>
      <w:pPr>
        <w:ind w:left="323" w:hanging="323"/>
        <w:spacing w:after="0"/>
        <w:tabs>
          <w:tab w:leader="none" w:pos="323"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Reprice options without shareholder approval</w:t>
      </w:r>
    </w:p>
    <w:p>
      <w:pPr>
        <w:spacing w:after="0" w:line="72" w:lineRule="exact"/>
        <w:rPr>
          <w:rFonts w:ascii="Arial" w:cs="Arial" w:eastAsia="Arial" w:hAnsi="Arial"/>
          <w:sz w:val="16"/>
          <w:szCs w:val="16"/>
          <w:color w:val="auto"/>
        </w:rPr>
      </w:pPr>
    </w:p>
    <w:p>
      <w:pPr>
        <w:ind w:left="323" w:hanging="323"/>
        <w:spacing w:after="0"/>
        <w:tabs>
          <w:tab w:leader="none" w:pos="323"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significant perquisites</w:t>
      </w:r>
    </w:p>
    <w:p>
      <w:pPr>
        <w:spacing w:after="0" w:line="72" w:lineRule="exact"/>
        <w:rPr>
          <w:rFonts w:ascii="Arial" w:cs="Arial" w:eastAsia="Arial" w:hAnsi="Arial"/>
          <w:sz w:val="16"/>
          <w:szCs w:val="16"/>
          <w:color w:val="auto"/>
        </w:rPr>
      </w:pPr>
    </w:p>
    <w:p>
      <w:pPr>
        <w:ind w:left="323" w:hanging="323"/>
        <w:spacing w:after="0"/>
        <w:tabs>
          <w:tab w:leader="none" w:pos="323"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Allow for pledging by our executives and directors</w:t>
      </w:r>
    </w:p>
    <w:p>
      <w:pPr>
        <w:spacing w:after="0" w:line="200" w:lineRule="exact"/>
        <w:rPr>
          <w:sz w:val="20"/>
          <w:szCs w:val="20"/>
          <w:color w:val="auto"/>
        </w:rPr>
      </w:pPr>
    </w:p>
    <w:p>
      <w:pPr>
        <w:sectPr>
          <w:pgSz w:w="11900" w:h="16838" w:orient="portrait"/>
          <w:cols w:equalWidth="0" w:num="2">
            <w:col w:w="2160" w:space="97"/>
            <w:col w:w="9163"/>
          </w:cols>
          <w:pgMar w:left="240" w:top="303" w:right="239" w:bottom="1440" w:gutter="0" w:footer="0" w:header="0"/>
          <w:type w:val="continuous"/>
        </w:sect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03" w:right="239" w:bottom="1440" w:gutter="0" w:footer="0" w:header="0"/>
          <w:type w:val="continuous"/>
        </w:sectPr>
      </w:pPr>
    </w:p>
    <w:bookmarkStart w:id="21" w:name="page22"/>
    <w:bookmarkEnd w:id="21"/>
    <w:p>
      <w:pPr>
        <w:spacing w:after="0" w:line="191" w:lineRule="auto"/>
        <w:framePr w:w="260" w:h="147" w:wrap="auto" w:vAnchor="page" w:hAnchor="page" w:x="5820" w:y="13377"/>
        <w:rPr>
          <w:rFonts w:ascii="Arial" w:cs="Arial" w:eastAsia="Arial" w:hAnsi="Arial"/>
          <w:sz w:val="16"/>
          <w:szCs w:val="16"/>
          <w:color w:val="auto"/>
        </w:rPr>
      </w:pPr>
      <w:r>
        <w:rPr>
          <w:rFonts w:ascii="Arial" w:cs="Arial" w:eastAsia="Arial" w:hAnsi="Arial"/>
          <w:sz w:val="16"/>
          <w:szCs w:val="16"/>
          <w:color w:val="auto"/>
        </w:rPr>
        <w:t>18</w:t>
      </w:r>
    </w:p>
    <w:p>
      <w:pPr>
        <w:spacing w:after="0" w:line="194" w:lineRule="auto"/>
        <w:framePr w:w="5100" w:h="261" w:wrap="auto" w:vAnchor="page" w:hAnchor="page" w:x="200" w:y="5943"/>
        <w:rPr>
          <w:rFonts w:ascii="Arial" w:cs="Arial" w:eastAsia="Arial" w:hAnsi="Arial"/>
          <w:sz w:val="28"/>
          <w:szCs w:val="28"/>
          <w:color w:val="BF2115"/>
        </w:rPr>
      </w:pPr>
      <w:r>
        <w:rPr>
          <w:rFonts w:ascii="Arial" w:cs="Arial" w:eastAsia="Arial" w:hAnsi="Arial"/>
          <w:sz w:val="28"/>
          <w:szCs w:val="28"/>
          <w:color w:val="BF2115"/>
        </w:rPr>
        <w:t>Elements of Fiscal 2019 Compensation</w:t>
      </w:r>
    </w:p>
    <w:p>
      <w:pPr>
        <w:spacing w:after="0" w:line="191" w:lineRule="auto"/>
        <w:framePr w:w="7160" w:h="147" w:wrap="auto" w:vAnchor="page" w:hAnchor="page" w:x="200" w:y="6476"/>
        <w:rPr>
          <w:rFonts w:ascii="Arial" w:cs="Arial" w:eastAsia="Arial" w:hAnsi="Arial"/>
          <w:sz w:val="16"/>
          <w:szCs w:val="16"/>
          <w:color w:val="BF2115"/>
        </w:rPr>
      </w:pPr>
      <w:r>
        <w:rPr>
          <w:rFonts w:ascii="Arial" w:cs="Arial" w:eastAsia="Arial" w:hAnsi="Arial"/>
          <w:sz w:val="16"/>
          <w:szCs w:val="16"/>
          <w:color w:val="BF2115"/>
        </w:rPr>
        <w:t>The table below lays out the Fiscal 2019 compensation elements for all NEOs other than Mr. Clark.</w:t>
      </w:r>
    </w:p>
    <w:p>
      <w:pPr>
        <w:spacing w:after="0" w:line="194" w:lineRule="auto"/>
        <w:framePr w:w="5520" w:h="261" w:wrap="auto" w:vAnchor="page" w:hAnchor="page" w:x="200" w:y="3809"/>
        <w:rPr>
          <w:rFonts w:ascii="Arial" w:cs="Arial" w:eastAsia="Arial" w:hAnsi="Arial"/>
          <w:sz w:val="28"/>
          <w:szCs w:val="28"/>
          <w:color w:val="BF2115"/>
        </w:rPr>
      </w:pPr>
      <w:r>
        <w:rPr>
          <w:rFonts w:ascii="Arial" w:cs="Arial" w:eastAsia="Arial" w:hAnsi="Arial"/>
          <w:sz w:val="28"/>
          <w:szCs w:val="28"/>
          <w:color w:val="BF2115"/>
        </w:rPr>
        <w:t>Advisory Vote on Executive Compensation</w:t>
      </w:r>
    </w:p>
    <w:p>
      <w:pPr>
        <w:jc w:val="both"/>
        <w:spacing w:after="0" w:line="232" w:lineRule="auto"/>
        <w:framePr w:w="5560" w:h="714" w:wrap="auto" w:vAnchor="page" w:hAnchor="page" w:x="200" w:y="4504"/>
        <w:rPr>
          <w:rFonts w:ascii="Arial" w:cs="Arial" w:eastAsia="Arial" w:hAnsi="Arial"/>
          <w:sz w:val="16"/>
          <w:szCs w:val="16"/>
          <w:color w:val="BF2115"/>
        </w:rPr>
      </w:pPr>
      <w:r>
        <w:rPr>
          <w:rFonts w:ascii="Arial" w:cs="Arial" w:eastAsia="Arial" w:hAnsi="Arial"/>
          <w:sz w:val="16"/>
          <w:szCs w:val="16"/>
          <w:color w:val="BF2115"/>
        </w:rPr>
        <w:t>At our 2018 Annual Meeting of Shareholders, our shareholders voted to approve on an advisory basis the compensation of our NEOs. 98.6% of the votes cast with respect to this proposal were cast for approval of our NEOs' compensation. The Committee determined that our current</w:t>
      </w:r>
    </w:p>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rFonts w:ascii="Arial" w:cs="Arial" w:eastAsia="Arial" w:hAnsi="Arial"/>
          <w:sz w:val="16"/>
          <w:szCs w:val="16"/>
          <w:color w:val="BF2115"/>
        </w:rPr>
      </w:pPr>
      <w:r>
        <w:rPr>
          <w:rFonts w:ascii="Arial" w:cs="Arial" w:eastAsia="Arial" w:hAnsi="Arial"/>
          <w:sz w:val="16"/>
          <w:szCs w:val="16"/>
          <w:color w:val="BF2115"/>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rFonts w:ascii="Arial" w:cs="Arial" w:eastAsia="Arial" w:hAnsi="Arial"/>
          <w:sz w:val="16"/>
          <w:szCs w:val="16"/>
          <w:color w:val="BF2115"/>
        </w:rPr>
      </w:pPr>
    </w:p>
    <w:p>
      <w:pPr>
        <w:spacing w:after="0" w:line="379" w:lineRule="exact"/>
        <w:rPr>
          <w:rFonts w:ascii="Arial" w:cs="Arial" w:eastAsia="Arial" w:hAnsi="Arial"/>
          <w:sz w:val="16"/>
          <w:szCs w:val="16"/>
          <w:color w:val="BF2115"/>
        </w:rPr>
      </w:pPr>
    </w:p>
    <w:p>
      <w:pPr>
        <w:spacing w:after="0"/>
        <w:rPr>
          <w:sz w:val="20"/>
          <w:szCs w:val="20"/>
          <w:color w:val="auto"/>
        </w:rPr>
      </w:pPr>
      <w:r>
        <w:rPr>
          <w:rFonts w:ascii="Arial" w:cs="Arial" w:eastAsia="Arial" w:hAnsi="Arial"/>
          <w:sz w:val="16"/>
          <w:szCs w:val="16"/>
          <w:color w:val="auto"/>
        </w:rPr>
        <w:t>The Committee made three specific changes in Fiscal 2019 based on a review of market standards for good governance:</w:t>
      </w:r>
    </w:p>
    <w:p>
      <w:pPr>
        <w:spacing w:after="0" w:line="194" w:lineRule="exact"/>
        <w:rPr>
          <w:rFonts w:ascii="Arial" w:cs="Arial" w:eastAsia="Arial" w:hAnsi="Arial"/>
          <w:sz w:val="16"/>
          <w:szCs w:val="16"/>
          <w:color w:val="BF2115"/>
        </w:rPr>
      </w:pPr>
    </w:p>
    <w:p>
      <w:pPr>
        <w:jc w:val="both"/>
        <w:ind w:left="660" w:hanging="328"/>
        <w:spacing w:after="0" w:line="24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Implemented revised executive change in control agreements that (1) reduce severance multiples (for executives other than the CEO), (2) make severance payable only as to salary, target annual incentives and annual COBRA premium cost, as opposed to previous severance agreements that provided for severance on total taxable compensation, including equity awards, (3) adjust the definition of Change in Control to align with current market practices, and (4) reduce the amount of time after a Change in Control that a termination of employment can trigger a severance obligation from three years to two years. In the case of Mr. Clark, the total severance benefit is capped at $3,000,000.</w:t>
      </w:r>
    </w:p>
    <w:p>
      <w:pPr>
        <w:spacing w:after="0" w:line="2" w:lineRule="exact"/>
        <w:rPr>
          <w:rFonts w:ascii="Arial" w:cs="Arial" w:eastAsia="Arial" w:hAnsi="Arial"/>
          <w:sz w:val="16"/>
          <w:szCs w:val="16"/>
          <w:color w:val="auto"/>
        </w:rPr>
      </w:pPr>
    </w:p>
    <w:p>
      <w:pPr>
        <w:jc w:val="both"/>
        <w:ind w:left="660" w:hanging="328"/>
        <w:spacing w:after="0" w:line="24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Revised the equity award agreements so that all equity awards granted in Fiscal 2019 and thereafter will be subject to “double trigger” accelerated vesting following a change in control (i.e., vesting only accelerates following a change in control if the executive’s employment is also terminated) rather than the prior “single trigger” vesting provisions.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Approved and implemented a clawback policy to allow for recovery of incentive compensation from executive officers in certain circumstances.</w:t>
      </w:r>
    </w:p>
    <w:p>
      <w:pPr>
        <w:spacing w:after="0" w:line="20" w:lineRule="exact"/>
        <w:rPr>
          <w:rFonts w:ascii="Arial" w:cs="Arial" w:eastAsia="Arial" w:hAnsi="Arial"/>
          <w:sz w:val="16"/>
          <w:szCs w:val="16"/>
          <w:color w:val="BF2115"/>
        </w:rPr>
      </w:pPr>
      <w:r>
        <w:rPr>
          <w:rFonts w:ascii="Arial" w:cs="Arial" w:eastAsia="Arial" w:hAnsi="Arial"/>
          <w:sz w:val="16"/>
          <w:szCs w:val="16"/>
          <w:color w:val="BF2115"/>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rFonts w:ascii="Arial" w:cs="Arial" w:eastAsia="Arial" w:hAnsi="Arial"/>
          <w:sz w:val="16"/>
          <w:szCs w:val="16"/>
          <w:color w:val="BF2115"/>
        </w:rPr>
      </w:pPr>
    </w:p>
    <w:p>
      <w:pPr>
        <w:spacing w:after="0" w:line="200" w:lineRule="exact"/>
        <w:rPr>
          <w:rFonts w:ascii="Arial" w:cs="Arial" w:eastAsia="Arial" w:hAnsi="Arial"/>
          <w:sz w:val="16"/>
          <w:szCs w:val="16"/>
          <w:color w:val="BF2115"/>
        </w:rPr>
      </w:pPr>
    </w:p>
    <w:p>
      <w:pPr>
        <w:spacing w:after="0" w:line="328" w:lineRule="exact"/>
        <w:rPr>
          <w:rFonts w:ascii="Arial" w:cs="Arial" w:eastAsia="Arial" w:hAnsi="Arial"/>
          <w:sz w:val="16"/>
          <w:szCs w:val="16"/>
          <w:color w:val="BF2115"/>
        </w:rPr>
      </w:pPr>
    </w:p>
    <w:p>
      <w:pPr>
        <w:jc w:val="both"/>
        <w:ind w:left="5940"/>
        <w:spacing w:after="0" w:line="248" w:lineRule="auto"/>
        <w:rPr>
          <w:sz w:val="20"/>
          <w:szCs w:val="20"/>
          <w:color w:val="auto"/>
        </w:rPr>
      </w:pPr>
      <w:r>
        <w:rPr>
          <w:rFonts w:ascii="Arial" w:cs="Arial" w:eastAsia="Arial" w:hAnsi="Arial"/>
          <w:sz w:val="16"/>
          <w:szCs w:val="16"/>
          <w:color w:val="auto"/>
        </w:rPr>
        <w:t>executive compensation philosophy and compensation elements continued to be appropriate. We conduct regular investor outreach in the form of investor calls, attendance at investor conferences, execution of non-deal roadshows, and hosting of quarterly earnings calls with open Q&amp;A. We continue to evaluate and refine our compensation programs on a regular basis, and view the advisory vote as a helpful gauge of our compensation design.</w:t>
      </w:r>
    </w:p>
    <w:p>
      <w:pPr>
        <w:spacing w:after="0" w:line="20" w:lineRule="exact"/>
        <w:rPr>
          <w:rFonts w:ascii="Arial" w:cs="Arial" w:eastAsia="Arial" w:hAnsi="Arial"/>
          <w:sz w:val="16"/>
          <w:szCs w:val="16"/>
          <w:color w:val="BF2115"/>
        </w:rPr>
      </w:pPr>
      <w:r>
        <w:rPr>
          <w:rFonts w:ascii="Arial" w:cs="Arial" w:eastAsia="Arial" w:hAnsi="Arial"/>
          <w:sz w:val="16"/>
          <w:szCs w:val="16"/>
          <w:color w:val="BF2115"/>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rFonts w:ascii="Arial" w:cs="Arial" w:eastAsia="Arial" w:hAnsi="Arial"/>
          <w:sz w:val="16"/>
          <w:szCs w:val="16"/>
          <w:color w:val="BF2115"/>
        </w:rPr>
      </w:pPr>
    </w:p>
    <w:p>
      <w:pPr>
        <w:spacing w:after="0" w:line="200" w:lineRule="exact"/>
        <w:rPr>
          <w:rFonts w:ascii="Arial" w:cs="Arial" w:eastAsia="Arial" w:hAnsi="Arial"/>
          <w:sz w:val="16"/>
          <w:szCs w:val="16"/>
          <w:color w:val="BF2115"/>
        </w:rPr>
      </w:pPr>
    </w:p>
    <w:p>
      <w:pPr>
        <w:spacing w:after="0" w:line="200" w:lineRule="exact"/>
        <w:rPr>
          <w:rFonts w:ascii="Arial" w:cs="Arial" w:eastAsia="Arial" w:hAnsi="Arial"/>
          <w:sz w:val="16"/>
          <w:szCs w:val="16"/>
          <w:color w:val="BF2115"/>
        </w:rPr>
      </w:pPr>
    </w:p>
    <w:p>
      <w:pPr>
        <w:spacing w:after="0" w:line="200" w:lineRule="exact"/>
        <w:rPr>
          <w:rFonts w:ascii="Arial" w:cs="Arial" w:eastAsia="Arial" w:hAnsi="Arial"/>
          <w:sz w:val="16"/>
          <w:szCs w:val="16"/>
          <w:color w:val="BF2115"/>
        </w:rPr>
      </w:pPr>
    </w:p>
    <w:p>
      <w:pPr>
        <w:spacing w:after="0" w:line="200" w:lineRule="exact"/>
        <w:rPr>
          <w:rFonts w:ascii="Arial" w:cs="Arial" w:eastAsia="Arial" w:hAnsi="Arial"/>
          <w:sz w:val="16"/>
          <w:szCs w:val="16"/>
          <w:color w:val="BF2115"/>
        </w:rPr>
      </w:pPr>
    </w:p>
    <w:p>
      <w:pPr>
        <w:spacing w:after="0" w:line="200" w:lineRule="exact"/>
        <w:rPr>
          <w:rFonts w:ascii="Arial" w:cs="Arial" w:eastAsia="Arial" w:hAnsi="Arial"/>
          <w:sz w:val="16"/>
          <w:szCs w:val="16"/>
          <w:color w:val="BF2115"/>
        </w:rPr>
      </w:pPr>
    </w:p>
    <w:p>
      <w:pPr>
        <w:spacing w:after="0" w:line="337" w:lineRule="exact"/>
        <w:rPr>
          <w:rFonts w:ascii="Arial" w:cs="Arial" w:eastAsia="Arial" w:hAnsi="Arial"/>
          <w:sz w:val="16"/>
          <w:szCs w:val="16"/>
          <w:color w:val="BF2115"/>
        </w:rPr>
      </w:pPr>
    </w:p>
    <w:tbl>
      <w:tblPr>
        <w:tblLayout w:type="fixed"/>
        <w:tblInd w:w="0" w:type="dxa"/>
        <w:tblCellMar>
          <w:top w:w="0" w:type="dxa"/>
          <w:left w:w="0" w:type="dxa"/>
          <w:bottom w:w="0" w:type="dxa"/>
          <w:right w:w="0" w:type="dxa"/>
        </w:tblCellMar>
      </w:tblPr>
      <w:tr>
        <w:trPr>
          <w:trHeight w:val="270"/>
        </w:trPr>
        <w:tc>
          <w:tcPr>
            <w:tcW w:w="2740" w:type="dxa"/>
            <w:vAlign w:val="bottom"/>
            <w:shd w:val="clear" w:color="auto" w:fill="BF2115"/>
          </w:tcPr>
          <w:p>
            <w:pPr>
              <w:ind w:left="840"/>
              <w:spacing w:after="0"/>
              <w:rPr>
                <w:sz w:val="20"/>
                <w:szCs w:val="20"/>
                <w:color w:val="auto"/>
              </w:rPr>
            </w:pPr>
            <w:r>
              <w:rPr>
                <w:rFonts w:ascii="Arial" w:cs="Arial" w:eastAsia="Arial" w:hAnsi="Arial"/>
                <w:sz w:val="16"/>
                <w:szCs w:val="16"/>
                <w:b w:val="1"/>
                <w:bCs w:val="1"/>
                <w:color w:val="FFFFFF"/>
              </w:rPr>
              <w:t>Element</w:t>
            </w:r>
          </w:p>
        </w:tc>
        <w:tc>
          <w:tcPr>
            <w:tcW w:w="5320" w:type="dxa"/>
            <w:vAlign w:val="bottom"/>
            <w:shd w:val="clear" w:color="auto" w:fill="BF2115"/>
          </w:tcPr>
          <w:p>
            <w:pPr>
              <w:ind w:left="40"/>
              <w:spacing w:after="0"/>
              <w:rPr>
                <w:sz w:val="20"/>
                <w:szCs w:val="20"/>
                <w:color w:val="auto"/>
              </w:rPr>
            </w:pPr>
            <w:r>
              <w:rPr>
                <w:rFonts w:ascii="Arial" w:cs="Arial" w:eastAsia="Arial" w:hAnsi="Arial"/>
                <w:sz w:val="16"/>
                <w:szCs w:val="16"/>
                <w:b w:val="1"/>
                <w:bCs w:val="1"/>
                <w:color w:val="FFFFFF"/>
              </w:rPr>
              <w:t>Mechanics</w:t>
            </w:r>
          </w:p>
        </w:tc>
        <w:tc>
          <w:tcPr>
            <w:tcW w:w="3360" w:type="dxa"/>
            <w:vAlign w:val="bottom"/>
            <w:shd w:val="clear" w:color="auto" w:fill="BF2115"/>
          </w:tcPr>
          <w:p>
            <w:pPr>
              <w:ind w:left="80"/>
              <w:spacing w:after="0"/>
              <w:rPr>
                <w:sz w:val="20"/>
                <w:szCs w:val="20"/>
                <w:color w:val="auto"/>
              </w:rPr>
            </w:pPr>
            <w:r>
              <w:rPr>
                <w:rFonts w:ascii="Arial" w:cs="Arial" w:eastAsia="Arial" w:hAnsi="Arial"/>
                <w:sz w:val="16"/>
                <w:szCs w:val="16"/>
                <w:b w:val="1"/>
                <w:bCs w:val="1"/>
                <w:color w:val="FFFFFF"/>
              </w:rPr>
              <w:t>Rationale</w:t>
            </w:r>
          </w:p>
        </w:tc>
        <w:tc>
          <w:tcPr>
            <w:tcW w:w="0" w:type="dxa"/>
            <w:vAlign w:val="bottom"/>
          </w:tcPr>
          <w:p>
            <w:pPr>
              <w:spacing w:after="0"/>
              <w:rPr>
                <w:sz w:val="1"/>
                <w:szCs w:val="1"/>
                <w:color w:val="auto"/>
              </w:rPr>
            </w:pPr>
          </w:p>
        </w:tc>
      </w:tr>
      <w:tr>
        <w:trPr>
          <w:trHeight w:val="218"/>
        </w:trPr>
        <w:tc>
          <w:tcPr>
            <w:tcW w:w="2740" w:type="dxa"/>
            <w:vAlign w:val="bottom"/>
            <w:shd w:val="clear" w:color="auto" w:fill="ACACAC"/>
          </w:tcPr>
          <w:p>
            <w:pPr>
              <w:ind w:left="860"/>
              <w:spacing w:after="0"/>
              <w:rPr>
                <w:sz w:val="20"/>
                <w:szCs w:val="20"/>
                <w:color w:val="auto"/>
              </w:rPr>
            </w:pPr>
            <w:r>
              <w:rPr>
                <w:rFonts w:ascii="Arial" w:cs="Arial" w:eastAsia="Arial" w:hAnsi="Arial"/>
                <w:sz w:val="16"/>
                <w:szCs w:val="16"/>
                <w:color w:val="auto"/>
              </w:rPr>
              <w:t>Salary</w:t>
            </w:r>
          </w:p>
        </w:tc>
        <w:tc>
          <w:tcPr>
            <w:tcW w:w="5320" w:type="dxa"/>
            <w:vAlign w:val="bottom"/>
          </w:tcPr>
          <w:p>
            <w:pPr>
              <w:ind w:left="40"/>
              <w:spacing w:after="0"/>
              <w:rPr>
                <w:sz w:val="20"/>
                <w:szCs w:val="20"/>
                <w:color w:val="auto"/>
              </w:rPr>
            </w:pPr>
            <w:r>
              <w:rPr>
                <w:rFonts w:ascii="Arial" w:cs="Arial" w:eastAsia="Arial" w:hAnsi="Arial"/>
                <w:sz w:val="16"/>
                <w:szCs w:val="16"/>
                <w:color w:val="auto"/>
              </w:rPr>
              <w:t>Weekly payments</w:t>
            </w:r>
          </w:p>
        </w:tc>
        <w:tc>
          <w:tcPr>
            <w:tcW w:w="3360" w:type="dxa"/>
            <w:vAlign w:val="bottom"/>
          </w:tcPr>
          <w:p>
            <w:pPr>
              <w:ind w:left="80"/>
              <w:spacing w:after="0"/>
              <w:rPr>
                <w:sz w:val="20"/>
                <w:szCs w:val="20"/>
                <w:color w:val="auto"/>
              </w:rPr>
            </w:pPr>
            <w:r>
              <w:rPr>
                <w:rFonts w:ascii="Arial" w:cs="Arial" w:eastAsia="Arial" w:hAnsi="Arial"/>
                <w:sz w:val="16"/>
                <w:szCs w:val="16"/>
                <w:color w:val="auto"/>
              </w:rPr>
              <w:t>Provides competitive fixed pay to attract</w:t>
            </w:r>
          </w:p>
        </w:tc>
        <w:tc>
          <w:tcPr>
            <w:tcW w:w="0" w:type="dxa"/>
            <w:vAlign w:val="bottom"/>
          </w:tcPr>
          <w:p>
            <w:pPr>
              <w:spacing w:after="0"/>
              <w:rPr>
                <w:sz w:val="1"/>
                <w:szCs w:val="1"/>
                <w:color w:val="auto"/>
              </w:rPr>
            </w:pPr>
          </w:p>
        </w:tc>
      </w:tr>
      <w:tr>
        <w:trPr>
          <w:trHeight w:val="195"/>
        </w:trPr>
        <w:tc>
          <w:tcPr>
            <w:tcW w:w="2740" w:type="dxa"/>
            <w:vAlign w:val="bottom"/>
            <w:shd w:val="clear" w:color="auto" w:fill="ACACAC"/>
          </w:tcPr>
          <w:p>
            <w:pPr>
              <w:spacing w:after="0"/>
              <w:rPr>
                <w:sz w:val="16"/>
                <w:szCs w:val="16"/>
                <w:color w:val="auto"/>
              </w:rPr>
            </w:pPr>
          </w:p>
        </w:tc>
        <w:tc>
          <w:tcPr>
            <w:tcW w:w="5320" w:type="dxa"/>
            <w:vAlign w:val="bottom"/>
            <w:vMerge w:val="restart"/>
          </w:tcPr>
          <w:p>
            <w:pPr>
              <w:ind w:left="40"/>
              <w:spacing w:after="0"/>
              <w:rPr>
                <w:sz w:val="20"/>
                <w:szCs w:val="20"/>
                <w:color w:val="auto"/>
              </w:rPr>
            </w:pPr>
            <w:r>
              <w:rPr>
                <w:rFonts w:ascii="Arial" w:cs="Arial" w:eastAsia="Arial" w:hAnsi="Arial"/>
                <w:sz w:val="16"/>
                <w:szCs w:val="16"/>
                <w:color w:val="auto"/>
              </w:rPr>
              <w:t>Values correspond to experience and job scope</w:t>
            </w:r>
          </w:p>
        </w:tc>
        <w:tc>
          <w:tcPr>
            <w:tcW w:w="3360" w:type="dxa"/>
            <w:vAlign w:val="bottom"/>
          </w:tcPr>
          <w:p>
            <w:pPr>
              <w:ind w:left="80"/>
              <w:spacing w:after="0"/>
              <w:rPr>
                <w:sz w:val="20"/>
                <w:szCs w:val="20"/>
                <w:color w:val="auto"/>
              </w:rPr>
            </w:pPr>
            <w:r>
              <w:rPr>
                <w:rFonts w:ascii="Arial" w:cs="Arial" w:eastAsia="Arial" w:hAnsi="Arial"/>
                <w:sz w:val="16"/>
                <w:szCs w:val="16"/>
                <w:color w:val="auto"/>
              </w:rPr>
              <w:t>employees</w:t>
            </w:r>
          </w:p>
        </w:tc>
        <w:tc>
          <w:tcPr>
            <w:tcW w:w="0" w:type="dxa"/>
            <w:vAlign w:val="bottom"/>
          </w:tcPr>
          <w:p>
            <w:pPr>
              <w:spacing w:after="0"/>
              <w:rPr>
                <w:sz w:val="1"/>
                <w:szCs w:val="1"/>
                <w:color w:val="auto"/>
              </w:rPr>
            </w:pPr>
          </w:p>
        </w:tc>
      </w:tr>
      <w:tr>
        <w:trPr>
          <w:trHeight w:val="67"/>
        </w:trPr>
        <w:tc>
          <w:tcPr>
            <w:tcW w:w="2740" w:type="dxa"/>
            <w:vAlign w:val="bottom"/>
            <w:tcBorders>
              <w:bottom w:val="single" w:sz="8" w:color="ACACAC"/>
            </w:tcBorders>
            <w:shd w:val="clear" w:color="auto" w:fill="ACACAC"/>
          </w:tcPr>
          <w:p>
            <w:pPr>
              <w:spacing w:after="0"/>
              <w:rPr>
                <w:sz w:val="5"/>
                <w:szCs w:val="5"/>
                <w:color w:val="auto"/>
              </w:rPr>
            </w:pPr>
          </w:p>
        </w:tc>
        <w:tc>
          <w:tcPr>
            <w:tcW w:w="5320" w:type="dxa"/>
            <w:vAlign w:val="bottom"/>
            <w:tcBorders>
              <w:bottom w:val="single" w:sz="8" w:color="ACACAC"/>
            </w:tcBorders>
            <w:vMerge w:val="continue"/>
          </w:tcPr>
          <w:p>
            <w:pPr>
              <w:spacing w:after="0"/>
              <w:rPr>
                <w:sz w:val="5"/>
                <w:szCs w:val="5"/>
                <w:color w:val="auto"/>
              </w:rPr>
            </w:pPr>
          </w:p>
        </w:tc>
        <w:tc>
          <w:tcPr>
            <w:tcW w:w="3360" w:type="dxa"/>
            <w:vAlign w:val="bottom"/>
            <w:tcBorders>
              <w:bottom w:val="single" w:sz="8" w:color="ACACAC"/>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ACACAC"/>
          </w:tcPr>
          <w:p>
            <w:pPr>
              <w:ind w:left="860"/>
              <w:spacing w:after="0"/>
              <w:rPr>
                <w:sz w:val="20"/>
                <w:szCs w:val="20"/>
                <w:color w:val="auto"/>
              </w:rPr>
            </w:pPr>
            <w:r>
              <w:rPr>
                <w:rFonts w:ascii="Arial" w:cs="Arial" w:eastAsia="Arial" w:hAnsi="Arial"/>
                <w:sz w:val="16"/>
                <w:szCs w:val="16"/>
                <w:color w:val="auto"/>
              </w:rPr>
              <w:t>Officers Incentive</w:t>
            </w:r>
          </w:p>
        </w:tc>
        <w:tc>
          <w:tcPr>
            <w:tcW w:w="5320" w:type="dxa"/>
            <w:vAlign w:val="bottom"/>
          </w:tcPr>
          <w:p>
            <w:pPr>
              <w:ind w:left="40"/>
              <w:spacing w:after="0"/>
              <w:rPr>
                <w:sz w:val="20"/>
                <w:szCs w:val="20"/>
                <w:color w:val="auto"/>
              </w:rPr>
            </w:pPr>
            <w:r>
              <w:rPr>
                <w:rFonts w:ascii="Arial" w:cs="Arial" w:eastAsia="Arial" w:hAnsi="Arial"/>
                <w:sz w:val="16"/>
                <w:szCs w:val="16"/>
                <w:color w:val="auto"/>
              </w:rPr>
              <w:t>Annual payout tied to performance against pre-determined metrics and</w:t>
            </w:r>
          </w:p>
        </w:tc>
        <w:tc>
          <w:tcPr>
            <w:tcW w:w="3360" w:type="dxa"/>
            <w:vAlign w:val="bottom"/>
          </w:tcPr>
          <w:p>
            <w:pPr>
              <w:ind w:left="80"/>
              <w:spacing w:after="0"/>
              <w:rPr>
                <w:sz w:val="20"/>
                <w:szCs w:val="20"/>
                <w:color w:val="auto"/>
              </w:rPr>
            </w:pPr>
            <w:r>
              <w:rPr>
                <w:rFonts w:ascii="Arial" w:cs="Arial" w:eastAsia="Arial" w:hAnsi="Arial"/>
                <w:sz w:val="16"/>
                <w:szCs w:val="16"/>
                <w:color w:val="auto"/>
              </w:rPr>
              <w:t>Incentivizes achievement of key annual</w:t>
            </w:r>
          </w:p>
        </w:tc>
        <w:tc>
          <w:tcPr>
            <w:tcW w:w="0" w:type="dxa"/>
            <w:vAlign w:val="bottom"/>
          </w:tcPr>
          <w:p>
            <w:pPr>
              <w:spacing w:after="0"/>
              <w:rPr>
                <w:sz w:val="1"/>
                <w:szCs w:val="1"/>
                <w:color w:val="auto"/>
              </w:rPr>
            </w:pPr>
          </w:p>
        </w:tc>
      </w:tr>
      <w:tr>
        <w:trPr>
          <w:trHeight w:val="189"/>
        </w:trPr>
        <w:tc>
          <w:tcPr>
            <w:tcW w:w="2740" w:type="dxa"/>
            <w:vAlign w:val="bottom"/>
            <w:shd w:val="clear" w:color="auto" w:fill="ACACAC"/>
          </w:tcPr>
          <w:p>
            <w:pPr>
              <w:ind w:left="860"/>
              <w:spacing w:after="0"/>
              <w:rPr>
                <w:sz w:val="20"/>
                <w:szCs w:val="20"/>
                <w:color w:val="auto"/>
              </w:rPr>
            </w:pPr>
            <w:r>
              <w:rPr>
                <w:rFonts w:ascii="Arial" w:cs="Arial" w:eastAsia="Arial" w:hAnsi="Arial"/>
                <w:sz w:val="16"/>
                <w:szCs w:val="16"/>
                <w:color w:val="auto"/>
              </w:rPr>
              <w:t>Compensation Plan</w:t>
            </w:r>
          </w:p>
        </w:tc>
        <w:tc>
          <w:tcPr>
            <w:tcW w:w="5320" w:type="dxa"/>
            <w:vAlign w:val="bottom"/>
          </w:tcPr>
          <w:p>
            <w:pPr>
              <w:ind w:left="40"/>
              <w:spacing w:after="0"/>
              <w:rPr>
                <w:sz w:val="20"/>
                <w:szCs w:val="20"/>
                <w:color w:val="auto"/>
              </w:rPr>
            </w:pPr>
            <w:r>
              <w:rPr>
                <w:rFonts w:ascii="Arial" w:cs="Arial" w:eastAsia="Arial" w:hAnsi="Arial"/>
                <w:sz w:val="16"/>
                <w:szCs w:val="16"/>
                <w:color w:val="auto"/>
              </w:rPr>
              <w:t>goals across a one-year performance period</w:t>
            </w:r>
          </w:p>
        </w:tc>
        <w:tc>
          <w:tcPr>
            <w:tcW w:w="3360" w:type="dxa"/>
            <w:vAlign w:val="bottom"/>
          </w:tcPr>
          <w:p>
            <w:pPr>
              <w:ind w:left="80"/>
              <w:spacing w:after="0"/>
              <w:rPr>
                <w:sz w:val="20"/>
                <w:szCs w:val="20"/>
                <w:color w:val="auto"/>
              </w:rPr>
            </w:pPr>
            <w:r>
              <w:rPr>
                <w:rFonts w:ascii="Arial" w:cs="Arial" w:eastAsia="Arial" w:hAnsi="Arial"/>
                <w:sz w:val="16"/>
                <w:szCs w:val="16"/>
                <w:color w:val="auto"/>
              </w:rPr>
              <w:t>objectives at an enterprise-wide or individual</w:t>
            </w:r>
          </w:p>
        </w:tc>
        <w:tc>
          <w:tcPr>
            <w:tcW w:w="0" w:type="dxa"/>
            <w:vAlign w:val="bottom"/>
          </w:tcPr>
          <w:p>
            <w:pPr>
              <w:spacing w:after="0"/>
              <w:rPr>
                <w:sz w:val="1"/>
                <w:szCs w:val="1"/>
                <w:color w:val="auto"/>
              </w:rPr>
            </w:pPr>
          </w:p>
        </w:tc>
      </w:tr>
      <w:tr>
        <w:trPr>
          <w:trHeight w:val="149"/>
        </w:trPr>
        <w:tc>
          <w:tcPr>
            <w:tcW w:w="2740" w:type="dxa"/>
            <w:vAlign w:val="bottom"/>
            <w:shd w:val="clear" w:color="auto" w:fill="ACACAC"/>
          </w:tcPr>
          <w:p>
            <w:pPr>
              <w:ind w:left="860"/>
              <w:spacing w:after="0" w:line="148" w:lineRule="exact"/>
              <w:rPr>
                <w:sz w:val="20"/>
                <w:szCs w:val="20"/>
                <w:color w:val="auto"/>
              </w:rPr>
            </w:pPr>
            <w:r>
              <w:rPr>
                <w:rFonts w:ascii="Arial" w:cs="Arial" w:eastAsia="Arial" w:hAnsi="Arial"/>
                <w:sz w:val="16"/>
                <w:szCs w:val="16"/>
                <w:color w:val="auto"/>
              </w:rPr>
              <w:t>(OICP)</w:t>
            </w:r>
          </w:p>
        </w:tc>
        <w:tc>
          <w:tcPr>
            <w:tcW w:w="5320" w:type="dxa"/>
            <w:vAlign w:val="bottom"/>
            <w:vMerge w:val="restart"/>
          </w:tcPr>
          <w:p>
            <w:pPr>
              <w:ind w:left="40"/>
              <w:spacing w:after="0"/>
              <w:rPr>
                <w:sz w:val="20"/>
                <w:szCs w:val="20"/>
                <w:color w:val="auto"/>
              </w:rPr>
            </w:pPr>
            <w:r>
              <w:rPr>
                <w:rFonts w:ascii="Arial" w:cs="Arial" w:eastAsia="Arial" w:hAnsi="Arial"/>
                <w:sz w:val="16"/>
                <w:szCs w:val="16"/>
                <w:color w:val="auto"/>
              </w:rPr>
              <w:t>For Fiscal 2019, the metrics included:</w:t>
            </w:r>
          </w:p>
        </w:tc>
        <w:tc>
          <w:tcPr>
            <w:tcW w:w="3360" w:type="dxa"/>
            <w:vAlign w:val="bottom"/>
          </w:tcPr>
          <w:p>
            <w:pPr>
              <w:ind w:left="80"/>
              <w:spacing w:after="0" w:line="148" w:lineRule="exact"/>
              <w:rPr>
                <w:sz w:val="20"/>
                <w:szCs w:val="20"/>
                <w:color w:val="auto"/>
              </w:rPr>
            </w:pPr>
            <w:r>
              <w:rPr>
                <w:rFonts w:ascii="Arial" w:cs="Arial" w:eastAsia="Arial" w:hAnsi="Arial"/>
                <w:sz w:val="16"/>
                <w:szCs w:val="16"/>
                <w:color w:val="auto"/>
              </w:rPr>
              <w:t>business unit level - driving progress towards</w:t>
            </w:r>
          </w:p>
        </w:tc>
        <w:tc>
          <w:tcPr>
            <w:tcW w:w="0" w:type="dxa"/>
            <w:vAlign w:val="bottom"/>
          </w:tcPr>
          <w:p>
            <w:pPr>
              <w:spacing w:after="0"/>
              <w:rPr>
                <w:sz w:val="1"/>
                <w:szCs w:val="1"/>
                <w:color w:val="auto"/>
              </w:rPr>
            </w:pPr>
          </w:p>
        </w:tc>
      </w:tr>
      <w:tr>
        <w:trPr>
          <w:trHeight w:val="100"/>
        </w:trPr>
        <w:tc>
          <w:tcPr>
            <w:tcW w:w="2740" w:type="dxa"/>
            <w:vAlign w:val="bottom"/>
            <w:vMerge w:val="restart"/>
            <w:shd w:val="clear" w:color="auto" w:fill="ACACAC"/>
          </w:tcPr>
          <w:p>
            <w:pPr>
              <w:jc w:val="center"/>
              <w:ind w:right="1839"/>
              <w:spacing w:after="0"/>
              <w:rPr>
                <w:sz w:val="20"/>
                <w:szCs w:val="20"/>
                <w:color w:val="auto"/>
              </w:rPr>
            </w:pPr>
            <w:r>
              <w:rPr>
                <w:rFonts w:ascii="Arial" w:cs="Arial" w:eastAsia="Arial" w:hAnsi="Arial"/>
                <w:sz w:val="16"/>
                <w:szCs w:val="16"/>
                <w:color w:val="auto"/>
              </w:rPr>
              <w:t>Paid in</w:t>
            </w:r>
          </w:p>
        </w:tc>
        <w:tc>
          <w:tcPr>
            <w:tcW w:w="5320" w:type="dxa"/>
            <w:vAlign w:val="bottom"/>
            <w:vMerge w:val="continue"/>
          </w:tcPr>
          <w:p>
            <w:pPr>
              <w:spacing w:after="0"/>
              <w:rPr>
                <w:sz w:val="8"/>
                <w:szCs w:val="8"/>
                <w:color w:val="auto"/>
              </w:rPr>
            </w:pPr>
          </w:p>
        </w:tc>
        <w:tc>
          <w:tcPr>
            <w:tcW w:w="3360" w:type="dxa"/>
            <w:vAlign w:val="bottom"/>
            <w:vMerge w:val="restart"/>
          </w:tcPr>
          <w:p>
            <w:pPr>
              <w:ind w:left="80"/>
              <w:spacing w:after="0"/>
              <w:rPr>
                <w:sz w:val="20"/>
                <w:szCs w:val="20"/>
                <w:color w:val="auto"/>
              </w:rPr>
            </w:pPr>
            <w:r>
              <w:rPr>
                <w:rFonts w:ascii="Arial" w:cs="Arial" w:eastAsia="Arial" w:hAnsi="Arial"/>
                <w:sz w:val="16"/>
                <w:szCs w:val="16"/>
                <w:color w:val="auto"/>
              </w:rPr>
              <w:t>achievement of long-term initiatives</w:t>
            </w:r>
          </w:p>
        </w:tc>
        <w:tc>
          <w:tcPr>
            <w:tcW w:w="0" w:type="dxa"/>
            <w:vAlign w:val="bottom"/>
          </w:tcPr>
          <w:p>
            <w:pPr>
              <w:spacing w:after="0"/>
              <w:rPr>
                <w:sz w:val="1"/>
                <w:szCs w:val="1"/>
                <w:color w:val="auto"/>
              </w:rPr>
            </w:pPr>
          </w:p>
        </w:tc>
      </w:tr>
      <w:tr>
        <w:trPr>
          <w:trHeight w:val="89"/>
        </w:trPr>
        <w:tc>
          <w:tcPr>
            <w:tcW w:w="2740" w:type="dxa"/>
            <w:vAlign w:val="bottom"/>
            <w:vMerge w:val="continue"/>
            <w:shd w:val="clear" w:color="auto" w:fill="ACACAC"/>
          </w:tcPr>
          <w:p>
            <w:pPr>
              <w:spacing w:after="0"/>
              <w:rPr>
                <w:sz w:val="7"/>
                <w:szCs w:val="7"/>
                <w:color w:val="auto"/>
              </w:rPr>
            </w:pPr>
          </w:p>
        </w:tc>
        <w:tc>
          <w:tcPr>
            <w:tcW w:w="5320" w:type="dxa"/>
            <w:vAlign w:val="bottom"/>
            <w:vMerge w:val="restart"/>
          </w:tcPr>
          <w:p>
            <w:pPr>
              <w:ind w:left="40"/>
              <w:spacing w:after="0"/>
              <w:rPr>
                <w:sz w:val="20"/>
                <w:szCs w:val="20"/>
                <w:color w:val="auto"/>
              </w:rPr>
            </w:pPr>
            <w:r>
              <w:rPr>
                <w:rFonts w:ascii="Arial" w:cs="Arial" w:eastAsia="Arial" w:hAnsi="Arial"/>
                <w:sz w:val="16"/>
                <w:szCs w:val="16"/>
                <w:color w:val="auto"/>
              </w:rPr>
              <w:t>Ÿ 90% financial objectives</w:t>
            </w:r>
          </w:p>
        </w:tc>
        <w:tc>
          <w:tcPr>
            <w:tcW w:w="3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2740" w:type="dxa"/>
            <w:vAlign w:val="bottom"/>
            <w:shd w:val="clear" w:color="auto" w:fill="ACACAC"/>
          </w:tcPr>
          <w:p>
            <w:pPr>
              <w:jc w:val="center"/>
              <w:ind w:right="1839"/>
              <w:spacing w:after="0" w:line="151" w:lineRule="exact"/>
              <w:rPr>
                <w:sz w:val="20"/>
                <w:szCs w:val="20"/>
                <w:color w:val="auto"/>
              </w:rPr>
            </w:pPr>
            <w:r>
              <w:rPr>
                <w:rFonts w:ascii="Arial" w:cs="Arial" w:eastAsia="Arial" w:hAnsi="Arial"/>
                <w:sz w:val="16"/>
                <w:szCs w:val="16"/>
                <w:color w:val="auto"/>
              </w:rPr>
              <w:t>Cash</w:t>
            </w:r>
          </w:p>
        </w:tc>
        <w:tc>
          <w:tcPr>
            <w:tcW w:w="5320" w:type="dxa"/>
            <w:vAlign w:val="bottom"/>
            <w:vMerge w:val="continue"/>
          </w:tcPr>
          <w:p>
            <w:pPr>
              <w:spacing w:after="0"/>
              <w:rPr>
                <w:sz w:val="13"/>
                <w:szCs w:val="13"/>
                <w:color w:val="auto"/>
              </w:rPr>
            </w:pP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ACACAC"/>
          </w:tcPr>
          <w:p>
            <w:pPr>
              <w:spacing w:after="0"/>
              <w:rPr>
                <w:sz w:val="17"/>
                <w:szCs w:val="17"/>
                <w:color w:val="auto"/>
              </w:rPr>
            </w:pPr>
          </w:p>
        </w:tc>
        <w:tc>
          <w:tcPr>
            <w:tcW w:w="5320" w:type="dxa"/>
            <w:vAlign w:val="bottom"/>
          </w:tcPr>
          <w:p>
            <w:pPr>
              <w:ind w:left="520"/>
              <w:spacing w:after="0"/>
              <w:rPr>
                <w:sz w:val="20"/>
                <w:szCs w:val="20"/>
                <w:color w:val="auto"/>
              </w:rPr>
            </w:pPr>
            <w:r>
              <w:rPr>
                <w:rFonts w:ascii="Arial" w:cs="Arial" w:eastAsia="Arial" w:hAnsi="Arial"/>
                <w:sz w:val="16"/>
                <w:szCs w:val="16"/>
                <w:color w:val="auto"/>
              </w:rPr>
              <w:t>ú 50% Net Sales Growth</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ACACAC"/>
          </w:tcPr>
          <w:p>
            <w:pPr>
              <w:spacing w:after="0"/>
              <w:rPr>
                <w:sz w:val="17"/>
                <w:szCs w:val="17"/>
                <w:color w:val="auto"/>
              </w:rPr>
            </w:pPr>
          </w:p>
        </w:tc>
        <w:tc>
          <w:tcPr>
            <w:tcW w:w="5320" w:type="dxa"/>
            <w:vAlign w:val="bottom"/>
          </w:tcPr>
          <w:p>
            <w:pPr>
              <w:ind w:left="520"/>
              <w:spacing w:after="0"/>
              <w:rPr>
                <w:sz w:val="20"/>
                <w:szCs w:val="20"/>
                <w:color w:val="auto"/>
              </w:rPr>
            </w:pPr>
            <w:r>
              <w:rPr>
                <w:rFonts w:ascii="Arial" w:cs="Arial" w:eastAsia="Arial" w:hAnsi="Arial"/>
                <w:sz w:val="16"/>
                <w:szCs w:val="16"/>
                <w:color w:val="auto"/>
              </w:rPr>
              <w:t>ú 40% Operating Income</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ACACAC"/>
          </w:tcPr>
          <w:p>
            <w:pPr>
              <w:spacing w:after="0"/>
              <w:rPr>
                <w:sz w:val="17"/>
                <w:szCs w:val="17"/>
                <w:color w:val="auto"/>
              </w:rPr>
            </w:pPr>
          </w:p>
        </w:tc>
        <w:tc>
          <w:tcPr>
            <w:tcW w:w="5320" w:type="dxa"/>
            <w:vAlign w:val="bottom"/>
          </w:tcPr>
          <w:p>
            <w:pPr>
              <w:ind w:left="520"/>
              <w:spacing w:after="0"/>
              <w:rPr>
                <w:sz w:val="20"/>
                <w:szCs w:val="20"/>
                <w:color w:val="auto"/>
              </w:rPr>
            </w:pPr>
            <w:r>
              <w:rPr>
                <w:rFonts w:ascii="Arial" w:cs="Arial" w:eastAsia="Arial" w:hAnsi="Arial"/>
                <w:sz w:val="16"/>
                <w:szCs w:val="16"/>
                <w:color w:val="auto"/>
              </w:rPr>
              <w:t>ú 10% Net Working Capital</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shd w:val="clear" w:color="auto" w:fill="ACACAC"/>
          </w:tcPr>
          <w:p>
            <w:pPr>
              <w:spacing w:after="0"/>
              <w:rPr>
                <w:sz w:val="17"/>
                <w:szCs w:val="17"/>
                <w:color w:val="auto"/>
              </w:rPr>
            </w:pPr>
          </w:p>
        </w:tc>
        <w:tc>
          <w:tcPr>
            <w:tcW w:w="5320" w:type="dxa"/>
            <w:vAlign w:val="bottom"/>
          </w:tcPr>
          <w:p>
            <w:pPr>
              <w:ind w:left="40"/>
              <w:spacing w:after="0"/>
              <w:rPr>
                <w:sz w:val="20"/>
                <w:szCs w:val="20"/>
                <w:color w:val="auto"/>
              </w:rPr>
            </w:pPr>
            <w:r>
              <w:rPr>
                <w:rFonts w:ascii="Arial" w:cs="Arial" w:eastAsia="Arial" w:hAnsi="Arial"/>
                <w:sz w:val="16"/>
                <w:szCs w:val="16"/>
                <w:color w:val="auto"/>
              </w:rPr>
              <w:t>Ÿ 10% Individual Objectives</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ACACAC"/>
          </w:tcPr>
          <w:p>
            <w:pPr>
              <w:spacing w:after="0"/>
              <w:rPr>
                <w:sz w:val="17"/>
                <w:szCs w:val="17"/>
                <w:color w:val="auto"/>
              </w:rPr>
            </w:pPr>
          </w:p>
        </w:tc>
        <w:tc>
          <w:tcPr>
            <w:tcW w:w="5320" w:type="dxa"/>
            <w:vAlign w:val="bottom"/>
          </w:tcPr>
          <w:p>
            <w:pPr>
              <w:ind w:left="40"/>
              <w:spacing w:after="0"/>
              <w:rPr>
                <w:sz w:val="20"/>
                <w:szCs w:val="20"/>
                <w:color w:val="auto"/>
              </w:rPr>
            </w:pPr>
            <w:r>
              <w:rPr>
                <w:rFonts w:ascii="Arial" w:cs="Arial" w:eastAsia="Arial" w:hAnsi="Arial"/>
                <w:sz w:val="16"/>
                <w:szCs w:val="16"/>
                <w:color w:val="auto"/>
              </w:rPr>
              <w:t>Payouts range from 0% - 200% of a pre-determined target value</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740" w:type="dxa"/>
            <w:vAlign w:val="bottom"/>
            <w:tcBorders>
              <w:bottom w:val="single" w:sz="8" w:color="ACACAC"/>
            </w:tcBorders>
            <w:shd w:val="clear" w:color="auto" w:fill="ACACAC"/>
          </w:tcPr>
          <w:p>
            <w:pPr>
              <w:spacing w:after="0"/>
              <w:rPr>
                <w:sz w:val="6"/>
                <w:szCs w:val="6"/>
                <w:color w:val="auto"/>
              </w:rPr>
            </w:pPr>
          </w:p>
        </w:tc>
        <w:tc>
          <w:tcPr>
            <w:tcW w:w="5320" w:type="dxa"/>
            <w:vAlign w:val="bottom"/>
            <w:tcBorders>
              <w:bottom w:val="single" w:sz="8" w:color="ACACAC"/>
            </w:tcBorders>
          </w:tcPr>
          <w:p>
            <w:pPr>
              <w:spacing w:after="0"/>
              <w:rPr>
                <w:sz w:val="6"/>
                <w:szCs w:val="6"/>
                <w:color w:val="auto"/>
              </w:rPr>
            </w:pPr>
          </w:p>
        </w:tc>
        <w:tc>
          <w:tcPr>
            <w:tcW w:w="3360" w:type="dxa"/>
            <w:vAlign w:val="bottom"/>
            <w:tcBorders>
              <w:bottom w:val="single" w:sz="8" w:color="ACACAC"/>
            </w:tcBorders>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ACACAC"/>
          </w:tcPr>
          <w:p>
            <w:pPr>
              <w:ind w:left="860"/>
              <w:spacing w:after="0"/>
              <w:rPr>
                <w:sz w:val="20"/>
                <w:szCs w:val="20"/>
                <w:color w:val="auto"/>
              </w:rPr>
            </w:pPr>
            <w:r>
              <w:rPr>
                <w:rFonts w:ascii="Arial" w:cs="Arial" w:eastAsia="Arial" w:hAnsi="Arial"/>
                <w:sz w:val="16"/>
                <w:szCs w:val="16"/>
                <w:color w:val="auto"/>
              </w:rPr>
              <w:t>Performance Share Units</w:t>
            </w:r>
          </w:p>
        </w:tc>
        <w:tc>
          <w:tcPr>
            <w:tcW w:w="5320" w:type="dxa"/>
            <w:vAlign w:val="bottom"/>
          </w:tcPr>
          <w:p>
            <w:pPr>
              <w:ind w:left="40"/>
              <w:spacing w:after="0"/>
              <w:rPr>
                <w:sz w:val="20"/>
                <w:szCs w:val="20"/>
                <w:color w:val="auto"/>
              </w:rPr>
            </w:pPr>
            <w:r>
              <w:rPr>
                <w:rFonts w:ascii="Arial" w:cs="Arial" w:eastAsia="Arial" w:hAnsi="Arial"/>
                <w:sz w:val="16"/>
                <w:szCs w:val="16"/>
                <w:color w:val="auto"/>
              </w:rPr>
              <w:t>50% of all annual Equity Awards</w:t>
            </w:r>
          </w:p>
        </w:tc>
        <w:tc>
          <w:tcPr>
            <w:tcW w:w="3360" w:type="dxa"/>
            <w:vAlign w:val="bottom"/>
          </w:tcPr>
          <w:p>
            <w:pPr>
              <w:ind w:left="80"/>
              <w:spacing w:after="0"/>
              <w:rPr>
                <w:sz w:val="20"/>
                <w:szCs w:val="20"/>
                <w:color w:val="auto"/>
              </w:rPr>
            </w:pPr>
            <w:r>
              <w:rPr>
                <w:rFonts w:ascii="Arial" w:cs="Arial" w:eastAsia="Arial" w:hAnsi="Arial"/>
                <w:sz w:val="16"/>
                <w:szCs w:val="16"/>
                <w:color w:val="auto"/>
              </w:rPr>
              <w:t>Rewards for achievement of specific long-</w:t>
            </w:r>
          </w:p>
        </w:tc>
        <w:tc>
          <w:tcPr>
            <w:tcW w:w="0" w:type="dxa"/>
            <w:vAlign w:val="bottom"/>
          </w:tcPr>
          <w:p>
            <w:pPr>
              <w:spacing w:after="0"/>
              <w:rPr>
                <w:sz w:val="1"/>
                <w:szCs w:val="1"/>
                <w:color w:val="auto"/>
              </w:rPr>
            </w:pPr>
          </w:p>
        </w:tc>
      </w:tr>
      <w:tr>
        <w:trPr>
          <w:trHeight w:val="189"/>
        </w:trPr>
        <w:tc>
          <w:tcPr>
            <w:tcW w:w="2740" w:type="dxa"/>
            <w:vAlign w:val="bottom"/>
            <w:shd w:val="clear" w:color="auto" w:fill="ACACAC"/>
          </w:tcPr>
          <w:p>
            <w:pPr>
              <w:ind w:left="860"/>
              <w:spacing w:after="0"/>
              <w:rPr>
                <w:sz w:val="20"/>
                <w:szCs w:val="20"/>
                <w:color w:val="auto"/>
              </w:rPr>
            </w:pPr>
            <w:r>
              <w:rPr>
                <w:rFonts w:ascii="Arial" w:cs="Arial" w:eastAsia="Arial" w:hAnsi="Arial"/>
                <w:sz w:val="16"/>
                <w:szCs w:val="16"/>
                <w:color w:val="auto"/>
              </w:rPr>
              <w:t>/ Long-Term Incentive</w:t>
            </w:r>
          </w:p>
        </w:tc>
        <w:tc>
          <w:tcPr>
            <w:tcW w:w="5320" w:type="dxa"/>
            <w:vAlign w:val="bottom"/>
            <w:vMerge w:val="restart"/>
          </w:tcPr>
          <w:p>
            <w:pPr>
              <w:ind w:left="40"/>
              <w:spacing w:after="0"/>
              <w:rPr>
                <w:sz w:val="20"/>
                <w:szCs w:val="20"/>
                <w:color w:val="auto"/>
              </w:rPr>
            </w:pPr>
            <w:r>
              <w:rPr>
                <w:rFonts w:ascii="Arial" w:cs="Arial" w:eastAsia="Arial" w:hAnsi="Arial"/>
                <w:sz w:val="16"/>
                <w:szCs w:val="16"/>
                <w:color w:val="auto"/>
              </w:rPr>
              <w:t>For the Fiscal 2019-2021 performance period, payouts are tied to</w:t>
            </w:r>
          </w:p>
        </w:tc>
        <w:tc>
          <w:tcPr>
            <w:tcW w:w="3360" w:type="dxa"/>
            <w:vAlign w:val="bottom"/>
          </w:tcPr>
          <w:p>
            <w:pPr>
              <w:ind w:left="80"/>
              <w:spacing w:after="0"/>
              <w:rPr>
                <w:sz w:val="20"/>
                <w:szCs w:val="20"/>
                <w:color w:val="auto"/>
              </w:rPr>
            </w:pPr>
            <w:r>
              <w:rPr>
                <w:rFonts w:ascii="Arial" w:cs="Arial" w:eastAsia="Arial" w:hAnsi="Arial"/>
                <w:sz w:val="16"/>
                <w:szCs w:val="16"/>
                <w:color w:val="auto"/>
              </w:rPr>
              <w:t>term financial objectives</w:t>
            </w:r>
          </w:p>
        </w:tc>
        <w:tc>
          <w:tcPr>
            <w:tcW w:w="0" w:type="dxa"/>
            <w:vAlign w:val="bottom"/>
          </w:tcPr>
          <w:p>
            <w:pPr>
              <w:spacing w:after="0"/>
              <w:rPr>
                <w:sz w:val="1"/>
                <w:szCs w:val="1"/>
                <w:color w:val="auto"/>
              </w:rPr>
            </w:pPr>
          </w:p>
        </w:tc>
      </w:tr>
      <w:tr>
        <w:trPr>
          <w:trHeight w:val="54"/>
        </w:trPr>
        <w:tc>
          <w:tcPr>
            <w:tcW w:w="2740" w:type="dxa"/>
            <w:vAlign w:val="bottom"/>
            <w:vMerge w:val="restart"/>
            <w:shd w:val="clear" w:color="auto" w:fill="ACACAC"/>
          </w:tcPr>
          <w:p>
            <w:pPr>
              <w:ind w:left="860"/>
              <w:spacing w:after="0"/>
              <w:rPr>
                <w:sz w:val="20"/>
                <w:szCs w:val="20"/>
                <w:color w:val="auto"/>
              </w:rPr>
            </w:pPr>
            <w:r>
              <w:rPr>
                <w:rFonts w:ascii="Arial" w:cs="Arial" w:eastAsia="Arial" w:hAnsi="Arial"/>
                <w:sz w:val="16"/>
                <w:szCs w:val="16"/>
                <w:color w:val="auto"/>
              </w:rPr>
              <w:t>Program (LTIP)</w:t>
            </w:r>
          </w:p>
        </w:tc>
        <w:tc>
          <w:tcPr>
            <w:tcW w:w="5320" w:type="dxa"/>
            <w:vAlign w:val="bottom"/>
            <w:vMerge w:val="continue"/>
          </w:tcPr>
          <w:p>
            <w:pPr>
              <w:spacing w:after="0"/>
              <w:rPr>
                <w:sz w:val="4"/>
                <w:szCs w:val="4"/>
                <w:color w:val="auto"/>
              </w:rPr>
            </w:pPr>
          </w:p>
        </w:tc>
        <w:tc>
          <w:tcPr>
            <w:tcW w:w="3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740" w:type="dxa"/>
            <w:vAlign w:val="bottom"/>
            <w:vMerge w:val="continue"/>
            <w:shd w:val="clear" w:color="auto" w:fill="ACACAC"/>
          </w:tcPr>
          <w:p>
            <w:pPr>
              <w:spacing w:after="0"/>
              <w:rPr>
                <w:sz w:val="12"/>
                <w:szCs w:val="12"/>
                <w:color w:val="auto"/>
              </w:rPr>
            </w:pPr>
          </w:p>
        </w:tc>
        <w:tc>
          <w:tcPr>
            <w:tcW w:w="5320" w:type="dxa"/>
            <w:vAlign w:val="bottom"/>
            <w:vMerge w:val="restart"/>
          </w:tcPr>
          <w:p>
            <w:pPr>
              <w:ind w:left="40"/>
              <w:spacing w:after="0"/>
              <w:rPr>
                <w:sz w:val="20"/>
                <w:szCs w:val="20"/>
                <w:color w:val="auto"/>
              </w:rPr>
            </w:pPr>
            <w:r>
              <w:rPr>
                <w:rFonts w:ascii="Arial" w:cs="Arial" w:eastAsia="Arial" w:hAnsi="Arial"/>
                <w:sz w:val="16"/>
                <w:szCs w:val="16"/>
                <w:color w:val="auto"/>
              </w:rPr>
              <w:t>performance against pre-determined goals across a three-year</w:t>
            </w:r>
          </w:p>
        </w:tc>
        <w:tc>
          <w:tcPr>
            <w:tcW w:w="3360" w:type="dxa"/>
            <w:vAlign w:val="bottom"/>
            <w:vMerge w:val="restart"/>
          </w:tcPr>
          <w:p>
            <w:pPr>
              <w:ind w:left="80"/>
              <w:spacing w:after="0"/>
              <w:rPr>
                <w:sz w:val="20"/>
                <w:szCs w:val="20"/>
                <w:color w:val="auto"/>
              </w:rPr>
            </w:pPr>
            <w:r>
              <w:rPr>
                <w:rFonts w:ascii="Arial" w:cs="Arial" w:eastAsia="Arial" w:hAnsi="Arial"/>
                <w:sz w:val="16"/>
                <w:szCs w:val="16"/>
                <w:color w:val="auto"/>
              </w:rPr>
              <w:t>Aligns NEOs' interest with long-term</w:t>
            </w:r>
          </w:p>
        </w:tc>
        <w:tc>
          <w:tcPr>
            <w:tcW w:w="0" w:type="dxa"/>
            <w:vAlign w:val="bottom"/>
          </w:tcPr>
          <w:p>
            <w:pPr>
              <w:spacing w:after="0"/>
              <w:rPr>
                <w:sz w:val="1"/>
                <w:szCs w:val="1"/>
                <w:color w:val="auto"/>
              </w:rPr>
            </w:pPr>
          </w:p>
        </w:tc>
      </w:tr>
      <w:tr>
        <w:trPr>
          <w:trHeight w:val="48"/>
        </w:trPr>
        <w:tc>
          <w:tcPr>
            <w:tcW w:w="2740" w:type="dxa"/>
            <w:vAlign w:val="bottom"/>
            <w:shd w:val="clear" w:color="auto" w:fill="ACACAC"/>
          </w:tcPr>
          <w:p>
            <w:pPr>
              <w:spacing w:after="0"/>
              <w:rPr>
                <w:sz w:val="4"/>
                <w:szCs w:val="4"/>
                <w:color w:val="auto"/>
              </w:rPr>
            </w:pPr>
          </w:p>
        </w:tc>
        <w:tc>
          <w:tcPr>
            <w:tcW w:w="5320" w:type="dxa"/>
            <w:vAlign w:val="bottom"/>
            <w:vMerge w:val="continue"/>
          </w:tcPr>
          <w:p>
            <w:pPr>
              <w:spacing w:after="0"/>
              <w:rPr>
                <w:sz w:val="4"/>
                <w:szCs w:val="4"/>
                <w:color w:val="auto"/>
              </w:rPr>
            </w:pPr>
          </w:p>
        </w:tc>
        <w:tc>
          <w:tcPr>
            <w:tcW w:w="3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740" w:type="dxa"/>
            <w:vAlign w:val="bottom"/>
            <w:shd w:val="clear" w:color="auto" w:fill="ACACAC"/>
          </w:tcPr>
          <w:p>
            <w:pPr>
              <w:spacing w:after="0"/>
              <w:rPr>
                <w:sz w:val="16"/>
                <w:szCs w:val="16"/>
                <w:color w:val="auto"/>
              </w:rPr>
            </w:pPr>
          </w:p>
        </w:tc>
        <w:tc>
          <w:tcPr>
            <w:tcW w:w="5320" w:type="dxa"/>
            <w:vAlign w:val="bottom"/>
          </w:tcPr>
          <w:p>
            <w:pPr>
              <w:ind w:left="40"/>
              <w:spacing w:after="0"/>
              <w:rPr>
                <w:sz w:val="20"/>
                <w:szCs w:val="20"/>
                <w:color w:val="auto"/>
              </w:rPr>
            </w:pPr>
            <w:r>
              <w:rPr>
                <w:rFonts w:ascii="Arial" w:cs="Arial" w:eastAsia="Arial" w:hAnsi="Arial"/>
                <w:sz w:val="16"/>
                <w:szCs w:val="16"/>
                <w:color w:val="auto"/>
              </w:rPr>
              <w:t>performance period</w:t>
            </w:r>
          </w:p>
        </w:tc>
        <w:tc>
          <w:tcPr>
            <w:tcW w:w="3360" w:type="dxa"/>
            <w:vAlign w:val="bottom"/>
          </w:tcPr>
          <w:p>
            <w:pPr>
              <w:ind w:left="80"/>
              <w:spacing w:after="0"/>
              <w:rPr>
                <w:sz w:val="20"/>
                <w:szCs w:val="20"/>
                <w:color w:val="auto"/>
              </w:rPr>
            </w:pPr>
            <w:r>
              <w:rPr>
                <w:rFonts w:ascii="Arial" w:cs="Arial" w:eastAsia="Arial" w:hAnsi="Arial"/>
                <w:sz w:val="16"/>
                <w:szCs w:val="16"/>
                <w:color w:val="auto"/>
              </w:rPr>
              <w:t>shareholder value creation</w:t>
            </w:r>
          </w:p>
        </w:tc>
        <w:tc>
          <w:tcPr>
            <w:tcW w:w="0" w:type="dxa"/>
            <w:vAlign w:val="bottom"/>
          </w:tcPr>
          <w:p>
            <w:pPr>
              <w:spacing w:after="0"/>
              <w:rPr>
                <w:sz w:val="1"/>
                <w:szCs w:val="1"/>
                <w:color w:val="auto"/>
              </w:rPr>
            </w:pPr>
          </w:p>
        </w:tc>
      </w:tr>
      <w:tr>
        <w:trPr>
          <w:trHeight w:val="243"/>
        </w:trPr>
        <w:tc>
          <w:tcPr>
            <w:tcW w:w="2740" w:type="dxa"/>
            <w:vAlign w:val="bottom"/>
            <w:shd w:val="clear" w:color="auto" w:fill="ACACAC"/>
          </w:tcPr>
          <w:p>
            <w:pPr>
              <w:spacing w:after="0"/>
              <w:rPr>
                <w:sz w:val="21"/>
                <w:szCs w:val="21"/>
                <w:color w:val="auto"/>
              </w:rPr>
            </w:pPr>
          </w:p>
        </w:tc>
        <w:tc>
          <w:tcPr>
            <w:tcW w:w="5320" w:type="dxa"/>
            <w:vAlign w:val="bottom"/>
          </w:tcPr>
          <w:p>
            <w:pPr>
              <w:ind w:left="40"/>
              <w:spacing w:after="0"/>
              <w:rPr>
                <w:sz w:val="20"/>
                <w:szCs w:val="20"/>
                <w:color w:val="auto"/>
              </w:rPr>
            </w:pPr>
            <w:r>
              <w:rPr>
                <w:rFonts w:ascii="Arial" w:cs="Arial" w:eastAsia="Arial" w:hAnsi="Arial"/>
                <w:sz w:val="16"/>
                <w:szCs w:val="16"/>
                <w:color w:val="auto"/>
              </w:rPr>
              <w:t>The metrics consist of:</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740" w:type="dxa"/>
            <w:vAlign w:val="bottom"/>
            <w:shd w:val="clear" w:color="auto" w:fill="ACACAC"/>
          </w:tcPr>
          <w:p>
            <w:pPr>
              <w:spacing w:after="0"/>
              <w:rPr>
                <w:sz w:val="20"/>
                <w:szCs w:val="20"/>
                <w:color w:val="auto"/>
              </w:rPr>
            </w:pPr>
          </w:p>
        </w:tc>
        <w:tc>
          <w:tcPr>
            <w:tcW w:w="5320" w:type="dxa"/>
            <w:vAlign w:val="bottom"/>
          </w:tcPr>
          <w:p>
            <w:pPr>
              <w:ind w:left="40"/>
              <w:spacing w:after="0"/>
              <w:rPr>
                <w:sz w:val="20"/>
                <w:szCs w:val="20"/>
                <w:color w:val="auto"/>
              </w:rPr>
            </w:pPr>
            <w:r>
              <w:rPr>
                <w:rFonts w:ascii="Arial" w:cs="Arial" w:eastAsia="Arial" w:hAnsi="Arial"/>
                <w:sz w:val="16"/>
                <w:szCs w:val="16"/>
                <w:color w:val="auto"/>
              </w:rPr>
              <w:t>Ÿ 50% Average Return on Invested Capital</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740" w:type="dxa"/>
            <w:vAlign w:val="bottom"/>
            <w:vMerge w:val="restart"/>
            <w:shd w:val="clear" w:color="auto" w:fill="ACACAC"/>
          </w:tcPr>
          <w:p>
            <w:pPr>
              <w:jc w:val="center"/>
              <w:ind w:right="1839"/>
              <w:spacing w:after="0"/>
              <w:rPr>
                <w:sz w:val="20"/>
                <w:szCs w:val="20"/>
                <w:color w:val="auto"/>
              </w:rPr>
            </w:pPr>
            <w:r>
              <w:rPr>
                <w:rFonts w:ascii="Arial" w:cs="Arial" w:eastAsia="Arial" w:hAnsi="Arial"/>
                <w:sz w:val="16"/>
                <w:szCs w:val="16"/>
                <w:color w:val="auto"/>
              </w:rPr>
              <w:t>Paid in</w:t>
            </w:r>
          </w:p>
        </w:tc>
        <w:tc>
          <w:tcPr>
            <w:tcW w:w="5320" w:type="dxa"/>
            <w:vAlign w:val="bottom"/>
          </w:tcPr>
          <w:p>
            <w:pPr>
              <w:ind w:left="40"/>
              <w:spacing w:after="0"/>
              <w:rPr>
                <w:sz w:val="20"/>
                <w:szCs w:val="20"/>
                <w:color w:val="auto"/>
              </w:rPr>
            </w:pPr>
            <w:r>
              <w:rPr>
                <w:rFonts w:ascii="Arial" w:cs="Arial" w:eastAsia="Arial" w:hAnsi="Arial"/>
                <w:sz w:val="16"/>
                <w:szCs w:val="16"/>
                <w:color w:val="auto"/>
              </w:rPr>
              <w:t>Ÿ 50% Cumulative Diluted EPS</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740" w:type="dxa"/>
            <w:vAlign w:val="bottom"/>
            <w:vMerge w:val="continue"/>
            <w:shd w:val="clear" w:color="auto" w:fill="ACACAC"/>
          </w:tcPr>
          <w:p>
            <w:pPr>
              <w:spacing w:after="0"/>
              <w:rPr>
                <w:sz w:val="13"/>
                <w:szCs w:val="13"/>
                <w:color w:val="auto"/>
              </w:rPr>
            </w:pPr>
          </w:p>
        </w:tc>
        <w:tc>
          <w:tcPr>
            <w:tcW w:w="5320" w:type="dxa"/>
            <w:vAlign w:val="bottom"/>
          </w:tcPr>
          <w:p>
            <w:pPr>
              <w:ind w:left="40"/>
              <w:spacing w:after="0" w:line="157" w:lineRule="exact"/>
              <w:rPr>
                <w:sz w:val="20"/>
                <w:szCs w:val="20"/>
                <w:color w:val="auto"/>
              </w:rPr>
            </w:pPr>
            <w:r>
              <w:rPr>
                <w:rFonts w:ascii="Arial" w:cs="Arial" w:eastAsia="Arial" w:hAnsi="Arial"/>
                <w:sz w:val="16"/>
                <w:szCs w:val="16"/>
                <w:color w:val="auto"/>
              </w:rPr>
              <w:t>Payouts range from 0% - 200% of a pre-determined target value</w:t>
            </w: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740" w:type="dxa"/>
            <w:vAlign w:val="bottom"/>
            <w:tcBorders>
              <w:bottom w:val="single" w:sz="8" w:color="ACACAC"/>
            </w:tcBorders>
            <w:vMerge w:val="restart"/>
            <w:shd w:val="clear" w:color="auto" w:fill="ACACAC"/>
          </w:tcPr>
          <w:p>
            <w:pPr>
              <w:jc w:val="center"/>
              <w:ind w:right="1839"/>
              <w:spacing w:after="0" w:line="162" w:lineRule="exact"/>
              <w:rPr>
                <w:sz w:val="20"/>
                <w:szCs w:val="20"/>
                <w:color w:val="auto"/>
              </w:rPr>
            </w:pPr>
            <w:r>
              <w:rPr>
                <w:rFonts w:ascii="Arial" w:cs="Arial" w:eastAsia="Arial" w:hAnsi="Arial"/>
                <w:sz w:val="16"/>
                <w:szCs w:val="16"/>
                <w:color w:val="auto"/>
              </w:rPr>
              <w:t>Equity</w:t>
            </w:r>
          </w:p>
        </w:tc>
        <w:tc>
          <w:tcPr>
            <w:tcW w:w="5320" w:type="dxa"/>
            <w:vAlign w:val="bottom"/>
            <w:tcBorders>
              <w:bottom w:val="single" w:sz="8" w:color="ACACAC"/>
            </w:tcBorders>
          </w:tcPr>
          <w:p>
            <w:pPr>
              <w:spacing w:after="0"/>
              <w:rPr>
                <w:sz w:val="10"/>
                <w:szCs w:val="10"/>
                <w:color w:val="auto"/>
              </w:rPr>
            </w:pPr>
          </w:p>
        </w:tc>
        <w:tc>
          <w:tcPr>
            <w:tcW w:w="3360" w:type="dxa"/>
            <w:vAlign w:val="bottom"/>
            <w:tcBorders>
              <w:bottom w:val="single" w:sz="8" w:color="ACACAC"/>
            </w:tcBorders>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740" w:type="dxa"/>
            <w:vAlign w:val="bottom"/>
            <w:vMerge w:val="continue"/>
            <w:shd w:val="clear" w:color="auto" w:fill="ACACAC"/>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40" w:type="dxa"/>
            <w:vAlign w:val="bottom"/>
            <w:shd w:val="clear" w:color="auto" w:fill="ACACAC"/>
          </w:tcPr>
          <w:p>
            <w:pPr>
              <w:ind w:left="860"/>
              <w:spacing w:after="0"/>
              <w:rPr>
                <w:sz w:val="20"/>
                <w:szCs w:val="20"/>
                <w:color w:val="auto"/>
              </w:rPr>
            </w:pPr>
            <w:r>
              <w:rPr>
                <w:rFonts w:ascii="Arial" w:cs="Arial" w:eastAsia="Arial" w:hAnsi="Arial"/>
                <w:sz w:val="16"/>
                <w:szCs w:val="16"/>
                <w:color w:val="auto"/>
              </w:rPr>
              <w:t>Stock Options</w:t>
            </w:r>
          </w:p>
        </w:tc>
        <w:tc>
          <w:tcPr>
            <w:tcW w:w="5320" w:type="dxa"/>
            <w:vAlign w:val="bottom"/>
          </w:tcPr>
          <w:p>
            <w:pPr>
              <w:ind w:left="40"/>
              <w:spacing w:after="0"/>
              <w:rPr>
                <w:sz w:val="20"/>
                <w:szCs w:val="20"/>
                <w:color w:val="auto"/>
              </w:rPr>
            </w:pPr>
            <w:r>
              <w:rPr>
                <w:rFonts w:ascii="Arial" w:cs="Arial" w:eastAsia="Arial" w:hAnsi="Arial"/>
                <w:sz w:val="16"/>
                <w:szCs w:val="16"/>
                <w:color w:val="auto"/>
              </w:rPr>
              <w:t>25% of all annual Equity Awards</w:t>
            </w:r>
          </w:p>
        </w:tc>
        <w:tc>
          <w:tcPr>
            <w:tcW w:w="3360" w:type="dxa"/>
            <w:vAlign w:val="bottom"/>
          </w:tcPr>
          <w:p>
            <w:pPr>
              <w:ind w:left="80"/>
              <w:spacing w:after="0"/>
              <w:rPr>
                <w:sz w:val="20"/>
                <w:szCs w:val="20"/>
                <w:color w:val="auto"/>
              </w:rPr>
            </w:pPr>
            <w:r>
              <w:rPr>
                <w:rFonts w:ascii="Arial" w:cs="Arial" w:eastAsia="Arial" w:hAnsi="Arial"/>
                <w:sz w:val="16"/>
                <w:szCs w:val="16"/>
                <w:color w:val="auto"/>
              </w:rPr>
              <w:t>Aligns NEOs’ interest with long-term</w:t>
            </w:r>
          </w:p>
        </w:tc>
        <w:tc>
          <w:tcPr>
            <w:tcW w:w="0" w:type="dxa"/>
            <w:vAlign w:val="bottom"/>
          </w:tcPr>
          <w:p>
            <w:pPr>
              <w:spacing w:after="0"/>
              <w:rPr>
                <w:sz w:val="1"/>
                <w:szCs w:val="1"/>
                <w:color w:val="auto"/>
              </w:rPr>
            </w:pPr>
          </w:p>
        </w:tc>
      </w:tr>
      <w:tr>
        <w:trPr>
          <w:trHeight w:val="201"/>
        </w:trPr>
        <w:tc>
          <w:tcPr>
            <w:tcW w:w="2740" w:type="dxa"/>
            <w:vAlign w:val="bottom"/>
            <w:shd w:val="clear" w:color="auto" w:fill="ACACAC"/>
          </w:tcPr>
          <w:p>
            <w:pPr>
              <w:spacing w:after="0"/>
              <w:rPr>
                <w:sz w:val="17"/>
                <w:szCs w:val="17"/>
                <w:color w:val="auto"/>
              </w:rPr>
            </w:pPr>
          </w:p>
        </w:tc>
        <w:tc>
          <w:tcPr>
            <w:tcW w:w="5320" w:type="dxa"/>
            <w:vAlign w:val="bottom"/>
          </w:tcPr>
          <w:p>
            <w:pPr>
              <w:ind w:left="40"/>
              <w:spacing w:after="0"/>
              <w:rPr>
                <w:sz w:val="20"/>
                <w:szCs w:val="20"/>
                <w:color w:val="auto"/>
              </w:rPr>
            </w:pPr>
            <w:r>
              <w:rPr>
                <w:rFonts w:ascii="Arial" w:cs="Arial" w:eastAsia="Arial" w:hAnsi="Arial"/>
                <w:sz w:val="16"/>
                <w:szCs w:val="16"/>
                <w:color w:val="auto"/>
              </w:rPr>
              <w:t>Stock options can be exercised over ten years and vest over three years</w:t>
            </w:r>
          </w:p>
        </w:tc>
        <w:tc>
          <w:tcPr>
            <w:tcW w:w="3360" w:type="dxa"/>
            <w:vAlign w:val="bottom"/>
          </w:tcPr>
          <w:p>
            <w:pPr>
              <w:ind w:left="80"/>
              <w:spacing w:after="0"/>
              <w:rPr>
                <w:sz w:val="20"/>
                <w:szCs w:val="20"/>
                <w:color w:val="auto"/>
              </w:rPr>
            </w:pPr>
            <w:r>
              <w:rPr>
                <w:rFonts w:ascii="Arial" w:cs="Arial" w:eastAsia="Arial" w:hAnsi="Arial"/>
                <w:sz w:val="16"/>
                <w:szCs w:val="16"/>
                <w:color w:val="auto"/>
              </w:rPr>
              <w:t>shareholder value creation as measured by</w:t>
            </w:r>
          </w:p>
        </w:tc>
        <w:tc>
          <w:tcPr>
            <w:tcW w:w="0" w:type="dxa"/>
            <w:vAlign w:val="bottom"/>
          </w:tcPr>
          <w:p>
            <w:pPr>
              <w:spacing w:after="0"/>
              <w:rPr>
                <w:sz w:val="1"/>
                <w:szCs w:val="1"/>
                <w:color w:val="auto"/>
              </w:rPr>
            </w:pPr>
          </w:p>
        </w:tc>
      </w:tr>
      <w:tr>
        <w:trPr>
          <w:trHeight w:val="177"/>
        </w:trPr>
        <w:tc>
          <w:tcPr>
            <w:tcW w:w="2740" w:type="dxa"/>
            <w:vAlign w:val="bottom"/>
            <w:shd w:val="clear" w:color="auto" w:fill="ACACAC"/>
          </w:tcPr>
          <w:p>
            <w:pPr>
              <w:spacing w:after="0"/>
              <w:rPr>
                <w:sz w:val="15"/>
                <w:szCs w:val="15"/>
                <w:color w:val="auto"/>
              </w:rPr>
            </w:pPr>
          </w:p>
        </w:tc>
        <w:tc>
          <w:tcPr>
            <w:tcW w:w="5320" w:type="dxa"/>
            <w:vAlign w:val="bottom"/>
            <w:vMerge w:val="restart"/>
          </w:tcPr>
          <w:p>
            <w:pPr>
              <w:ind w:left="40"/>
              <w:spacing w:after="0"/>
              <w:rPr>
                <w:sz w:val="20"/>
                <w:szCs w:val="20"/>
                <w:color w:val="auto"/>
              </w:rPr>
            </w:pPr>
            <w:r>
              <w:rPr>
                <w:rFonts w:ascii="Arial" w:cs="Arial" w:eastAsia="Arial" w:hAnsi="Arial"/>
                <w:sz w:val="16"/>
                <w:szCs w:val="16"/>
                <w:color w:val="auto"/>
              </w:rPr>
              <w:t>in equal installments</w:t>
            </w:r>
          </w:p>
        </w:tc>
        <w:tc>
          <w:tcPr>
            <w:tcW w:w="3360" w:type="dxa"/>
            <w:vAlign w:val="bottom"/>
          </w:tcPr>
          <w:p>
            <w:pPr>
              <w:ind w:left="80"/>
              <w:spacing w:after="0" w:line="178" w:lineRule="exact"/>
              <w:rPr>
                <w:sz w:val="20"/>
                <w:szCs w:val="20"/>
                <w:color w:val="auto"/>
              </w:rPr>
            </w:pPr>
            <w:r>
              <w:rPr>
                <w:rFonts w:ascii="Arial" w:cs="Arial" w:eastAsia="Arial" w:hAnsi="Arial"/>
                <w:sz w:val="16"/>
                <w:szCs w:val="16"/>
                <w:color w:val="auto"/>
              </w:rPr>
              <w:t>appreciation in stock price from the date of</w:t>
            </w:r>
          </w:p>
        </w:tc>
        <w:tc>
          <w:tcPr>
            <w:tcW w:w="0" w:type="dxa"/>
            <w:vAlign w:val="bottom"/>
          </w:tcPr>
          <w:p>
            <w:pPr>
              <w:spacing w:after="0"/>
              <w:rPr>
                <w:sz w:val="1"/>
                <w:szCs w:val="1"/>
                <w:color w:val="auto"/>
              </w:rPr>
            </w:pPr>
          </w:p>
        </w:tc>
      </w:tr>
      <w:tr>
        <w:trPr>
          <w:trHeight w:val="60"/>
        </w:trPr>
        <w:tc>
          <w:tcPr>
            <w:tcW w:w="2740" w:type="dxa"/>
            <w:vAlign w:val="bottom"/>
            <w:shd w:val="clear" w:color="auto" w:fill="ACACAC"/>
          </w:tcPr>
          <w:p>
            <w:pPr>
              <w:spacing w:after="0"/>
              <w:rPr>
                <w:sz w:val="5"/>
                <w:szCs w:val="5"/>
                <w:color w:val="auto"/>
              </w:rPr>
            </w:pPr>
          </w:p>
        </w:tc>
        <w:tc>
          <w:tcPr>
            <w:tcW w:w="5320" w:type="dxa"/>
            <w:vAlign w:val="bottom"/>
            <w:vMerge w:val="continue"/>
          </w:tcPr>
          <w:p>
            <w:pPr>
              <w:spacing w:after="0"/>
              <w:rPr>
                <w:sz w:val="5"/>
                <w:szCs w:val="5"/>
                <w:color w:val="auto"/>
              </w:rPr>
            </w:pPr>
          </w:p>
        </w:tc>
        <w:tc>
          <w:tcPr>
            <w:tcW w:w="3360" w:type="dxa"/>
            <w:vAlign w:val="bottom"/>
            <w:vMerge w:val="restart"/>
          </w:tcPr>
          <w:p>
            <w:pPr>
              <w:ind w:left="80"/>
              <w:spacing w:after="0"/>
              <w:rPr>
                <w:sz w:val="20"/>
                <w:szCs w:val="20"/>
                <w:color w:val="auto"/>
              </w:rPr>
            </w:pPr>
            <w:r>
              <w:rPr>
                <w:rFonts w:ascii="Arial" w:cs="Arial" w:eastAsia="Arial" w:hAnsi="Arial"/>
                <w:sz w:val="16"/>
                <w:szCs w:val="16"/>
                <w:color w:val="auto"/>
              </w:rPr>
              <w:t>grant</w:t>
            </w:r>
          </w:p>
        </w:tc>
        <w:tc>
          <w:tcPr>
            <w:tcW w:w="0" w:type="dxa"/>
            <w:vAlign w:val="bottom"/>
          </w:tcPr>
          <w:p>
            <w:pPr>
              <w:spacing w:after="0"/>
              <w:rPr>
                <w:sz w:val="1"/>
                <w:szCs w:val="1"/>
                <w:color w:val="auto"/>
              </w:rPr>
            </w:pPr>
          </w:p>
        </w:tc>
      </w:tr>
      <w:tr>
        <w:trPr>
          <w:trHeight w:val="148"/>
        </w:trPr>
        <w:tc>
          <w:tcPr>
            <w:tcW w:w="2740" w:type="dxa"/>
            <w:vAlign w:val="bottom"/>
            <w:tcBorders>
              <w:bottom w:val="single" w:sz="8" w:color="ACACAC"/>
            </w:tcBorders>
            <w:shd w:val="clear" w:color="auto" w:fill="ACACAC"/>
          </w:tcPr>
          <w:p>
            <w:pPr>
              <w:spacing w:after="0"/>
              <w:rPr>
                <w:sz w:val="12"/>
                <w:szCs w:val="12"/>
                <w:color w:val="auto"/>
              </w:rPr>
            </w:pPr>
          </w:p>
        </w:tc>
        <w:tc>
          <w:tcPr>
            <w:tcW w:w="5320" w:type="dxa"/>
            <w:vAlign w:val="bottom"/>
            <w:tcBorders>
              <w:bottom w:val="single" w:sz="8" w:color="ACACAC"/>
            </w:tcBorders>
          </w:tcPr>
          <w:p>
            <w:pPr>
              <w:spacing w:after="0"/>
              <w:rPr>
                <w:sz w:val="12"/>
                <w:szCs w:val="12"/>
                <w:color w:val="auto"/>
              </w:rPr>
            </w:pPr>
          </w:p>
        </w:tc>
        <w:tc>
          <w:tcPr>
            <w:tcW w:w="3360" w:type="dxa"/>
            <w:vAlign w:val="bottom"/>
            <w:tcBorders>
              <w:bottom w:val="single" w:sz="8" w:color="ACACA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ACACAC"/>
          </w:tcPr>
          <w:p>
            <w:pPr>
              <w:ind w:left="860"/>
              <w:spacing w:after="0"/>
              <w:rPr>
                <w:sz w:val="20"/>
                <w:szCs w:val="20"/>
                <w:color w:val="auto"/>
              </w:rPr>
            </w:pPr>
            <w:r>
              <w:rPr>
                <w:rFonts w:ascii="Arial" w:cs="Arial" w:eastAsia="Arial" w:hAnsi="Arial"/>
                <w:sz w:val="16"/>
                <w:szCs w:val="16"/>
                <w:color w:val="auto"/>
              </w:rPr>
              <w:t>Restricted Stock Units</w:t>
            </w:r>
          </w:p>
        </w:tc>
        <w:tc>
          <w:tcPr>
            <w:tcW w:w="5320" w:type="dxa"/>
            <w:vAlign w:val="bottom"/>
          </w:tcPr>
          <w:p>
            <w:pPr>
              <w:ind w:left="40"/>
              <w:spacing w:after="0"/>
              <w:rPr>
                <w:sz w:val="20"/>
                <w:szCs w:val="20"/>
                <w:color w:val="auto"/>
              </w:rPr>
            </w:pPr>
            <w:r>
              <w:rPr>
                <w:rFonts w:ascii="Arial" w:cs="Arial" w:eastAsia="Arial" w:hAnsi="Arial"/>
                <w:sz w:val="16"/>
                <w:szCs w:val="16"/>
                <w:color w:val="auto"/>
              </w:rPr>
              <w:t>25% of all annual Equity Awards</w:t>
            </w:r>
          </w:p>
        </w:tc>
        <w:tc>
          <w:tcPr>
            <w:tcW w:w="3360" w:type="dxa"/>
            <w:vAlign w:val="bottom"/>
          </w:tcPr>
          <w:p>
            <w:pPr>
              <w:ind w:left="80"/>
              <w:spacing w:after="0"/>
              <w:rPr>
                <w:sz w:val="20"/>
                <w:szCs w:val="20"/>
                <w:color w:val="auto"/>
              </w:rPr>
            </w:pPr>
            <w:r>
              <w:rPr>
                <w:rFonts w:ascii="Arial" w:cs="Arial" w:eastAsia="Arial" w:hAnsi="Arial"/>
                <w:sz w:val="16"/>
                <w:szCs w:val="16"/>
                <w:color w:val="auto"/>
              </w:rPr>
              <w:t>Aligns NEOs’ interest with long-term</w:t>
            </w:r>
          </w:p>
        </w:tc>
        <w:tc>
          <w:tcPr>
            <w:tcW w:w="0" w:type="dxa"/>
            <w:vAlign w:val="bottom"/>
          </w:tcPr>
          <w:p>
            <w:pPr>
              <w:spacing w:after="0"/>
              <w:rPr>
                <w:sz w:val="1"/>
                <w:szCs w:val="1"/>
                <w:color w:val="auto"/>
              </w:rPr>
            </w:pPr>
          </w:p>
        </w:tc>
      </w:tr>
      <w:tr>
        <w:trPr>
          <w:trHeight w:val="195"/>
        </w:trPr>
        <w:tc>
          <w:tcPr>
            <w:tcW w:w="2740" w:type="dxa"/>
            <w:vAlign w:val="bottom"/>
            <w:shd w:val="clear" w:color="auto" w:fill="ACACAC"/>
          </w:tcPr>
          <w:p>
            <w:pPr>
              <w:spacing w:after="0"/>
              <w:rPr>
                <w:sz w:val="16"/>
                <w:szCs w:val="16"/>
                <w:color w:val="auto"/>
              </w:rPr>
            </w:pPr>
          </w:p>
        </w:tc>
        <w:tc>
          <w:tcPr>
            <w:tcW w:w="5320" w:type="dxa"/>
            <w:vAlign w:val="bottom"/>
            <w:vMerge w:val="restart"/>
          </w:tcPr>
          <w:p>
            <w:pPr>
              <w:ind w:left="40"/>
              <w:spacing w:after="0"/>
              <w:rPr>
                <w:sz w:val="20"/>
                <w:szCs w:val="20"/>
                <w:color w:val="auto"/>
              </w:rPr>
            </w:pPr>
            <w:r>
              <w:rPr>
                <w:rFonts w:ascii="Arial" w:cs="Arial" w:eastAsia="Arial" w:hAnsi="Arial"/>
                <w:sz w:val="16"/>
                <w:szCs w:val="16"/>
                <w:color w:val="auto"/>
              </w:rPr>
              <w:t>Restricted stock units vest over three years in equal installments</w:t>
            </w:r>
          </w:p>
        </w:tc>
        <w:tc>
          <w:tcPr>
            <w:tcW w:w="3360" w:type="dxa"/>
            <w:vAlign w:val="bottom"/>
          </w:tcPr>
          <w:p>
            <w:pPr>
              <w:ind w:left="80"/>
              <w:spacing w:after="0"/>
              <w:rPr>
                <w:sz w:val="20"/>
                <w:szCs w:val="20"/>
                <w:color w:val="auto"/>
              </w:rPr>
            </w:pPr>
            <w:r>
              <w:rPr>
                <w:rFonts w:ascii="Arial" w:cs="Arial" w:eastAsia="Arial" w:hAnsi="Arial"/>
                <w:sz w:val="16"/>
                <w:szCs w:val="16"/>
                <w:color w:val="auto"/>
              </w:rPr>
              <w:t>shareholder value creation</w:t>
            </w:r>
          </w:p>
        </w:tc>
        <w:tc>
          <w:tcPr>
            <w:tcW w:w="0" w:type="dxa"/>
            <w:vAlign w:val="bottom"/>
          </w:tcPr>
          <w:p>
            <w:pPr>
              <w:spacing w:after="0"/>
              <w:rPr>
                <w:sz w:val="1"/>
                <w:szCs w:val="1"/>
                <w:color w:val="auto"/>
              </w:rPr>
            </w:pPr>
          </w:p>
        </w:tc>
      </w:tr>
      <w:tr>
        <w:trPr>
          <w:trHeight w:val="54"/>
        </w:trPr>
        <w:tc>
          <w:tcPr>
            <w:tcW w:w="2740" w:type="dxa"/>
            <w:vAlign w:val="bottom"/>
            <w:shd w:val="clear" w:color="auto" w:fill="ACACAC"/>
          </w:tcPr>
          <w:p>
            <w:pPr>
              <w:spacing w:after="0"/>
              <w:rPr>
                <w:sz w:val="4"/>
                <w:szCs w:val="4"/>
                <w:color w:val="auto"/>
              </w:rPr>
            </w:pPr>
          </w:p>
        </w:tc>
        <w:tc>
          <w:tcPr>
            <w:tcW w:w="5320" w:type="dxa"/>
            <w:vAlign w:val="bottom"/>
            <w:vMerge w:val="continue"/>
          </w:tcPr>
          <w:p>
            <w:pPr>
              <w:spacing w:after="0"/>
              <w:rPr>
                <w:sz w:val="4"/>
                <w:szCs w:val="4"/>
                <w:color w:val="auto"/>
              </w:rPr>
            </w:pPr>
          </w:p>
        </w:tc>
        <w:tc>
          <w:tcPr>
            <w:tcW w:w="3360" w:type="dxa"/>
            <w:vAlign w:val="bottom"/>
            <w:vMerge w:val="restart"/>
          </w:tcPr>
          <w:p>
            <w:pPr>
              <w:ind w:left="80"/>
              <w:spacing w:after="0"/>
              <w:rPr>
                <w:sz w:val="20"/>
                <w:szCs w:val="20"/>
                <w:color w:val="auto"/>
              </w:rPr>
            </w:pPr>
            <w:r>
              <w:rPr>
                <w:rFonts w:ascii="Arial" w:cs="Arial" w:eastAsia="Arial" w:hAnsi="Arial"/>
                <w:sz w:val="16"/>
                <w:szCs w:val="16"/>
                <w:color w:val="auto"/>
              </w:rPr>
              <w:t>Encourages executive retention</w:t>
            </w:r>
          </w:p>
        </w:tc>
        <w:tc>
          <w:tcPr>
            <w:tcW w:w="0" w:type="dxa"/>
            <w:vAlign w:val="bottom"/>
          </w:tcPr>
          <w:p>
            <w:pPr>
              <w:spacing w:after="0"/>
              <w:rPr>
                <w:sz w:val="1"/>
                <w:szCs w:val="1"/>
                <w:color w:val="auto"/>
              </w:rPr>
            </w:pPr>
          </w:p>
        </w:tc>
      </w:tr>
      <w:tr>
        <w:trPr>
          <w:trHeight w:val="189"/>
        </w:trPr>
        <w:tc>
          <w:tcPr>
            <w:tcW w:w="2740" w:type="dxa"/>
            <w:vAlign w:val="bottom"/>
            <w:shd w:val="clear" w:color="auto" w:fill="ACACAC"/>
          </w:tcPr>
          <w:p>
            <w:pPr>
              <w:spacing w:after="0"/>
              <w:rPr>
                <w:sz w:val="16"/>
                <w:szCs w:val="16"/>
                <w:color w:val="auto"/>
              </w:rPr>
            </w:pPr>
          </w:p>
        </w:tc>
        <w:tc>
          <w:tcPr>
            <w:tcW w:w="5320" w:type="dxa"/>
            <w:vAlign w:val="bottom"/>
          </w:tcPr>
          <w:p>
            <w:pPr>
              <w:spacing w:after="0"/>
              <w:rPr>
                <w:sz w:val="16"/>
                <w:szCs w:val="16"/>
                <w:color w:val="auto"/>
              </w:rPr>
            </w:pP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740" w:type="dxa"/>
            <w:vAlign w:val="bottom"/>
            <w:shd w:val="clear" w:color="auto" w:fill="ACACAC"/>
          </w:tcPr>
          <w:p>
            <w:pPr>
              <w:spacing w:after="0"/>
              <w:rPr>
                <w:sz w:val="6"/>
                <w:szCs w:val="6"/>
                <w:color w:val="auto"/>
              </w:rPr>
            </w:pPr>
          </w:p>
        </w:tc>
        <w:tc>
          <w:tcPr>
            <w:tcW w:w="5320" w:type="dxa"/>
            <w:vAlign w:val="bottom"/>
          </w:tcPr>
          <w:p>
            <w:pPr>
              <w:spacing w:after="0"/>
              <w:rPr>
                <w:sz w:val="6"/>
                <w:szCs w:val="6"/>
                <w:color w:val="auto"/>
              </w:rPr>
            </w:pPr>
          </w:p>
        </w:tc>
        <w:tc>
          <w:tcPr>
            <w:tcW w:w="3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color w:val="BF2115"/>
        </w:rPr>
      </w:pPr>
      <w:r>
        <w:rPr>
          <w:rFonts w:ascii="Arial" w:cs="Arial" w:eastAsia="Arial" w:hAnsi="Arial"/>
          <w:sz w:val="16"/>
          <w:szCs w:val="16"/>
          <w:color w:val="BF2115"/>
        </w:rPr>
        <w:drawing>
          <wp:anchor simplePos="0" relativeHeight="251657728" behindDoc="1" locked="0" layoutInCell="0" allowOverlap="1">
            <wp:simplePos x="0" y="0"/>
            <wp:positionH relativeFrom="column">
              <wp:posOffset>5080</wp:posOffset>
            </wp:positionH>
            <wp:positionV relativeFrom="paragraph">
              <wp:posOffset>-3729990</wp:posOffset>
            </wp:positionV>
            <wp:extent cx="1741170" cy="37306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41170" cy="373062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bookmarkStart w:id="22" w:name="page23"/>
    <w:bookmarkEnd w:id="22"/>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our acquisition of Grand Design, we entered into an employment agreement with Mr. Clark in November 2016, which expired per its terms on August 31, 2019. On June 19, 2019, we entered into an amended and restated employment agreement with Mr. Clark which extended his employment term to August 31, 2023. Under both the previous and current employment agreements, Mr. Clark is paid an annual base salary of $400,000, and is eligible to receive an incentive bonus pursuant to the pre-existing Grand Design Management Incentive Plan. Payment under this plan is 100% dependent on pre-tax net income performance of the Grand Design business, a part of our Towables segment, and, beginning in Fiscal 2020, is payable 95% in cash and 5% in restricted stock units of the Company, which units are subject to a 3-year vesting schedule. In Fiscal 2021, Mr. Clark's incentive bonus will be payable 90% in cash and 10% in restricted stock units and in Fiscal 2022 payable 85% in cash and 15% in restricted stock units. Mr. Clark is not eligible to participate in any other Winnebago cash or stock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color w:val="BF2115"/>
        </w:rPr>
        <w:t>Performance-based Pay Mix</w:t>
      </w:r>
    </w:p>
    <w:p>
      <w:pPr>
        <w:spacing w:after="0" w:line="28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Consistent with the Committee’s commitment to a strong, positive link between our business objectives, our performance and our executive compensation practices, we have placed a significant emphasis on pay “at risk,” based on the achievement of established business objectives and shareholder value creation. In Fiscal 2019, 79% of our Chief Executive Officer's total target compensation and 64% of the average total target compensation of our other NEOs was performance-based pay, including annual incentive compensation and annual equity grants, with a significant emphasis on long-term performance and shareholder value creation. The following charts illustrate the components of our Chief Executive Officer’s Fiscal 2019 total target compensation, as well as the components of the average total target compensation for our other NEOs in Fiscal 2019, excluding Mr. Clark. Total target compensation includes current Fiscal 2019 annualized base salary, target annual incentive compensation, and the grant date fair value of our annual equity grants made in Fiscal 2019, as reported in the Summary Compensation Table (and excludes benefits and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5866130" cy="2426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66130"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(1) Excludes Mr.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9"/>
          <w:szCs w:val="29"/>
          <w:color w:val="BF2115"/>
        </w:rPr>
        <w:t>Determination of Compensation</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828282"/>
        </w:rPr>
        <w:t>Role of the Human Resources Committee</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Committee is responsible for reviewing and approving, on an annual basis, the corporate goals and objectives with respect to the compensation of all of our executive officers, as described in the Committee Charter. The Committee relies on its own review and the advice of its independent compensation consultant in establishing executive officer pay. The Compensation Committee seeks the input of the CEO in making executive officer pay decisions for all executives other than himself, but the Committee makes all decisions.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320"/>
        <w:spacing w:after="0" w:line="247" w:lineRule="auto"/>
        <w:rPr>
          <w:sz w:val="20"/>
          <w:szCs w:val="20"/>
          <w:color w:val="auto"/>
        </w:rPr>
      </w:pPr>
      <w:r>
        <w:rPr>
          <w:rFonts w:ascii="Arial" w:cs="Arial" w:eastAsia="Arial" w:hAnsi="Arial"/>
          <w:sz w:val="16"/>
          <w:szCs w:val="16"/>
          <w:color w:val="auto"/>
        </w:rPr>
        <w:t>In October 2018, the Committee approved annual incentive performance objectives for Fiscal 2019 and long-term incentive awards to our NEOs under our 2014 Omnibus Equity, Performance Award and Incentive Compensation Plan (the “2014 Plan”). After the completion of Fiscal 2019, the Committee (i) approved 2019 annual incentive payouts for our NEOs based on the achievement of the performance objectives established at the beginning of the year, and (ii) certified achievement of performance objectives with respect to the LTIP performance share awards granted to then-current executives in Fiscal 2017 that had a performance period running from Fiscal 2017-2019. In October 2019, the Committee approved annual incentive performance objectives for Fiscal 2020 and granted long-term incentive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ectPr>
          <w:pgSz w:w="11900" w:h="16838" w:orient="portrait"/>
          <w:cols w:equalWidth="0" w:num="2">
            <w:col w:w="5480" w:space="140"/>
            <w:col w:w="5800"/>
          </w:cols>
          <w:pgMar w:left="240" w:top="303" w:right="239" w:bottom="1440" w:gutter="0" w:footer="0" w:header="0"/>
          <w:type w:val="continuous"/>
        </w:sectPr>
      </w:pPr>
    </w:p>
    <w:bookmarkStart w:id="23" w:name="page24"/>
    <w:bookmarkEnd w:id="23"/>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awards to our executive officers under the 2019 Omnibus Incentive Plan (the "2019 Plan"), which was approved by the shareholders at the 2018 Annual Meeting, including LTIP performance share units, stock options and restricted stock units.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828282"/>
        </w:rPr>
        <w:t>Role of the Compensation Consultant</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Committee retained Semler Brossy as its independent executive compensation consultant for Fiscal 2019.</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Retained by and reporting directly to the Human Resources Committee, Semler Brossy provided the Committee with assistance in evaluating Winnebago’s executive compensation programs and policies, and, where appropriate, assisted with the revision of elements of the programs. The scope of the consultant’s support included:</w:t>
      </w:r>
    </w:p>
    <w:p>
      <w:pPr>
        <w:spacing w:after="0" w:line="176" w:lineRule="exact"/>
        <w:rPr>
          <w:sz w:val="20"/>
          <w:szCs w:val="20"/>
          <w:color w:val="auto"/>
        </w:rPr>
      </w:pPr>
    </w:p>
    <w:p>
      <w:pPr>
        <w:jc w:val="both"/>
        <w:ind w:left="340" w:hanging="332"/>
        <w:spacing w:after="0" w:line="24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Review of annual and long-term incentive designs and assistance with determination of annual and long-term incentive awards, including Fiscal 2019 payouts</w:t>
      </w:r>
    </w:p>
    <w:p>
      <w:pPr>
        <w:spacing w:after="0" w:line="1" w:lineRule="exact"/>
        <w:rPr>
          <w:rFonts w:ascii="Arial" w:cs="Arial" w:eastAsia="Arial" w:hAnsi="Arial"/>
          <w:sz w:val="16"/>
          <w:szCs w:val="16"/>
          <w:color w:val="auto"/>
        </w:rPr>
      </w:pPr>
    </w:p>
    <w:p>
      <w:pPr>
        <w:jc w:val="both"/>
        <w:ind w:left="340" w:right="20" w:hanging="332"/>
        <w:spacing w:after="0" w:line="24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Review of the total compensation program, including competitive peer group analysis and analysis of executive pay levels in relation to broader market survey data</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Review information provided to the Committee by management, and develop recommendations with respect to CEO compensation decisions and provide advice to the Committee on the compensation decisions affecting all executives, including the NEOs</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Attend and participate in Committee meetings as requested by the Committee</w:t>
      </w:r>
    </w:p>
    <w:p>
      <w:pPr>
        <w:ind w:left="340" w:hanging="332"/>
        <w:spacing w:after="0" w:line="24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Report on compensation trends and best practices, plan design, and the reasonableness of individual compensation awards</w:t>
      </w:r>
    </w:p>
    <w:p>
      <w:pPr>
        <w:ind w:left="340" w:hanging="332"/>
        <w:spacing w:after="0" w:line="260"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Meet with the Committee and/ or its members without management present</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Semler Brossy did not provide any services to us other than those detailed above. The Committee determined that no conflicts of interest exist with respect to Semler Brossy serving as an advisor to the Committee. In making this determination, the Committee considered various factors, including those set forth in the SEC’s and NYSE’s rules.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828282"/>
        </w:rPr>
        <w:t>Role of Management</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CEO and our other executive officers do not set their own compensation nor are they present when the Committee sets their specific individual compensation. Our CEO provides his evaluation of each executive officer’s performance to the Committee, and makes recommendations with respect to base salary and target incentives, incentive awards and equity awards for each executive officer other than himself. This recommendation is considered by the Committee, which makes its own ultimate determinations.</w:t>
      </w:r>
    </w:p>
    <w:p>
      <w:pPr>
        <w:spacing w:after="0" w:line="2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Human Resources Department provides additional analysis and guidance as requested by the Committee related to NEO compensation, including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addressing specific requests for information from the Committee</w:t>
      </w:r>
    </w:p>
    <w:p>
      <w:pPr>
        <w:spacing w:after="0" w:line="46" w:lineRule="exact"/>
        <w:rPr>
          <w:sz w:val="20"/>
          <w:szCs w:val="20"/>
          <w:color w:val="auto"/>
        </w:rPr>
      </w:pPr>
    </w:p>
    <w:p>
      <w:pPr>
        <w:ind w:left="320" w:hanging="318"/>
        <w:spacing w:after="0" w:line="246" w:lineRule="auto"/>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Attending Committee meetings as requested to provide information, respond to questions and otherwise assist the Committee</w:t>
      </w:r>
    </w:p>
    <w:p>
      <w:pPr>
        <w:jc w:val="both"/>
        <w:ind w:left="320" w:hanging="318"/>
        <w:spacing w:after="0" w:line="251" w:lineRule="auto"/>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Assisting the CEO in making preliminary recommendations of base salary structure, annual and LTI program design and target award levels for the NEOs and other employees eligible to receive annual incentive awards.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828282"/>
        </w:rPr>
        <w:t>Pay Positioning and Compensation Peers</w:t>
      </w:r>
    </w:p>
    <w:p>
      <w:pPr>
        <w:spacing w:after="0" w:line="2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When setting Fiscal 2019 compensation, the Committee focused on trying to set pay levels, in the aggregate, within a competitive range of the market median. Some roles may be higher or lower in the competitive range based on performance, tenure in role, or other internal considerations. Competitive market data is only one of several resources made available to the Committee to assist it in setting executive compensation levels. The Committee does not use the median as a formula to determine compensation or as a fixed target.</w:t>
      </w:r>
    </w:p>
    <w:p>
      <w:pPr>
        <w:spacing w:after="0" w:line="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Committee establishes an individual annual bonus and equity incentive target opportunity for each NEO based on the Committee’s evaluation of the executive’s experience, level and scope of responsibility and individual performance. Actual cash compensation may be more or less than the target opportunity as a result of performance under the incentive plan. Realized compensation from our equity-based awards may be more or less than the target opportunity as a result of our performance relative to the LTIP measures and our stock price performance.</w:t>
      </w:r>
    </w:p>
    <w:p>
      <w:pPr>
        <w:spacing w:after="0" w:line="8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setting compensation, the Committee compares base salaries, annual incentive opportunities and long-term compensation for the NEOs to a peer group of similarly sized companies (which we refer to collectively as our Compensation Peers). For Fiscal 2019, the Committee used the following set of companies that were determined to have similarly sized revenues and market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34734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4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Altra Industrial Motion</w:t>
            </w:r>
          </w:p>
        </w:tc>
        <w:tc>
          <w:tcPr>
            <w:tcW w:w="3220" w:type="dxa"/>
            <w:vAlign w:val="bottom"/>
            <w:tcBorders>
              <w:bottom w:val="single" w:sz="8" w:color="ABC0CB"/>
            </w:tcBorders>
          </w:tcPr>
          <w:p>
            <w:pPr>
              <w:ind w:left="540"/>
              <w:spacing w:after="0"/>
              <w:rPr>
                <w:sz w:val="20"/>
                <w:szCs w:val="20"/>
                <w:color w:val="auto"/>
              </w:rPr>
            </w:pPr>
            <w:r>
              <w:rPr>
                <w:rFonts w:ascii="Arial" w:cs="Arial" w:eastAsia="Arial" w:hAnsi="Arial"/>
                <w:sz w:val="16"/>
                <w:szCs w:val="16"/>
                <w:color w:val="auto"/>
              </w:rPr>
              <w:t>Patrick Industries</w:t>
            </w:r>
          </w:p>
        </w:tc>
      </w:tr>
      <w:tr>
        <w:trPr>
          <w:trHeight w:val="237"/>
        </w:trPr>
        <w:tc>
          <w:tcPr>
            <w:tcW w:w="224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Blue Bird</w:t>
            </w:r>
          </w:p>
        </w:tc>
        <w:tc>
          <w:tcPr>
            <w:tcW w:w="3220" w:type="dxa"/>
            <w:vAlign w:val="bottom"/>
            <w:tcBorders>
              <w:bottom w:val="single" w:sz="8" w:color="ABC0CB"/>
            </w:tcBorders>
          </w:tcPr>
          <w:p>
            <w:pPr>
              <w:ind w:left="540"/>
              <w:spacing w:after="0"/>
              <w:rPr>
                <w:sz w:val="20"/>
                <w:szCs w:val="20"/>
                <w:color w:val="auto"/>
              </w:rPr>
            </w:pPr>
            <w:r>
              <w:rPr>
                <w:rFonts w:ascii="Arial" w:cs="Arial" w:eastAsia="Arial" w:hAnsi="Arial"/>
                <w:sz w:val="16"/>
                <w:szCs w:val="16"/>
                <w:color w:val="auto"/>
              </w:rPr>
              <w:t>Polaris Industries</w:t>
            </w:r>
          </w:p>
        </w:tc>
      </w:tr>
      <w:tr>
        <w:trPr>
          <w:trHeight w:val="237"/>
        </w:trPr>
        <w:tc>
          <w:tcPr>
            <w:tcW w:w="224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Brunswick</w:t>
            </w:r>
          </w:p>
        </w:tc>
        <w:tc>
          <w:tcPr>
            <w:tcW w:w="3220" w:type="dxa"/>
            <w:vAlign w:val="bottom"/>
            <w:tcBorders>
              <w:bottom w:val="single" w:sz="8" w:color="ABC0CB"/>
            </w:tcBorders>
          </w:tcPr>
          <w:p>
            <w:pPr>
              <w:ind w:left="540"/>
              <w:spacing w:after="0"/>
              <w:rPr>
                <w:sz w:val="20"/>
                <w:szCs w:val="20"/>
                <w:color w:val="auto"/>
              </w:rPr>
            </w:pPr>
            <w:r>
              <w:rPr>
                <w:rFonts w:ascii="Arial" w:cs="Arial" w:eastAsia="Arial" w:hAnsi="Arial"/>
                <w:sz w:val="16"/>
                <w:szCs w:val="16"/>
                <w:color w:val="auto"/>
              </w:rPr>
              <w:t>REV Group</w:t>
            </w:r>
          </w:p>
        </w:tc>
      </w:tr>
      <w:tr>
        <w:trPr>
          <w:trHeight w:val="237"/>
        </w:trPr>
        <w:tc>
          <w:tcPr>
            <w:tcW w:w="224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Commercial Vehicle</w:t>
            </w:r>
          </w:p>
        </w:tc>
        <w:tc>
          <w:tcPr>
            <w:tcW w:w="3220" w:type="dxa"/>
            <w:vAlign w:val="bottom"/>
            <w:tcBorders>
              <w:bottom w:val="single" w:sz="8" w:color="ABC0CB"/>
            </w:tcBorders>
          </w:tcPr>
          <w:p>
            <w:pPr>
              <w:ind w:left="540"/>
              <w:spacing w:after="0"/>
              <w:rPr>
                <w:sz w:val="20"/>
                <w:szCs w:val="20"/>
                <w:color w:val="auto"/>
              </w:rPr>
            </w:pPr>
            <w:r>
              <w:rPr>
                <w:rFonts w:ascii="Arial" w:cs="Arial" w:eastAsia="Arial" w:hAnsi="Arial"/>
                <w:sz w:val="16"/>
                <w:szCs w:val="16"/>
                <w:color w:val="auto"/>
              </w:rPr>
              <w:t>Shiloh Industries</w:t>
            </w:r>
          </w:p>
        </w:tc>
      </w:tr>
      <w:tr>
        <w:trPr>
          <w:trHeight w:val="237"/>
        </w:trPr>
        <w:tc>
          <w:tcPr>
            <w:tcW w:w="224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Cooper-Standard</w:t>
            </w:r>
          </w:p>
        </w:tc>
        <w:tc>
          <w:tcPr>
            <w:tcW w:w="3220" w:type="dxa"/>
            <w:vAlign w:val="bottom"/>
            <w:tcBorders>
              <w:bottom w:val="single" w:sz="8" w:color="ABC0CB"/>
            </w:tcBorders>
          </w:tcPr>
          <w:p>
            <w:pPr>
              <w:ind w:left="540"/>
              <w:spacing w:after="0"/>
              <w:rPr>
                <w:sz w:val="20"/>
                <w:szCs w:val="20"/>
                <w:color w:val="auto"/>
              </w:rPr>
            </w:pPr>
            <w:r>
              <w:rPr>
                <w:rFonts w:ascii="Arial" w:cs="Arial" w:eastAsia="Arial" w:hAnsi="Arial"/>
                <w:sz w:val="16"/>
                <w:szCs w:val="16"/>
                <w:color w:val="auto"/>
              </w:rPr>
              <w:t>Spartan Motors</w:t>
            </w:r>
          </w:p>
        </w:tc>
      </w:tr>
      <w:tr>
        <w:trPr>
          <w:trHeight w:val="237"/>
        </w:trPr>
        <w:tc>
          <w:tcPr>
            <w:tcW w:w="224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Federal Signal</w:t>
            </w:r>
          </w:p>
        </w:tc>
        <w:tc>
          <w:tcPr>
            <w:tcW w:w="3220" w:type="dxa"/>
            <w:vAlign w:val="bottom"/>
            <w:tcBorders>
              <w:bottom w:val="single" w:sz="8" w:color="ABC0CB"/>
            </w:tcBorders>
          </w:tcPr>
          <w:p>
            <w:pPr>
              <w:ind w:left="540"/>
              <w:spacing w:after="0"/>
              <w:rPr>
                <w:sz w:val="20"/>
                <w:szCs w:val="20"/>
                <w:color w:val="auto"/>
              </w:rPr>
            </w:pPr>
            <w:r>
              <w:rPr>
                <w:rFonts w:ascii="Arial" w:cs="Arial" w:eastAsia="Arial" w:hAnsi="Arial"/>
                <w:sz w:val="16"/>
                <w:szCs w:val="16"/>
                <w:color w:val="auto"/>
              </w:rPr>
              <w:t>Standard Motor Products</w:t>
            </w:r>
          </w:p>
        </w:tc>
      </w:tr>
      <w:tr>
        <w:trPr>
          <w:trHeight w:val="237"/>
        </w:trPr>
        <w:tc>
          <w:tcPr>
            <w:tcW w:w="224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Gentherm Incorporated</w:t>
            </w:r>
          </w:p>
        </w:tc>
        <w:tc>
          <w:tcPr>
            <w:tcW w:w="3220" w:type="dxa"/>
            <w:vAlign w:val="bottom"/>
            <w:tcBorders>
              <w:bottom w:val="single" w:sz="8" w:color="ABC0CB"/>
            </w:tcBorders>
          </w:tcPr>
          <w:p>
            <w:pPr>
              <w:ind w:left="540"/>
              <w:spacing w:after="0"/>
              <w:rPr>
                <w:sz w:val="20"/>
                <w:szCs w:val="20"/>
                <w:color w:val="auto"/>
              </w:rPr>
            </w:pPr>
            <w:r>
              <w:rPr>
                <w:rFonts w:ascii="Arial" w:cs="Arial" w:eastAsia="Arial" w:hAnsi="Arial"/>
                <w:sz w:val="16"/>
                <w:szCs w:val="16"/>
                <w:color w:val="auto"/>
              </w:rPr>
              <w:t>Tennant Company</w:t>
            </w:r>
          </w:p>
        </w:tc>
      </w:tr>
      <w:tr>
        <w:trPr>
          <w:trHeight w:val="237"/>
        </w:trPr>
        <w:tc>
          <w:tcPr>
            <w:tcW w:w="224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Horizon Global</w:t>
            </w:r>
          </w:p>
        </w:tc>
        <w:tc>
          <w:tcPr>
            <w:tcW w:w="3220" w:type="dxa"/>
            <w:vAlign w:val="bottom"/>
            <w:tcBorders>
              <w:bottom w:val="single" w:sz="8" w:color="ABC0CB"/>
            </w:tcBorders>
          </w:tcPr>
          <w:p>
            <w:pPr>
              <w:ind w:left="540"/>
              <w:spacing w:after="0"/>
              <w:rPr>
                <w:sz w:val="20"/>
                <w:szCs w:val="20"/>
                <w:color w:val="auto"/>
              </w:rPr>
            </w:pPr>
            <w:r>
              <w:rPr>
                <w:rFonts w:ascii="Arial" w:cs="Arial" w:eastAsia="Arial" w:hAnsi="Arial"/>
                <w:sz w:val="16"/>
                <w:szCs w:val="16"/>
                <w:color w:val="auto"/>
              </w:rPr>
              <w:t>The Toro Company</w:t>
            </w:r>
          </w:p>
        </w:tc>
      </w:tr>
      <w:tr>
        <w:trPr>
          <w:trHeight w:val="237"/>
        </w:trPr>
        <w:tc>
          <w:tcPr>
            <w:tcW w:w="224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Hyster-Yale</w:t>
            </w:r>
          </w:p>
        </w:tc>
        <w:tc>
          <w:tcPr>
            <w:tcW w:w="3220" w:type="dxa"/>
            <w:vAlign w:val="bottom"/>
            <w:tcBorders>
              <w:bottom w:val="single" w:sz="8" w:color="ABC0CB"/>
            </w:tcBorders>
          </w:tcPr>
          <w:p>
            <w:pPr>
              <w:ind w:left="540"/>
              <w:spacing w:after="0"/>
              <w:rPr>
                <w:sz w:val="20"/>
                <w:szCs w:val="20"/>
                <w:color w:val="auto"/>
              </w:rPr>
            </w:pPr>
            <w:r>
              <w:rPr>
                <w:rFonts w:ascii="Arial" w:cs="Arial" w:eastAsia="Arial" w:hAnsi="Arial"/>
                <w:sz w:val="16"/>
                <w:szCs w:val="16"/>
                <w:color w:val="auto"/>
              </w:rPr>
              <w:t>Thor Industries</w:t>
            </w:r>
          </w:p>
        </w:tc>
      </w:tr>
      <w:tr>
        <w:trPr>
          <w:trHeight w:val="237"/>
        </w:trPr>
        <w:tc>
          <w:tcPr>
            <w:tcW w:w="224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LCI Industries</w:t>
            </w:r>
          </w:p>
        </w:tc>
        <w:tc>
          <w:tcPr>
            <w:tcW w:w="3220" w:type="dxa"/>
            <w:vAlign w:val="bottom"/>
            <w:tcBorders>
              <w:bottom w:val="single" w:sz="8" w:color="ABC0CB"/>
            </w:tcBorders>
          </w:tcPr>
          <w:p>
            <w:pPr>
              <w:ind w:left="540"/>
              <w:spacing w:after="0"/>
              <w:rPr>
                <w:sz w:val="20"/>
                <w:szCs w:val="20"/>
                <w:color w:val="auto"/>
              </w:rPr>
            </w:pPr>
            <w:r>
              <w:rPr>
                <w:rFonts w:ascii="Arial" w:cs="Arial" w:eastAsia="Arial" w:hAnsi="Arial"/>
                <w:sz w:val="16"/>
                <w:szCs w:val="16"/>
                <w:color w:val="auto"/>
              </w:rPr>
              <w:t>Wabash National</w:t>
            </w:r>
          </w:p>
        </w:tc>
      </w:tr>
    </w:tbl>
    <w:p>
      <w:pPr>
        <w:spacing w:after="0" w:line="837" w:lineRule="exact"/>
        <w:rPr>
          <w:sz w:val="20"/>
          <w:szCs w:val="20"/>
          <w:color w:val="auto"/>
        </w:rPr>
      </w:pPr>
    </w:p>
    <w:p>
      <w:pPr>
        <w:sectPr>
          <w:pgSz w:w="11900" w:h="16838" w:orient="portrait"/>
          <w:cols w:equalWidth="0" w:num="2">
            <w:col w:w="5480" w:space="460"/>
            <w:col w:w="5480"/>
          </w:cols>
          <w:pgMar w:left="240" w:top="303" w:right="239" w:bottom="1440" w:gutter="0" w:footer="0" w:header="0"/>
          <w:type w:val="continuous"/>
        </w:sectPr>
      </w:pPr>
    </w:p>
    <w:p>
      <w:pPr>
        <w:spacing w:after="0" w:line="82" w:lineRule="exact"/>
        <w:rPr>
          <w:sz w:val="20"/>
          <w:szCs w:val="20"/>
          <w:color w:val="auto"/>
        </w:rPr>
      </w:pPr>
    </w:p>
    <w:p>
      <w:pPr>
        <w:jc w:val="both"/>
        <w:ind w:left="340" w:right="5940" w:hanging="332"/>
        <w:spacing w:after="0" w:line="253"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Developing, summarizing and presenting information and analyses to enable the Human Resources Committee to execute its responsibilities, as well as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03" w:right="239" w:bottom="1440" w:gutter="0" w:footer="0" w:header="0"/>
          <w:type w:val="continuous"/>
        </w:sectPr>
      </w:pPr>
    </w:p>
    <w:bookmarkStart w:id="24" w:name="page25"/>
    <w:bookmarkEnd w:id="24"/>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Based on a review conducted by Semler Brossy, the Committee made the following changes to the peer group for setting compensation levels for Fiscal 2020 with the intent to better reflect our current business 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34734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80" w:type="dxa"/>
            <w:vAlign w:val="bottom"/>
            <w:tcBorders>
              <w:bottom w:val="single" w:sz="8" w:color="ABC0CB"/>
            </w:tcBorders>
          </w:tcPr>
          <w:p>
            <w:pPr>
              <w:ind w:left="40"/>
              <w:spacing w:after="0"/>
              <w:rPr>
                <w:sz w:val="20"/>
                <w:szCs w:val="20"/>
                <w:color w:val="auto"/>
              </w:rPr>
            </w:pPr>
            <w:r>
              <w:rPr>
                <w:rFonts w:ascii="Arial" w:cs="Arial" w:eastAsia="Arial" w:hAnsi="Arial"/>
                <w:sz w:val="16"/>
                <w:szCs w:val="16"/>
                <w:b w:val="1"/>
                <w:bCs w:val="1"/>
                <w:color w:val="auto"/>
              </w:rPr>
              <w:t>Removed (1 company)</w:t>
            </w:r>
          </w:p>
        </w:tc>
        <w:tc>
          <w:tcPr>
            <w:tcW w:w="3200" w:type="dxa"/>
            <w:vAlign w:val="bottom"/>
            <w:tcBorders>
              <w:bottom w:val="single" w:sz="8" w:color="ABC0CB"/>
            </w:tcBorders>
          </w:tcPr>
          <w:p>
            <w:pPr>
              <w:ind w:left="500"/>
              <w:spacing w:after="0"/>
              <w:rPr>
                <w:sz w:val="20"/>
                <w:szCs w:val="20"/>
                <w:color w:val="auto"/>
              </w:rPr>
            </w:pPr>
            <w:r>
              <w:rPr>
                <w:rFonts w:ascii="Arial" w:cs="Arial" w:eastAsia="Arial" w:hAnsi="Arial"/>
                <w:sz w:val="16"/>
                <w:szCs w:val="16"/>
                <w:b w:val="1"/>
                <w:bCs w:val="1"/>
                <w:color w:val="auto"/>
              </w:rPr>
              <w:t>Added (2 companies)</w:t>
            </w:r>
          </w:p>
        </w:tc>
      </w:tr>
      <w:tr>
        <w:trPr>
          <w:trHeight w:val="237"/>
        </w:trPr>
        <w:tc>
          <w:tcPr>
            <w:tcW w:w="2280" w:type="dxa"/>
            <w:vAlign w:val="bottom"/>
            <w:tcBorders>
              <w:bottom w:val="single" w:sz="8" w:color="ABC0CB"/>
            </w:tcBorders>
          </w:tcPr>
          <w:p>
            <w:pPr>
              <w:ind w:left="40"/>
              <w:spacing w:after="0"/>
              <w:rPr>
                <w:sz w:val="20"/>
                <w:szCs w:val="20"/>
                <w:color w:val="auto"/>
              </w:rPr>
            </w:pPr>
            <w:r>
              <w:rPr>
                <w:rFonts w:ascii="Arial" w:cs="Arial" w:eastAsia="Arial" w:hAnsi="Arial"/>
                <w:sz w:val="16"/>
                <w:szCs w:val="16"/>
                <w:color w:val="auto"/>
              </w:rPr>
              <w:t>Horizon Global</w:t>
            </w:r>
          </w:p>
        </w:tc>
        <w:tc>
          <w:tcPr>
            <w:tcW w:w="3200" w:type="dxa"/>
            <w:vAlign w:val="bottom"/>
            <w:tcBorders>
              <w:bottom w:val="single" w:sz="8" w:color="ABC0CB"/>
            </w:tcBorders>
          </w:tcPr>
          <w:p>
            <w:pPr>
              <w:ind w:left="500"/>
              <w:spacing w:after="0"/>
              <w:rPr>
                <w:sz w:val="20"/>
                <w:szCs w:val="20"/>
                <w:color w:val="auto"/>
              </w:rPr>
            </w:pPr>
            <w:r>
              <w:rPr>
                <w:rFonts w:ascii="Arial" w:cs="Arial" w:eastAsia="Arial" w:hAnsi="Arial"/>
                <w:sz w:val="16"/>
                <w:szCs w:val="16"/>
                <w:color w:val="auto"/>
              </w:rPr>
              <w:t>Harley-Davidson</w:t>
            </w:r>
          </w:p>
        </w:tc>
      </w:tr>
      <w:tr>
        <w:trPr>
          <w:trHeight w:val="264"/>
        </w:trPr>
        <w:tc>
          <w:tcPr>
            <w:tcW w:w="2280" w:type="dxa"/>
            <w:vAlign w:val="bottom"/>
            <w:tcBorders>
              <w:bottom w:val="single" w:sz="8" w:color="ABC0CB"/>
            </w:tcBorders>
          </w:tcPr>
          <w:p>
            <w:pPr>
              <w:spacing w:after="0"/>
              <w:rPr>
                <w:sz w:val="22"/>
                <w:szCs w:val="22"/>
                <w:color w:val="auto"/>
              </w:rPr>
            </w:pPr>
          </w:p>
        </w:tc>
        <w:tc>
          <w:tcPr>
            <w:tcW w:w="3200" w:type="dxa"/>
            <w:vAlign w:val="bottom"/>
            <w:tcBorders>
              <w:bottom w:val="single" w:sz="8" w:color="ABC0CB"/>
            </w:tcBorders>
          </w:tcPr>
          <w:p>
            <w:pPr>
              <w:ind w:left="500"/>
              <w:spacing w:after="0"/>
              <w:rPr>
                <w:sz w:val="20"/>
                <w:szCs w:val="20"/>
                <w:color w:val="auto"/>
              </w:rPr>
            </w:pPr>
            <w:r>
              <w:rPr>
                <w:rFonts w:ascii="Arial" w:cs="Arial" w:eastAsia="Arial" w:hAnsi="Arial"/>
                <w:sz w:val="16"/>
                <w:szCs w:val="16"/>
                <w:color w:val="auto"/>
              </w:rPr>
              <w:t>Malibu Boats</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9"/>
          <w:szCs w:val="29"/>
          <w:color w:val="BF2115"/>
        </w:rPr>
        <w:t>Fiscal 2019 NEO Compensation Decisions</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828282"/>
        </w:rPr>
        <w:t>Base Salary</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provide NEOs and other employees with base salary to compensate them for services rendered during the fiscal year. Base salary ranges for NEOs are determined for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executive based on his or her position and responsibilities. The base salaries of our executives are also determined by considering such factors as:</w:t>
      </w:r>
    </w:p>
    <w:p>
      <w:pPr>
        <w:spacing w:after="0" w:line="361" w:lineRule="exact"/>
        <w:rPr>
          <w:sz w:val="20"/>
          <w:szCs w:val="20"/>
          <w:color w:val="auto"/>
        </w:rPr>
      </w:pPr>
    </w:p>
    <w:p>
      <w:pPr>
        <w:ind w:left="660" w:hanging="334"/>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Experience of the executive</w:t>
      </w:r>
    </w:p>
    <w:p>
      <w:pPr>
        <w:spacing w:after="0" w:line="5" w:lineRule="exact"/>
        <w:rPr>
          <w:rFonts w:ascii="Arial" w:cs="Arial" w:eastAsia="Arial" w:hAnsi="Arial"/>
          <w:sz w:val="16"/>
          <w:szCs w:val="16"/>
          <w:color w:val="auto"/>
        </w:rPr>
      </w:pPr>
    </w:p>
    <w:p>
      <w:pPr>
        <w:ind w:left="660" w:hanging="334"/>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Time in position</w:t>
      </w:r>
    </w:p>
    <w:p>
      <w:pPr>
        <w:spacing w:after="0" w:line="5" w:lineRule="exact"/>
        <w:rPr>
          <w:rFonts w:ascii="Arial" w:cs="Arial" w:eastAsia="Arial" w:hAnsi="Arial"/>
          <w:sz w:val="16"/>
          <w:szCs w:val="16"/>
          <w:color w:val="auto"/>
        </w:rPr>
      </w:pPr>
    </w:p>
    <w:p>
      <w:pPr>
        <w:ind w:left="660" w:hanging="334"/>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Individual performance</w:t>
      </w:r>
    </w:p>
    <w:p>
      <w:pPr>
        <w:spacing w:after="0" w:line="5" w:lineRule="exact"/>
        <w:rPr>
          <w:rFonts w:ascii="Arial" w:cs="Arial" w:eastAsia="Arial" w:hAnsi="Arial"/>
          <w:sz w:val="16"/>
          <w:szCs w:val="16"/>
          <w:color w:val="auto"/>
        </w:rPr>
      </w:pPr>
    </w:p>
    <w:p>
      <w:pPr>
        <w:ind w:left="660" w:hanging="334"/>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Level of responsibility for the executive</w:t>
      </w:r>
    </w:p>
    <w:p>
      <w:pPr>
        <w:spacing w:after="0" w:line="5" w:lineRule="exact"/>
        <w:rPr>
          <w:rFonts w:ascii="Arial" w:cs="Arial" w:eastAsia="Arial" w:hAnsi="Arial"/>
          <w:sz w:val="16"/>
          <w:szCs w:val="16"/>
          <w:color w:val="auto"/>
        </w:rPr>
      </w:pPr>
    </w:p>
    <w:p>
      <w:pPr>
        <w:ind w:left="660" w:right="20" w:hanging="334"/>
        <w:spacing w:after="0" w:line="24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Economic conditions, Company performance, financial condition and strategic goals</w:t>
      </w:r>
    </w:p>
    <w:p>
      <w:pPr>
        <w:ind w:left="660" w:right="20" w:hanging="334"/>
        <w:spacing w:after="0" w:line="260"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Competitive market data provided by the Committee’s independent compensation consultant</w:t>
      </w:r>
    </w:p>
    <w:p>
      <w:pPr>
        <w:spacing w:after="0" w:line="169"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In general, base salary determinations are considered each year as part of the Committee's review process as well as upon a promotion or other change in job responsibility. Base salary is also used as the basis for calculating annual and long-term incentive awards and in calculating payments that may be paid upon a change in control, as described below.</w:t>
      </w:r>
    </w:p>
    <w:p>
      <w:pPr>
        <w:spacing w:after="0" w:line="297" w:lineRule="exact"/>
        <w:rPr>
          <w:sz w:val="20"/>
          <w:szCs w:val="20"/>
          <w:color w:val="auto"/>
        </w:rPr>
      </w:pPr>
    </w:p>
    <w:p>
      <w:pPr>
        <w:sectPr>
          <w:pgSz w:w="11900" w:h="16838" w:orient="portrait"/>
          <w:cols w:equalWidth="0" w:num="2">
            <w:col w:w="5480" w:space="460"/>
            <w:col w:w="5480"/>
          </w:cols>
          <w:pgMar w:left="240" w:top="303" w:right="239" w:bottom="1440" w:gutter="0" w:footer="0" w:header="0"/>
          <w:type w:val="continuous"/>
        </w:sectPr>
      </w:pPr>
    </w:p>
    <w:p>
      <w:pPr>
        <w:ind w:right="380"/>
        <w:spacing w:after="0" w:line="260" w:lineRule="auto"/>
        <w:rPr>
          <w:sz w:val="20"/>
          <w:szCs w:val="20"/>
          <w:color w:val="auto"/>
        </w:rPr>
      </w:pPr>
      <w:r>
        <w:rPr>
          <w:rFonts w:ascii="Arial" w:cs="Arial" w:eastAsia="Arial" w:hAnsi="Arial"/>
          <w:sz w:val="16"/>
          <w:szCs w:val="16"/>
          <w:color w:val="auto"/>
        </w:rPr>
        <w:t>In October 2018, as a result of a review of performance, consideration of the above referenced factors, and with input from the independent compensation consultant and our CEO, the Committee recommended and approved the following increases for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6205220</wp:posOffset>
            </wp:positionH>
            <wp:positionV relativeFrom="paragraph">
              <wp:posOffset>71755</wp:posOffset>
            </wp:positionV>
            <wp:extent cx="889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5430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71755</wp:posOffset>
            </wp:positionV>
            <wp:extent cx="889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5430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71755</wp:posOffset>
            </wp:positionV>
            <wp:extent cx="889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15430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60" w:type="dxa"/>
            <w:vAlign w:val="bottom"/>
            <w:tcBorders>
              <w:bottom w:val="single" w:sz="8" w:color="BF2115"/>
            </w:tcBorders>
            <w:shd w:val="clear" w:color="auto" w:fill="BF2115"/>
          </w:tcPr>
          <w:p>
            <w:pPr>
              <w:ind w:left="40"/>
              <w:spacing w:after="0"/>
              <w:rPr>
                <w:sz w:val="20"/>
                <w:szCs w:val="20"/>
                <w:color w:val="auto"/>
              </w:rPr>
            </w:pPr>
            <w:r>
              <w:rPr>
                <w:rFonts w:ascii="Arial" w:cs="Arial" w:eastAsia="Arial" w:hAnsi="Arial"/>
                <w:sz w:val="16"/>
                <w:szCs w:val="16"/>
                <w:color w:val="FFFFFF"/>
              </w:rPr>
              <w:t>Name</w:t>
            </w:r>
          </w:p>
        </w:tc>
        <w:tc>
          <w:tcPr>
            <w:tcW w:w="2760" w:type="dxa"/>
            <w:vAlign w:val="bottom"/>
            <w:tcBorders>
              <w:bottom w:val="single" w:sz="8" w:color="BF2115"/>
            </w:tcBorders>
            <w:shd w:val="clear" w:color="auto" w:fill="BF2115"/>
          </w:tcPr>
          <w:p>
            <w:pPr>
              <w:spacing w:after="0"/>
              <w:rPr>
                <w:sz w:val="19"/>
                <w:szCs w:val="19"/>
                <w:color w:val="auto"/>
              </w:rPr>
            </w:pPr>
          </w:p>
        </w:tc>
        <w:tc>
          <w:tcPr>
            <w:tcW w:w="1420" w:type="dxa"/>
            <w:vAlign w:val="bottom"/>
            <w:tcBorders>
              <w:bottom w:val="single" w:sz="8" w:color="BF2115"/>
            </w:tcBorders>
            <w:shd w:val="clear" w:color="auto" w:fill="BF2115"/>
          </w:tcPr>
          <w:p>
            <w:pPr>
              <w:jc w:val="right"/>
              <w:spacing w:after="0"/>
              <w:rPr>
                <w:sz w:val="20"/>
                <w:szCs w:val="20"/>
                <w:color w:val="auto"/>
              </w:rPr>
            </w:pPr>
            <w:r>
              <w:rPr>
                <w:rFonts w:ascii="Arial" w:cs="Arial" w:eastAsia="Arial" w:hAnsi="Arial"/>
                <w:sz w:val="16"/>
                <w:szCs w:val="16"/>
                <w:color w:val="FFFFFF"/>
                <w:shd w:val="clear" w:color="auto" w:fill="BF2115"/>
              </w:rPr>
              <w:t>Fiscal 2019 Salary</w:t>
            </w:r>
          </w:p>
        </w:tc>
        <w:tc>
          <w:tcPr>
            <w:tcW w:w="180" w:type="dxa"/>
            <w:vAlign w:val="bottom"/>
            <w:tcBorders>
              <w:bottom w:val="single" w:sz="8" w:color="BF2115"/>
            </w:tcBorders>
            <w:shd w:val="clear" w:color="auto" w:fill="BF2115"/>
          </w:tcPr>
          <w:p>
            <w:pPr>
              <w:spacing w:after="0"/>
              <w:rPr>
                <w:sz w:val="19"/>
                <w:szCs w:val="19"/>
                <w:color w:val="auto"/>
              </w:rPr>
            </w:pPr>
          </w:p>
        </w:tc>
        <w:tc>
          <w:tcPr>
            <w:tcW w:w="1620" w:type="dxa"/>
            <w:vAlign w:val="bottom"/>
            <w:tcBorders>
              <w:bottom w:val="single" w:sz="8" w:color="BF2115"/>
            </w:tcBorders>
            <w:shd w:val="clear" w:color="auto" w:fill="BF2115"/>
          </w:tcPr>
          <w:p>
            <w:pPr>
              <w:jc w:val="right"/>
              <w:ind w:right="219"/>
              <w:spacing w:after="0"/>
              <w:rPr>
                <w:sz w:val="20"/>
                <w:szCs w:val="20"/>
                <w:color w:val="auto"/>
              </w:rPr>
            </w:pPr>
            <w:r>
              <w:rPr>
                <w:rFonts w:ascii="Arial" w:cs="Arial" w:eastAsia="Arial" w:hAnsi="Arial"/>
                <w:sz w:val="16"/>
                <w:szCs w:val="16"/>
                <w:color w:val="FFFFFF"/>
                <w:w w:val="98"/>
                <w:shd w:val="clear" w:color="auto" w:fill="BF2115"/>
              </w:rPr>
              <w:t>Fiscal 2018 Salary</w:t>
            </w:r>
          </w:p>
        </w:tc>
        <w:tc>
          <w:tcPr>
            <w:tcW w:w="1480" w:type="dxa"/>
            <w:vAlign w:val="bottom"/>
            <w:tcBorders>
              <w:bottom w:val="single" w:sz="8" w:color="BF2115"/>
            </w:tcBorders>
            <w:shd w:val="clear" w:color="auto" w:fill="BF2115"/>
          </w:tcPr>
          <w:p>
            <w:pPr>
              <w:jc w:val="right"/>
              <w:ind w:right="339"/>
              <w:spacing w:after="0"/>
              <w:rPr>
                <w:sz w:val="20"/>
                <w:szCs w:val="20"/>
                <w:color w:val="auto"/>
              </w:rPr>
            </w:pPr>
            <w:r>
              <w:rPr>
                <w:rFonts w:ascii="Arial" w:cs="Arial" w:eastAsia="Arial" w:hAnsi="Arial"/>
                <w:sz w:val="16"/>
                <w:szCs w:val="16"/>
                <w:color w:val="FFFFFF"/>
              </w:rPr>
              <w:t>% Increase</w:t>
            </w:r>
          </w:p>
        </w:tc>
      </w:tr>
      <w:tr>
        <w:trPr>
          <w:trHeight w:val="243"/>
        </w:trPr>
        <w:tc>
          <w:tcPr>
            <w:tcW w:w="3960" w:type="dxa"/>
            <w:vAlign w:val="bottom"/>
            <w:shd w:val="clear" w:color="auto" w:fill="ACACAC"/>
          </w:tcPr>
          <w:p>
            <w:pPr>
              <w:ind w:left="40"/>
              <w:spacing w:after="0"/>
              <w:rPr>
                <w:sz w:val="20"/>
                <w:szCs w:val="20"/>
                <w:color w:val="auto"/>
              </w:rPr>
            </w:pPr>
            <w:r>
              <w:rPr>
                <w:rFonts w:ascii="Arial" w:cs="Arial" w:eastAsia="Arial" w:hAnsi="Arial"/>
                <w:sz w:val="16"/>
                <w:szCs w:val="16"/>
                <w:color w:val="auto"/>
              </w:rPr>
              <w:t>Michael J. Happe</w:t>
            </w:r>
          </w:p>
        </w:tc>
        <w:tc>
          <w:tcPr>
            <w:tcW w:w="2760" w:type="dxa"/>
            <w:vAlign w:val="bottom"/>
            <w:shd w:val="clear" w:color="auto" w:fill="ACACA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700,000</w:t>
            </w:r>
          </w:p>
        </w:tc>
        <w:tc>
          <w:tcPr>
            <w:tcW w:w="1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ACACAC"/>
          </w:tcPr>
          <w:p>
            <w:pPr>
              <w:jc w:val="right"/>
              <w:ind w:right="199"/>
              <w:spacing w:after="0"/>
              <w:rPr>
                <w:sz w:val="20"/>
                <w:szCs w:val="20"/>
                <w:color w:val="auto"/>
              </w:rPr>
            </w:pPr>
            <w:r>
              <w:rPr>
                <w:rFonts w:ascii="Arial" w:cs="Arial" w:eastAsia="Arial" w:hAnsi="Arial"/>
                <w:sz w:val="16"/>
                <w:szCs w:val="16"/>
                <w:color w:val="auto"/>
              </w:rPr>
              <w:t>675,000</w:t>
            </w:r>
          </w:p>
        </w:tc>
        <w:tc>
          <w:tcPr>
            <w:tcW w:w="14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3.7%</w:t>
            </w:r>
          </w:p>
        </w:tc>
      </w:tr>
      <w:tr>
        <w:trPr>
          <w:trHeight w:val="233"/>
        </w:trPr>
        <w:tc>
          <w:tcPr>
            <w:tcW w:w="3960" w:type="dxa"/>
            <w:vAlign w:val="bottom"/>
          </w:tcPr>
          <w:p>
            <w:pPr>
              <w:ind w:left="40"/>
              <w:spacing w:after="0"/>
              <w:rPr>
                <w:sz w:val="20"/>
                <w:szCs w:val="20"/>
                <w:color w:val="auto"/>
              </w:rPr>
            </w:pPr>
            <w:r>
              <w:rPr>
                <w:rFonts w:ascii="Arial" w:cs="Arial" w:eastAsia="Arial" w:hAnsi="Arial"/>
                <w:sz w:val="16"/>
                <w:szCs w:val="16"/>
                <w:color w:val="auto"/>
              </w:rPr>
              <w:t>Bryan L. Hughes</w:t>
            </w:r>
          </w:p>
        </w:tc>
        <w:tc>
          <w:tcPr>
            <w:tcW w:w="27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490,000</w:t>
            </w:r>
          </w:p>
        </w:tc>
        <w:tc>
          <w:tcPr>
            <w:tcW w:w="180" w:type="dxa"/>
            <w:vAlign w:val="bottom"/>
          </w:tcPr>
          <w:p>
            <w:pPr>
              <w:spacing w:after="0"/>
              <w:rPr>
                <w:sz w:val="20"/>
                <w:szCs w:val="20"/>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461,250</w:t>
            </w:r>
          </w:p>
        </w:tc>
        <w:tc>
          <w:tcPr>
            <w:tcW w:w="14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53"/>
        </w:trPr>
        <w:tc>
          <w:tcPr>
            <w:tcW w:w="3960" w:type="dxa"/>
            <w:vAlign w:val="bottom"/>
            <w:shd w:val="clear" w:color="auto" w:fill="ACACAC"/>
          </w:tcPr>
          <w:p>
            <w:pPr>
              <w:ind w:left="40"/>
              <w:spacing w:after="0"/>
              <w:rPr>
                <w:sz w:val="20"/>
                <w:szCs w:val="20"/>
                <w:color w:val="auto"/>
              </w:rPr>
            </w:pPr>
            <w:r>
              <w:rPr>
                <w:rFonts w:ascii="Arial" w:cs="Arial" w:eastAsia="Arial" w:hAnsi="Arial"/>
                <w:sz w:val="16"/>
                <w:szCs w:val="16"/>
                <w:color w:val="auto"/>
              </w:rPr>
              <w:t>Stacy L. Bogart</w:t>
            </w:r>
          </w:p>
        </w:tc>
        <w:tc>
          <w:tcPr>
            <w:tcW w:w="2760" w:type="dxa"/>
            <w:vAlign w:val="bottom"/>
            <w:shd w:val="clear" w:color="auto" w:fill="ACACAC"/>
          </w:tcPr>
          <w:p>
            <w:pPr>
              <w:spacing w:after="0"/>
              <w:rPr>
                <w:sz w:val="21"/>
                <w:szCs w:val="21"/>
                <w:color w:val="auto"/>
              </w:rPr>
            </w:pPr>
          </w:p>
        </w:tc>
        <w:tc>
          <w:tcPr>
            <w:tcW w:w="14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427,499</w:t>
            </w:r>
          </w:p>
        </w:tc>
        <w:tc>
          <w:tcPr>
            <w:tcW w:w="180" w:type="dxa"/>
            <w:vAlign w:val="bottom"/>
            <w:shd w:val="clear" w:color="auto" w:fill="ACACAC"/>
          </w:tcPr>
          <w:p>
            <w:pPr>
              <w:spacing w:after="0"/>
              <w:rPr>
                <w:sz w:val="21"/>
                <w:szCs w:val="21"/>
                <w:color w:val="auto"/>
              </w:rPr>
            </w:pPr>
          </w:p>
        </w:tc>
        <w:tc>
          <w:tcPr>
            <w:tcW w:w="1620" w:type="dxa"/>
            <w:vAlign w:val="bottom"/>
            <w:shd w:val="clear" w:color="auto" w:fill="ACACAC"/>
          </w:tcPr>
          <w:p>
            <w:pPr>
              <w:jc w:val="right"/>
              <w:ind w:right="199"/>
              <w:spacing w:after="0"/>
              <w:rPr>
                <w:sz w:val="20"/>
                <w:szCs w:val="20"/>
                <w:color w:val="auto"/>
              </w:rPr>
            </w:pPr>
            <w:r>
              <w:rPr>
                <w:rFonts w:ascii="Arial" w:cs="Arial" w:eastAsia="Arial" w:hAnsi="Arial"/>
                <w:sz w:val="16"/>
                <w:szCs w:val="16"/>
                <w:color w:val="auto"/>
              </w:rPr>
              <w:t>415,000</w:t>
            </w:r>
          </w:p>
        </w:tc>
        <w:tc>
          <w:tcPr>
            <w:tcW w:w="14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3.0%</w:t>
            </w:r>
          </w:p>
        </w:tc>
      </w:tr>
      <w:tr>
        <w:trPr>
          <w:trHeight w:val="233"/>
        </w:trPr>
        <w:tc>
          <w:tcPr>
            <w:tcW w:w="3960" w:type="dxa"/>
            <w:vAlign w:val="bottom"/>
          </w:tcPr>
          <w:p>
            <w:pPr>
              <w:ind w:left="40"/>
              <w:spacing w:after="0"/>
              <w:rPr>
                <w:sz w:val="20"/>
                <w:szCs w:val="20"/>
                <w:color w:val="auto"/>
              </w:rPr>
            </w:pPr>
            <w:r>
              <w:rPr>
                <w:rFonts w:ascii="Arial" w:cs="Arial" w:eastAsia="Arial" w:hAnsi="Arial"/>
                <w:sz w:val="16"/>
                <w:szCs w:val="16"/>
                <w:color w:val="auto"/>
              </w:rPr>
              <w:t>Donald J. Clark</w:t>
            </w:r>
          </w:p>
        </w:tc>
        <w:tc>
          <w:tcPr>
            <w:tcW w:w="27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400,000</w:t>
            </w:r>
          </w:p>
        </w:tc>
        <w:tc>
          <w:tcPr>
            <w:tcW w:w="180" w:type="dxa"/>
            <w:vAlign w:val="bottom"/>
          </w:tcPr>
          <w:p>
            <w:pPr>
              <w:spacing w:after="0"/>
              <w:rPr>
                <w:sz w:val="20"/>
                <w:szCs w:val="20"/>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400,000</w:t>
            </w:r>
          </w:p>
        </w:tc>
        <w:tc>
          <w:tcPr>
            <w:tcW w:w="148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53"/>
        </w:trPr>
        <w:tc>
          <w:tcPr>
            <w:tcW w:w="3960" w:type="dxa"/>
            <w:vAlign w:val="bottom"/>
            <w:shd w:val="clear" w:color="auto" w:fill="ACACAC"/>
          </w:tcPr>
          <w:p>
            <w:pPr>
              <w:ind w:left="40"/>
              <w:spacing w:after="0"/>
              <w:rPr>
                <w:sz w:val="20"/>
                <w:szCs w:val="20"/>
                <w:color w:val="auto"/>
              </w:rPr>
            </w:pPr>
            <w:r>
              <w:rPr>
                <w:rFonts w:ascii="Arial" w:cs="Arial" w:eastAsia="Arial" w:hAnsi="Arial"/>
                <w:sz w:val="16"/>
                <w:szCs w:val="16"/>
                <w:color w:val="auto"/>
              </w:rPr>
              <w:t>Brian D. Hazelton</w:t>
            </w:r>
          </w:p>
        </w:tc>
        <w:tc>
          <w:tcPr>
            <w:tcW w:w="2760" w:type="dxa"/>
            <w:vAlign w:val="bottom"/>
            <w:shd w:val="clear" w:color="auto" w:fill="ACACAC"/>
          </w:tcPr>
          <w:p>
            <w:pPr>
              <w:spacing w:after="0"/>
              <w:rPr>
                <w:sz w:val="21"/>
                <w:szCs w:val="21"/>
                <w:color w:val="auto"/>
              </w:rPr>
            </w:pPr>
          </w:p>
        </w:tc>
        <w:tc>
          <w:tcPr>
            <w:tcW w:w="14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477,400</w:t>
            </w:r>
          </w:p>
        </w:tc>
        <w:tc>
          <w:tcPr>
            <w:tcW w:w="180" w:type="dxa"/>
            <w:vAlign w:val="bottom"/>
            <w:shd w:val="clear" w:color="auto" w:fill="ACACAC"/>
          </w:tcPr>
          <w:p>
            <w:pPr>
              <w:spacing w:after="0"/>
              <w:rPr>
                <w:sz w:val="21"/>
                <w:szCs w:val="21"/>
                <w:color w:val="auto"/>
              </w:rPr>
            </w:pPr>
          </w:p>
        </w:tc>
        <w:tc>
          <w:tcPr>
            <w:tcW w:w="1620" w:type="dxa"/>
            <w:vAlign w:val="bottom"/>
            <w:shd w:val="clear" w:color="auto" w:fill="ACACAC"/>
          </w:tcPr>
          <w:p>
            <w:pPr>
              <w:jc w:val="right"/>
              <w:ind w:right="199"/>
              <w:spacing w:after="0"/>
              <w:rPr>
                <w:sz w:val="20"/>
                <w:szCs w:val="20"/>
                <w:color w:val="auto"/>
              </w:rPr>
            </w:pPr>
            <w:r>
              <w:rPr>
                <w:rFonts w:ascii="Arial" w:cs="Arial" w:eastAsia="Arial" w:hAnsi="Arial"/>
                <w:sz w:val="16"/>
                <w:szCs w:val="16"/>
                <w:color w:val="auto"/>
              </w:rPr>
              <w:t>477,400</w:t>
            </w:r>
          </w:p>
        </w:tc>
        <w:tc>
          <w:tcPr>
            <w:tcW w:w="14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0.0%</w:t>
            </w:r>
          </w:p>
        </w:tc>
      </w:tr>
      <w:tr>
        <w:trPr>
          <w:trHeight w:val="304"/>
        </w:trPr>
        <w:tc>
          <w:tcPr>
            <w:tcW w:w="39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type w:val="continuous"/>
        </w:sectPr>
      </w:pPr>
    </w:p>
    <w:p>
      <w:pPr>
        <w:spacing w:after="0" w:line="331"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828282"/>
        </w:rPr>
        <w:t>Annual Incentive Plan - Officers' Incentive Compensation Plan (OICP)</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OICP is designed to motivate and reward the successful completion of our annual performance goals as set by the Committee. The amount of the participants' incentive compensation earned for a given fiscal year is calculated under the OICP to be in direct proportion to our financial performance expressed as a percentage (Financial Factor) against compensation targets for each participant as determined by the Committee. OICP awards are earned to the extent we meet or exceed annual financial targets as well</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as business unit and individual performance goals.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Each NEO, except for Mr. Clark, is eligible for a target award, denominated as a percentage of base salary paid during the fiscal year. NEOs may earn from 0% of the target award under the OICP up to a maximum of 200% of the target award. In setting the target award percentages for the NEOs, the Committee considers competitive data in the compensation peer studies, individual performance evaluations, and internal equity factors.</w:t>
      </w:r>
    </w:p>
    <w:p>
      <w:pPr>
        <w:spacing w:after="0" w:line="994" w:lineRule="exact"/>
        <w:rPr>
          <w:sz w:val="20"/>
          <w:szCs w:val="20"/>
          <w:color w:val="auto"/>
        </w:rPr>
      </w:pPr>
    </w:p>
    <w:p>
      <w:pPr>
        <w:sectPr>
          <w:pgSz w:w="11900" w:h="16838" w:orient="portrait"/>
          <w:cols w:equalWidth="0" w:num="2">
            <w:col w:w="5480" w:space="460"/>
            <w:col w:w="5480"/>
          </w:cols>
          <w:pgMar w:left="240" w:top="303"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303" w:right="239" w:bottom="1440" w:gutter="0" w:footer="0" w:header="0"/>
          <w:type w:val="continuous"/>
        </w:sectPr>
      </w:pPr>
    </w:p>
    <w:bookmarkStart w:id="25" w:name="page26"/>
    <w:bookmarkEnd w:id="25"/>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303" w:right="21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828282"/>
        </w:rPr>
        <w:t>Fiscal 2019 OICP</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Net sales growth, operating income, net working capital, and individual objectives related to each NEO's particular responsibilities were chosen by the Committee as the performance measurements under the OICP for Fiscal 2019. The Committee selected these as key performance metrics because they are closely aligned with the business strategy. These metrics are described further below.</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Financial Performance Metrics (90% of OICP for Ms. Bogart and Messrs. Happe, Hughes and Hazelton)</w:t>
      </w:r>
    </w:p>
    <w:p>
      <w:pPr>
        <w:spacing w:after="0" w:line="1" w:lineRule="exact"/>
        <w:rPr>
          <w:sz w:val="20"/>
          <w:szCs w:val="20"/>
          <w:color w:val="auto"/>
        </w:rPr>
      </w:pPr>
    </w:p>
    <w:p>
      <w:pPr>
        <w:ind w:left="660" w:hanging="328"/>
        <w:spacing w:after="0" w:line="246"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Net Sales Growth (50%) - focuses on overall enterprise and business unit growth and also drives customer focus</w:t>
      </w:r>
    </w:p>
    <w:p>
      <w:pPr>
        <w:ind w:left="660" w:hanging="328"/>
        <w:spacing w:after="0" w:line="246"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Operating Income (40%) - reinforces the importance of profitable growth across the enterprise</w:t>
      </w:r>
    </w:p>
    <w:p>
      <w:pPr>
        <w:ind w:left="660" w:right="20" w:hanging="328"/>
        <w:spacing w:after="0" w:line="260"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Net Working Capital (10%) - helps measure overall financial health of the enterprise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Individual objectives (10% of the OICP for Ms. Bogart and Messrs. Happe, Hughes and Hazelton) - provides actionable and measurable objectives controllable by the individual to achieve financial and non-financial goals.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For corporate NEOs, Ms. Bogart and Messrs. Happe and Hughes, the OICP financial metrics were measured against enterprise-wide performance. For business unit heads, including Mr. Hazelton, the OICP financial metrics were measured against both enterprise-wide and specific business unit performance. Mr. Clark does not participate in the OICP.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Individual goals for our NEOs during Fiscal 2019 included the following:</w:t>
      </w:r>
    </w:p>
    <w:p>
      <w:pPr>
        <w:spacing w:after="0" w:line="194"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For Mr. Happe, to continue to build a high performance culture, strengthen and expand the core RV business, elevate the importance of excellence in operations, foster innovation and digital engagement, and pursue expansion to new markets.</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For Mr. Hughes, to advance business development efforts, develop improved reporting and forecasting tools and dashboards, and continue to improve talent development and engagement processes.</w:t>
      </w:r>
    </w:p>
    <w:p>
      <w:pPr>
        <w:spacing w:after="0" w:line="174"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For Ms. Bogart, to advance certain internal corporate governance initiatives, foster community engagement through strategic internal and external partnerships, drive success of growth in business by actively supporting growth organically and inorganically, and develop and implement the Company's environmental, social and governance strategy and goals.</w:t>
      </w:r>
    </w:p>
    <w:p>
      <w:pPr>
        <w:spacing w:after="0" w:line="176"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For Mr. Hazelton, to transition certain West Coast operations back to Iowa, develop and reorganize certain segments of talent internally, oversee launch of new products within Class B and C product categories, and present a new website platform as well as a related implementation strategy.</w:t>
      </w:r>
    </w:p>
    <w:p>
      <w:pPr>
        <w:spacing w:after="0" w:line="176"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In October of 2019, the Committee evaluated performance against the Financial Performance Metrics and determined that the net sales growth, operating income and net working capital metric thresholds were not achieved, resulting in no OICP payout for those metrics.</w:t>
      </w:r>
    </w:p>
    <w:p>
      <w:pPr>
        <w:spacing w:after="0" w:line="334" w:lineRule="exact"/>
        <w:rPr>
          <w:sz w:val="20"/>
          <w:szCs w:val="20"/>
          <w:color w:val="auto"/>
        </w:rPr>
      </w:pPr>
    </w:p>
    <w:p>
      <w:pPr>
        <w:sectPr>
          <w:pgSz w:w="11900" w:h="16838" w:orient="portrait"/>
          <w:cols w:equalWidth="0" w:num="2">
            <w:col w:w="5480" w:space="460"/>
            <w:col w:w="5500"/>
          </w:cols>
          <w:pgMar w:left="240" w:top="303" w:right="219"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the Fiscal 2019 OICP financial metric payout threshold and target as well as our performance against these metrics ($ in thousands):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auto"/>
        </w:rPr>
        <w:t>Enterprise-Wide Financial Performance (90% of the OICP for Ms. Bogart and Messrs. Happe and Hughes and 36% of the OICP for Mr. Hazelton)</w:t>
      </w:r>
      <w:r>
        <w:rPr>
          <w:rFonts w:ascii="Arial" w:cs="Arial" w:eastAsia="Arial" w:hAnsi="Arial"/>
          <w:sz w:val="21"/>
          <w:szCs w:val="2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174625</wp:posOffset>
            </wp:positionV>
            <wp:extent cx="889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174625</wp:posOffset>
            </wp:positionV>
            <wp:extent cx="889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174625</wp:posOffset>
            </wp:positionV>
            <wp:extent cx="8890" cy="274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174625</wp:posOffset>
            </wp:positionV>
            <wp:extent cx="889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174625</wp:posOffset>
            </wp:positionV>
            <wp:extent cx="8890"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174625</wp:posOffset>
            </wp:positionV>
            <wp:extent cx="8890"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60" w:type="dxa"/>
            <w:vAlign w:val="bottom"/>
            <w:shd w:val="clear" w:color="auto" w:fill="BF2115"/>
          </w:tcPr>
          <w:p>
            <w:pPr>
              <w:spacing w:after="0"/>
              <w:rPr>
                <w:sz w:val="18"/>
                <w:szCs w:val="18"/>
                <w:color w:val="auto"/>
              </w:rPr>
            </w:pPr>
          </w:p>
        </w:tc>
        <w:tc>
          <w:tcPr>
            <w:tcW w:w="980" w:type="dxa"/>
            <w:vAlign w:val="bottom"/>
            <w:shd w:val="clear" w:color="auto" w:fill="BF2115"/>
          </w:tcPr>
          <w:p>
            <w:pPr>
              <w:spacing w:after="0"/>
              <w:rPr>
                <w:sz w:val="18"/>
                <w:szCs w:val="18"/>
                <w:color w:val="auto"/>
              </w:rPr>
            </w:pPr>
          </w:p>
        </w:tc>
        <w:tc>
          <w:tcPr>
            <w:tcW w:w="360" w:type="dxa"/>
            <w:vAlign w:val="bottom"/>
            <w:shd w:val="clear" w:color="auto" w:fill="BF2115"/>
          </w:tcPr>
          <w:p>
            <w:pPr>
              <w:spacing w:after="0"/>
              <w:rPr>
                <w:sz w:val="18"/>
                <w:szCs w:val="18"/>
                <w:color w:val="auto"/>
              </w:rPr>
            </w:pPr>
          </w:p>
        </w:tc>
        <w:tc>
          <w:tcPr>
            <w:tcW w:w="1380" w:type="dxa"/>
            <w:vAlign w:val="bottom"/>
            <w:shd w:val="clear" w:color="auto" w:fill="BF2115"/>
          </w:tcPr>
          <w:p>
            <w:pPr>
              <w:jc w:val="right"/>
              <w:ind w:right="359"/>
              <w:spacing w:after="0"/>
              <w:rPr>
                <w:sz w:val="20"/>
                <w:szCs w:val="20"/>
                <w:color w:val="auto"/>
              </w:rPr>
            </w:pPr>
            <w:r>
              <w:rPr>
                <w:rFonts w:ascii="Arial" w:cs="Arial" w:eastAsia="Arial" w:hAnsi="Arial"/>
                <w:sz w:val="16"/>
                <w:szCs w:val="16"/>
                <w:color w:val="FFFFFF"/>
              </w:rPr>
              <w:t>Threshold</w:t>
            </w:r>
          </w:p>
        </w:tc>
        <w:tc>
          <w:tcPr>
            <w:tcW w:w="200" w:type="dxa"/>
            <w:vAlign w:val="bottom"/>
            <w:shd w:val="clear" w:color="auto" w:fill="BF2115"/>
          </w:tcPr>
          <w:p>
            <w:pPr>
              <w:spacing w:after="0"/>
              <w:rPr>
                <w:sz w:val="18"/>
                <w:szCs w:val="18"/>
                <w:color w:val="auto"/>
              </w:rPr>
            </w:pPr>
          </w:p>
        </w:tc>
        <w:tc>
          <w:tcPr>
            <w:tcW w:w="1420" w:type="dxa"/>
            <w:vAlign w:val="bottom"/>
            <w:shd w:val="clear" w:color="auto" w:fill="BF2115"/>
          </w:tcPr>
          <w:p>
            <w:pPr>
              <w:jc w:val="right"/>
              <w:ind w:right="519"/>
              <w:spacing w:after="0"/>
              <w:rPr>
                <w:sz w:val="20"/>
                <w:szCs w:val="20"/>
                <w:color w:val="auto"/>
              </w:rPr>
            </w:pPr>
            <w:r>
              <w:rPr>
                <w:rFonts w:ascii="Arial" w:cs="Arial" w:eastAsia="Arial" w:hAnsi="Arial"/>
                <w:sz w:val="16"/>
                <w:szCs w:val="16"/>
                <w:color w:val="FFFFFF"/>
              </w:rPr>
              <w:t>Target</w:t>
            </w:r>
          </w:p>
        </w:tc>
        <w:tc>
          <w:tcPr>
            <w:tcW w:w="200" w:type="dxa"/>
            <w:vAlign w:val="bottom"/>
            <w:shd w:val="clear" w:color="auto" w:fill="BF2115"/>
          </w:tcPr>
          <w:p>
            <w:pPr>
              <w:spacing w:after="0"/>
              <w:rPr>
                <w:sz w:val="18"/>
                <w:szCs w:val="18"/>
                <w:color w:val="auto"/>
              </w:rPr>
            </w:pPr>
          </w:p>
        </w:tc>
        <w:tc>
          <w:tcPr>
            <w:tcW w:w="1420" w:type="dxa"/>
            <w:vAlign w:val="bottom"/>
            <w:shd w:val="clear" w:color="auto" w:fill="BF2115"/>
          </w:tcPr>
          <w:p>
            <w:pPr>
              <w:jc w:val="right"/>
              <w:ind w:right="359"/>
              <w:spacing w:after="0"/>
              <w:rPr>
                <w:sz w:val="20"/>
                <w:szCs w:val="20"/>
                <w:color w:val="auto"/>
              </w:rPr>
            </w:pPr>
            <w:r>
              <w:rPr>
                <w:rFonts w:ascii="Arial" w:cs="Arial" w:eastAsia="Arial" w:hAnsi="Arial"/>
                <w:sz w:val="16"/>
                <w:szCs w:val="16"/>
                <w:color w:val="FFFFFF"/>
              </w:rPr>
              <w:t>Maximum</w:t>
            </w:r>
          </w:p>
        </w:tc>
        <w:tc>
          <w:tcPr>
            <w:tcW w:w="260" w:type="dxa"/>
            <w:vAlign w:val="bottom"/>
            <w:shd w:val="clear" w:color="auto" w:fill="BF2115"/>
          </w:tcPr>
          <w:p>
            <w:pPr>
              <w:spacing w:after="0"/>
              <w:rPr>
                <w:sz w:val="18"/>
                <w:szCs w:val="18"/>
                <w:color w:val="auto"/>
              </w:rPr>
            </w:pPr>
          </w:p>
        </w:tc>
        <w:tc>
          <w:tcPr>
            <w:tcW w:w="1460" w:type="dxa"/>
            <w:vAlign w:val="bottom"/>
            <w:tcBorders>
              <w:right w:val="single" w:sz="8" w:color="BF2115"/>
            </w:tcBorders>
            <w:shd w:val="clear" w:color="auto" w:fill="BF2115"/>
          </w:tcPr>
          <w:p>
            <w:pPr>
              <w:jc w:val="right"/>
              <w:ind w:right="379"/>
              <w:spacing w:after="0"/>
              <w:rPr>
                <w:sz w:val="20"/>
                <w:szCs w:val="20"/>
                <w:color w:val="auto"/>
              </w:rPr>
            </w:pPr>
            <w:r>
              <w:rPr>
                <w:rFonts w:ascii="Arial" w:cs="Arial" w:eastAsia="Arial" w:hAnsi="Arial"/>
                <w:sz w:val="16"/>
                <w:szCs w:val="16"/>
                <w:color w:val="FFFFFF"/>
              </w:rPr>
              <w:t>Fiscal 2019</w:t>
            </w:r>
          </w:p>
        </w:tc>
        <w:tc>
          <w:tcPr>
            <w:tcW w:w="1580" w:type="dxa"/>
            <w:vAlign w:val="bottom"/>
            <w:shd w:val="clear" w:color="auto" w:fill="BF2115"/>
          </w:tcPr>
          <w:p>
            <w:pPr>
              <w:jc w:val="right"/>
              <w:ind w:right="119"/>
              <w:spacing w:after="0"/>
              <w:rPr>
                <w:sz w:val="20"/>
                <w:szCs w:val="20"/>
                <w:color w:val="auto"/>
              </w:rPr>
            </w:pPr>
            <w:r>
              <w:rPr>
                <w:rFonts w:ascii="Arial" w:cs="Arial" w:eastAsia="Arial" w:hAnsi="Arial"/>
                <w:sz w:val="16"/>
                <w:szCs w:val="16"/>
                <w:color w:val="FFFFFF"/>
              </w:rPr>
              <w:t>Actual Payout %</w:t>
            </w:r>
          </w:p>
        </w:tc>
        <w:tc>
          <w:tcPr>
            <w:tcW w:w="20" w:type="dxa"/>
            <w:vAlign w:val="bottom"/>
          </w:tcPr>
          <w:p>
            <w:pPr>
              <w:spacing w:after="0"/>
              <w:rPr>
                <w:sz w:val="18"/>
                <w:szCs w:val="18"/>
                <w:color w:val="auto"/>
              </w:rPr>
            </w:pPr>
          </w:p>
        </w:tc>
      </w:tr>
      <w:tr>
        <w:trPr>
          <w:trHeight w:val="214"/>
        </w:trPr>
        <w:tc>
          <w:tcPr>
            <w:tcW w:w="2160" w:type="dxa"/>
            <w:vAlign w:val="bottom"/>
            <w:shd w:val="clear" w:color="auto" w:fill="BF2115"/>
          </w:tcPr>
          <w:p>
            <w:pPr>
              <w:ind w:left="40"/>
              <w:spacing w:after="0"/>
              <w:rPr>
                <w:sz w:val="20"/>
                <w:szCs w:val="20"/>
                <w:color w:val="auto"/>
              </w:rPr>
            </w:pPr>
            <w:r>
              <w:rPr>
                <w:rFonts w:ascii="Arial" w:cs="Arial" w:eastAsia="Arial" w:hAnsi="Arial"/>
                <w:sz w:val="16"/>
                <w:szCs w:val="16"/>
                <w:color w:val="FFFFFF"/>
              </w:rPr>
              <w:t>Metric</w:t>
            </w:r>
          </w:p>
        </w:tc>
        <w:tc>
          <w:tcPr>
            <w:tcW w:w="980" w:type="dxa"/>
            <w:vAlign w:val="bottom"/>
            <w:shd w:val="clear" w:color="auto" w:fill="BF2115"/>
          </w:tcPr>
          <w:p>
            <w:pPr>
              <w:jc w:val="center"/>
              <w:ind w:left="79"/>
              <w:spacing w:after="0"/>
              <w:rPr>
                <w:sz w:val="20"/>
                <w:szCs w:val="20"/>
                <w:color w:val="auto"/>
              </w:rPr>
            </w:pPr>
            <w:r>
              <w:rPr>
                <w:rFonts w:ascii="Arial" w:cs="Arial" w:eastAsia="Arial" w:hAnsi="Arial"/>
                <w:sz w:val="16"/>
                <w:szCs w:val="16"/>
                <w:color w:val="FFFFFF"/>
              </w:rPr>
              <w:t>Weight</w:t>
            </w:r>
          </w:p>
        </w:tc>
        <w:tc>
          <w:tcPr>
            <w:tcW w:w="360" w:type="dxa"/>
            <w:vAlign w:val="bottom"/>
            <w:shd w:val="clear" w:color="auto" w:fill="BF2115"/>
          </w:tcPr>
          <w:p>
            <w:pPr>
              <w:spacing w:after="0"/>
              <w:rPr>
                <w:sz w:val="18"/>
                <w:szCs w:val="18"/>
                <w:color w:val="auto"/>
              </w:rPr>
            </w:pPr>
          </w:p>
        </w:tc>
        <w:tc>
          <w:tcPr>
            <w:tcW w:w="1380" w:type="dxa"/>
            <w:vAlign w:val="bottom"/>
            <w:shd w:val="clear" w:color="auto" w:fill="BF2115"/>
          </w:tcPr>
          <w:p>
            <w:pPr>
              <w:jc w:val="right"/>
              <w:ind w:right="219"/>
              <w:spacing w:after="0"/>
              <w:rPr>
                <w:sz w:val="20"/>
                <w:szCs w:val="20"/>
                <w:color w:val="auto"/>
              </w:rPr>
            </w:pPr>
            <w:r>
              <w:rPr>
                <w:rFonts w:ascii="Arial" w:cs="Arial" w:eastAsia="Arial" w:hAnsi="Arial"/>
                <w:sz w:val="16"/>
                <w:szCs w:val="16"/>
                <w:color w:val="FFFFFF"/>
              </w:rPr>
              <w:t>(25% Payout)</w:t>
            </w:r>
          </w:p>
        </w:tc>
        <w:tc>
          <w:tcPr>
            <w:tcW w:w="200" w:type="dxa"/>
            <w:vAlign w:val="bottom"/>
            <w:shd w:val="clear" w:color="auto" w:fill="BF2115"/>
          </w:tcPr>
          <w:p>
            <w:pPr>
              <w:spacing w:after="0"/>
              <w:rPr>
                <w:sz w:val="18"/>
                <w:szCs w:val="18"/>
                <w:color w:val="auto"/>
              </w:rPr>
            </w:pPr>
          </w:p>
        </w:tc>
        <w:tc>
          <w:tcPr>
            <w:tcW w:w="1420" w:type="dxa"/>
            <w:vAlign w:val="bottom"/>
            <w:shd w:val="clear" w:color="auto" w:fill="BF2115"/>
          </w:tcPr>
          <w:p>
            <w:pPr>
              <w:jc w:val="right"/>
              <w:ind w:right="179"/>
              <w:spacing w:after="0"/>
              <w:rPr>
                <w:sz w:val="20"/>
                <w:szCs w:val="20"/>
                <w:color w:val="auto"/>
              </w:rPr>
            </w:pPr>
            <w:r>
              <w:rPr>
                <w:rFonts w:ascii="Arial" w:cs="Arial" w:eastAsia="Arial" w:hAnsi="Arial"/>
                <w:sz w:val="16"/>
                <w:szCs w:val="16"/>
                <w:color w:val="FFFFFF"/>
              </w:rPr>
              <w:t>(100% Payout)</w:t>
            </w:r>
          </w:p>
        </w:tc>
        <w:tc>
          <w:tcPr>
            <w:tcW w:w="200" w:type="dxa"/>
            <w:vAlign w:val="bottom"/>
            <w:shd w:val="clear" w:color="auto" w:fill="BF2115"/>
          </w:tcPr>
          <w:p>
            <w:pPr>
              <w:spacing w:after="0"/>
              <w:rPr>
                <w:sz w:val="18"/>
                <w:szCs w:val="18"/>
                <w:color w:val="auto"/>
              </w:rPr>
            </w:pPr>
          </w:p>
        </w:tc>
        <w:tc>
          <w:tcPr>
            <w:tcW w:w="1420" w:type="dxa"/>
            <w:vAlign w:val="bottom"/>
            <w:shd w:val="clear" w:color="auto" w:fill="BF2115"/>
          </w:tcPr>
          <w:p>
            <w:pPr>
              <w:jc w:val="right"/>
              <w:ind w:right="179"/>
              <w:spacing w:after="0"/>
              <w:rPr>
                <w:sz w:val="20"/>
                <w:szCs w:val="20"/>
                <w:color w:val="auto"/>
              </w:rPr>
            </w:pPr>
            <w:r>
              <w:rPr>
                <w:rFonts w:ascii="Arial" w:cs="Arial" w:eastAsia="Arial" w:hAnsi="Arial"/>
                <w:sz w:val="16"/>
                <w:szCs w:val="16"/>
                <w:color w:val="FFFFFF"/>
              </w:rPr>
              <w:t>(200% Payout)</w:t>
            </w:r>
          </w:p>
        </w:tc>
        <w:tc>
          <w:tcPr>
            <w:tcW w:w="260" w:type="dxa"/>
            <w:vAlign w:val="bottom"/>
            <w:shd w:val="clear" w:color="auto" w:fill="BF2115"/>
          </w:tcPr>
          <w:p>
            <w:pPr>
              <w:spacing w:after="0"/>
              <w:rPr>
                <w:sz w:val="18"/>
                <w:szCs w:val="18"/>
                <w:color w:val="auto"/>
              </w:rPr>
            </w:pPr>
          </w:p>
        </w:tc>
        <w:tc>
          <w:tcPr>
            <w:tcW w:w="1460" w:type="dxa"/>
            <w:vAlign w:val="bottom"/>
            <w:tcBorders>
              <w:right w:val="single" w:sz="8" w:color="BF2115"/>
            </w:tcBorders>
            <w:shd w:val="clear" w:color="auto" w:fill="BF2115"/>
          </w:tcPr>
          <w:p>
            <w:pPr>
              <w:jc w:val="right"/>
              <w:ind w:right="319"/>
              <w:spacing w:after="0"/>
              <w:rPr>
                <w:sz w:val="20"/>
                <w:szCs w:val="20"/>
                <w:color w:val="auto"/>
              </w:rPr>
            </w:pPr>
            <w:r>
              <w:rPr>
                <w:rFonts w:ascii="Arial" w:cs="Arial" w:eastAsia="Arial" w:hAnsi="Arial"/>
                <w:sz w:val="16"/>
                <w:szCs w:val="16"/>
                <w:color w:val="FFFFFF"/>
              </w:rPr>
              <w:t>Performance</w:t>
            </w:r>
          </w:p>
        </w:tc>
        <w:tc>
          <w:tcPr>
            <w:tcW w:w="1580" w:type="dxa"/>
            <w:vAlign w:val="bottom"/>
            <w:shd w:val="clear" w:color="auto" w:fill="BF2115"/>
          </w:tcPr>
          <w:p>
            <w:pPr>
              <w:jc w:val="right"/>
              <w:ind w:right="319"/>
              <w:spacing w:after="0"/>
              <w:rPr>
                <w:sz w:val="20"/>
                <w:szCs w:val="20"/>
                <w:color w:val="auto"/>
              </w:rPr>
            </w:pPr>
            <w:r>
              <w:rPr>
                <w:rFonts w:ascii="Arial" w:cs="Arial" w:eastAsia="Arial" w:hAnsi="Arial"/>
                <w:sz w:val="16"/>
                <w:szCs w:val="16"/>
                <w:color w:val="FFFFFF"/>
              </w:rPr>
              <w:t>(Weighted)</w:t>
            </w:r>
          </w:p>
        </w:tc>
        <w:tc>
          <w:tcPr>
            <w:tcW w:w="20" w:type="dxa"/>
            <w:vAlign w:val="bottom"/>
          </w:tcPr>
          <w:p>
            <w:pPr>
              <w:spacing w:after="0"/>
              <w:rPr>
                <w:sz w:val="18"/>
                <w:szCs w:val="18"/>
                <w:color w:val="auto"/>
              </w:rPr>
            </w:pPr>
          </w:p>
        </w:tc>
      </w:tr>
      <w:tr>
        <w:trPr>
          <w:trHeight w:val="243"/>
        </w:trPr>
        <w:tc>
          <w:tcPr>
            <w:tcW w:w="2160" w:type="dxa"/>
            <w:vAlign w:val="bottom"/>
            <w:shd w:val="clear" w:color="auto" w:fill="ACACAC"/>
          </w:tcPr>
          <w:p>
            <w:pPr>
              <w:ind w:left="40"/>
              <w:spacing w:after="0"/>
              <w:rPr>
                <w:sz w:val="20"/>
                <w:szCs w:val="20"/>
                <w:color w:val="auto"/>
              </w:rPr>
            </w:pPr>
            <w:r>
              <w:rPr>
                <w:rFonts w:ascii="Arial" w:cs="Arial" w:eastAsia="Arial" w:hAnsi="Arial"/>
                <w:sz w:val="16"/>
                <w:szCs w:val="16"/>
                <w:color w:val="auto"/>
              </w:rPr>
              <w:t>Net Sales Growth</w:t>
            </w:r>
          </w:p>
        </w:tc>
        <w:tc>
          <w:tcPr>
            <w:tcW w:w="980" w:type="dxa"/>
            <w:vAlign w:val="bottom"/>
            <w:shd w:val="clear" w:color="auto" w:fill="ACACAC"/>
          </w:tcPr>
          <w:p>
            <w:pPr>
              <w:jc w:val="center"/>
              <w:ind w:left="59"/>
              <w:spacing w:after="0"/>
              <w:rPr>
                <w:sz w:val="20"/>
                <w:szCs w:val="20"/>
                <w:color w:val="auto"/>
              </w:rPr>
            </w:pPr>
            <w:r>
              <w:rPr>
                <w:rFonts w:ascii="Arial" w:cs="Arial" w:eastAsia="Arial" w:hAnsi="Arial"/>
                <w:sz w:val="16"/>
                <w:szCs w:val="16"/>
                <w:color w:val="auto"/>
                <w:w w:val="99"/>
              </w:rPr>
              <w:t>50%</w:t>
            </w:r>
          </w:p>
        </w:tc>
        <w:tc>
          <w:tcPr>
            <w:tcW w:w="360" w:type="dxa"/>
            <w:vAlign w:val="bottom"/>
            <w:shd w:val="clear" w:color="auto" w:fill="ACACAC"/>
          </w:tcPr>
          <w:p>
            <w:pPr>
              <w:spacing w:after="0"/>
              <w:rPr>
                <w:sz w:val="21"/>
                <w:szCs w:val="21"/>
                <w:color w:val="auto"/>
              </w:rPr>
            </w:pPr>
          </w:p>
        </w:tc>
        <w:tc>
          <w:tcPr>
            <w:tcW w:w="13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7.6%</w:t>
            </w:r>
          </w:p>
        </w:tc>
        <w:tc>
          <w:tcPr>
            <w:tcW w:w="200" w:type="dxa"/>
            <w:vAlign w:val="bottom"/>
            <w:shd w:val="clear" w:color="auto" w:fill="ACACAC"/>
          </w:tcPr>
          <w:p>
            <w:pPr>
              <w:spacing w:after="0"/>
              <w:rPr>
                <w:sz w:val="21"/>
                <w:szCs w:val="21"/>
                <w:color w:val="auto"/>
              </w:rPr>
            </w:pPr>
          </w:p>
        </w:tc>
        <w:tc>
          <w:tcPr>
            <w:tcW w:w="14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15.2%</w:t>
            </w:r>
          </w:p>
        </w:tc>
        <w:tc>
          <w:tcPr>
            <w:tcW w:w="200" w:type="dxa"/>
            <w:vAlign w:val="bottom"/>
            <w:shd w:val="clear" w:color="auto" w:fill="ACACAC"/>
          </w:tcPr>
          <w:p>
            <w:pPr>
              <w:spacing w:after="0"/>
              <w:rPr>
                <w:sz w:val="21"/>
                <w:szCs w:val="21"/>
                <w:color w:val="auto"/>
              </w:rPr>
            </w:pPr>
          </w:p>
        </w:tc>
        <w:tc>
          <w:tcPr>
            <w:tcW w:w="14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22.8%</w:t>
            </w:r>
          </w:p>
        </w:tc>
        <w:tc>
          <w:tcPr>
            <w:tcW w:w="260" w:type="dxa"/>
            <w:vAlign w:val="bottom"/>
            <w:shd w:val="clear" w:color="auto" w:fill="ACACAC"/>
          </w:tcPr>
          <w:p>
            <w:pPr>
              <w:spacing w:after="0"/>
              <w:rPr>
                <w:sz w:val="21"/>
                <w:szCs w:val="21"/>
                <w:color w:val="auto"/>
              </w:rPr>
            </w:pPr>
          </w:p>
        </w:tc>
        <w:tc>
          <w:tcPr>
            <w:tcW w:w="14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6"/>
                <w:szCs w:val="16"/>
                <w:color w:val="auto"/>
              </w:rPr>
              <w:t>(1.5)%</w:t>
            </w:r>
          </w:p>
        </w:tc>
        <w:tc>
          <w:tcPr>
            <w:tcW w:w="15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21"/>
                <w:szCs w:val="21"/>
                <w:color w:val="auto"/>
              </w:rPr>
            </w:pPr>
          </w:p>
        </w:tc>
      </w:tr>
      <w:tr>
        <w:trPr>
          <w:trHeight w:val="233"/>
        </w:trPr>
        <w:tc>
          <w:tcPr>
            <w:tcW w:w="21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980" w:type="dxa"/>
            <w:vAlign w:val="bottom"/>
          </w:tcPr>
          <w:p>
            <w:pPr>
              <w:jc w:val="center"/>
              <w:ind w:left="59"/>
              <w:spacing w:after="0"/>
              <w:rPr>
                <w:sz w:val="20"/>
                <w:szCs w:val="20"/>
                <w:color w:val="auto"/>
              </w:rPr>
            </w:pPr>
            <w:r>
              <w:rPr>
                <w:rFonts w:ascii="Arial" w:cs="Arial" w:eastAsia="Arial" w:hAnsi="Arial"/>
                <w:sz w:val="16"/>
                <w:szCs w:val="16"/>
                <w:color w:val="auto"/>
                <w:w w:val="99"/>
              </w:rPr>
              <w:t>40%</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156,190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195,237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234,284</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155,267</w:t>
            </w:r>
          </w:p>
        </w:tc>
        <w:tc>
          <w:tcPr>
            <w:tcW w:w="1580" w:type="dxa"/>
            <w:vAlign w:val="bottom"/>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20"/>
                <w:szCs w:val="20"/>
                <w:color w:val="auto"/>
              </w:rPr>
            </w:pPr>
          </w:p>
        </w:tc>
      </w:tr>
      <w:tr>
        <w:trPr>
          <w:trHeight w:val="246"/>
        </w:trPr>
        <w:tc>
          <w:tcPr>
            <w:tcW w:w="2160" w:type="dxa"/>
            <w:vAlign w:val="bottom"/>
            <w:shd w:val="clear" w:color="auto" w:fill="ACACAC"/>
          </w:tcPr>
          <w:p>
            <w:pPr>
              <w:ind w:left="40"/>
              <w:spacing w:after="0"/>
              <w:rPr>
                <w:sz w:val="20"/>
                <w:szCs w:val="20"/>
                <w:color w:val="auto"/>
              </w:rPr>
            </w:pPr>
            <w:r>
              <w:rPr>
                <w:rFonts w:ascii="Arial" w:cs="Arial" w:eastAsia="Arial" w:hAnsi="Arial"/>
                <w:sz w:val="16"/>
                <w:szCs w:val="16"/>
                <w:color w:val="auto"/>
              </w:rPr>
              <w:t>Net Working Capital</w:t>
            </w:r>
          </w:p>
        </w:tc>
        <w:tc>
          <w:tcPr>
            <w:tcW w:w="980" w:type="dxa"/>
            <w:vAlign w:val="bottom"/>
            <w:shd w:val="clear" w:color="auto" w:fill="ACACAC"/>
          </w:tcPr>
          <w:p>
            <w:pPr>
              <w:jc w:val="center"/>
              <w:ind w:left="59"/>
              <w:spacing w:after="0"/>
              <w:rPr>
                <w:sz w:val="20"/>
                <w:szCs w:val="20"/>
                <w:color w:val="auto"/>
              </w:rPr>
            </w:pPr>
            <w:r>
              <w:rPr>
                <w:rFonts w:ascii="Arial" w:cs="Arial" w:eastAsia="Arial" w:hAnsi="Arial"/>
                <w:sz w:val="16"/>
                <w:szCs w:val="16"/>
                <w:color w:val="auto"/>
                <w:w w:val="99"/>
              </w:rPr>
              <w:t>10%</w:t>
            </w:r>
          </w:p>
        </w:tc>
        <w:tc>
          <w:tcPr>
            <w:tcW w:w="360" w:type="dxa"/>
            <w:vAlign w:val="bottom"/>
            <w:shd w:val="clear" w:color="auto" w:fill="ACACAC"/>
          </w:tcPr>
          <w:p>
            <w:pPr>
              <w:spacing w:after="0"/>
              <w:rPr>
                <w:sz w:val="21"/>
                <w:szCs w:val="21"/>
                <w:color w:val="auto"/>
              </w:rPr>
            </w:pPr>
          </w:p>
        </w:tc>
        <w:tc>
          <w:tcPr>
            <w:tcW w:w="13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13.2%</w:t>
            </w:r>
          </w:p>
        </w:tc>
        <w:tc>
          <w:tcPr>
            <w:tcW w:w="200" w:type="dxa"/>
            <w:vAlign w:val="bottom"/>
            <w:shd w:val="clear" w:color="auto" w:fill="ACACAC"/>
          </w:tcPr>
          <w:p>
            <w:pPr>
              <w:spacing w:after="0"/>
              <w:rPr>
                <w:sz w:val="21"/>
                <w:szCs w:val="21"/>
                <w:color w:val="auto"/>
              </w:rPr>
            </w:pPr>
          </w:p>
        </w:tc>
        <w:tc>
          <w:tcPr>
            <w:tcW w:w="14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12.0%</w:t>
            </w:r>
          </w:p>
        </w:tc>
        <w:tc>
          <w:tcPr>
            <w:tcW w:w="200" w:type="dxa"/>
            <w:vAlign w:val="bottom"/>
            <w:shd w:val="clear" w:color="auto" w:fill="ACACAC"/>
          </w:tcPr>
          <w:p>
            <w:pPr>
              <w:spacing w:after="0"/>
              <w:rPr>
                <w:sz w:val="21"/>
                <w:szCs w:val="21"/>
                <w:color w:val="auto"/>
              </w:rPr>
            </w:pPr>
          </w:p>
        </w:tc>
        <w:tc>
          <w:tcPr>
            <w:tcW w:w="14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10.8%</w:t>
            </w:r>
          </w:p>
        </w:tc>
        <w:tc>
          <w:tcPr>
            <w:tcW w:w="260" w:type="dxa"/>
            <w:vAlign w:val="bottom"/>
            <w:shd w:val="clear" w:color="auto" w:fill="ACACAC"/>
          </w:tcPr>
          <w:p>
            <w:pPr>
              <w:spacing w:after="0"/>
              <w:rPr>
                <w:sz w:val="21"/>
                <w:szCs w:val="21"/>
                <w:color w:val="auto"/>
              </w:rPr>
            </w:pPr>
          </w:p>
        </w:tc>
        <w:tc>
          <w:tcPr>
            <w:tcW w:w="14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6"/>
                <w:szCs w:val="16"/>
                <w:color w:val="auto"/>
              </w:rPr>
              <w:t>15.5 %</w:t>
            </w:r>
          </w:p>
        </w:tc>
        <w:tc>
          <w:tcPr>
            <w:tcW w:w="15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21"/>
                <w:szCs w:val="21"/>
                <w:color w:val="auto"/>
              </w:rPr>
            </w:pPr>
          </w:p>
        </w:tc>
      </w:tr>
      <w:tr>
        <w:trPr>
          <w:trHeight w:val="264"/>
        </w:trPr>
        <w:tc>
          <w:tcPr>
            <w:tcW w:w="2160" w:type="dxa"/>
            <w:vAlign w:val="bottom"/>
            <w:tcBorders>
              <w:top w:val="single" w:sz="8" w:color="ACACAC"/>
            </w:tcBorders>
          </w:tcPr>
          <w:p>
            <w:pPr>
              <w:spacing w:after="0"/>
              <w:rPr>
                <w:sz w:val="22"/>
                <w:szCs w:val="22"/>
                <w:color w:val="auto"/>
              </w:rPr>
            </w:pPr>
          </w:p>
        </w:tc>
        <w:tc>
          <w:tcPr>
            <w:tcW w:w="980" w:type="dxa"/>
            <w:vAlign w:val="bottom"/>
            <w:tcBorders>
              <w:top w:val="single" w:sz="8" w:color="ACACAC"/>
            </w:tcBorders>
          </w:tcPr>
          <w:p>
            <w:pPr>
              <w:spacing w:after="0"/>
              <w:rPr>
                <w:sz w:val="22"/>
                <w:szCs w:val="22"/>
                <w:color w:val="auto"/>
              </w:rPr>
            </w:pPr>
          </w:p>
        </w:tc>
        <w:tc>
          <w:tcPr>
            <w:tcW w:w="360" w:type="dxa"/>
            <w:vAlign w:val="bottom"/>
            <w:tcBorders>
              <w:top w:val="single" w:sz="8" w:color="ACACAC"/>
            </w:tcBorders>
          </w:tcPr>
          <w:p>
            <w:pPr>
              <w:spacing w:after="0"/>
              <w:rPr>
                <w:sz w:val="22"/>
                <w:szCs w:val="22"/>
                <w:color w:val="auto"/>
              </w:rPr>
            </w:pPr>
          </w:p>
        </w:tc>
        <w:tc>
          <w:tcPr>
            <w:tcW w:w="1380" w:type="dxa"/>
            <w:vAlign w:val="bottom"/>
            <w:tcBorders>
              <w:top w:val="single" w:sz="8" w:color="ACACAC"/>
            </w:tcBorders>
          </w:tcPr>
          <w:p>
            <w:pPr>
              <w:spacing w:after="0"/>
              <w:rPr>
                <w:sz w:val="22"/>
                <w:szCs w:val="22"/>
                <w:color w:val="auto"/>
              </w:rPr>
            </w:pPr>
          </w:p>
        </w:tc>
        <w:tc>
          <w:tcPr>
            <w:tcW w:w="200" w:type="dxa"/>
            <w:vAlign w:val="bottom"/>
            <w:tcBorders>
              <w:top w:val="single" w:sz="8" w:color="ACACAC"/>
            </w:tcBorders>
          </w:tcPr>
          <w:p>
            <w:pPr>
              <w:spacing w:after="0"/>
              <w:rPr>
                <w:sz w:val="22"/>
                <w:szCs w:val="22"/>
                <w:color w:val="auto"/>
              </w:rPr>
            </w:pPr>
          </w:p>
        </w:tc>
        <w:tc>
          <w:tcPr>
            <w:tcW w:w="1420" w:type="dxa"/>
            <w:vAlign w:val="bottom"/>
            <w:tcBorders>
              <w:top w:val="single" w:sz="8" w:color="ACACAC"/>
            </w:tcBorders>
          </w:tcPr>
          <w:p>
            <w:pPr>
              <w:spacing w:after="0"/>
              <w:rPr>
                <w:sz w:val="22"/>
                <w:szCs w:val="22"/>
                <w:color w:val="auto"/>
              </w:rPr>
            </w:pPr>
          </w:p>
        </w:tc>
        <w:tc>
          <w:tcPr>
            <w:tcW w:w="200" w:type="dxa"/>
            <w:vAlign w:val="bottom"/>
            <w:tcBorders>
              <w:top w:val="single" w:sz="8" w:color="ACACAC"/>
            </w:tcBorders>
          </w:tcPr>
          <w:p>
            <w:pPr>
              <w:spacing w:after="0"/>
              <w:rPr>
                <w:sz w:val="22"/>
                <w:szCs w:val="22"/>
                <w:color w:val="auto"/>
              </w:rPr>
            </w:pPr>
          </w:p>
        </w:tc>
        <w:tc>
          <w:tcPr>
            <w:tcW w:w="3140" w:type="dxa"/>
            <w:vAlign w:val="bottom"/>
            <w:tcBorders>
              <w:top w:val="single" w:sz="8" w:color="ACACAC"/>
              <w:right w:val="single" w:sz="8" w:color="auto"/>
            </w:tcBorders>
            <w:gridSpan w:val="3"/>
          </w:tcPr>
          <w:p>
            <w:pPr>
              <w:jc w:val="right"/>
              <w:ind w:right="179"/>
              <w:spacing w:after="0"/>
              <w:rPr>
                <w:sz w:val="20"/>
                <w:szCs w:val="20"/>
                <w:color w:val="auto"/>
              </w:rPr>
            </w:pPr>
            <w:r>
              <w:rPr>
                <w:rFonts w:ascii="Arial" w:cs="Arial" w:eastAsia="Arial" w:hAnsi="Arial"/>
                <w:sz w:val="16"/>
                <w:szCs w:val="16"/>
                <w:color w:val="auto"/>
              </w:rPr>
              <w:t>Total Payout Percentage</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20" w:type="dxa"/>
            <w:vAlign w:val="bottom"/>
            <w:tcBorders>
              <w:top w:val="single" w:sz="8" w:color="auto"/>
              <w:bottom w:val="single" w:sz="8" w:color="auto"/>
            </w:tcBorders>
            <w:shd w:val="clear" w:color="auto" w:fill="000000"/>
          </w:tcPr>
          <w:p>
            <w:pPr>
              <w:spacing w:after="0"/>
              <w:rPr>
                <w:sz w:val="22"/>
                <w:szCs w:val="22"/>
                <w:color w:val="auto"/>
              </w:rPr>
            </w:pPr>
          </w:p>
        </w:tc>
      </w:tr>
    </w:tbl>
    <w:p>
      <w:pPr>
        <w:spacing w:after="0" w:line="48" w:lineRule="exact"/>
        <w:rPr>
          <w:sz w:val="20"/>
          <w:szCs w:val="20"/>
          <w:color w:val="auto"/>
        </w:rPr>
      </w:pPr>
    </w:p>
    <w:p>
      <w:pPr>
        <w:ind w:left="260" w:right="20" w:hanging="252"/>
        <w:spacing w:after="0" w:line="238" w:lineRule="auto"/>
        <w:tabs>
          <w:tab w:leader="none" w:pos="2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Each of the participating NEOs, other than Mr. Clark, also have 10% of their target bonus opportunities tied to individualized objectives, which are assessed by the CEO (or, the Committee, in the case of the CEO), and the proposed bonus amount is approved by the Committee.</w:t>
      </w:r>
    </w:p>
    <w:p>
      <w:pPr>
        <w:ind w:left="260" w:hanging="252"/>
        <w:spacing w:after="0"/>
        <w:tabs>
          <w:tab w:leader="none" w:pos="2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54% of the OICP for Mr. Hazelton is based upon the following Motorhome business unit performance metrics: (i) 50% Net Sales Growth, (ii) 40% Operating Income and (iii) 10% Net Working Capital.</w:t>
      </w:r>
    </w:p>
    <w:p>
      <w:pPr>
        <w:spacing w:after="0" w:line="20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Committee then considered and reviewed the CEO's evaluation of each eligible NEO's performance, other than himself. It determined that each of the participating NEOs outperformed expectations and earned his or her individual performance goal opportunity at a level of 150% of target, in the case of Mr. Hazelton, and 200% of target in the case of Mr. Hughes and Ms. Bogart. The Committee also determined, in its sole discretion, that Mr. Happe's level of achievement of his individual objectives was 200% of target.</w:t>
      </w:r>
    </w:p>
    <w:p>
      <w:pPr>
        <w:spacing w:after="0" w:line="176"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Committee considered executives' significant over-achievement in contributing to the Company's strong EPS growth, market share gains, gross margin expansion, integration of the Company's Chris-Craft business unit and safety record improvements during Fiscal 2019, and decided to increase the portion of the OICP payment related to Mr. Happe's performance by an additional 1.7% of target, Mr. Hughes' performance by an additional 7.8% of target and Ms. Bogart's performance by an additional 8.0% of target. This process resulted in additional payments tied to these NEO's own levels of achievement.</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40"/>
          </w:cols>
          <w:pgMar w:left="240" w:top="303" w:right="219" w:bottom="1440" w:gutter="0" w:footer="0" w:header="0"/>
          <w:type w:val="continuous"/>
        </w:sectPr>
      </w:pPr>
    </w:p>
    <w:bookmarkStart w:id="26" w:name="page27"/>
    <w:bookmarkEnd w:id="26"/>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table reflects the Fiscal 2019 year-end salary, target OICP percentage and dollar amounts, and actual OICP percentage and dollar amounts earned by the NEOs, each as approved by the Committee. The calculated portion of the OICP payout related to achievement of the metrics set at the beginning of the fiscal year is reported on page 28 in the Summary Compensation Table under the "Non-Equity Incentive Plan Compensation" column, and the incremental over-achievement payment is reported under the "Bonus"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4546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820" w:type="dxa"/>
            <w:vAlign w:val="bottom"/>
            <w:shd w:val="clear" w:color="auto" w:fill="BF2115"/>
          </w:tcPr>
          <w:p>
            <w:pPr>
              <w:spacing w:after="0"/>
              <w:rPr>
                <w:sz w:val="21"/>
                <w:szCs w:val="21"/>
                <w:color w:val="auto"/>
              </w:rPr>
            </w:pPr>
          </w:p>
        </w:tc>
        <w:tc>
          <w:tcPr>
            <w:tcW w:w="300" w:type="dxa"/>
            <w:vAlign w:val="bottom"/>
            <w:shd w:val="clear" w:color="auto" w:fill="BF2115"/>
          </w:tcPr>
          <w:p>
            <w:pPr>
              <w:spacing w:after="0"/>
              <w:rPr>
                <w:sz w:val="21"/>
                <w:szCs w:val="21"/>
                <w:color w:val="auto"/>
              </w:rPr>
            </w:pPr>
          </w:p>
        </w:tc>
        <w:tc>
          <w:tcPr>
            <w:tcW w:w="1420" w:type="dxa"/>
            <w:vAlign w:val="bottom"/>
            <w:shd w:val="clear" w:color="auto" w:fill="BF2115"/>
          </w:tcPr>
          <w:p>
            <w:pPr>
              <w:spacing w:after="0"/>
              <w:rPr>
                <w:sz w:val="21"/>
                <w:szCs w:val="21"/>
                <w:color w:val="auto"/>
              </w:rPr>
            </w:pPr>
          </w:p>
        </w:tc>
        <w:tc>
          <w:tcPr>
            <w:tcW w:w="3000" w:type="dxa"/>
            <w:vAlign w:val="bottom"/>
            <w:gridSpan w:val="3"/>
            <w:shd w:val="clear" w:color="auto" w:fill="BF2115"/>
          </w:tcPr>
          <w:p>
            <w:pPr>
              <w:jc w:val="right"/>
              <w:ind w:right="639"/>
              <w:spacing w:after="0"/>
              <w:rPr>
                <w:sz w:val="20"/>
                <w:szCs w:val="20"/>
                <w:color w:val="auto"/>
              </w:rPr>
            </w:pPr>
            <w:r>
              <w:rPr>
                <w:rFonts w:ascii="Arial" w:cs="Arial" w:eastAsia="Arial" w:hAnsi="Arial"/>
                <w:sz w:val="16"/>
                <w:szCs w:val="16"/>
                <w:color w:val="FFFFFF"/>
              </w:rPr>
              <w:t>Fiscal 2019 Target OICP</w:t>
            </w:r>
          </w:p>
        </w:tc>
        <w:tc>
          <w:tcPr>
            <w:tcW w:w="2880" w:type="dxa"/>
            <w:vAlign w:val="bottom"/>
            <w:gridSpan w:val="2"/>
            <w:shd w:val="clear" w:color="auto" w:fill="BF2115"/>
          </w:tcPr>
          <w:p>
            <w:pPr>
              <w:jc w:val="right"/>
              <w:ind w:right="519"/>
              <w:spacing w:after="0"/>
              <w:rPr>
                <w:sz w:val="20"/>
                <w:szCs w:val="20"/>
                <w:color w:val="auto"/>
              </w:rPr>
            </w:pPr>
            <w:r>
              <w:rPr>
                <w:rFonts w:ascii="Arial" w:cs="Arial" w:eastAsia="Arial" w:hAnsi="Arial"/>
                <w:sz w:val="16"/>
                <w:szCs w:val="16"/>
                <w:color w:val="FFFFFF"/>
              </w:rPr>
              <w:t>Fiscal 2019 Actual OICP</w:t>
            </w:r>
          </w:p>
        </w:tc>
      </w:tr>
      <w:tr>
        <w:trPr>
          <w:trHeight w:val="251"/>
        </w:trPr>
        <w:tc>
          <w:tcPr>
            <w:tcW w:w="3820" w:type="dxa"/>
            <w:vAlign w:val="bottom"/>
            <w:shd w:val="clear" w:color="auto" w:fill="BF2115"/>
          </w:tcPr>
          <w:p>
            <w:pPr>
              <w:spacing w:after="0"/>
              <w:rPr>
                <w:sz w:val="21"/>
                <w:szCs w:val="21"/>
                <w:color w:val="auto"/>
              </w:rPr>
            </w:pPr>
          </w:p>
        </w:tc>
        <w:tc>
          <w:tcPr>
            <w:tcW w:w="1720" w:type="dxa"/>
            <w:vAlign w:val="bottom"/>
            <w:gridSpan w:val="2"/>
            <w:shd w:val="clear" w:color="auto" w:fill="BF2115"/>
          </w:tcPr>
          <w:p>
            <w:pPr>
              <w:jc w:val="right"/>
              <w:ind w:right="139"/>
              <w:spacing w:after="0"/>
              <w:rPr>
                <w:sz w:val="20"/>
                <w:szCs w:val="20"/>
                <w:color w:val="auto"/>
              </w:rPr>
            </w:pPr>
            <w:r>
              <w:rPr>
                <w:rFonts w:ascii="Arial" w:cs="Arial" w:eastAsia="Arial" w:hAnsi="Arial"/>
                <w:sz w:val="16"/>
                <w:szCs w:val="16"/>
                <w:color w:val="FFFFFF"/>
              </w:rPr>
              <w:t>Fiscal 2019 Eligible</w:t>
            </w:r>
          </w:p>
        </w:tc>
        <w:tc>
          <w:tcPr>
            <w:tcW w:w="1400" w:type="dxa"/>
            <w:vAlign w:val="bottom"/>
            <w:shd w:val="clear" w:color="auto" w:fill="BF2115"/>
          </w:tcPr>
          <w:p>
            <w:pPr>
              <w:spacing w:after="0"/>
              <w:rPr>
                <w:sz w:val="21"/>
                <w:szCs w:val="21"/>
                <w:color w:val="auto"/>
              </w:rPr>
            </w:pPr>
          </w:p>
        </w:tc>
        <w:tc>
          <w:tcPr>
            <w:tcW w:w="180" w:type="dxa"/>
            <w:vAlign w:val="bottom"/>
            <w:shd w:val="clear" w:color="auto" w:fill="BF2115"/>
          </w:tcPr>
          <w:p>
            <w:pPr>
              <w:spacing w:after="0"/>
              <w:rPr>
                <w:sz w:val="21"/>
                <w:szCs w:val="21"/>
                <w:color w:val="auto"/>
              </w:rPr>
            </w:pPr>
          </w:p>
        </w:tc>
        <w:tc>
          <w:tcPr>
            <w:tcW w:w="1420" w:type="dxa"/>
            <w:vAlign w:val="bottom"/>
            <w:shd w:val="clear" w:color="auto" w:fill="BF2115"/>
          </w:tcPr>
          <w:p>
            <w:pPr>
              <w:spacing w:after="0"/>
              <w:rPr>
                <w:sz w:val="21"/>
                <w:szCs w:val="21"/>
                <w:color w:val="auto"/>
              </w:rPr>
            </w:pPr>
          </w:p>
        </w:tc>
        <w:tc>
          <w:tcPr>
            <w:tcW w:w="1720" w:type="dxa"/>
            <w:vAlign w:val="bottom"/>
            <w:shd w:val="clear" w:color="auto" w:fill="BF2115"/>
          </w:tcPr>
          <w:p>
            <w:pPr>
              <w:spacing w:after="0"/>
              <w:rPr>
                <w:sz w:val="21"/>
                <w:szCs w:val="21"/>
                <w:color w:val="auto"/>
              </w:rPr>
            </w:pPr>
          </w:p>
        </w:tc>
        <w:tc>
          <w:tcPr>
            <w:tcW w:w="1160" w:type="dxa"/>
            <w:vAlign w:val="bottom"/>
            <w:shd w:val="clear" w:color="auto" w:fill="BF2115"/>
          </w:tcPr>
          <w:p>
            <w:pPr>
              <w:spacing w:after="0"/>
              <w:rPr>
                <w:sz w:val="21"/>
                <w:szCs w:val="21"/>
                <w:color w:val="auto"/>
              </w:rPr>
            </w:pPr>
          </w:p>
        </w:tc>
      </w:tr>
      <w:tr>
        <w:trPr>
          <w:trHeight w:val="214"/>
        </w:trPr>
        <w:tc>
          <w:tcPr>
            <w:tcW w:w="3820" w:type="dxa"/>
            <w:vAlign w:val="bottom"/>
            <w:shd w:val="clear" w:color="auto" w:fill="BF2115"/>
          </w:tcPr>
          <w:p>
            <w:pPr>
              <w:ind w:left="40"/>
              <w:spacing w:after="0"/>
              <w:rPr>
                <w:sz w:val="20"/>
                <w:szCs w:val="20"/>
                <w:color w:val="auto"/>
              </w:rPr>
            </w:pPr>
            <w:r>
              <w:rPr>
                <w:rFonts w:ascii="Arial" w:cs="Arial" w:eastAsia="Arial" w:hAnsi="Arial"/>
                <w:sz w:val="16"/>
                <w:szCs w:val="16"/>
                <w:color w:val="FFFFFF"/>
              </w:rPr>
              <w:t>Name</w:t>
            </w:r>
          </w:p>
        </w:tc>
        <w:tc>
          <w:tcPr>
            <w:tcW w:w="300" w:type="dxa"/>
            <w:vAlign w:val="bottom"/>
            <w:shd w:val="clear" w:color="auto" w:fill="BF2115"/>
          </w:tcPr>
          <w:p>
            <w:pPr>
              <w:spacing w:after="0"/>
              <w:rPr>
                <w:sz w:val="18"/>
                <w:szCs w:val="18"/>
                <w:color w:val="auto"/>
              </w:rPr>
            </w:pPr>
          </w:p>
        </w:tc>
        <w:tc>
          <w:tcPr>
            <w:tcW w:w="1420" w:type="dxa"/>
            <w:vAlign w:val="bottom"/>
            <w:shd w:val="clear" w:color="auto" w:fill="BF2115"/>
          </w:tcPr>
          <w:p>
            <w:pPr>
              <w:jc w:val="right"/>
              <w:ind w:right="519"/>
              <w:spacing w:after="0"/>
              <w:rPr>
                <w:sz w:val="20"/>
                <w:szCs w:val="20"/>
                <w:color w:val="auto"/>
              </w:rPr>
            </w:pPr>
            <w:r>
              <w:rPr>
                <w:rFonts w:ascii="Arial" w:cs="Arial" w:eastAsia="Arial" w:hAnsi="Arial"/>
                <w:sz w:val="16"/>
                <w:szCs w:val="16"/>
                <w:color w:val="FFFFFF"/>
              </w:rPr>
              <w:t>Earnings</w:t>
            </w:r>
          </w:p>
        </w:tc>
        <w:tc>
          <w:tcPr>
            <w:tcW w:w="1400" w:type="dxa"/>
            <w:vAlign w:val="bottom"/>
            <w:shd w:val="clear" w:color="auto" w:fill="BF2115"/>
          </w:tcPr>
          <w:p>
            <w:pPr>
              <w:jc w:val="right"/>
              <w:ind w:right="259"/>
              <w:spacing w:after="0"/>
              <w:rPr>
                <w:sz w:val="20"/>
                <w:szCs w:val="20"/>
                <w:color w:val="auto"/>
              </w:rPr>
            </w:pPr>
            <w:r>
              <w:rPr>
                <w:rFonts w:ascii="Arial" w:cs="Arial" w:eastAsia="Arial" w:hAnsi="Arial"/>
                <w:sz w:val="16"/>
                <w:szCs w:val="16"/>
                <w:color w:val="FFFFFF"/>
              </w:rPr>
              <w:t>% of Salary</w:t>
            </w:r>
          </w:p>
        </w:tc>
        <w:tc>
          <w:tcPr>
            <w:tcW w:w="180" w:type="dxa"/>
            <w:vAlign w:val="bottom"/>
            <w:shd w:val="clear" w:color="auto" w:fill="BF2115"/>
          </w:tcPr>
          <w:p>
            <w:pPr>
              <w:spacing w:after="0"/>
              <w:rPr>
                <w:sz w:val="18"/>
                <w:szCs w:val="18"/>
                <w:color w:val="auto"/>
              </w:rPr>
            </w:pPr>
          </w:p>
        </w:tc>
        <w:tc>
          <w:tcPr>
            <w:tcW w:w="1420" w:type="dxa"/>
            <w:vAlign w:val="bottom"/>
            <w:shd w:val="clear" w:color="auto" w:fill="BF2115"/>
          </w:tcPr>
          <w:p>
            <w:pPr>
              <w:jc w:val="right"/>
              <w:ind w:right="299"/>
              <w:spacing w:after="0"/>
              <w:rPr>
                <w:sz w:val="20"/>
                <w:szCs w:val="20"/>
                <w:color w:val="auto"/>
              </w:rPr>
            </w:pPr>
            <w:r>
              <w:rPr>
                <w:rFonts w:ascii="Arial" w:cs="Arial" w:eastAsia="Arial" w:hAnsi="Arial"/>
                <w:sz w:val="16"/>
                <w:szCs w:val="16"/>
                <w:color w:val="FFFFFF"/>
              </w:rPr>
              <w:t>Target Award</w:t>
            </w:r>
          </w:p>
        </w:tc>
        <w:tc>
          <w:tcPr>
            <w:tcW w:w="1720" w:type="dxa"/>
            <w:vAlign w:val="bottom"/>
            <w:shd w:val="clear" w:color="auto" w:fill="BF2115"/>
          </w:tcPr>
          <w:p>
            <w:pPr>
              <w:ind w:left="240"/>
              <w:spacing w:after="0"/>
              <w:rPr>
                <w:sz w:val="20"/>
                <w:szCs w:val="20"/>
                <w:color w:val="auto"/>
              </w:rPr>
            </w:pPr>
            <w:r>
              <w:rPr>
                <w:rFonts w:ascii="Arial" w:cs="Arial" w:eastAsia="Arial" w:hAnsi="Arial"/>
                <w:sz w:val="16"/>
                <w:szCs w:val="16"/>
                <w:color w:val="FFFFFF"/>
              </w:rPr>
              <w:t>% of Target</w:t>
            </w:r>
          </w:p>
        </w:tc>
        <w:tc>
          <w:tcPr>
            <w:tcW w:w="1160" w:type="dxa"/>
            <w:vAlign w:val="bottom"/>
            <w:shd w:val="clear" w:color="auto" w:fill="BF2115"/>
          </w:tcPr>
          <w:p>
            <w:pPr>
              <w:jc w:val="right"/>
              <w:ind w:right="419"/>
              <w:spacing w:after="0"/>
              <w:rPr>
                <w:sz w:val="20"/>
                <w:szCs w:val="20"/>
                <w:color w:val="auto"/>
              </w:rPr>
            </w:pPr>
            <w:r>
              <w:rPr>
                <w:rFonts w:ascii="Arial" w:cs="Arial" w:eastAsia="Arial" w:hAnsi="Arial"/>
                <w:sz w:val="16"/>
                <w:szCs w:val="16"/>
                <w:color w:val="FFFFFF"/>
              </w:rPr>
              <w:t>Award</w:t>
            </w:r>
          </w:p>
        </w:tc>
      </w:tr>
      <w:tr>
        <w:trPr>
          <w:trHeight w:val="243"/>
        </w:trPr>
        <w:tc>
          <w:tcPr>
            <w:tcW w:w="3820" w:type="dxa"/>
            <w:vAlign w:val="bottom"/>
            <w:shd w:val="clear" w:color="auto" w:fill="ACACAC"/>
          </w:tcPr>
          <w:p>
            <w:pPr>
              <w:ind w:left="40"/>
              <w:spacing w:after="0"/>
              <w:rPr>
                <w:sz w:val="20"/>
                <w:szCs w:val="20"/>
                <w:color w:val="auto"/>
              </w:rPr>
            </w:pPr>
            <w:r>
              <w:rPr>
                <w:rFonts w:ascii="Arial" w:cs="Arial" w:eastAsia="Arial" w:hAnsi="Arial"/>
                <w:sz w:val="16"/>
                <w:szCs w:val="16"/>
                <w:color w:val="auto"/>
              </w:rPr>
              <w:t>Michael J. Happe</w:t>
            </w:r>
          </w:p>
        </w:tc>
        <w:tc>
          <w:tcPr>
            <w:tcW w:w="300" w:type="dxa"/>
            <w:vAlign w:val="bottom"/>
            <w:shd w:val="clear" w:color="auto" w:fill="ACACAC"/>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ACACAC"/>
          </w:tcPr>
          <w:p>
            <w:pPr>
              <w:jc w:val="right"/>
              <w:ind w:right="159"/>
              <w:spacing w:after="0"/>
              <w:rPr>
                <w:sz w:val="20"/>
                <w:szCs w:val="20"/>
                <w:color w:val="auto"/>
              </w:rPr>
            </w:pPr>
            <w:r>
              <w:rPr>
                <w:rFonts w:ascii="Arial" w:cs="Arial" w:eastAsia="Arial" w:hAnsi="Arial"/>
                <w:sz w:val="16"/>
                <w:szCs w:val="16"/>
                <w:color w:val="auto"/>
              </w:rPr>
              <w:t>691,346</w:t>
            </w:r>
          </w:p>
        </w:tc>
        <w:tc>
          <w:tcPr>
            <w:tcW w:w="140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ACACAC"/>
          </w:tcPr>
          <w:p>
            <w:pPr>
              <w:jc w:val="right"/>
              <w:ind w:right="159"/>
              <w:spacing w:after="0"/>
              <w:rPr>
                <w:sz w:val="20"/>
                <w:szCs w:val="20"/>
                <w:color w:val="auto"/>
              </w:rPr>
            </w:pPr>
            <w:r>
              <w:rPr>
                <w:rFonts w:ascii="Arial" w:cs="Arial" w:eastAsia="Arial" w:hAnsi="Arial"/>
                <w:sz w:val="16"/>
                <w:szCs w:val="16"/>
                <w:color w:val="auto"/>
              </w:rPr>
              <w:t>691,346</w:t>
            </w:r>
          </w:p>
        </w:tc>
        <w:tc>
          <w:tcPr>
            <w:tcW w:w="1720" w:type="dxa"/>
            <w:vAlign w:val="bottom"/>
            <w:shd w:val="clear" w:color="auto" w:fill="ACACAC"/>
          </w:tcPr>
          <w:p>
            <w:pPr>
              <w:ind w:left="920"/>
              <w:spacing w:after="0"/>
              <w:rPr>
                <w:sz w:val="20"/>
                <w:szCs w:val="20"/>
                <w:color w:val="auto"/>
              </w:rPr>
            </w:pPr>
            <w:r>
              <w:rPr>
                <w:rFonts w:ascii="Arial" w:cs="Arial" w:eastAsia="Arial" w:hAnsi="Arial"/>
                <w:sz w:val="16"/>
                <w:szCs w:val="16"/>
                <w:color w:val="auto"/>
              </w:rPr>
              <w:t>21.7% $</w:t>
            </w:r>
          </w:p>
        </w:tc>
        <w:tc>
          <w:tcPr>
            <w:tcW w:w="116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150,000</w:t>
            </w:r>
          </w:p>
        </w:tc>
      </w:tr>
      <w:tr>
        <w:trPr>
          <w:trHeight w:val="243"/>
        </w:trPr>
        <w:tc>
          <w:tcPr>
            <w:tcW w:w="3820" w:type="dxa"/>
            <w:vAlign w:val="bottom"/>
          </w:tcPr>
          <w:p>
            <w:pPr>
              <w:ind w:left="40"/>
              <w:spacing w:after="0"/>
              <w:rPr>
                <w:sz w:val="20"/>
                <w:szCs w:val="20"/>
                <w:color w:val="auto"/>
              </w:rPr>
            </w:pPr>
            <w:r>
              <w:rPr>
                <w:rFonts w:ascii="Arial" w:cs="Arial" w:eastAsia="Arial" w:hAnsi="Arial"/>
                <w:sz w:val="16"/>
                <w:szCs w:val="16"/>
                <w:color w:val="auto"/>
              </w:rPr>
              <w:t>Bryan L. Hughes</w:t>
            </w:r>
            <w:r>
              <w:rPr>
                <w:rFonts w:ascii="Arial" w:cs="Arial" w:eastAsia="Arial" w:hAnsi="Arial"/>
                <w:sz w:val="21"/>
                <w:szCs w:val="21"/>
                <w:color w:val="auto"/>
                <w:vertAlign w:val="superscript"/>
              </w:rPr>
              <w:t>(1)(2)</w:t>
            </w:r>
          </w:p>
        </w:tc>
        <w:tc>
          <w:tcPr>
            <w:tcW w:w="300" w:type="dxa"/>
            <w:vAlign w:val="bottom"/>
          </w:tcPr>
          <w:p>
            <w:pPr>
              <w:spacing w:after="0"/>
              <w:rPr>
                <w:sz w:val="21"/>
                <w:szCs w:val="21"/>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473,183</w:t>
            </w:r>
          </w:p>
        </w:tc>
        <w:tc>
          <w:tcPr>
            <w:tcW w:w="1400" w:type="dxa"/>
            <w:vAlign w:val="bottom"/>
          </w:tcPr>
          <w:p>
            <w:pPr>
              <w:jc w:val="right"/>
              <w:spacing w:after="0"/>
              <w:rPr>
                <w:sz w:val="20"/>
                <w:szCs w:val="20"/>
                <w:color w:val="auto"/>
              </w:rPr>
            </w:pPr>
            <w:r>
              <w:rPr>
                <w:rFonts w:ascii="Arial" w:cs="Arial" w:eastAsia="Arial" w:hAnsi="Arial"/>
                <w:sz w:val="16"/>
                <w:szCs w:val="16"/>
                <w:color w:val="auto"/>
              </w:rPr>
              <w:t>75.0%</w:t>
            </w:r>
          </w:p>
        </w:tc>
        <w:tc>
          <w:tcPr>
            <w:tcW w:w="180" w:type="dxa"/>
            <w:vAlign w:val="bottom"/>
          </w:tcPr>
          <w:p>
            <w:pPr>
              <w:spacing w:after="0"/>
              <w:rPr>
                <w:sz w:val="21"/>
                <w:szCs w:val="21"/>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354,887</w:t>
            </w:r>
          </w:p>
        </w:tc>
        <w:tc>
          <w:tcPr>
            <w:tcW w:w="1720" w:type="dxa"/>
            <w:vAlign w:val="bottom"/>
          </w:tcPr>
          <w:p>
            <w:pPr>
              <w:ind w:left="920"/>
              <w:spacing w:after="0"/>
              <w:rPr>
                <w:sz w:val="20"/>
                <w:szCs w:val="20"/>
                <w:color w:val="auto"/>
              </w:rPr>
            </w:pPr>
            <w:r>
              <w:rPr>
                <w:rFonts w:ascii="Arial" w:cs="Arial" w:eastAsia="Arial" w:hAnsi="Arial"/>
                <w:sz w:val="16"/>
                <w:szCs w:val="16"/>
                <w:color w:val="auto"/>
              </w:rPr>
              <w:t>27.8%</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98,723</w:t>
            </w:r>
          </w:p>
        </w:tc>
      </w:tr>
      <w:tr>
        <w:trPr>
          <w:trHeight w:val="243"/>
        </w:trPr>
        <w:tc>
          <w:tcPr>
            <w:tcW w:w="3820" w:type="dxa"/>
            <w:vAlign w:val="bottom"/>
            <w:shd w:val="clear" w:color="auto" w:fill="ACACAC"/>
          </w:tcPr>
          <w:p>
            <w:pPr>
              <w:ind w:left="40"/>
              <w:spacing w:after="0"/>
              <w:rPr>
                <w:sz w:val="20"/>
                <w:szCs w:val="20"/>
                <w:color w:val="auto"/>
              </w:rPr>
            </w:pPr>
            <w:r>
              <w:rPr>
                <w:rFonts w:ascii="Arial" w:cs="Arial" w:eastAsia="Arial" w:hAnsi="Arial"/>
                <w:sz w:val="16"/>
                <w:szCs w:val="16"/>
                <w:color w:val="auto"/>
              </w:rPr>
              <w:t>Stacy L. Bogart</w:t>
            </w:r>
          </w:p>
        </w:tc>
        <w:tc>
          <w:tcPr>
            <w:tcW w:w="300" w:type="dxa"/>
            <w:vAlign w:val="bottom"/>
            <w:shd w:val="clear" w:color="auto" w:fill="ACACAC"/>
          </w:tcPr>
          <w:p>
            <w:pPr>
              <w:spacing w:after="0"/>
              <w:rPr>
                <w:sz w:val="21"/>
                <w:szCs w:val="21"/>
                <w:color w:val="auto"/>
              </w:rPr>
            </w:pPr>
          </w:p>
        </w:tc>
        <w:tc>
          <w:tcPr>
            <w:tcW w:w="1420" w:type="dxa"/>
            <w:vAlign w:val="bottom"/>
            <w:shd w:val="clear" w:color="auto" w:fill="ACACAC"/>
          </w:tcPr>
          <w:p>
            <w:pPr>
              <w:jc w:val="right"/>
              <w:ind w:right="159"/>
              <w:spacing w:after="0"/>
              <w:rPr>
                <w:sz w:val="20"/>
                <w:szCs w:val="20"/>
                <w:color w:val="auto"/>
              </w:rPr>
            </w:pPr>
            <w:r>
              <w:rPr>
                <w:rFonts w:ascii="Arial" w:cs="Arial" w:eastAsia="Arial" w:hAnsi="Arial"/>
                <w:sz w:val="16"/>
                <w:szCs w:val="16"/>
                <w:color w:val="auto"/>
              </w:rPr>
              <w:t>423,173</w:t>
            </w:r>
          </w:p>
        </w:tc>
        <w:tc>
          <w:tcPr>
            <w:tcW w:w="1400" w:type="dxa"/>
            <w:vAlign w:val="bottom"/>
            <w:shd w:val="clear" w:color="auto" w:fill="ACACAC"/>
          </w:tcPr>
          <w:p>
            <w:pPr>
              <w:jc w:val="right"/>
              <w:spacing w:after="0"/>
              <w:rPr>
                <w:sz w:val="20"/>
                <w:szCs w:val="20"/>
                <w:color w:val="auto"/>
              </w:rPr>
            </w:pPr>
            <w:r>
              <w:rPr>
                <w:rFonts w:ascii="Arial" w:cs="Arial" w:eastAsia="Arial" w:hAnsi="Arial"/>
                <w:sz w:val="16"/>
                <w:szCs w:val="16"/>
                <w:color w:val="auto"/>
              </w:rPr>
              <w:t>60.0%</w:t>
            </w:r>
          </w:p>
        </w:tc>
        <w:tc>
          <w:tcPr>
            <w:tcW w:w="180" w:type="dxa"/>
            <w:vAlign w:val="bottom"/>
            <w:shd w:val="clear" w:color="auto" w:fill="ACACAC"/>
          </w:tcPr>
          <w:p>
            <w:pPr>
              <w:spacing w:after="0"/>
              <w:rPr>
                <w:sz w:val="21"/>
                <w:szCs w:val="21"/>
                <w:color w:val="auto"/>
              </w:rPr>
            </w:pPr>
          </w:p>
        </w:tc>
        <w:tc>
          <w:tcPr>
            <w:tcW w:w="1420" w:type="dxa"/>
            <w:vAlign w:val="bottom"/>
            <w:shd w:val="clear" w:color="auto" w:fill="ACACAC"/>
          </w:tcPr>
          <w:p>
            <w:pPr>
              <w:jc w:val="right"/>
              <w:ind w:right="159"/>
              <w:spacing w:after="0"/>
              <w:rPr>
                <w:sz w:val="20"/>
                <w:szCs w:val="20"/>
                <w:color w:val="auto"/>
              </w:rPr>
            </w:pPr>
            <w:r>
              <w:rPr>
                <w:rFonts w:ascii="Arial" w:cs="Arial" w:eastAsia="Arial" w:hAnsi="Arial"/>
                <w:sz w:val="16"/>
                <w:szCs w:val="16"/>
                <w:color w:val="auto"/>
              </w:rPr>
              <w:t>253,904</w:t>
            </w:r>
          </w:p>
        </w:tc>
        <w:tc>
          <w:tcPr>
            <w:tcW w:w="1720" w:type="dxa"/>
            <w:vAlign w:val="bottom"/>
            <w:shd w:val="clear" w:color="auto" w:fill="ACACAC"/>
          </w:tcPr>
          <w:p>
            <w:pPr>
              <w:ind w:left="920"/>
              <w:spacing w:after="0"/>
              <w:rPr>
                <w:sz w:val="20"/>
                <w:szCs w:val="20"/>
                <w:color w:val="auto"/>
              </w:rPr>
            </w:pPr>
            <w:r>
              <w:rPr>
                <w:rFonts w:ascii="Arial" w:cs="Arial" w:eastAsia="Arial" w:hAnsi="Arial"/>
                <w:sz w:val="16"/>
                <w:szCs w:val="16"/>
                <w:color w:val="auto"/>
              </w:rPr>
              <w:t>28.0%</w:t>
            </w:r>
          </w:p>
        </w:tc>
        <w:tc>
          <w:tcPr>
            <w:tcW w:w="116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70,975</w:t>
            </w:r>
          </w:p>
        </w:tc>
      </w:tr>
      <w:tr>
        <w:trPr>
          <w:trHeight w:val="243"/>
        </w:trPr>
        <w:tc>
          <w:tcPr>
            <w:tcW w:w="3820" w:type="dxa"/>
            <w:vAlign w:val="bottom"/>
          </w:tcPr>
          <w:p>
            <w:pPr>
              <w:ind w:left="40"/>
              <w:spacing w:after="0"/>
              <w:rPr>
                <w:sz w:val="20"/>
                <w:szCs w:val="20"/>
                <w:color w:val="auto"/>
              </w:rPr>
            </w:pPr>
            <w:r>
              <w:rPr>
                <w:rFonts w:ascii="Arial" w:cs="Arial" w:eastAsia="Arial" w:hAnsi="Arial"/>
                <w:sz w:val="16"/>
                <w:szCs w:val="16"/>
                <w:color w:val="auto"/>
              </w:rPr>
              <w:t>Donald J. Clark</w:t>
            </w:r>
            <w:r>
              <w:rPr>
                <w:rFonts w:ascii="Arial" w:cs="Arial" w:eastAsia="Arial" w:hAnsi="Arial"/>
                <w:sz w:val="21"/>
                <w:szCs w:val="21"/>
                <w:color w:val="auto"/>
                <w:vertAlign w:val="superscript"/>
              </w:rPr>
              <w:t>(3)</w:t>
            </w:r>
          </w:p>
        </w:tc>
        <w:tc>
          <w:tcPr>
            <w:tcW w:w="300" w:type="dxa"/>
            <w:vAlign w:val="bottom"/>
          </w:tcPr>
          <w:p>
            <w:pPr>
              <w:spacing w:after="0"/>
              <w:rPr>
                <w:sz w:val="21"/>
                <w:szCs w:val="21"/>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N/A</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21"/>
                <w:szCs w:val="21"/>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N/A</w:t>
            </w:r>
          </w:p>
        </w:tc>
        <w:tc>
          <w:tcPr>
            <w:tcW w:w="1720" w:type="dxa"/>
            <w:vAlign w:val="bottom"/>
          </w:tcPr>
          <w:p>
            <w:pPr>
              <w:ind w:left="960"/>
              <w:spacing w:after="0"/>
              <w:rPr>
                <w:sz w:val="20"/>
                <w:szCs w:val="20"/>
                <w:color w:val="auto"/>
              </w:rPr>
            </w:pPr>
            <w:r>
              <w:rPr>
                <w:rFonts w:ascii="Arial" w:cs="Arial" w:eastAsia="Arial" w:hAnsi="Arial"/>
                <w:sz w:val="16"/>
                <w:szCs w:val="16"/>
                <w:color w:val="auto"/>
              </w:rPr>
              <w:t>N/A</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N/A</w:t>
            </w:r>
          </w:p>
        </w:tc>
      </w:tr>
      <w:tr>
        <w:trPr>
          <w:trHeight w:val="243"/>
        </w:trPr>
        <w:tc>
          <w:tcPr>
            <w:tcW w:w="3820" w:type="dxa"/>
            <w:vAlign w:val="bottom"/>
            <w:shd w:val="clear" w:color="auto" w:fill="ACACAC"/>
          </w:tcPr>
          <w:p>
            <w:pPr>
              <w:ind w:left="40"/>
              <w:spacing w:after="0"/>
              <w:rPr>
                <w:sz w:val="20"/>
                <w:szCs w:val="20"/>
                <w:color w:val="auto"/>
              </w:rPr>
            </w:pPr>
            <w:r>
              <w:rPr>
                <w:rFonts w:ascii="Arial" w:cs="Arial" w:eastAsia="Arial" w:hAnsi="Arial"/>
                <w:sz w:val="16"/>
                <w:szCs w:val="16"/>
                <w:color w:val="auto"/>
              </w:rPr>
              <w:t>Brian D. Hazelton</w:t>
            </w:r>
          </w:p>
        </w:tc>
        <w:tc>
          <w:tcPr>
            <w:tcW w:w="300" w:type="dxa"/>
            <w:vAlign w:val="bottom"/>
            <w:shd w:val="clear" w:color="auto" w:fill="ACACAC"/>
          </w:tcPr>
          <w:p>
            <w:pPr>
              <w:spacing w:after="0"/>
              <w:rPr>
                <w:sz w:val="21"/>
                <w:szCs w:val="21"/>
                <w:color w:val="auto"/>
              </w:rPr>
            </w:pPr>
          </w:p>
        </w:tc>
        <w:tc>
          <w:tcPr>
            <w:tcW w:w="1420" w:type="dxa"/>
            <w:vAlign w:val="bottom"/>
            <w:shd w:val="clear" w:color="auto" w:fill="ACACAC"/>
          </w:tcPr>
          <w:p>
            <w:pPr>
              <w:jc w:val="right"/>
              <w:ind w:right="159"/>
              <w:spacing w:after="0"/>
              <w:rPr>
                <w:sz w:val="20"/>
                <w:szCs w:val="20"/>
                <w:color w:val="auto"/>
              </w:rPr>
            </w:pPr>
            <w:r>
              <w:rPr>
                <w:rFonts w:ascii="Arial" w:cs="Arial" w:eastAsia="Arial" w:hAnsi="Arial"/>
                <w:sz w:val="16"/>
                <w:szCs w:val="16"/>
                <w:color w:val="auto"/>
              </w:rPr>
              <w:t>477,400</w:t>
            </w:r>
          </w:p>
        </w:tc>
        <w:tc>
          <w:tcPr>
            <w:tcW w:w="1400" w:type="dxa"/>
            <w:vAlign w:val="bottom"/>
            <w:shd w:val="clear" w:color="auto" w:fill="ACACAC"/>
          </w:tcPr>
          <w:p>
            <w:pPr>
              <w:jc w:val="right"/>
              <w:spacing w:after="0"/>
              <w:rPr>
                <w:sz w:val="20"/>
                <w:szCs w:val="20"/>
                <w:color w:val="auto"/>
              </w:rPr>
            </w:pPr>
            <w:r>
              <w:rPr>
                <w:rFonts w:ascii="Arial" w:cs="Arial" w:eastAsia="Arial" w:hAnsi="Arial"/>
                <w:sz w:val="16"/>
                <w:szCs w:val="16"/>
                <w:color w:val="auto"/>
              </w:rPr>
              <w:t>65.0%</w:t>
            </w:r>
          </w:p>
        </w:tc>
        <w:tc>
          <w:tcPr>
            <w:tcW w:w="180" w:type="dxa"/>
            <w:vAlign w:val="bottom"/>
            <w:shd w:val="clear" w:color="auto" w:fill="ACACAC"/>
          </w:tcPr>
          <w:p>
            <w:pPr>
              <w:spacing w:after="0"/>
              <w:rPr>
                <w:sz w:val="21"/>
                <w:szCs w:val="21"/>
                <w:color w:val="auto"/>
              </w:rPr>
            </w:pPr>
          </w:p>
        </w:tc>
        <w:tc>
          <w:tcPr>
            <w:tcW w:w="1420" w:type="dxa"/>
            <w:vAlign w:val="bottom"/>
            <w:shd w:val="clear" w:color="auto" w:fill="ACACAC"/>
          </w:tcPr>
          <w:p>
            <w:pPr>
              <w:jc w:val="right"/>
              <w:ind w:right="159"/>
              <w:spacing w:after="0"/>
              <w:rPr>
                <w:sz w:val="20"/>
                <w:szCs w:val="20"/>
                <w:color w:val="auto"/>
              </w:rPr>
            </w:pPr>
            <w:r>
              <w:rPr>
                <w:rFonts w:ascii="Arial" w:cs="Arial" w:eastAsia="Arial" w:hAnsi="Arial"/>
                <w:sz w:val="16"/>
                <w:szCs w:val="16"/>
                <w:color w:val="auto"/>
              </w:rPr>
              <w:t>310,310</w:t>
            </w:r>
          </w:p>
        </w:tc>
        <w:tc>
          <w:tcPr>
            <w:tcW w:w="1720" w:type="dxa"/>
            <w:vAlign w:val="bottom"/>
            <w:shd w:val="clear" w:color="auto" w:fill="ACACAC"/>
          </w:tcPr>
          <w:p>
            <w:pPr>
              <w:ind w:left="920"/>
              <w:spacing w:after="0"/>
              <w:rPr>
                <w:sz w:val="20"/>
                <w:szCs w:val="20"/>
                <w:color w:val="auto"/>
              </w:rPr>
            </w:pPr>
            <w:r>
              <w:rPr>
                <w:rFonts w:ascii="Arial" w:cs="Arial" w:eastAsia="Arial" w:hAnsi="Arial"/>
                <w:sz w:val="16"/>
                <w:szCs w:val="16"/>
                <w:color w:val="auto"/>
              </w:rPr>
              <w:t>15.0%</w:t>
            </w:r>
          </w:p>
        </w:tc>
        <w:tc>
          <w:tcPr>
            <w:tcW w:w="116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46,546</w:t>
            </w:r>
          </w:p>
        </w:tc>
      </w:tr>
    </w:tbl>
    <w:p>
      <w:pPr>
        <w:spacing w:after="0" w:line="48"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Mr. Hughes' bonus target percentage increased from 70% to 75% for Fiscal 2019.</w:t>
      </w:r>
    </w:p>
    <w:p>
      <w:pPr>
        <w:spacing w:after="0" w:line="52" w:lineRule="exact"/>
        <w:rPr>
          <w:rFonts w:ascii="Arial" w:cs="Arial" w:eastAsia="Arial" w:hAnsi="Arial"/>
          <w:sz w:val="13"/>
          <w:szCs w:val="13"/>
          <w:color w:val="auto"/>
        </w:rPr>
      </w:pPr>
    </w:p>
    <w:p>
      <w:pPr>
        <w:ind w:left="260" w:hanging="252"/>
        <w:spacing w:after="0"/>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Mr. Hughes' salary increased to $473,000 on December 30, 2018, at the time of the annual salary increase cycle, and again to $490,000 on June 1, 2019, to reflect additional responsibilities.</w:t>
      </w:r>
    </w:p>
    <w:p>
      <w:pPr>
        <w:jc w:val="both"/>
        <w:ind w:left="260" w:right="20" w:hanging="252"/>
        <w:spacing w:after="0"/>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Mr. Clark does not participate in the OICP. For Fiscal 2019, Mr. Clark received an incentive bonus of $5,160,931 under the grandfathered Grand Design Management Incentive Plan that he participates in, which is a 12.8% increase compared to his Fiscal 2018 bonus, based on the strong performance of Grand Design during Fiscal 2019. Mr. Clark's incentive under such plan is calculated as 3% of the pre-tax net income of Grand Design (before taking into account any bonus payments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color w:val="BF2115"/>
        </w:rPr>
        <w:t>Fiscal 2019 Equity Awards</w:t>
      </w:r>
    </w:p>
    <w:p>
      <w:pPr>
        <w:spacing w:after="0" w:line="28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recognize long-term incentive opportunity as an important element of the total executive compensation program for NEOs. Long-term incentives are intended to retain and motivate executives and to encourage a strong link between management objectives and shareholder long-term interests.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Fiscal 2019, we awarded long-term incentives under our 2014 Plan. We awarded equity in the form of LTIP performance share units, restricted stock units, and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828282"/>
        </w:rPr>
        <w:t>LTIP / Performance Share Units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Each year, the Committee establishes a three-year performance plan to promote our long-term growth and profitability and to attract and retain executives by providing the officers an opportunity for an incentive award consisting of performance shares of the Company's Common Stock. The amount of an NEO's performance share incentive compensation for the three-year period is calculated to be in direct linear proportion to our measured financial performance expressed as a percentage against compensation targets as approved by the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Fiscal 2019-2021 LTIP performance share units, the Committee selected the following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191770</wp:posOffset>
            </wp:positionV>
            <wp:extent cx="889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154305"/>
                    </a:xfrm>
                    <a:prstGeom prst="rect">
                      <a:avLst/>
                    </a:prstGeom>
                    <a:noFill/>
                  </pic:spPr>
                </pic:pic>
              </a:graphicData>
            </a:graphic>
          </wp:anchor>
        </w:drawing>
      </w:r>
    </w:p>
    <w:p>
      <w:pPr>
        <w:spacing w:after="0" w:line="282"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3020" w:type="dxa"/>
            <w:vAlign w:val="bottom"/>
            <w:shd w:val="clear" w:color="auto" w:fill="BF2115"/>
          </w:tcPr>
          <w:p>
            <w:pPr>
              <w:ind w:left="20"/>
              <w:spacing w:after="0"/>
              <w:rPr>
                <w:sz w:val="20"/>
                <w:szCs w:val="20"/>
                <w:color w:val="auto"/>
              </w:rPr>
            </w:pPr>
            <w:r>
              <w:rPr>
                <w:rFonts w:ascii="Arial" w:cs="Arial" w:eastAsia="Arial" w:hAnsi="Arial"/>
                <w:sz w:val="16"/>
                <w:szCs w:val="16"/>
                <w:color w:val="FFFFFF"/>
              </w:rPr>
              <w:t>Metric</w:t>
            </w:r>
          </w:p>
        </w:tc>
        <w:tc>
          <w:tcPr>
            <w:tcW w:w="1800" w:type="dxa"/>
            <w:vAlign w:val="bottom"/>
            <w:shd w:val="clear" w:color="auto" w:fill="BF2115"/>
          </w:tcPr>
          <w:p>
            <w:pPr>
              <w:ind w:left="440"/>
              <w:spacing w:after="0"/>
              <w:rPr>
                <w:sz w:val="20"/>
                <w:szCs w:val="20"/>
                <w:color w:val="auto"/>
              </w:rPr>
            </w:pPr>
            <w:r>
              <w:rPr>
                <w:rFonts w:ascii="Arial" w:cs="Arial" w:eastAsia="Arial" w:hAnsi="Arial"/>
                <w:sz w:val="16"/>
                <w:szCs w:val="16"/>
                <w:color w:val="FFFFFF"/>
              </w:rPr>
              <w:t>Weight</w:t>
            </w:r>
          </w:p>
        </w:tc>
      </w:tr>
      <w:tr>
        <w:trPr>
          <w:trHeight w:val="243"/>
        </w:trPr>
        <w:tc>
          <w:tcPr>
            <w:tcW w:w="3020" w:type="dxa"/>
            <w:vAlign w:val="bottom"/>
            <w:shd w:val="clear" w:color="auto" w:fill="ACACAC"/>
          </w:tcPr>
          <w:p>
            <w:pPr>
              <w:ind w:left="20"/>
              <w:spacing w:after="0"/>
              <w:rPr>
                <w:sz w:val="20"/>
                <w:szCs w:val="20"/>
                <w:color w:val="auto"/>
              </w:rPr>
            </w:pPr>
            <w:r>
              <w:rPr>
                <w:rFonts w:ascii="Arial" w:cs="Arial" w:eastAsia="Arial" w:hAnsi="Arial"/>
                <w:sz w:val="16"/>
                <w:szCs w:val="16"/>
                <w:color w:val="auto"/>
              </w:rPr>
              <w:t>Average Return on Invested Capital</w:t>
            </w:r>
          </w:p>
        </w:tc>
        <w:tc>
          <w:tcPr>
            <w:tcW w:w="1800" w:type="dxa"/>
            <w:vAlign w:val="bottom"/>
            <w:shd w:val="clear" w:color="auto" w:fill="ACACAC"/>
          </w:tcPr>
          <w:p>
            <w:pPr>
              <w:ind w:left="420"/>
              <w:spacing w:after="0"/>
              <w:rPr>
                <w:sz w:val="20"/>
                <w:szCs w:val="20"/>
                <w:color w:val="auto"/>
              </w:rPr>
            </w:pPr>
            <w:r>
              <w:rPr>
                <w:rFonts w:ascii="Arial" w:cs="Arial" w:eastAsia="Arial" w:hAnsi="Arial"/>
                <w:sz w:val="16"/>
                <w:szCs w:val="16"/>
                <w:color w:val="auto"/>
              </w:rPr>
              <w:t>50%</w:t>
            </w:r>
          </w:p>
        </w:tc>
      </w:tr>
      <w:tr>
        <w:trPr>
          <w:trHeight w:val="224"/>
        </w:trPr>
        <w:tc>
          <w:tcPr>
            <w:tcW w:w="3020" w:type="dxa"/>
            <w:vAlign w:val="bottom"/>
          </w:tcPr>
          <w:p>
            <w:pPr>
              <w:ind w:left="20"/>
              <w:spacing w:after="0"/>
              <w:rPr>
                <w:sz w:val="20"/>
                <w:szCs w:val="20"/>
                <w:color w:val="auto"/>
              </w:rPr>
            </w:pPr>
            <w:r>
              <w:rPr>
                <w:rFonts w:ascii="Arial" w:cs="Arial" w:eastAsia="Arial" w:hAnsi="Arial"/>
                <w:sz w:val="16"/>
                <w:szCs w:val="16"/>
                <w:color w:val="auto"/>
              </w:rPr>
              <w:t>Cumulative Diluted EPS</w:t>
            </w:r>
          </w:p>
        </w:tc>
        <w:tc>
          <w:tcPr>
            <w:tcW w:w="1800" w:type="dxa"/>
            <w:vAlign w:val="bottom"/>
          </w:tcPr>
          <w:p>
            <w:pPr>
              <w:ind w:left="420"/>
              <w:spacing w:after="0"/>
              <w:rPr>
                <w:sz w:val="20"/>
                <w:szCs w:val="20"/>
                <w:color w:val="auto"/>
              </w:rPr>
            </w:pPr>
            <w:r>
              <w:rPr>
                <w:rFonts w:ascii="Arial" w:cs="Arial" w:eastAsia="Arial" w:hAnsi="Arial"/>
                <w:sz w:val="16"/>
                <w:szCs w:val="16"/>
                <w:color w:val="auto"/>
              </w:rPr>
              <w:t>50%</w:t>
            </w:r>
          </w:p>
        </w:tc>
      </w:tr>
    </w:tbl>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number of performance shares that may be earned range from 0% to 200% of the target share amount.</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Committee determined that the LTIP performance share awards, if earned, would also be made subject to an additional one-year holding period following the grant of the shares, in order to encourage stock ownership, promote our long-term growth and profitability and mitigate risk.</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828282"/>
        </w:rPr>
        <w:t>Restricted Stock Units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NEOs were granted restricted stock units in Fiscal 2019 that vest in three equal annual installments, beginning on the first anniversary of the grant date.</w:t>
      </w:r>
    </w:p>
    <w:p>
      <w:pPr>
        <w:spacing w:after="0" w:line="179" w:lineRule="exact"/>
        <w:rPr>
          <w:sz w:val="20"/>
          <w:szCs w:val="20"/>
          <w:color w:val="auto"/>
        </w:rPr>
      </w:pPr>
    </w:p>
    <w:p>
      <w:pPr>
        <w:sectPr>
          <w:pgSz w:w="11900" w:h="16838" w:orient="portrait"/>
          <w:cols w:equalWidth="0" w:num="2">
            <w:col w:w="5480" w:space="460"/>
            <w:col w:w="5480"/>
          </w:cols>
          <w:pgMar w:left="240" w:top="303" w:right="239" w:bottom="1440" w:gutter="0" w:footer="0" w:header="0"/>
          <w:type w:val="continuous"/>
        </w:sectPr>
      </w:pP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general, the awards are based upon our financial performance as measured against the specific three-year plan established by the Committee. The Committee has established financial measurements and awards for each specific three-year plan (as defined in the following chart).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828282"/>
        </w:rPr>
        <w:t>Stock Options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NEOs were granted stock options in Fiscal 2019 that vest over three years in equal installments, beginning on the first anniversary of the grant date, and can be exercised over ten years.</w:t>
      </w:r>
    </w:p>
    <w:p>
      <w:pPr>
        <w:spacing w:after="0" w:line="200" w:lineRule="exact"/>
        <w:rPr>
          <w:sz w:val="20"/>
          <w:szCs w:val="20"/>
          <w:color w:val="auto"/>
        </w:rPr>
      </w:pPr>
    </w:p>
    <w:p>
      <w:pPr>
        <w:sectPr>
          <w:pgSz w:w="11900" w:h="16838" w:orient="portrait"/>
          <w:cols w:equalWidth="0" w:num="2">
            <w:col w:w="5480" w:space="460"/>
            <w:col w:w="5480"/>
          </w:cols>
          <w:pgMar w:left="240" w:top="303" w:right="2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303" w:right="239" w:bottom="1440" w:gutter="0" w:footer="0" w:header="0"/>
          <w:type w:val="continuous"/>
        </w:sectPr>
      </w:pPr>
    </w:p>
    <w:bookmarkStart w:id="27" w:name="page28"/>
    <w:bookmarkEnd w:id="27"/>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828282"/>
        </w:rPr>
        <w:t>Fiscal 2019 Awards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target value of the long-term incentive awards granted to the NEOs in Fiscal 2019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5746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240" w:type="dxa"/>
            <w:vAlign w:val="bottom"/>
            <w:shd w:val="clear" w:color="auto" w:fill="BF2115"/>
          </w:tcPr>
          <w:p>
            <w:pPr>
              <w:spacing w:after="0"/>
              <w:rPr>
                <w:sz w:val="21"/>
                <w:szCs w:val="21"/>
                <w:color w:val="auto"/>
              </w:rPr>
            </w:pPr>
          </w:p>
        </w:tc>
        <w:tc>
          <w:tcPr>
            <w:tcW w:w="320" w:type="dxa"/>
            <w:vAlign w:val="bottom"/>
            <w:shd w:val="clear" w:color="auto" w:fill="BF2115"/>
          </w:tcPr>
          <w:p>
            <w:pPr>
              <w:spacing w:after="0"/>
              <w:rPr>
                <w:sz w:val="21"/>
                <w:szCs w:val="21"/>
                <w:color w:val="auto"/>
              </w:rPr>
            </w:pPr>
          </w:p>
        </w:tc>
        <w:tc>
          <w:tcPr>
            <w:tcW w:w="1160" w:type="dxa"/>
            <w:vAlign w:val="bottom"/>
            <w:shd w:val="clear" w:color="auto" w:fill="BF2115"/>
          </w:tcPr>
          <w:p>
            <w:pPr>
              <w:spacing w:after="0"/>
              <w:rPr>
                <w:sz w:val="21"/>
                <w:szCs w:val="21"/>
                <w:color w:val="auto"/>
              </w:rPr>
            </w:pPr>
          </w:p>
        </w:tc>
        <w:tc>
          <w:tcPr>
            <w:tcW w:w="380" w:type="dxa"/>
            <w:vAlign w:val="bottom"/>
            <w:shd w:val="clear" w:color="auto" w:fill="BF2115"/>
          </w:tcPr>
          <w:p>
            <w:pPr>
              <w:spacing w:after="0"/>
              <w:rPr>
                <w:sz w:val="21"/>
                <w:szCs w:val="21"/>
                <w:color w:val="auto"/>
              </w:rPr>
            </w:pPr>
          </w:p>
        </w:tc>
        <w:tc>
          <w:tcPr>
            <w:tcW w:w="1300" w:type="dxa"/>
            <w:vAlign w:val="bottom"/>
            <w:shd w:val="clear" w:color="auto" w:fill="BF2115"/>
          </w:tcPr>
          <w:p>
            <w:pPr>
              <w:spacing w:after="0"/>
              <w:rPr>
                <w:sz w:val="21"/>
                <w:szCs w:val="21"/>
                <w:color w:val="auto"/>
              </w:rPr>
            </w:pPr>
          </w:p>
        </w:tc>
        <w:tc>
          <w:tcPr>
            <w:tcW w:w="180" w:type="dxa"/>
            <w:vAlign w:val="bottom"/>
            <w:shd w:val="clear" w:color="auto" w:fill="BF2115"/>
          </w:tcPr>
          <w:p>
            <w:pPr>
              <w:spacing w:after="0"/>
              <w:rPr>
                <w:sz w:val="21"/>
                <w:szCs w:val="21"/>
                <w:color w:val="auto"/>
              </w:rPr>
            </w:pPr>
          </w:p>
        </w:tc>
        <w:tc>
          <w:tcPr>
            <w:tcW w:w="1260" w:type="dxa"/>
            <w:vAlign w:val="bottom"/>
            <w:shd w:val="clear" w:color="auto" w:fill="BF2115"/>
          </w:tcPr>
          <w:p>
            <w:pPr>
              <w:spacing w:after="0"/>
              <w:rPr>
                <w:sz w:val="21"/>
                <w:szCs w:val="21"/>
                <w:color w:val="auto"/>
              </w:rPr>
            </w:pPr>
          </w:p>
        </w:tc>
        <w:tc>
          <w:tcPr>
            <w:tcW w:w="260" w:type="dxa"/>
            <w:vAlign w:val="bottom"/>
            <w:shd w:val="clear" w:color="auto" w:fill="BF2115"/>
          </w:tcPr>
          <w:p>
            <w:pPr>
              <w:spacing w:after="0"/>
              <w:rPr>
                <w:sz w:val="21"/>
                <w:szCs w:val="21"/>
                <w:color w:val="auto"/>
              </w:rPr>
            </w:pPr>
          </w:p>
        </w:tc>
        <w:tc>
          <w:tcPr>
            <w:tcW w:w="1220" w:type="dxa"/>
            <w:vAlign w:val="bottom"/>
            <w:shd w:val="clear" w:color="auto" w:fill="BF2115"/>
          </w:tcPr>
          <w:p>
            <w:pPr>
              <w:spacing w:after="0"/>
              <w:rPr>
                <w:sz w:val="21"/>
                <w:szCs w:val="21"/>
                <w:color w:val="auto"/>
              </w:rPr>
            </w:pPr>
          </w:p>
        </w:tc>
        <w:tc>
          <w:tcPr>
            <w:tcW w:w="260" w:type="dxa"/>
            <w:vAlign w:val="bottom"/>
            <w:shd w:val="clear" w:color="auto" w:fill="BF2115"/>
          </w:tcPr>
          <w:p>
            <w:pPr>
              <w:spacing w:after="0"/>
              <w:rPr>
                <w:sz w:val="21"/>
                <w:szCs w:val="21"/>
                <w:color w:val="auto"/>
              </w:rPr>
            </w:pPr>
          </w:p>
        </w:tc>
        <w:tc>
          <w:tcPr>
            <w:tcW w:w="1360" w:type="dxa"/>
            <w:vAlign w:val="bottom"/>
            <w:shd w:val="clear" w:color="auto" w:fill="BF2115"/>
          </w:tcPr>
          <w:p>
            <w:pPr>
              <w:jc w:val="right"/>
              <w:ind w:right="259"/>
              <w:spacing w:after="0"/>
              <w:rPr>
                <w:sz w:val="20"/>
                <w:szCs w:val="20"/>
                <w:color w:val="auto"/>
              </w:rPr>
            </w:pPr>
            <w:r>
              <w:rPr>
                <w:rFonts w:ascii="Arial" w:cs="Arial" w:eastAsia="Arial" w:hAnsi="Arial"/>
                <w:sz w:val="16"/>
                <w:szCs w:val="16"/>
                <w:color w:val="FFFFFF"/>
              </w:rPr>
              <w:t>Total Equity</w:t>
            </w:r>
          </w:p>
        </w:tc>
        <w:tc>
          <w:tcPr>
            <w:tcW w:w="1480" w:type="dxa"/>
            <w:vAlign w:val="bottom"/>
            <w:shd w:val="clear" w:color="auto" w:fill="BF2115"/>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2240" w:type="dxa"/>
            <w:vAlign w:val="bottom"/>
            <w:shd w:val="clear" w:color="auto" w:fill="BF2115"/>
          </w:tcPr>
          <w:p>
            <w:pPr>
              <w:spacing w:after="0"/>
              <w:rPr>
                <w:sz w:val="24"/>
                <w:szCs w:val="24"/>
                <w:color w:val="auto"/>
              </w:rPr>
            </w:pPr>
          </w:p>
        </w:tc>
        <w:tc>
          <w:tcPr>
            <w:tcW w:w="1480" w:type="dxa"/>
            <w:vAlign w:val="bottom"/>
            <w:gridSpan w:val="2"/>
            <w:shd w:val="clear" w:color="auto" w:fill="BF2115"/>
          </w:tcPr>
          <w:p>
            <w:pPr>
              <w:jc w:val="center"/>
              <w:spacing w:after="0"/>
              <w:rPr>
                <w:sz w:val="20"/>
                <w:szCs w:val="20"/>
                <w:color w:val="auto"/>
              </w:rPr>
            </w:pPr>
            <w:r>
              <w:rPr>
                <w:rFonts w:ascii="Arial" w:cs="Arial" w:eastAsia="Arial" w:hAnsi="Arial"/>
                <w:sz w:val="16"/>
                <w:szCs w:val="16"/>
                <w:color w:val="FFFFFF"/>
                <w:w w:val="99"/>
              </w:rPr>
              <w:t>LTIP / Performance</w:t>
            </w:r>
          </w:p>
        </w:tc>
        <w:tc>
          <w:tcPr>
            <w:tcW w:w="1680" w:type="dxa"/>
            <w:vAlign w:val="bottom"/>
            <w:gridSpan w:val="2"/>
            <w:shd w:val="clear" w:color="auto" w:fill="BF2115"/>
          </w:tcPr>
          <w:p>
            <w:pPr>
              <w:jc w:val="right"/>
              <w:spacing w:after="0"/>
              <w:rPr>
                <w:sz w:val="20"/>
                <w:szCs w:val="20"/>
                <w:color w:val="auto"/>
              </w:rPr>
            </w:pPr>
            <w:r>
              <w:rPr>
                <w:rFonts w:ascii="Arial" w:cs="Arial" w:eastAsia="Arial" w:hAnsi="Arial"/>
                <w:sz w:val="16"/>
                <w:szCs w:val="16"/>
                <w:color w:val="FFFFFF"/>
              </w:rPr>
              <w:t>Restricted Stock Units</w:t>
            </w:r>
          </w:p>
        </w:tc>
        <w:tc>
          <w:tcPr>
            <w:tcW w:w="180" w:type="dxa"/>
            <w:vAlign w:val="bottom"/>
            <w:shd w:val="clear" w:color="auto" w:fill="BF2115"/>
          </w:tcPr>
          <w:p>
            <w:pPr>
              <w:spacing w:after="0"/>
              <w:rPr>
                <w:sz w:val="24"/>
                <w:szCs w:val="24"/>
                <w:color w:val="auto"/>
              </w:rPr>
            </w:pPr>
          </w:p>
        </w:tc>
        <w:tc>
          <w:tcPr>
            <w:tcW w:w="1260" w:type="dxa"/>
            <w:vAlign w:val="bottom"/>
            <w:shd w:val="clear" w:color="auto" w:fill="BF2115"/>
          </w:tcPr>
          <w:p>
            <w:pPr>
              <w:jc w:val="right"/>
              <w:ind w:right="99"/>
              <w:spacing w:after="0"/>
              <w:rPr>
                <w:sz w:val="20"/>
                <w:szCs w:val="20"/>
                <w:color w:val="auto"/>
              </w:rPr>
            </w:pPr>
            <w:r>
              <w:rPr>
                <w:rFonts w:ascii="Arial" w:cs="Arial" w:eastAsia="Arial" w:hAnsi="Arial"/>
                <w:sz w:val="16"/>
                <w:szCs w:val="16"/>
                <w:color w:val="FFFFFF"/>
              </w:rPr>
              <w:t>Stock Options</w:t>
            </w:r>
          </w:p>
        </w:tc>
        <w:tc>
          <w:tcPr>
            <w:tcW w:w="260" w:type="dxa"/>
            <w:vAlign w:val="bottom"/>
            <w:shd w:val="clear" w:color="auto" w:fill="BF2115"/>
          </w:tcPr>
          <w:p>
            <w:pPr>
              <w:spacing w:after="0"/>
              <w:rPr>
                <w:sz w:val="24"/>
                <w:szCs w:val="24"/>
                <w:color w:val="auto"/>
              </w:rPr>
            </w:pPr>
          </w:p>
        </w:tc>
        <w:tc>
          <w:tcPr>
            <w:tcW w:w="1220" w:type="dxa"/>
            <w:vAlign w:val="bottom"/>
            <w:vMerge w:val="restart"/>
            <w:shd w:val="clear" w:color="auto" w:fill="BF2115"/>
          </w:tcPr>
          <w:p>
            <w:pPr>
              <w:jc w:val="right"/>
              <w:ind w:right="199"/>
              <w:spacing w:after="0"/>
              <w:rPr>
                <w:sz w:val="20"/>
                <w:szCs w:val="20"/>
                <w:color w:val="auto"/>
              </w:rPr>
            </w:pPr>
            <w:r>
              <w:rPr>
                <w:rFonts w:ascii="Arial" w:cs="Arial" w:eastAsia="Arial" w:hAnsi="Arial"/>
                <w:sz w:val="16"/>
                <w:szCs w:val="16"/>
                <w:color w:val="FFFFFF"/>
              </w:rPr>
              <w:t>Fiscal 2019</w:t>
            </w:r>
          </w:p>
        </w:tc>
        <w:tc>
          <w:tcPr>
            <w:tcW w:w="260" w:type="dxa"/>
            <w:vAlign w:val="bottom"/>
            <w:shd w:val="clear" w:color="auto" w:fill="BF2115"/>
          </w:tcPr>
          <w:p>
            <w:pPr>
              <w:spacing w:after="0"/>
              <w:rPr>
                <w:sz w:val="24"/>
                <w:szCs w:val="24"/>
                <w:color w:val="auto"/>
              </w:rPr>
            </w:pPr>
          </w:p>
        </w:tc>
        <w:tc>
          <w:tcPr>
            <w:tcW w:w="1360" w:type="dxa"/>
            <w:vAlign w:val="bottom"/>
            <w:vMerge w:val="restart"/>
            <w:shd w:val="clear" w:color="auto" w:fill="BF2115"/>
          </w:tcPr>
          <w:p>
            <w:pPr>
              <w:jc w:val="right"/>
              <w:ind w:right="339"/>
              <w:spacing w:after="0"/>
              <w:rPr>
                <w:sz w:val="20"/>
                <w:szCs w:val="20"/>
                <w:color w:val="auto"/>
              </w:rPr>
            </w:pPr>
            <w:r>
              <w:rPr>
                <w:rFonts w:ascii="Arial" w:cs="Arial" w:eastAsia="Arial" w:hAnsi="Arial"/>
                <w:sz w:val="16"/>
                <w:szCs w:val="16"/>
                <w:color w:val="FFFFFF"/>
              </w:rPr>
              <w:t>Fiscal 2018</w:t>
            </w:r>
          </w:p>
        </w:tc>
        <w:tc>
          <w:tcPr>
            <w:tcW w:w="1480" w:type="dxa"/>
            <w:vAlign w:val="bottom"/>
            <w:vMerge w:val="restart"/>
            <w:shd w:val="clear" w:color="auto" w:fill="BF2115"/>
          </w:tcPr>
          <w:p>
            <w:pPr>
              <w:jc w:val="right"/>
              <w:ind w:right="239"/>
              <w:spacing w:after="0"/>
              <w:rPr>
                <w:sz w:val="20"/>
                <w:szCs w:val="20"/>
                <w:color w:val="auto"/>
              </w:rPr>
            </w:pPr>
            <w:r>
              <w:rPr>
                <w:rFonts w:ascii="Arial" w:cs="Arial" w:eastAsia="Arial" w:hAnsi="Arial"/>
                <w:sz w:val="16"/>
                <w:szCs w:val="16"/>
                <w:color w:val="FFFFFF"/>
              </w:rPr>
              <w:t>% Increase</w:t>
            </w:r>
            <w:r>
              <w:rPr>
                <w:rFonts w:ascii="Arial" w:cs="Arial" w:eastAsia="Arial" w:hAnsi="Arial"/>
                <w:sz w:val="21"/>
                <w:szCs w:val="21"/>
                <w:color w:val="FFFFFF"/>
                <w:vertAlign w:val="superscript"/>
              </w:rPr>
              <w:t>(1)</w:t>
            </w:r>
          </w:p>
        </w:tc>
        <w:tc>
          <w:tcPr>
            <w:tcW w:w="0" w:type="dxa"/>
            <w:vAlign w:val="bottom"/>
          </w:tcPr>
          <w:p>
            <w:pPr>
              <w:spacing w:after="0"/>
              <w:rPr>
                <w:sz w:val="1"/>
                <w:szCs w:val="1"/>
                <w:color w:val="auto"/>
              </w:rPr>
            </w:pPr>
          </w:p>
        </w:tc>
      </w:tr>
      <w:tr>
        <w:trPr>
          <w:trHeight w:val="137"/>
        </w:trPr>
        <w:tc>
          <w:tcPr>
            <w:tcW w:w="2240" w:type="dxa"/>
            <w:vAlign w:val="bottom"/>
            <w:shd w:val="clear" w:color="auto" w:fill="BF2115"/>
          </w:tcPr>
          <w:p>
            <w:pPr>
              <w:spacing w:after="0"/>
              <w:rPr>
                <w:sz w:val="11"/>
                <w:szCs w:val="11"/>
                <w:color w:val="auto"/>
              </w:rPr>
            </w:pPr>
          </w:p>
        </w:tc>
        <w:tc>
          <w:tcPr>
            <w:tcW w:w="320" w:type="dxa"/>
            <w:vAlign w:val="bottom"/>
            <w:shd w:val="clear" w:color="auto" w:fill="BF2115"/>
          </w:tcPr>
          <w:p>
            <w:pPr>
              <w:spacing w:after="0"/>
              <w:rPr>
                <w:sz w:val="11"/>
                <w:szCs w:val="11"/>
                <w:color w:val="auto"/>
              </w:rPr>
            </w:pPr>
          </w:p>
        </w:tc>
        <w:tc>
          <w:tcPr>
            <w:tcW w:w="1160" w:type="dxa"/>
            <w:vAlign w:val="bottom"/>
            <w:shd w:val="clear" w:color="auto" w:fill="BF2115"/>
          </w:tcPr>
          <w:p>
            <w:pPr>
              <w:jc w:val="center"/>
              <w:ind w:right="220"/>
              <w:spacing w:after="0" w:line="137" w:lineRule="exact"/>
              <w:rPr>
                <w:sz w:val="20"/>
                <w:szCs w:val="20"/>
                <w:color w:val="auto"/>
              </w:rPr>
            </w:pPr>
            <w:r>
              <w:rPr>
                <w:rFonts w:ascii="Arial" w:cs="Arial" w:eastAsia="Arial" w:hAnsi="Arial"/>
                <w:sz w:val="15"/>
                <w:szCs w:val="15"/>
                <w:color w:val="FFFFFF"/>
              </w:rPr>
              <w:t>Shares</w:t>
            </w:r>
          </w:p>
        </w:tc>
        <w:tc>
          <w:tcPr>
            <w:tcW w:w="380" w:type="dxa"/>
            <w:vAlign w:val="bottom"/>
            <w:shd w:val="clear" w:color="auto" w:fill="BF2115"/>
          </w:tcPr>
          <w:p>
            <w:pPr>
              <w:spacing w:after="0"/>
              <w:rPr>
                <w:sz w:val="11"/>
                <w:szCs w:val="11"/>
                <w:color w:val="auto"/>
              </w:rPr>
            </w:pPr>
          </w:p>
        </w:tc>
        <w:tc>
          <w:tcPr>
            <w:tcW w:w="1300" w:type="dxa"/>
            <w:vAlign w:val="bottom"/>
            <w:vMerge w:val="restart"/>
            <w:shd w:val="clear" w:color="auto" w:fill="BF2115"/>
          </w:tcPr>
          <w:p>
            <w:pPr>
              <w:jc w:val="right"/>
              <w:ind w:right="539"/>
              <w:spacing w:after="0"/>
              <w:rPr>
                <w:sz w:val="20"/>
                <w:szCs w:val="20"/>
                <w:color w:val="auto"/>
              </w:rPr>
            </w:pPr>
            <w:r>
              <w:rPr>
                <w:rFonts w:ascii="Arial" w:cs="Arial" w:eastAsia="Arial" w:hAnsi="Arial"/>
                <w:sz w:val="16"/>
                <w:szCs w:val="16"/>
                <w:color w:val="FFFFFF"/>
              </w:rPr>
              <w:t>(25%)</w:t>
            </w:r>
          </w:p>
        </w:tc>
        <w:tc>
          <w:tcPr>
            <w:tcW w:w="180" w:type="dxa"/>
            <w:vAlign w:val="bottom"/>
            <w:shd w:val="clear" w:color="auto" w:fill="BF2115"/>
          </w:tcPr>
          <w:p>
            <w:pPr>
              <w:spacing w:after="0"/>
              <w:rPr>
                <w:sz w:val="11"/>
                <w:szCs w:val="11"/>
                <w:color w:val="auto"/>
              </w:rPr>
            </w:pPr>
          </w:p>
        </w:tc>
        <w:tc>
          <w:tcPr>
            <w:tcW w:w="1260" w:type="dxa"/>
            <w:vAlign w:val="bottom"/>
            <w:vMerge w:val="restart"/>
            <w:shd w:val="clear" w:color="auto" w:fill="BF2115"/>
          </w:tcPr>
          <w:p>
            <w:pPr>
              <w:jc w:val="right"/>
              <w:ind w:right="399"/>
              <w:spacing w:after="0"/>
              <w:rPr>
                <w:sz w:val="20"/>
                <w:szCs w:val="20"/>
                <w:color w:val="auto"/>
              </w:rPr>
            </w:pPr>
            <w:r>
              <w:rPr>
                <w:rFonts w:ascii="Arial" w:cs="Arial" w:eastAsia="Arial" w:hAnsi="Arial"/>
                <w:sz w:val="16"/>
                <w:szCs w:val="16"/>
                <w:color w:val="FFFFFF"/>
              </w:rPr>
              <w:t>(25%)</w:t>
            </w:r>
          </w:p>
        </w:tc>
        <w:tc>
          <w:tcPr>
            <w:tcW w:w="260" w:type="dxa"/>
            <w:vAlign w:val="bottom"/>
            <w:shd w:val="clear" w:color="auto" w:fill="BF2115"/>
          </w:tcPr>
          <w:p>
            <w:pPr>
              <w:spacing w:after="0"/>
              <w:rPr>
                <w:sz w:val="11"/>
                <w:szCs w:val="11"/>
                <w:color w:val="auto"/>
              </w:rPr>
            </w:pPr>
          </w:p>
        </w:tc>
        <w:tc>
          <w:tcPr>
            <w:tcW w:w="1220" w:type="dxa"/>
            <w:vAlign w:val="bottom"/>
            <w:vMerge w:val="continue"/>
            <w:shd w:val="clear" w:color="auto" w:fill="BF2115"/>
          </w:tcPr>
          <w:p>
            <w:pPr>
              <w:spacing w:after="0"/>
              <w:rPr>
                <w:sz w:val="11"/>
                <w:szCs w:val="11"/>
                <w:color w:val="auto"/>
              </w:rPr>
            </w:pPr>
          </w:p>
        </w:tc>
        <w:tc>
          <w:tcPr>
            <w:tcW w:w="260" w:type="dxa"/>
            <w:vAlign w:val="bottom"/>
            <w:shd w:val="clear" w:color="auto" w:fill="BF2115"/>
          </w:tcPr>
          <w:p>
            <w:pPr>
              <w:spacing w:after="0"/>
              <w:rPr>
                <w:sz w:val="11"/>
                <w:szCs w:val="11"/>
                <w:color w:val="auto"/>
              </w:rPr>
            </w:pPr>
          </w:p>
        </w:tc>
        <w:tc>
          <w:tcPr>
            <w:tcW w:w="1360" w:type="dxa"/>
            <w:vAlign w:val="bottom"/>
            <w:vMerge w:val="continue"/>
            <w:shd w:val="clear" w:color="auto" w:fill="BF2115"/>
          </w:tcPr>
          <w:p>
            <w:pPr>
              <w:spacing w:after="0"/>
              <w:rPr>
                <w:sz w:val="11"/>
                <w:szCs w:val="11"/>
                <w:color w:val="auto"/>
              </w:rPr>
            </w:pPr>
          </w:p>
        </w:tc>
        <w:tc>
          <w:tcPr>
            <w:tcW w:w="1480" w:type="dxa"/>
            <w:vAlign w:val="bottom"/>
            <w:vMerge w:val="continue"/>
            <w:shd w:val="clear" w:color="auto" w:fill="BF2115"/>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240" w:type="dxa"/>
            <w:vAlign w:val="bottom"/>
            <w:vMerge w:val="restart"/>
            <w:shd w:val="clear" w:color="auto" w:fill="BF2115"/>
          </w:tcPr>
          <w:p>
            <w:pPr>
              <w:ind w:left="40"/>
              <w:spacing w:after="0"/>
              <w:rPr>
                <w:sz w:val="20"/>
                <w:szCs w:val="20"/>
                <w:color w:val="auto"/>
              </w:rPr>
            </w:pPr>
            <w:r>
              <w:rPr>
                <w:rFonts w:ascii="Arial" w:cs="Arial" w:eastAsia="Arial" w:hAnsi="Arial"/>
                <w:sz w:val="16"/>
                <w:szCs w:val="16"/>
                <w:color w:val="FFFFFF"/>
              </w:rPr>
              <w:t>Name</w:t>
            </w:r>
          </w:p>
        </w:tc>
        <w:tc>
          <w:tcPr>
            <w:tcW w:w="320" w:type="dxa"/>
            <w:vAlign w:val="bottom"/>
            <w:shd w:val="clear" w:color="auto" w:fill="BF2115"/>
          </w:tcPr>
          <w:p>
            <w:pPr>
              <w:spacing w:after="0"/>
              <w:rPr>
                <w:sz w:val="8"/>
                <w:szCs w:val="8"/>
                <w:color w:val="auto"/>
              </w:rPr>
            </w:pPr>
          </w:p>
        </w:tc>
        <w:tc>
          <w:tcPr>
            <w:tcW w:w="1160" w:type="dxa"/>
            <w:vAlign w:val="bottom"/>
            <w:vMerge w:val="restart"/>
            <w:shd w:val="clear" w:color="auto" w:fill="BF2115"/>
          </w:tcPr>
          <w:p>
            <w:pPr>
              <w:jc w:val="center"/>
              <w:ind w:right="220"/>
              <w:spacing w:after="0"/>
              <w:rPr>
                <w:sz w:val="20"/>
                <w:szCs w:val="20"/>
                <w:color w:val="auto"/>
              </w:rPr>
            </w:pPr>
            <w:r>
              <w:rPr>
                <w:rFonts w:ascii="Arial" w:cs="Arial" w:eastAsia="Arial" w:hAnsi="Arial"/>
                <w:sz w:val="16"/>
                <w:szCs w:val="16"/>
                <w:color w:val="FFFFFF"/>
                <w:w w:val="98"/>
              </w:rPr>
              <w:t>(50%)</w:t>
            </w:r>
          </w:p>
        </w:tc>
        <w:tc>
          <w:tcPr>
            <w:tcW w:w="380" w:type="dxa"/>
            <w:vAlign w:val="bottom"/>
            <w:shd w:val="clear" w:color="auto" w:fill="BF2115"/>
          </w:tcPr>
          <w:p>
            <w:pPr>
              <w:spacing w:after="0"/>
              <w:rPr>
                <w:sz w:val="8"/>
                <w:szCs w:val="8"/>
                <w:color w:val="auto"/>
              </w:rPr>
            </w:pPr>
          </w:p>
        </w:tc>
        <w:tc>
          <w:tcPr>
            <w:tcW w:w="1300" w:type="dxa"/>
            <w:vAlign w:val="bottom"/>
            <w:vMerge w:val="continue"/>
            <w:shd w:val="clear" w:color="auto" w:fill="BF2115"/>
          </w:tcPr>
          <w:p>
            <w:pPr>
              <w:spacing w:after="0"/>
              <w:rPr>
                <w:sz w:val="8"/>
                <w:szCs w:val="8"/>
                <w:color w:val="auto"/>
              </w:rPr>
            </w:pPr>
          </w:p>
        </w:tc>
        <w:tc>
          <w:tcPr>
            <w:tcW w:w="180" w:type="dxa"/>
            <w:vAlign w:val="bottom"/>
            <w:shd w:val="clear" w:color="auto" w:fill="BF2115"/>
          </w:tcPr>
          <w:p>
            <w:pPr>
              <w:spacing w:after="0"/>
              <w:rPr>
                <w:sz w:val="8"/>
                <w:szCs w:val="8"/>
                <w:color w:val="auto"/>
              </w:rPr>
            </w:pPr>
          </w:p>
        </w:tc>
        <w:tc>
          <w:tcPr>
            <w:tcW w:w="1260" w:type="dxa"/>
            <w:vAlign w:val="bottom"/>
            <w:vMerge w:val="continue"/>
            <w:shd w:val="clear" w:color="auto" w:fill="BF2115"/>
          </w:tcPr>
          <w:p>
            <w:pPr>
              <w:spacing w:after="0"/>
              <w:rPr>
                <w:sz w:val="8"/>
                <w:szCs w:val="8"/>
                <w:color w:val="auto"/>
              </w:rPr>
            </w:pPr>
          </w:p>
        </w:tc>
        <w:tc>
          <w:tcPr>
            <w:tcW w:w="260" w:type="dxa"/>
            <w:vAlign w:val="bottom"/>
            <w:shd w:val="clear" w:color="auto" w:fill="BF2115"/>
          </w:tcPr>
          <w:p>
            <w:pPr>
              <w:spacing w:after="0"/>
              <w:rPr>
                <w:sz w:val="8"/>
                <w:szCs w:val="8"/>
                <w:color w:val="auto"/>
              </w:rPr>
            </w:pPr>
          </w:p>
        </w:tc>
        <w:tc>
          <w:tcPr>
            <w:tcW w:w="1220" w:type="dxa"/>
            <w:vAlign w:val="bottom"/>
            <w:shd w:val="clear" w:color="auto" w:fill="BF2115"/>
          </w:tcPr>
          <w:p>
            <w:pPr>
              <w:spacing w:after="0"/>
              <w:rPr>
                <w:sz w:val="8"/>
                <w:szCs w:val="8"/>
                <w:color w:val="auto"/>
              </w:rPr>
            </w:pPr>
          </w:p>
        </w:tc>
        <w:tc>
          <w:tcPr>
            <w:tcW w:w="260" w:type="dxa"/>
            <w:vAlign w:val="bottom"/>
            <w:shd w:val="clear" w:color="auto" w:fill="BF2115"/>
          </w:tcPr>
          <w:p>
            <w:pPr>
              <w:spacing w:after="0"/>
              <w:rPr>
                <w:sz w:val="8"/>
                <w:szCs w:val="8"/>
                <w:color w:val="auto"/>
              </w:rPr>
            </w:pPr>
          </w:p>
        </w:tc>
        <w:tc>
          <w:tcPr>
            <w:tcW w:w="1360" w:type="dxa"/>
            <w:vAlign w:val="bottom"/>
            <w:shd w:val="clear" w:color="auto" w:fill="BF2115"/>
          </w:tcPr>
          <w:p>
            <w:pPr>
              <w:spacing w:after="0"/>
              <w:rPr>
                <w:sz w:val="8"/>
                <w:szCs w:val="8"/>
                <w:color w:val="auto"/>
              </w:rPr>
            </w:pPr>
          </w:p>
        </w:tc>
        <w:tc>
          <w:tcPr>
            <w:tcW w:w="1480" w:type="dxa"/>
            <w:vAlign w:val="bottom"/>
            <w:shd w:val="clear" w:color="auto" w:fill="BF2115"/>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240" w:type="dxa"/>
            <w:vAlign w:val="bottom"/>
            <w:vMerge w:val="continue"/>
            <w:shd w:val="clear" w:color="auto" w:fill="BF2115"/>
          </w:tcPr>
          <w:p>
            <w:pPr>
              <w:spacing w:after="0"/>
              <w:rPr>
                <w:sz w:val="9"/>
                <w:szCs w:val="9"/>
                <w:color w:val="auto"/>
              </w:rPr>
            </w:pPr>
          </w:p>
        </w:tc>
        <w:tc>
          <w:tcPr>
            <w:tcW w:w="320" w:type="dxa"/>
            <w:vAlign w:val="bottom"/>
            <w:shd w:val="clear" w:color="auto" w:fill="BF2115"/>
          </w:tcPr>
          <w:p>
            <w:pPr>
              <w:spacing w:after="0"/>
              <w:rPr>
                <w:sz w:val="9"/>
                <w:szCs w:val="9"/>
                <w:color w:val="auto"/>
              </w:rPr>
            </w:pPr>
          </w:p>
        </w:tc>
        <w:tc>
          <w:tcPr>
            <w:tcW w:w="1160" w:type="dxa"/>
            <w:vAlign w:val="bottom"/>
            <w:vMerge w:val="continue"/>
            <w:shd w:val="clear" w:color="auto" w:fill="BF2115"/>
          </w:tcPr>
          <w:p>
            <w:pPr>
              <w:spacing w:after="0"/>
              <w:rPr>
                <w:sz w:val="9"/>
                <w:szCs w:val="9"/>
                <w:color w:val="auto"/>
              </w:rPr>
            </w:pPr>
          </w:p>
        </w:tc>
        <w:tc>
          <w:tcPr>
            <w:tcW w:w="380" w:type="dxa"/>
            <w:vAlign w:val="bottom"/>
            <w:shd w:val="clear" w:color="auto" w:fill="BF2115"/>
          </w:tcPr>
          <w:p>
            <w:pPr>
              <w:spacing w:after="0"/>
              <w:rPr>
                <w:sz w:val="9"/>
                <w:szCs w:val="9"/>
                <w:color w:val="auto"/>
              </w:rPr>
            </w:pPr>
          </w:p>
        </w:tc>
        <w:tc>
          <w:tcPr>
            <w:tcW w:w="1300" w:type="dxa"/>
            <w:vAlign w:val="bottom"/>
            <w:shd w:val="clear" w:color="auto" w:fill="BF2115"/>
          </w:tcPr>
          <w:p>
            <w:pPr>
              <w:spacing w:after="0"/>
              <w:rPr>
                <w:sz w:val="9"/>
                <w:szCs w:val="9"/>
                <w:color w:val="auto"/>
              </w:rPr>
            </w:pPr>
          </w:p>
        </w:tc>
        <w:tc>
          <w:tcPr>
            <w:tcW w:w="180" w:type="dxa"/>
            <w:vAlign w:val="bottom"/>
            <w:shd w:val="clear" w:color="auto" w:fill="BF2115"/>
          </w:tcPr>
          <w:p>
            <w:pPr>
              <w:spacing w:after="0"/>
              <w:rPr>
                <w:sz w:val="9"/>
                <w:szCs w:val="9"/>
                <w:color w:val="auto"/>
              </w:rPr>
            </w:pPr>
          </w:p>
        </w:tc>
        <w:tc>
          <w:tcPr>
            <w:tcW w:w="1260" w:type="dxa"/>
            <w:vAlign w:val="bottom"/>
            <w:shd w:val="clear" w:color="auto" w:fill="BF2115"/>
          </w:tcPr>
          <w:p>
            <w:pPr>
              <w:spacing w:after="0"/>
              <w:rPr>
                <w:sz w:val="9"/>
                <w:szCs w:val="9"/>
                <w:color w:val="auto"/>
              </w:rPr>
            </w:pPr>
          </w:p>
        </w:tc>
        <w:tc>
          <w:tcPr>
            <w:tcW w:w="260" w:type="dxa"/>
            <w:vAlign w:val="bottom"/>
            <w:shd w:val="clear" w:color="auto" w:fill="BF2115"/>
          </w:tcPr>
          <w:p>
            <w:pPr>
              <w:spacing w:after="0"/>
              <w:rPr>
                <w:sz w:val="9"/>
                <w:szCs w:val="9"/>
                <w:color w:val="auto"/>
              </w:rPr>
            </w:pPr>
          </w:p>
        </w:tc>
        <w:tc>
          <w:tcPr>
            <w:tcW w:w="1220" w:type="dxa"/>
            <w:vAlign w:val="bottom"/>
            <w:shd w:val="clear" w:color="auto" w:fill="BF2115"/>
          </w:tcPr>
          <w:p>
            <w:pPr>
              <w:spacing w:after="0"/>
              <w:rPr>
                <w:sz w:val="9"/>
                <w:szCs w:val="9"/>
                <w:color w:val="auto"/>
              </w:rPr>
            </w:pPr>
          </w:p>
        </w:tc>
        <w:tc>
          <w:tcPr>
            <w:tcW w:w="260" w:type="dxa"/>
            <w:vAlign w:val="bottom"/>
            <w:shd w:val="clear" w:color="auto" w:fill="BF2115"/>
          </w:tcPr>
          <w:p>
            <w:pPr>
              <w:spacing w:after="0"/>
              <w:rPr>
                <w:sz w:val="9"/>
                <w:szCs w:val="9"/>
                <w:color w:val="auto"/>
              </w:rPr>
            </w:pPr>
          </w:p>
        </w:tc>
        <w:tc>
          <w:tcPr>
            <w:tcW w:w="1360" w:type="dxa"/>
            <w:vAlign w:val="bottom"/>
            <w:shd w:val="clear" w:color="auto" w:fill="BF2115"/>
          </w:tcPr>
          <w:p>
            <w:pPr>
              <w:spacing w:after="0"/>
              <w:rPr>
                <w:sz w:val="9"/>
                <w:szCs w:val="9"/>
                <w:color w:val="auto"/>
              </w:rPr>
            </w:pPr>
          </w:p>
        </w:tc>
        <w:tc>
          <w:tcPr>
            <w:tcW w:w="1480" w:type="dxa"/>
            <w:vAlign w:val="bottom"/>
            <w:shd w:val="clear" w:color="auto" w:fill="BF2115"/>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ACACAC"/>
          </w:tcPr>
          <w:p>
            <w:pPr>
              <w:ind w:left="40"/>
              <w:spacing w:after="0"/>
              <w:rPr>
                <w:sz w:val="20"/>
                <w:szCs w:val="20"/>
                <w:color w:val="auto"/>
              </w:rPr>
            </w:pPr>
            <w:r>
              <w:rPr>
                <w:rFonts w:ascii="Arial" w:cs="Arial" w:eastAsia="Arial" w:hAnsi="Arial"/>
                <w:sz w:val="16"/>
                <w:szCs w:val="16"/>
                <w:color w:val="auto"/>
              </w:rPr>
              <w:t>Michael J. Happe</w:t>
            </w:r>
          </w:p>
        </w:tc>
        <w:tc>
          <w:tcPr>
            <w:tcW w:w="320" w:type="dxa"/>
            <w:vAlign w:val="bottom"/>
            <w:shd w:val="clear" w:color="auto" w:fill="ACACAC"/>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ACACAC"/>
          </w:tcPr>
          <w:p>
            <w:pPr>
              <w:jc w:val="right"/>
              <w:ind w:right="20"/>
              <w:spacing w:after="0"/>
              <w:rPr>
                <w:sz w:val="20"/>
                <w:szCs w:val="20"/>
                <w:color w:val="auto"/>
              </w:rPr>
            </w:pPr>
            <w:r>
              <w:rPr>
                <w:rFonts w:ascii="Arial" w:cs="Arial" w:eastAsia="Arial" w:hAnsi="Arial"/>
                <w:sz w:val="16"/>
                <w:szCs w:val="16"/>
                <w:color w:val="auto"/>
              </w:rPr>
              <w:t>950,000</w:t>
            </w:r>
          </w:p>
        </w:tc>
        <w:tc>
          <w:tcPr>
            <w:tcW w:w="380" w:type="dxa"/>
            <w:vAlign w:val="bottom"/>
            <w:shd w:val="clear" w:color="auto" w:fill="ACACAC"/>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475,000</w:t>
            </w:r>
          </w:p>
        </w:tc>
        <w:tc>
          <w:tcPr>
            <w:tcW w:w="1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ACACAC"/>
          </w:tcPr>
          <w:p>
            <w:pPr>
              <w:jc w:val="right"/>
              <w:spacing w:after="0"/>
              <w:rPr>
                <w:sz w:val="20"/>
                <w:szCs w:val="20"/>
                <w:color w:val="auto"/>
              </w:rPr>
            </w:pPr>
            <w:r>
              <w:rPr>
                <w:rFonts w:ascii="Arial" w:cs="Arial" w:eastAsia="Arial" w:hAnsi="Arial"/>
                <w:sz w:val="16"/>
                <w:szCs w:val="16"/>
                <w:color w:val="auto"/>
              </w:rPr>
              <w:t>475,000</w:t>
            </w:r>
          </w:p>
        </w:tc>
        <w:tc>
          <w:tcPr>
            <w:tcW w:w="26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1,900,000</w:t>
            </w:r>
          </w:p>
        </w:tc>
        <w:tc>
          <w:tcPr>
            <w:tcW w:w="26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ACACAC"/>
          </w:tcPr>
          <w:p>
            <w:pPr>
              <w:jc w:val="right"/>
              <w:ind w:right="139"/>
              <w:spacing w:after="0"/>
              <w:rPr>
                <w:sz w:val="20"/>
                <w:szCs w:val="20"/>
                <w:color w:val="auto"/>
              </w:rPr>
            </w:pPr>
            <w:r>
              <w:rPr>
                <w:rFonts w:ascii="Arial" w:cs="Arial" w:eastAsia="Arial" w:hAnsi="Arial"/>
                <w:sz w:val="16"/>
                <w:szCs w:val="16"/>
                <w:color w:val="auto"/>
              </w:rPr>
              <w:t>1,656,241</w:t>
            </w:r>
          </w:p>
        </w:tc>
        <w:tc>
          <w:tcPr>
            <w:tcW w:w="14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14.7 %</w:t>
            </w:r>
          </w:p>
        </w:tc>
        <w:tc>
          <w:tcPr>
            <w:tcW w:w="0" w:type="dxa"/>
            <w:vAlign w:val="bottom"/>
          </w:tcPr>
          <w:p>
            <w:pPr>
              <w:spacing w:after="0"/>
              <w:rPr>
                <w:sz w:val="1"/>
                <w:szCs w:val="1"/>
                <w:color w:val="auto"/>
              </w:rPr>
            </w:pPr>
          </w:p>
        </w:tc>
      </w:tr>
      <w:tr>
        <w:trPr>
          <w:trHeight w:val="233"/>
        </w:trPr>
        <w:tc>
          <w:tcPr>
            <w:tcW w:w="2240" w:type="dxa"/>
            <w:vAlign w:val="bottom"/>
          </w:tcPr>
          <w:p>
            <w:pPr>
              <w:ind w:left="40"/>
              <w:spacing w:after="0"/>
              <w:rPr>
                <w:sz w:val="20"/>
                <w:szCs w:val="20"/>
                <w:color w:val="auto"/>
              </w:rPr>
            </w:pPr>
            <w:r>
              <w:rPr>
                <w:rFonts w:ascii="Arial" w:cs="Arial" w:eastAsia="Arial" w:hAnsi="Arial"/>
                <w:sz w:val="16"/>
                <w:szCs w:val="16"/>
                <w:color w:val="auto"/>
              </w:rPr>
              <w:t>Bryan L. Hughes</w:t>
            </w:r>
          </w:p>
        </w:tc>
        <w:tc>
          <w:tcPr>
            <w:tcW w:w="3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253,688</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126,844</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126,844</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507,376</w:t>
            </w:r>
          </w:p>
        </w:tc>
        <w:tc>
          <w:tcPr>
            <w:tcW w:w="26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494,981</w:t>
            </w:r>
          </w:p>
        </w:tc>
        <w:tc>
          <w:tcPr>
            <w:tcW w:w="1480" w:type="dxa"/>
            <w:vAlign w:val="bottom"/>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53"/>
        </w:trPr>
        <w:tc>
          <w:tcPr>
            <w:tcW w:w="2240" w:type="dxa"/>
            <w:vAlign w:val="bottom"/>
            <w:shd w:val="clear" w:color="auto" w:fill="ACACAC"/>
          </w:tcPr>
          <w:p>
            <w:pPr>
              <w:ind w:left="40"/>
              <w:spacing w:after="0"/>
              <w:rPr>
                <w:sz w:val="20"/>
                <w:szCs w:val="20"/>
                <w:color w:val="auto"/>
              </w:rPr>
            </w:pPr>
            <w:r>
              <w:rPr>
                <w:rFonts w:ascii="Arial" w:cs="Arial" w:eastAsia="Arial" w:hAnsi="Arial"/>
                <w:sz w:val="16"/>
                <w:szCs w:val="16"/>
                <w:color w:val="auto"/>
              </w:rPr>
              <w:t>Stacy L. Bogart</w:t>
            </w:r>
            <w:r>
              <w:rPr>
                <w:rFonts w:ascii="Arial" w:cs="Arial" w:eastAsia="Arial" w:hAnsi="Arial"/>
                <w:sz w:val="21"/>
                <w:szCs w:val="21"/>
                <w:color w:val="auto"/>
                <w:vertAlign w:val="superscript"/>
              </w:rPr>
              <w:t>(2)</w:t>
            </w:r>
          </w:p>
        </w:tc>
        <w:tc>
          <w:tcPr>
            <w:tcW w:w="320" w:type="dxa"/>
            <w:vAlign w:val="bottom"/>
            <w:shd w:val="clear" w:color="auto" w:fill="ACACAC"/>
          </w:tcPr>
          <w:p>
            <w:pPr>
              <w:spacing w:after="0"/>
              <w:rPr>
                <w:sz w:val="21"/>
                <w:szCs w:val="21"/>
                <w:color w:val="auto"/>
              </w:rPr>
            </w:pPr>
          </w:p>
        </w:tc>
        <w:tc>
          <w:tcPr>
            <w:tcW w:w="1160" w:type="dxa"/>
            <w:vAlign w:val="bottom"/>
            <w:shd w:val="clear" w:color="auto" w:fill="ACACAC"/>
          </w:tcPr>
          <w:p>
            <w:pPr>
              <w:jc w:val="right"/>
              <w:ind w:right="20"/>
              <w:spacing w:after="0"/>
              <w:rPr>
                <w:sz w:val="20"/>
                <w:szCs w:val="20"/>
                <w:color w:val="auto"/>
              </w:rPr>
            </w:pPr>
            <w:r>
              <w:rPr>
                <w:rFonts w:ascii="Arial" w:cs="Arial" w:eastAsia="Arial" w:hAnsi="Arial"/>
                <w:sz w:val="16"/>
                <w:szCs w:val="16"/>
                <w:color w:val="auto"/>
              </w:rPr>
              <w:t>217,875</w:t>
            </w:r>
          </w:p>
        </w:tc>
        <w:tc>
          <w:tcPr>
            <w:tcW w:w="380" w:type="dxa"/>
            <w:vAlign w:val="bottom"/>
            <w:shd w:val="clear" w:color="auto" w:fill="ACACAC"/>
          </w:tcPr>
          <w:p>
            <w:pPr>
              <w:spacing w:after="0"/>
              <w:rPr>
                <w:sz w:val="21"/>
                <w:szCs w:val="21"/>
                <w:color w:val="auto"/>
              </w:rPr>
            </w:pPr>
          </w:p>
        </w:tc>
        <w:tc>
          <w:tcPr>
            <w:tcW w:w="130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108,938</w:t>
            </w:r>
          </w:p>
        </w:tc>
        <w:tc>
          <w:tcPr>
            <w:tcW w:w="180" w:type="dxa"/>
            <w:vAlign w:val="bottom"/>
            <w:shd w:val="clear" w:color="auto" w:fill="ACACAC"/>
          </w:tcPr>
          <w:p>
            <w:pPr>
              <w:spacing w:after="0"/>
              <w:rPr>
                <w:sz w:val="21"/>
                <w:szCs w:val="21"/>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108,938</w:t>
            </w:r>
          </w:p>
        </w:tc>
        <w:tc>
          <w:tcPr>
            <w:tcW w:w="260" w:type="dxa"/>
            <w:vAlign w:val="bottom"/>
            <w:shd w:val="clear" w:color="auto" w:fill="ACACAC"/>
          </w:tcPr>
          <w:p>
            <w:pPr>
              <w:spacing w:after="0"/>
              <w:rPr>
                <w:sz w:val="21"/>
                <w:szCs w:val="21"/>
                <w:color w:val="auto"/>
              </w:rPr>
            </w:pPr>
          </w:p>
        </w:tc>
        <w:tc>
          <w:tcPr>
            <w:tcW w:w="12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435,751</w:t>
            </w:r>
          </w:p>
        </w:tc>
        <w:tc>
          <w:tcPr>
            <w:tcW w:w="260" w:type="dxa"/>
            <w:vAlign w:val="bottom"/>
            <w:shd w:val="clear" w:color="auto" w:fill="ACACAC"/>
          </w:tcPr>
          <w:p>
            <w:pPr>
              <w:spacing w:after="0"/>
              <w:rPr>
                <w:sz w:val="21"/>
                <w:szCs w:val="21"/>
                <w:color w:val="auto"/>
              </w:rPr>
            </w:pPr>
          </w:p>
        </w:tc>
        <w:tc>
          <w:tcPr>
            <w:tcW w:w="1360" w:type="dxa"/>
            <w:vAlign w:val="bottom"/>
            <w:shd w:val="clear" w:color="auto" w:fill="ACACAC"/>
          </w:tcPr>
          <w:p>
            <w:pPr>
              <w:jc w:val="right"/>
              <w:ind w:right="139"/>
              <w:spacing w:after="0"/>
              <w:rPr>
                <w:sz w:val="20"/>
                <w:szCs w:val="20"/>
                <w:color w:val="auto"/>
              </w:rPr>
            </w:pPr>
            <w:r>
              <w:rPr>
                <w:rFonts w:ascii="Arial" w:cs="Arial" w:eastAsia="Arial" w:hAnsi="Arial"/>
                <w:sz w:val="16"/>
                <w:szCs w:val="16"/>
                <w:color w:val="auto"/>
              </w:rPr>
              <w:t>701,153</w:t>
            </w:r>
          </w:p>
        </w:tc>
        <w:tc>
          <w:tcPr>
            <w:tcW w:w="14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43"/>
        </w:trPr>
        <w:tc>
          <w:tcPr>
            <w:tcW w:w="2240" w:type="dxa"/>
            <w:vAlign w:val="bottom"/>
          </w:tcPr>
          <w:p>
            <w:pPr>
              <w:ind w:left="40"/>
              <w:spacing w:after="0"/>
              <w:rPr>
                <w:sz w:val="20"/>
                <w:szCs w:val="20"/>
                <w:color w:val="auto"/>
              </w:rPr>
            </w:pPr>
            <w:r>
              <w:rPr>
                <w:rFonts w:ascii="Arial" w:cs="Arial" w:eastAsia="Arial" w:hAnsi="Arial"/>
                <w:sz w:val="16"/>
                <w:szCs w:val="16"/>
                <w:color w:val="auto"/>
              </w:rPr>
              <w:t>Donald J. Clark</w:t>
            </w:r>
            <w:r>
              <w:rPr>
                <w:rFonts w:ascii="Arial" w:cs="Arial" w:eastAsia="Arial" w:hAnsi="Arial"/>
                <w:sz w:val="21"/>
                <w:szCs w:val="21"/>
                <w:color w:val="auto"/>
                <w:vertAlign w:val="superscript"/>
              </w:rPr>
              <w:t>(3)</w:t>
            </w:r>
          </w:p>
        </w:tc>
        <w:tc>
          <w:tcPr>
            <w:tcW w:w="320" w:type="dxa"/>
            <w:vAlign w:val="bottom"/>
          </w:tcPr>
          <w:p>
            <w:pPr>
              <w:spacing w:after="0"/>
              <w:rPr>
                <w:sz w:val="21"/>
                <w:szCs w:val="21"/>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N/A</w:t>
            </w:r>
          </w:p>
        </w:tc>
        <w:tc>
          <w:tcPr>
            <w:tcW w:w="3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N/A</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N/A</w:t>
            </w:r>
          </w:p>
        </w:tc>
        <w:tc>
          <w:tcPr>
            <w:tcW w:w="260" w:type="dxa"/>
            <w:vAlign w:val="bottom"/>
          </w:tcPr>
          <w:p>
            <w:pPr>
              <w:spacing w:after="0"/>
              <w:rPr>
                <w:sz w:val="21"/>
                <w:szCs w:val="21"/>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N/A</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3"/>
        </w:trPr>
        <w:tc>
          <w:tcPr>
            <w:tcW w:w="2240" w:type="dxa"/>
            <w:vAlign w:val="bottom"/>
            <w:shd w:val="clear" w:color="auto" w:fill="ACACAC"/>
          </w:tcPr>
          <w:p>
            <w:pPr>
              <w:ind w:left="40"/>
              <w:spacing w:after="0"/>
              <w:rPr>
                <w:sz w:val="20"/>
                <w:szCs w:val="20"/>
                <w:color w:val="auto"/>
              </w:rPr>
            </w:pPr>
            <w:r>
              <w:rPr>
                <w:rFonts w:ascii="Arial" w:cs="Arial" w:eastAsia="Arial" w:hAnsi="Arial"/>
                <w:sz w:val="16"/>
                <w:szCs w:val="16"/>
                <w:color w:val="auto"/>
              </w:rPr>
              <w:t>Brian D. Hazelton</w:t>
            </w:r>
          </w:p>
        </w:tc>
        <w:tc>
          <w:tcPr>
            <w:tcW w:w="320" w:type="dxa"/>
            <w:vAlign w:val="bottom"/>
            <w:shd w:val="clear" w:color="auto" w:fill="ACACAC"/>
          </w:tcPr>
          <w:p>
            <w:pPr>
              <w:spacing w:after="0"/>
              <w:rPr>
                <w:sz w:val="21"/>
                <w:szCs w:val="21"/>
                <w:color w:val="auto"/>
              </w:rPr>
            </w:pPr>
          </w:p>
        </w:tc>
        <w:tc>
          <w:tcPr>
            <w:tcW w:w="1160" w:type="dxa"/>
            <w:vAlign w:val="bottom"/>
            <w:shd w:val="clear" w:color="auto" w:fill="ACACAC"/>
          </w:tcPr>
          <w:p>
            <w:pPr>
              <w:jc w:val="right"/>
              <w:ind w:right="20"/>
              <w:spacing w:after="0"/>
              <w:rPr>
                <w:sz w:val="20"/>
                <w:szCs w:val="20"/>
                <w:color w:val="auto"/>
              </w:rPr>
            </w:pPr>
            <w:r>
              <w:rPr>
                <w:rFonts w:ascii="Arial" w:cs="Arial" w:eastAsia="Arial" w:hAnsi="Arial"/>
                <w:sz w:val="16"/>
                <w:szCs w:val="16"/>
                <w:color w:val="auto"/>
              </w:rPr>
              <w:t>262,570</w:t>
            </w:r>
          </w:p>
        </w:tc>
        <w:tc>
          <w:tcPr>
            <w:tcW w:w="380" w:type="dxa"/>
            <w:vAlign w:val="bottom"/>
            <w:shd w:val="clear" w:color="auto" w:fill="ACACAC"/>
          </w:tcPr>
          <w:p>
            <w:pPr>
              <w:spacing w:after="0"/>
              <w:rPr>
                <w:sz w:val="21"/>
                <w:szCs w:val="21"/>
                <w:color w:val="auto"/>
              </w:rPr>
            </w:pPr>
          </w:p>
        </w:tc>
        <w:tc>
          <w:tcPr>
            <w:tcW w:w="130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131,285</w:t>
            </w:r>
          </w:p>
        </w:tc>
        <w:tc>
          <w:tcPr>
            <w:tcW w:w="180" w:type="dxa"/>
            <w:vAlign w:val="bottom"/>
            <w:shd w:val="clear" w:color="auto" w:fill="ACACAC"/>
          </w:tcPr>
          <w:p>
            <w:pPr>
              <w:spacing w:after="0"/>
              <w:rPr>
                <w:sz w:val="21"/>
                <w:szCs w:val="21"/>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131,285</w:t>
            </w:r>
          </w:p>
        </w:tc>
        <w:tc>
          <w:tcPr>
            <w:tcW w:w="260" w:type="dxa"/>
            <w:vAlign w:val="bottom"/>
            <w:shd w:val="clear" w:color="auto" w:fill="ACACAC"/>
          </w:tcPr>
          <w:p>
            <w:pPr>
              <w:spacing w:after="0"/>
              <w:rPr>
                <w:sz w:val="21"/>
                <w:szCs w:val="21"/>
                <w:color w:val="auto"/>
              </w:rPr>
            </w:pPr>
          </w:p>
        </w:tc>
        <w:tc>
          <w:tcPr>
            <w:tcW w:w="12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525,140</w:t>
            </w:r>
          </w:p>
        </w:tc>
        <w:tc>
          <w:tcPr>
            <w:tcW w:w="260" w:type="dxa"/>
            <w:vAlign w:val="bottom"/>
            <w:shd w:val="clear" w:color="auto" w:fill="ACACAC"/>
          </w:tcPr>
          <w:p>
            <w:pPr>
              <w:spacing w:after="0"/>
              <w:rPr>
                <w:sz w:val="21"/>
                <w:szCs w:val="21"/>
                <w:color w:val="auto"/>
              </w:rPr>
            </w:pPr>
          </w:p>
        </w:tc>
        <w:tc>
          <w:tcPr>
            <w:tcW w:w="1360" w:type="dxa"/>
            <w:vAlign w:val="bottom"/>
            <w:shd w:val="clear" w:color="auto" w:fill="ACACAC"/>
          </w:tcPr>
          <w:p>
            <w:pPr>
              <w:jc w:val="right"/>
              <w:ind w:right="139"/>
              <w:spacing w:after="0"/>
              <w:rPr>
                <w:sz w:val="20"/>
                <w:szCs w:val="20"/>
                <w:color w:val="auto"/>
              </w:rPr>
            </w:pPr>
            <w:r>
              <w:rPr>
                <w:rFonts w:ascii="Arial" w:cs="Arial" w:eastAsia="Arial" w:hAnsi="Arial"/>
                <w:sz w:val="16"/>
                <w:szCs w:val="16"/>
                <w:color w:val="auto"/>
              </w:rPr>
              <w:t>487,170</w:t>
            </w:r>
          </w:p>
        </w:tc>
        <w:tc>
          <w:tcPr>
            <w:tcW w:w="14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To perform this calculation, we assumed that the Fiscal 2018 and Fiscal 2019 equity awards were earned at target.</w:t>
      </w:r>
    </w:p>
    <w:p>
      <w:pPr>
        <w:spacing w:after="0" w:line="55" w:lineRule="exact"/>
        <w:rPr>
          <w:rFonts w:ascii="Arial" w:cs="Arial" w:eastAsia="Arial" w:hAnsi="Arial"/>
          <w:sz w:val="14"/>
          <w:szCs w:val="14"/>
          <w:color w:val="auto"/>
        </w:rPr>
      </w:pPr>
    </w:p>
    <w:p>
      <w:pPr>
        <w:ind w:left="260" w:right="20" w:hanging="252"/>
        <w:spacing w:after="0" w:line="241" w:lineRule="auto"/>
        <w:tabs>
          <w:tab w:leader="none" w:pos="233" w:val="left"/>
        </w:tabs>
        <w:numPr>
          <w:ilvl w:val="0"/>
          <w:numId w:val="36"/>
        </w:numPr>
        <w:rPr>
          <w:rFonts w:ascii="Arial" w:cs="Arial" w:eastAsia="Arial" w:hAnsi="Arial"/>
          <w:sz w:val="14"/>
          <w:szCs w:val="14"/>
          <w:color w:val="auto"/>
        </w:rPr>
      </w:pPr>
      <w:r>
        <w:rPr>
          <w:rFonts w:ascii="Arial" w:cs="Arial" w:eastAsia="Arial" w:hAnsi="Arial"/>
          <w:sz w:val="14"/>
          <w:szCs w:val="14"/>
          <w:color w:val="auto"/>
        </w:rPr>
        <w:t>Ms. Bogart received a new hire stock award of 10,000 shares of restricted stock on January 2, 2018 and a pro-rated Fiscal 2018-2020 LTIP award with a target value of 3,303 shares.</w:t>
      </w:r>
    </w:p>
    <w:p>
      <w:pPr>
        <w:ind w:left="260" w:hanging="252"/>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Under the terms of his employment agreement, Mr. Clark is not eligible to participate in the Company's equity plans or receive any equity awards during Fiscal 2019.</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828282"/>
        </w:rPr>
        <w:t>Payout of the Fiscal 2017-2019 LTIP Cycle</w:t>
      </w:r>
    </w:p>
    <w:p>
      <w:pPr>
        <w:spacing w:after="0" w:line="18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For the Fiscal 2017-2019 LTIP performance share units, the Committee used the metrics of average ROIC, cumulative net revenue, and cumulative operating income, which are additional financial metrics separate from the metrics utilized under the OICP, as they provide another measurement of NEO effectiveness. The awards were determined based on our performance against these metrics. The payout scale provided for a minimum award of 0% of the shares granted and a maximum award of 150% of the shares granted. The table below reflects our performance against these metrics and the amount paid to eligible NEOs under the Fiscal 2017-2019 LTIP performance share units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76200</wp:posOffset>
            </wp:positionV>
            <wp:extent cx="8890" cy="274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76200</wp:posOffset>
            </wp:positionV>
            <wp:extent cx="8890" cy="274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76200</wp:posOffset>
            </wp:positionV>
            <wp:extent cx="8890" cy="274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76200</wp:posOffset>
            </wp:positionV>
            <wp:extent cx="8890" cy="274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76200</wp:posOffset>
            </wp:positionV>
            <wp:extent cx="8890" cy="274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76200</wp:posOffset>
            </wp:positionV>
            <wp:extent cx="8890" cy="274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80" w:type="dxa"/>
            <w:vAlign w:val="bottom"/>
            <w:shd w:val="clear" w:color="auto" w:fill="BF2115"/>
          </w:tcPr>
          <w:p>
            <w:pPr>
              <w:spacing w:after="0"/>
              <w:rPr>
                <w:sz w:val="18"/>
                <w:szCs w:val="18"/>
                <w:color w:val="auto"/>
              </w:rPr>
            </w:pPr>
          </w:p>
        </w:tc>
        <w:tc>
          <w:tcPr>
            <w:tcW w:w="980" w:type="dxa"/>
            <w:vAlign w:val="bottom"/>
            <w:shd w:val="clear" w:color="auto" w:fill="BF2115"/>
          </w:tcPr>
          <w:p>
            <w:pPr>
              <w:spacing w:after="0"/>
              <w:rPr>
                <w:sz w:val="18"/>
                <w:szCs w:val="18"/>
                <w:color w:val="auto"/>
              </w:rPr>
            </w:pPr>
          </w:p>
        </w:tc>
        <w:tc>
          <w:tcPr>
            <w:tcW w:w="360" w:type="dxa"/>
            <w:vAlign w:val="bottom"/>
            <w:shd w:val="clear" w:color="auto" w:fill="BF2115"/>
          </w:tcPr>
          <w:p>
            <w:pPr>
              <w:spacing w:after="0"/>
              <w:rPr>
                <w:sz w:val="18"/>
                <w:szCs w:val="18"/>
                <w:color w:val="auto"/>
              </w:rPr>
            </w:pPr>
          </w:p>
        </w:tc>
        <w:tc>
          <w:tcPr>
            <w:tcW w:w="1380" w:type="dxa"/>
            <w:vAlign w:val="bottom"/>
            <w:shd w:val="clear" w:color="auto" w:fill="BF2115"/>
          </w:tcPr>
          <w:p>
            <w:pPr>
              <w:jc w:val="right"/>
              <w:ind w:right="359"/>
              <w:spacing w:after="0"/>
              <w:rPr>
                <w:sz w:val="20"/>
                <w:szCs w:val="20"/>
                <w:color w:val="auto"/>
              </w:rPr>
            </w:pPr>
            <w:r>
              <w:rPr>
                <w:rFonts w:ascii="Arial" w:cs="Arial" w:eastAsia="Arial" w:hAnsi="Arial"/>
                <w:sz w:val="16"/>
                <w:szCs w:val="16"/>
                <w:color w:val="FFFFFF"/>
              </w:rPr>
              <w:t>Threshold</w:t>
            </w:r>
          </w:p>
        </w:tc>
        <w:tc>
          <w:tcPr>
            <w:tcW w:w="220" w:type="dxa"/>
            <w:vAlign w:val="bottom"/>
            <w:shd w:val="clear" w:color="auto" w:fill="BF2115"/>
          </w:tcPr>
          <w:p>
            <w:pPr>
              <w:spacing w:after="0"/>
              <w:rPr>
                <w:sz w:val="18"/>
                <w:szCs w:val="18"/>
                <w:color w:val="auto"/>
              </w:rPr>
            </w:pPr>
          </w:p>
        </w:tc>
        <w:tc>
          <w:tcPr>
            <w:tcW w:w="1420" w:type="dxa"/>
            <w:vAlign w:val="bottom"/>
            <w:shd w:val="clear" w:color="auto" w:fill="BF2115"/>
          </w:tcPr>
          <w:p>
            <w:pPr>
              <w:jc w:val="right"/>
              <w:ind w:right="499"/>
              <w:spacing w:after="0"/>
              <w:rPr>
                <w:sz w:val="20"/>
                <w:szCs w:val="20"/>
                <w:color w:val="auto"/>
              </w:rPr>
            </w:pPr>
            <w:r>
              <w:rPr>
                <w:rFonts w:ascii="Arial" w:cs="Arial" w:eastAsia="Arial" w:hAnsi="Arial"/>
                <w:sz w:val="16"/>
                <w:szCs w:val="16"/>
                <w:color w:val="FFFFFF"/>
              </w:rPr>
              <w:t>Target</w:t>
            </w:r>
          </w:p>
        </w:tc>
        <w:tc>
          <w:tcPr>
            <w:tcW w:w="200" w:type="dxa"/>
            <w:vAlign w:val="bottom"/>
            <w:shd w:val="clear" w:color="auto" w:fill="BF2115"/>
          </w:tcPr>
          <w:p>
            <w:pPr>
              <w:spacing w:after="0"/>
              <w:rPr>
                <w:sz w:val="18"/>
                <w:szCs w:val="18"/>
                <w:color w:val="auto"/>
              </w:rPr>
            </w:pPr>
          </w:p>
        </w:tc>
        <w:tc>
          <w:tcPr>
            <w:tcW w:w="1440" w:type="dxa"/>
            <w:vAlign w:val="bottom"/>
            <w:shd w:val="clear" w:color="auto" w:fill="BF2115"/>
          </w:tcPr>
          <w:p>
            <w:pPr>
              <w:jc w:val="right"/>
              <w:ind w:right="379"/>
              <w:spacing w:after="0"/>
              <w:rPr>
                <w:sz w:val="20"/>
                <w:szCs w:val="20"/>
                <w:color w:val="auto"/>
              </w:rPr>
            </w:pPr>
            <w:r>
              <w:rPr>
                <w:rFonts w:ascii="Arial" w:cs="Arial" w:eastAsia="Arial" w:hAnsi="Arial"/>
                <w:sz w:val="16"/>
                <w:szCs w:val="16"/>
                <w:color w:val="FFFFFF"/>
              </w:rPr>
              <w:t>Maximum</w:t>
            </w:r>
          </w:p>
        </w:tc>
        <w:tc>
          <w:tcPr>
            <w:tcW w:w="160" w:type="dxa"/>
            <w:vAlign w:val="bottom"/>
            <w:shd w:val="clear" w:color="auto" w:fill="BF2115"/>
          </w:tcPr>
          <w:p>
            <w:pPr>
              <w:spacing w:after="0"/>
              <w:rPr>
                <w:sz w:val="18"/>
                <w:szCs w:val="18"/>
                <w:color w:val="auto"/>
              </w:rPr>
            </w:pPr>
          </w:p>
        </w:tc>
        <w:tc>
          <w:tcPr>
            <w:tcW w:w="1500" w:type="dxa"/>
            <w:vAlign w:val="bottom"/>
            <w:tcBorders>
              <w:right w:val="single" w:sz="8" w:color="BF2115"/>
            </w:tcBorders>
            <w:shd w:val="clear" w:color="auto" w:fill="BF2115"/>
          </w:tcPr>
          <w:p>
            <w:pPr>
              <w:jc w:val="right"/>
              <w:ind w:right="119"/>
              <w:spacing w:after="0"/>
              <w:rPr>
                <w:sz w:val="20"/>
                <w:szCs w:val="20"/>
                <w:color w:val="auto"/>
              </w:rPr>
            </w:pPr>
            <w:r>
              <w:rPr>
                <w:rFonts w:ascii="Arial" w:cs="Arial" w:eastAsia="Arial" w:hAnsi="Arial"/>
                <w:sz w:val="16"/>
                <w:szCs w:val="16"/>
                <w:color w:val="FFFFFF"/>
              </w:rPr>
              <w:t>Fiscal 2017-2019</w:t>
            </w:r>
          </w:p>
        </w:tc>
        <w:tc>
          <w:tcPr>
            <w:tcW w:w="1580" w:type="dxa"/>
            <w:vAlign w:val="bottom"/>
            <w:shd w:val="clear" w:color="auto" w:fill="BF211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BF2115"/>
          </w:tcPr>
          <w:p>
            <w:pPr>
              <w:ind w:left="40"/>
              <w:spacing w:after="0"/>
              <w:rPr>
                <w:sz w:val="20"/>
                <w:szCs w:val="20"/>
                <w:color w:val="auto"/>
              </w:rPr>
            </w:pPr>
            <w:r>
              <w:rPr>
                <w:rFonts w:ascii="Arial" w:cs="Arial" w:eastAsia="Arial" w:hAnsi="Arial"/>
                <w:sz w:val="16"/>
                <w:szCs w:val="16"/>
                <w:color w:val="FFFFFF"/>
              </w:rPr>
              <w:t>Metric</w:t>
            </w:r>
          </w:p>
        </w:tc>
        <w:tc>
          <w:tcPr>
            <w:tcW w:w="980" w:type="dxa"/>
            <w:vAlign w:val="bottom"/>
            <w:shd w:val="clear" w:color="auto" w:fill="BF2115"/>
          </w:tcPr>
          <w:p>
            <w:pPr>
              <w:ind w:left="320"/>
              <w:spacing w:after="0"/>
              <w:rPr>
                <w:sz w:val="20"/>
                <w:szCs w:val="20"/>
                <w:color w:val="auto"/>
              </w:rPr>
            </w:pPr>
            <w:r>
              <w:rPr>
                <w:rFonts w:ascii="Arial" w:cs="Arial" w:eastAsia="Arial" w:hAnsi="Arial"/>
                <w:sz w:val="16"/>
                <w:szCs w:val="16"/>
                <w:color w:val="FFFFFF"/>
              </w:rPr>
              <w:t>Weight</w:t>
            </w:r>
          </w:p>
        </w:tc>
        <w:tc>
          <w:tcPr>
            <w:tcW w:w="360" w:type="dxa"/>
            <w:vAlign w:val="bottom"/>
            <w:shd w:val="clear" w:color="auto" w:fill="BF2115"/>
          </w:tcPr>
          <w:p>
            <w:pPr>
              <w:spacing w:after="0"/>
              <w:rPr>
                <w:sz w:val="19"/>
                <w:szCs w:val="19"/>
                <w:color w:val="auto"/>
              </w:rPr>
            </w:pPr>
          </w:p>
        </w:tc>
        <w:tc>
          <w:tcPr>
            <w:tcW w:w="1380" w:type="dxa"/>
            <w:vAlign w:val="bottom"/>
            <w:shd w:val="clear" w:color="auto" w:fill="BF2115"/>
          </w:tcPr>
          <w:p>
            <w:pPr>
              <w:jc w:val="right"/>
              <w:ind w:right="219"/>
              <w:spacing w:after="0"/>
              <w:rPr>
                <w:sz w:val="20"/>
                <w:szCs w:val="20"/>
                <w:color w:val="auto"/>
              </w:rPr>
            </w:pPr>
            <w:r>
              <w:rPr>
                <w:rFonts w:ascii="Arial" w:cs="Arial" w:eastAsia="Arial" w:hAnsi="Arial"/>
                <w:sz w:val="16"/>
                <w:szCs w:val="16"/>
                <w:color w:val="FFFFFF"/>
              </w:rPr>
              <w:t>(10% Payout)</w:t>
            </w:r>
          </w:p>
        </w:tc>
        <w:tc>
          <w:tcPr>
            <w:tcW w:w="220" w:type="dxa"/>
            <w:vAlign w:val="bottom"/>
            <w:shd w:val="clear" w:color="auto" w:fill="BF2115"/>
          </w:tcPr>
          <w:p>
            <w:pPr>
              <w:spacing w:after="0"/>
              <w:rPr>
                <w:sz w:val="19"/>
                <w:szCs w:val="19"/>
                <w:color w:val="auto"/>
              </w:rPr>
            </w:pPr>
          </w:p>
        </w:tc>
        <w:tc>
          <w:tcPr>
            <w:tcW w:w="1420" w:type="dxa"/>
            <w:vAlign w:val="bottom"/>
            <w:shd w:val="clear" w:color="auto" w:fill="BF2115"/>
          </w:tcPr>
          <w:p>
            <w:pPr>
              <w:jc w:val="right"/>
              <w:ind w:right="179"/>
              <w:spacing w:after="0"/>
              <w:rPr>
                <w:sz w:val="20"/>
                <w:szCs w:val="20"/>
                <w:color w:val="auto"/>
              </w:rPr>
            </w:pPr>
            <w:r>
              <w:rPr>
                <w:rFonts w:ascii="Arial" w:cs="Arial" w:eastAsia="Arial" w:hAnsi="Arial"/>
                <w:sz w:val="16"/>
                <w:szCs w:val="16"/>
                <w:color w:val="FFFFFF"/>
              </w:rPr>
              <w:t>(100% Payout)</w:t>
            </w:r>
          </w:p>
        </w:tc>
        <w:tc>
          <w:tcPr>
            <w:tcW w:w="200" w:type="dxa"/>
            <w:vAlign w:val="bottom"/>
            <w:shd w:val="clear" w:color="auto" w:fill="BF2115"/>
          </w:tcPr>
          <w:p>
            <w:pPr>
              <w:spacing w:after="0"/>
              <w:rPr>
                <w:sz w:val="19"/>
                <w:szCs w:val="19"/>
                <w:color w:val="auto"/>
              </w:rPr>
            </w:pPr>
          </w:p>
        </w:tc>
        <w:tc>
          <w:tcPr>
            <w:tcW w:w="1440" w:type="dxa"/>
            <w:vAlign w:val="bottom"/>
            <w:shd w:val="clear" w:color="auto" w:fill="BF2115"/>
          </w:tcPr>
          <w:p>
            <w:pPr>
              <w:jc w:val="right"/>
              <w:ind w:right="199"/>
              <w:spacing w:after="0"/>
              <w:rPr>
                <w:sz w:val="20"/>
                <w:szCs w:val="20"/>
                <w:color w:val="auto"/>
              </w:rPr>
            </w:pPr>
            <w:r>
              <w:rPr>
                <w:rFonts w:ascii="Arial" w:cs="Arial" w:eastAsia="Arial" w:hAnsi="Arial"/>
                <w:sz w:val="16"/>
                <w:szCs w:val="16"/>
                <w:color w:val="FFFFFF"/>
              </w:rPr>
              <w:t>(150% Payout)</w:t>
            </w:r>
          </w:p>
        </w:tc>
        <w:tc>
          <w:tcPr>
            <w:tcW w:w="160" w:type="dxa"/>
            <w:vAlign w:val="bottom"/>
            <w:shd w:val="clear" w:color="auto" w:fill="BF2115"/>
          </w:tcPr>
          <w:p>
            <w:pPr>
              <w:spacing w:after="0"/>
              <w:rPr>
                <w:sz w:val="19"/>
                <w:szCs w:val="19"/>
                <w:color w:val="auto"/>
              </w:rPr>
            </w:pPr>
          </w:p>
        </w:tc>
        <w:tc>
          <w:tcPr>
            <w:tcW w:w="1500" w:type="dxa"/>
            <w:vAlign w:val="bottom"/>
            <w:tcBorders>
              <w:right w:val="single" w:sz="8" w:color="BF2115"/>
            </w:tcBorders>
            <w:shd w:val="clear" w:color="auto" w:fill="BF2115"/>
          </w:tcPr>
          <w:p>
            <w:pPr>
              <w:jc w:val="right"/>
              <w:ind w:right="219"/>
              <w:spacing w:after="0" w:line="219" w:lineRule="exact"/>
              <w:rPr>
                <w:sz w:val="20"/>
                <w:szCs w:val="20"/>
                <w:color w:val="auto"/>
              </w:rPr>
            </w:pPr>
            <w:r>
              <w:rPr>
                <w:rFonts w:ascii="Arial" w:cs="Arial" w:eastAsia="Arial" w:hAnsi="Arial"/>
                <w:sz w:val="16"/>
                <w:szCs w:val="16"/>
                <w:color w:val="FFFFFF"/>
              </w:rPr>
              <w:t>Performance</w:t>
            </w:r>
            <w:r>
              <w:rPr>
                <w:rFonts w:ascii="Arial" w:cs="Arial" w:eastAsia="Arial" w:hAnsi="Arial"/>
                <w:sz w:val="21"/>
                <w:szCs w:val="21"/>
                <w:color w:val="FFFFFF"/>
                <w:vertAlign w:val="superscript"/>
              </w:rPr>
              <w:t>(1)</w:t>
            </w:r>
          </w:p>
        </w:tc>
        <w:tc>
          <w:tcPr>
            <w:tcW w:w="1580" w:type="dxa"/>
            <w:vAlign w:val="bottom"/>
            <w:shd w:val="clear" w:color="auto" w:fill="BF2115"/>
          </w:tcPr>
          <w:p>
            <w:pPr>
              <w:jc w:val="right"/>
              <w:ind w:right="119"/>
              <w:spacing w:after="0"/>
              <w:rPr>
                <w:sz w:val="20"/>
                <w:szCs w:val="20"/>
                <w:color w:val="auto"/>
              </w:rPr>
            </w:pPr>
            <w:r>
              <w:rPr>
                <w:rFonts w:ascii="Arial" w:cs="Arial" w:eastAsia="Arial" w:hAnsi="Arial"/>
                <w:sz w:val="16"/>
                <w:szCs w:val="16"/>
                <w:color w:val="FFFFFF"/>
              </w:rPr>
              <w:t>Actual Payout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ACACAC"/>
          </w:tcPr>
          <w:p>
            <w:pPr>
              <w:ind w:left="40"/>
              <w:spacing w:after="0"/>
              <w:rPr>
                <w:sz w:val="20"/>
                <w:szCs w:val="20"/>
                <w:color w:val="auto"/>
              </w:rPr>
            </w:pPr>
            <w:r>
              <w:rPr>
                <w:rFonts w:ascii="Arial" w:cs="Arial" w:eastAsia="Arial" w:hAnsi="Arial"/>
                <w:sz w:val="16"/>
                <w:szCs w:val="16"/>
                <w:color w:val="auto"/>
              </w:rPr>
              <w:t>Three-year Average ROIC</w:t>
            </w:r>
          </w:p>
        </w:tc>
        <w:tc>
          <w:tcPr>
            <w:tcW w:w="980" w:type="dxa"/>
            <w:vAlign w:val="bottom"/>
            <w:shd w:val="clear" w:color="auto" w:fill="ACACAC"/>
          </w:tcPr>
          <w:p>
            <w:pPr>
              <w:ind w:left="320"/>
              <w:spacing w:after="0"/>
              <w:rPr>
                <w:sz w:val="20"/>
                <w:szCs w:val="20"/>
                <w:color w:val="auto"/>
              </w:rPr>
            </w:pPr>
            <w:r>
              <w:rPr>
                <w:rFonts w:ascii="Arial" w:cs="Arial" w:eastAsia="Arial" w:hAnsi="Arial"/>
                <w:sz w:val="16"/>
                <w:szCs w:val="16"/>
                <w:color w:val="auto"/>
              </w:rPr>
              <w:t>40.0%</w:t>
            </w:r>
          </w:p>
        </w:tc>
        <w:tc>
          <w:tcPr>
            <w:tcW w:w="360" w:type="dxa"/>
            <w:vAlign w:val="bottom"/>
            <w:shd w:val="clear" w:color="auto" w:fill="ACACAC"/>
          </w:tcPr>
          <w:p>
            <w:pPr>
              <w:spacing w:after="0"/>
              <w:rPr>
                <w:sz w:val="21"/>
                <w:szCs w:val="21"/>
                <w:color w:val="auto"/>
              </w:rPr>
            </w:pPr>
          </w:p>
        </w:tc>
        <w:tc>
          <w:tcPr>
            <w:tcW w:w="13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11.3%</w:t>
            </w:r>
          </w:p>
        </w:tc>
        <w:tc>
          <w:tcPr>
            <w:tcW w:w="220" w:type="dxa"/>
            <w:vAlign w:val="bottom"/>
            <w:shd w:val="clear" w:color="auto" w:fill="ACACAC"/>
          </w:tcPr>
          <w:p>
            <w:pPr>
              <w:spacing w:after="0"/>
              <w:rPr>
                <w:sz w:val="21"/>
                <w:szCs w:val="21"/>
                <w:color w:val="auto"/>
              </w:rPr>
            </w:pPr>
          </w:p>
        </w:tc>
        <w:tc>
          <w:tcPr>
            <w:tcW w:w="14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14.1%</w:t>
            </w:r>
          </w:p>
        </w:tc>
        <w:tc>
          <w:tcPr>
            <w:tcW w:w="200" w:type="dxa"/>
            <w:vAlign w:val="bottom"/>
            <w:shd w:val="clear" w:color="auto" w:fill="ACACAC"/>
          </w:tcPr>
          <w:p>
            <w:pPr>
              <w:spacing w:after="0"/>
              <w:rPr>
                <w:sz w:val="21"/>
                <w:szCs w:val="21"/>
                <w:color w:val="auto"/>
              </w:rPr>
            </w:pPr>
          </w:p>
        </w:tc>
        <w:tc>
          <w:tcPr>
            <w:tcW w:w="144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17.0%</w:t>
            </w:r>
          </w:p>
        </w:tc>
        <w:tc>
          <w:tcPr>
            <w:tcW w:w="160" w:type="dxa"/>
            <w:vAlign w:val="bottom"/>
            <w:shd w:val="clear" w:color="auto" w:fill="ACACAC"/>
          </w:tcPr>
          <w:p>
            <w:pPr>
              <w:spacing w:after="0"/>
              <w:rPr>
                <w:sz w:val="21"/>
                <w:szCs w:val="21"/>
                <w:color w:val="auto"/>
              </w:rPr>
            </w:pPr>
          </w:p>
        </w:tc>
        <w:tc>
          <w:tcPr>
            <w:tcW w:w="150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6"/>
                <w:szCs w:val="16"/>
                <w:color w:val="auto"/>
              </w:rPr>
              <w:t>12.4%</w:t>
            </w:r>
          </w:p>
        </w:tc>
        <w:tc>
          <w:tcPr>
            <w:tcW w:w="15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44.2%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180" w:type="dxa"/>
            <w:vAlign w:val="bottom"/>
          </w:tcPr>
          <w:p>
            <w:pPr>
              <w:ind w:left="40"/>
              <w:spacing w:after="0"/>
              <w:rPr>
                <w:sz w:val="20"/>
                <w:szCs w:val="20"/>
                <w:color w:val="auto"/>
              </w:rPr>
            </w:pPr>
            <w:r>
              <w:rPr>
                <w:rFonts w:ascii="Arial" w:cs="Arial" w:eastAsia="Arial" w:hAnsi="Arial"/>
                <w:sz w:val="16"/>
                <w:szCs w:val="16"/>
                <w:color w:val="auto"/>
              </w:rPr>
              <w:t>Three-year Cumulative Net</w:t>
            </w:r>
          </w:p>
        </w:tc>
        <w:tc>
          <w:tcPr>
            <w:tcW w:w="980" w:type="dxa"/>
            <w:vAlign w:val="bottom"/>
            <w:vMerge w:val="restart"/>
          </w:tcPr>
          <w:p>
            <w:pPr>
              <w:ind w:left="320"/>
              <w:spacing w:after="0"/>
              <w:rPr>
                <w:sz w:val="20"/>
                <w:szCs w:val="20"/>
                <w:color w:val="auto"/>
              </w:rPr>
            </w:pPr>
            <w:r>
              <w:rPr>
                <w:rFonts w:ascii="Arial" w:cs="Arial" w:eastAsia="Arial" w:hAnsi="Arial"/>
                <w:sz w:val="16"/>
                <w:szCs w:val="16"/>
                <w:color w:val="auto"/>
              </w:rPr>
              <w:t>30.0%</w:t>
            </w:r>
          </w:p>
        </w:tc>
        <w:tc>
          <w:tcPr>
            <w:tcW w:w="3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ind w:right="79"/>
              <w:spacing w:after="0"/>
              <w:rPr>
                <w:sz w:val="20"/>
                <w:szCs w:val="20"/>
                <w:color w:val="auto"/>
              </w:rPr>
            </w:pPr>
            <w:r>
              <w:rPr>
                <w:rFonts w:ascii="Arial" w:cs="Arial" w:eastAsia="Arial" w:hAnsi="Arial"/>
                <w:sz w:val="16"/>
                <w:szCs w:val="16"/>
                <w:color w:val="auto"/>
              </w:rPr>
              <w:t>3,874,956</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ind w:right="99"/>
              <w:spacing w:after="0"/>
              <w:rPr>
                <w:sz w:val="20"/>
                <w:szCs w:val="20"/>
                <w:color w:val="auto"/>
              </w:rPr>
            </w:pPr>
            <w:r>
              <w:rPr>
                <w:rFonts w:ascii="Arial" w:cs="Arial" w:eastAsia="Arial" w:hAnsi="Arial"/>
                <w:sz w:val="16"/>
                <w:szCs w:val="16"/>
                <w:color w:val="auto"/>
              </w:rPr>
              <w:t>4,843,695</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ind w:right="99"/>
              <w:spacing w:after="0"/>
              <w:rPr>
                <w:sz w:val="20"/>
                <w:szCs w:val="20"/>
                <w:color w:val="auto"/>
              </w:rPr>
            </w:pPr>
            <w:r>
              <w:rPr>
                <w:rFonts w:ascii="Arial" w:cs="Arial" w:eastAsia="Arial" w:hAnsi="Arial"/>
                <w:sz w:val="16"/>
                <w:szCs w:val="16"/>
                <w:color w:val="auto"/>
              </w:rPr>
              <w:t>5,812,434</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500" w:type="dxa"/>
            <w:vAlign w:val="bottom"/>
            <w:vMerge w:val="restart"/>
          </w:tcPr>
          <w:p>
            <w:pPr>
              <w:jc w:val="right"/>
              <w:ind w:right="99"/>
              <w:spacing w:after="0"/>
              <w:rPr>
                <w:sz w:val="20"/>
                <w:szCs w:val="20"/>
                <w:color w:val="auto"/>
              </w:rPr>
            </w:pPr>
            <w:r>
              <w:rPr>
                <w:rFonts w:ascii="Arial" w:cs="Arial" w:eastAsia="Arial" w:hAnsi="Arial"/>
                <w:sz w:val="16"/>
                <w:szCs w:val="16"/>
                <w:color w:val="auto"/>
              </w:rPr>
              <w:t>5,462,139</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180" w:type="dxa"/>
            <w:vAlign w:val="bottom"/>
            <w:vMerge w:val="restart"/>
          </w:tcPr>
          <w:p>
            <w:pPr>
              <w:ind w:left="40"/>
              <w:spacing w:after="0"/>
              <w:rPr>
                <w:sz w:val="20"/>
                <w:szCs w:val="20"/>
                <w:color w:val="auto"/>
              </w:rPr>
            </w:pPr>
            <w:r>
              <w:rPr>
                <w:rFonts w:ascii="Arial" w:cs="Arial" w:eastAsia="Arial" w:hAnsi="Arial"/>
                <w:sz w:val="16"/>
                <w:szCs w:val="16"/>
                <w:color w:val="auto"/>
              </w:rPr>
              <w:t>Revenue</w:t>
            </w:r>
          </w:p>
        </w:tc>
        <w:tc>
          <w:tcPr>
            <w:tcW w:w="98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18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180" w:type="dxa"/>
            <w:vAlign w:val="bottom"/>
            <w:shd w:val="clear" w:color="auto" w:fill="ACACAC"/>
          </w:tcPr>
          <w:p>
            <w:pPr>
              <w:ind w:left="40"/>
              <w:spacing w:after="0"/>
              <w:rPr>
                <w:sz w:val="20"/>
                <w:szCs w:val="20"/>
                <w:color w:val="auto"/>
              </w:rPr>
            </w:pPr>
            <w:r>
              <w:rPr>
                <w:rFonts w:ascii="Arial" w:cs="Arial" w:eastAsia="Arial" w:hAnsi="Arial"/>
                <w:sz w:val="16"/>
                <w:szCs w:val="16"/>
                <w:color w:val="auto"/>
              </w:rPr>
              <w:t>Three-year Cumulative</w:t>
            </w:r>
          </w:p>
        </w:tc>
        <w:tc>
          <w:tcPr>
            <w:tcW w:w="980" w:type="dxa"/>
            <w:vAlign w:val="bottom"/>
            <w:vMerge w:val="restart"/>
            <w:shd w:val="clear" w:color="auto" w:fill="ACACAC"/>
          </w:tcPr>
          <w:p>
            <w:pPr>
              <w:ind w:left="320"/>
              <w:spacing w:after="0"/>
              <w:rPr>
                <w:sz w:val="20"/>
                <w:szCs w:val="20"/>
                <w:color w:val="auto"/>
              </w:rPr>
            </w:pPr>
            <w:r>
              <w:rPr>
                <w:rFonts w:ascii="Arial" w:cs="Arial" w:eastAsia="Arial" w:hAnsi="Arial"/>
                <w:sz w:val="16"/>
                <w:szCs w:val="16"/>
                <w:color w:val="auto"/>
              </w:rPr>
              <w:t>30.0%</w:t>
            </w:r>
          </w:p>
        </w:tc>
        <w:tc>
          <w:tcPr>
            <w:tcW w:w="360" w:type="dxa"/>
            <w:vAlign w:val="bottom"/>
            <w:vMerge w:val="restart"/>
            <w:shd w:val="clear" w:color="auto" w:fill="ACACAC"/>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vMerge w:val="restart"/>
            <w:shd w:val="clear" w:color="auto" w:fill="ACACAC"/>
          </w:tcPr>
          <w:p>
            <w:pPr>
              <w:jc w:val="right"/>
              <w:ind w:right="79"/>
              <w:spacing w:after="0"/>
              <w:rPr>
                <w:sz w:val="20"/>
                <w:szCs w:val="20"/>
                <w:color w:val="auto"/>
              </w:rPr>
            </w:pPr>
            <w:r>
              <w:rPr>
                <w:rFonts w:ascii="Arial" w:cs="Arial" w:eastAsia="Arial" w:hAnsi="Arial"/>
                <w:sz w:val="16"/>
                <w:szCs w:val="16"/>
                <w:color w:val="auto"/>
              </w:rPr>
              <w:t>343,630</w:t>
            </w:r>
          </w:p>
        </w:tc>
        <w:tc>
          <w:tcPr>
            <w:tcW w:w="220" w:type="dxa"/>
            <w:vAlign w:val="bottom"/>
            <w:vMerge w:val="restart"/>
            <w:shd w:val="clear" w:color="auto" w:fill="ACACAC"/>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ACACAC"/>
          </w:tcPr>
          <w:p>
            <w:pPr>
              <w:jc w:val="right"/>
              <w:ind w:right="99"/>
              <w:spacing w:after="0"/>
              <w:rPr>
                <w:sz w:val="20"/>
                <w:szCs w:val="20"/>
                <w:color w:val="auto"/>
              </w:rPr>
            </w:pPr>
            <w:r>
              <w:rPr>
                <w:rFonts w:ascii="Arial" w:cs="Arial" w:eastAsia="Arial" w:hAnsi="Arial"/>
                <w:sz w:val="16"/>
                <w:szCs w:val="16"/>
                <w:color w:val="auto"/>
              </w:rPr>
              <w:t>429,537</w:t>
            </w:r>
          </w:p>
        </w:tc>
        <w:tc>
          <w:tcPr>
            <w:tcW w:w="200" w:type="dxa"/>
            <w:vAlign w:val="bottom"/>
            <w:vMerge w:val="restart"/>
            <w:shd w:val="clear" w:color="auto" w:fill="ACACAC"/>
          </w:tcPr>
          <w:p>
            <w:pPr>
              <w:jc w:val="right"/>
              <w:spacing w:after="0"/>
              <w:rPr>
                <w:sz w:val="20"/>
                <w:szCs w:val="20"/>
                <w:color w:val="auto"/>
              </w:rPr>
            </w:pPr>
            <w:r>
              <w:rPr>
                <w:rFonts w:ascii="Arial" w:cs="Arial" w:eastAsia="Arial" w:hAnsi="Arial"/>
                <w:sz w:val="16"/>
                <w:szCs w:val="16"/>
                <w:color w:val="auto"/>
              </w:rPr>
              <w:t>$</w:t>
            </w:r>
          </w:p>
        </w:tc>
        <w:tc>
          <w:tcPr>
            <w:tcW w:w="1440" w:type="dxa"/>
            <w:vAlign w:val="bottom"/>
            <w:vMerge w:val="restart"/>
            <w:shd w:val="clear" w:color="auto" w:fill="ACACAC"/>
          </w:tcPr>
          <w:p>
            <w:pPr>
              <w:jc w:val="right"/>
              <w:ind w:right="99"/>
              <w:spacing w:after="0"/>
              <w:rPr>
                <w:sz w:val="20"/>
                <w:szCs w:val="20"/>
                <w:color w:val="auto"/>
              </w:rPr>
            </w:pPr>
            <w:r>
              <w:rPr>
                <w:rFonts w:ascii="Arial" w:cs="Arial" w:eastAsia="Arial" w:hAnsi="Arial"/>
                <w:sz w:val="16"/>
                <w:szCs w:val="16"/>
                <w:color w:val="auto"/>
              </w:rPr>
              <w:t>515,444</w:t>
            </w:r>
          </w:p>
        </w:tc>
        <w:tc>
          <w:tcPr>
            <w:tcW w:w="160" w:type="dxa"/>
            <w:vAlign w:val="bottom"/>
            <w:vMerge w:val="restart"/>
            <w:shd w:val="clear" w:color="auto" w:fill="ACACAC"/>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CACAC"/>
            </w:tcBorders>
            <w:vMerge w:val="restart"/>
            <w:shd w:val="clear" w:color="auto" w:fill="ACACAC"/>
          </w:tcPr>
          <w:p>
            <w:pPr>
              <w:jc w:val="right"/>
              <w:ind w:right="99"/>
              <w:spacing w:after="0"/>
              <w:rPr>
                <w:sz w:val="20"/>
                <w:szCs w:val="20"/>
                <w:color w:val="auto"/>
              </w:rPr>
            </w:pPr>
            <w:r>
              <w:rPr>
                <w:rFonts w:ascii="Arial" w:cs="Arial" w:eastAsia="Arial" w:hAnsi="Arial"/>
                <w:sz w:val="16"/>
                <w:szCs w:val="16"/>
                <w:color w:val="auto"/>
              </w:rPr>
              <w:t>445,867</w:t>
            </w:r>
          </w:p>
        </w:tc>
        <w:tc>
          <w:tcPr>
            <w:tcW w:w="1580" w:type="dxa"/>
            <w:vAlign w:val="bottom"/>
            <w:vMerge w:val="restart"/>
            <w:shd w:val="clear" w:color="auto" w:fill="ACACAC"/>
          </w:tcPr>
          <w:p>
            <w:pPr>
              <w:jc w:val="right"/>
              <w:spacing w:after="0"/>
              <w:rPr>
                <w:sz w:val="20"/>
                <w:szCs w:val="20"/>
                <w:color w:val="auto"/>
              </w:rPr>
            </w:pPr>
            <w:r>
              <w:rPr>
                <w:rFonts w:ascii="Arial" w:cs="Arial" w:eastAsia="Arial" w:hAnsi="Arial"/>
                <w:sz w:val="16"/>
                <w:szCs w:val="16"/>
                <w:color w:val="auto"/>
              </w:rPr>
              <w:t>110.0%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180" w:type="dxa"/>
            <w:vAlign w:val="bottom"/>
            <w:vMerge w:val="restart"/>
            <w:shd w:val="clear" w:color="auto" w:fill="ACACAC"/>
          </w:tcPr>
          <w:p>
            <w:pPr>
              <w:ind w:left="40"/>
              <w:spacing w:after="0"/>
              <w:rPr>
                <w:sz w:val="20"/>
                <w:szCs w:val="20"/>
                <w:color w:val="auto"/>
              </w:rPr>
            </w:pPr>
            <w:r>
              <w:rPr>
                <w:rFonts w:ascii="Arial" w:cs="Arial" w:eastAsia="Arial" w:hAnsi="Arial"/>
                <w:sz w:val="16"/>
                <w:szCs w:val="16"/>
                <w:color w:val="auto"/>
              </w:rPr>
              <w:t>Operating Income</w:t>
            </w:r>
          </w:p>
        </w:tc>
        <w:tc>
          <w:tcPr>
            <w:tcW w:w="980" w:type="dxa"/>
            <w:vAlign w:val="bottom"/>
            <w:vMerge w:val="continue"/>
            <w:shd w:val="clear" w:color="auto" w:fill="ACACAC"/>
          </w:tcPr>
          <w:p>
            <w:pPr>
              <w:spacing w:after="0"/>
              <w:rPr>
                <w:sz w:val="8"/>
                <w:szCs w:val="8"/>
                <w:color w:val="auto"/>
              </w:rPr>
            </w:pPr>
          </w:p>
        </w:tc>
        <w:tc>
          <w:tcPr>
            <w:tcW w:w="360" w:type="dxa"/>
            <w:vAlign w:val="bottom"/>
            <w:vMerge w:val="continue"/>
            <w:shd w:val="clear" w:color="auto" w:fill="ACACAC"/>
          </w:tcPr>
          <w:p>
            <w:pPr>
              <w:spacing w:after="0"/>
              <w:rPr>
                <w:sz w:val="8"/>
                <w:szCs w:val="8"/>
                <w:color w:val="auto"/>
              </w:rPr>
            </w:pPr>
          </w:p>
        </w:tc>
        <w:tc>
          <w:tcPr>
            <w:tcW w:w="1380" w:type="dxa"/>
            <w:vAlign w:val="bottom"/>
            <w:vMerge w:val="continue"/>
            <w:shd w:val="clear" w:color="auto" w:fill="ACACAC"/>
          </w:tcPr>
          <w:p>
            <w:pPr>
              <w:spacing w:after="0"/>
              <w:rPr>
                <w:sz w:val="8"/>
                <w:szCs w:val="8"/>
                <w:color w:val="auto"/>
              </w:rPr>
            </w:pPr>
          </w:p>
        </w:tc>
        <w:tc>
          <w:tcPr>
            <w:tcW w:w="220" w:type="dxa"/>
            <w:vAlign w:val="bottom"/>
            <w:vMerge w:val="continue"/>
            <w:shd w:val="clear" w:color="auto" w:fill="ACACAC"/>
          </w:tcPr>
          <w:p>
            <w:pPr>
              <w:spacing w:after="0"/>
              <w:rPr>
                <w:sz w:val="8"/>
                <w:szCs w:val="8"/>
                <w:color w:val="auto"/>
              </w:rPr>
            </w:pPr>
          </w:p>
        </w:tc>
        <w:tc>
          <w:tcPr>
            <w:tcW w:w="1420" w:type="dxa"/>
            <w:vAlign w:val="bottom"/>
            <w:vMerge w:val="continue"/>
            <w:shd w:val="clear" w:color="auto" w:fill="ACACAC"/>
          </w:tcPr>
          <w:p>
            <w:pPr>
              <w:spacing w:after="0"/>
              <w:rPr>
                <w:sz w:val="8"/>
                <w:szCs w:val="8"/>
                <w:color w:val="auto"/>
              </w:rPr>
            </w:pPr>
          </w:p>
        </w:tc>
        <w:tc>
          <w:tcPr>
            <w:tcW w:w="200" w:type="dxa"/>
            <w:vAlign w:val="bottom"/>
            <w:vMerge w:val="continue"/>
            <w:shd w:val="clear" w:color="auto" w:fill="ACACAC"/>
          </w:tcPr>
          <w:p>
            <w:pPr>
              <w:spacing w:after="0"/>
              <w:rPr>
                <w:sz w:val="8"/>
                <w:szCs w:val="8"/>
                <w:color w:val="auto"/>
              </w:rPr>
            </w:pPr>
          </w:p>
        </w:tc>
        <w:tc>
          <w:tcPr>
            <w:tcW w:w="1440" w:type="dxa"/>
            <w:vAlign w:val="bottom"/>
            <w:vMerge w:val="continue"/>
            <w:shd w:val="clear" w:color="auto" w:fill="ACACAC"/>
          </w:tcPr>
          <w:p>
            <w:pPr>
              <w:spacing w:after="0"/>
              <w:rPr>
                <w:sz w:val="8"/>
                <w:szCs w:val="8"/>
                <w:color w:val="auto"/>
              </w:rPr>
            </w:pPr>
          </w:p>
        </w:tc>
        <w:tc>
          <w:tcPr>
            <w:tcW w:w="160" w:type="dxa"/>
            <w:vAlign w:val="bottom"/>
            <w:vMerge w:val="continue"/>
            <w:shd w:val="clear" w:color="auto" w:fill="ACACAC"/>
          </w:tcPr>
          <w:p>
            <w:pPr>
              <w:spacing w:after="0"/>
              <w:rPr>
                <w:sz w:val="8"/>
                <w:szCs w:val="8"/>
                <w:color w:val="auto"/>
              </w:rPr>
            </w:pPr>
          </w:p>
        </w:tc>
        <w:tc>
          <w:tcPr>
            <w:tcW w:w="1500" w:type="dxa"/>
            <w:vAlign w:val="bottom"/>
            <w:tcBorders>
              <w:right w:val="single" w:sz="8" w:color="ACACAC"/>
            </w:tcBorders>
            <w:vMerge w:val="continue"/>
            <w:shd w:val="clear" w:color="auto" w:fill="ACACAC"/>
          </w:tcPr>
          <w:p>
            <w:pPr>
              <w:spacing w:after="0"/>
              <w:rPr>
                <w:sz w:val="8"/>
                <w:szCs w:val="8"/>
                <w:color w:val="auto"/>
              </w:rPr>
            </w:pPr>
          </w:p>
        </w:tc>
        <w:tc>
          <w:tcPr>
            <w:tcW w:w="1580" w:type="dxa"/>
            <w:vAlign w:val="bottom"/>
            <w:vMerge w:val="continue"/>
            <w:shd w:val="clear" w:color="auto" w:fill="ACACAC"/>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180" w:type="dxa"/>
            <w:vAlign w:val="bottom"/>
            <w:tcBorders>
              <w:bottom w:val="single" w:sz="8" w:color="ACACAC"/>
            </w:tcBorders>
            <w:vMerge w:val="continue"/>
            <w:shd w:val="clear" w:color="auto" w:fill="ACACAC"/>
          </w:tcPr>
          <w:p>
            <w:pPr>
              <w:spacing w:after="0"/>
              <w:rPr>
                <w:sz w:val="9"/>
                <w:szCs w:val="9"/>
                <w:color w:val="auto"/>
              </w:rPr>
            </w:pPr>
          </w:p>
        </w:tc>
        <w:tc>
          <w:tcPr>
            <w:tcW w:w="980" w:type="dxa"/>
            <w:vAlign w:val="bottom"/>
            <w:tcBorders>
              <w:bottom w:val="single" w:sz="8" w:color="ACACAC"/>
            </w:tcBorders>
            <w:shd w:val="clear" w:color="auto" w:fill="ACACAC"/>
          </w:tcPr>
          <w:p>
            <w:pPr>
              <w:spacing w:after="0"/>
              <w:rPr>
                <w:sz w:val="9"/>
                <w:szCs w:val="9"/>
                <w:color w:val="auto"/>
              </w:rPr>
            </w:pPr>
          </w:p>
        </w:tc>
        <w:tc>
          <w:tcPr>
            <w:tcW w:w="360" w:type="dxa"/>
            <w:vAlign w:val="bottom"/>
            <w:tcBorders>
              <w:bottom w:val="single" w:sz="8" w:color="ACACAC"/>
            </w:tcBorders>
            <w:shd w:val="clear" w:color="auto" w:fill="ACACAC"/>
          </w:tcPr>
          <w:p>
            <w:pPr>
              <w:spacing w:after="0"/>
              <w:rPr>
                <w:sz w:val="9"/>
                <w:szCs w:val="9"/>
                <w:color w:val="auto"/>
              </w:rPr>
            </w:pPr>
          </w:p>
        </w:tc>
        <w:tc>
          <w:tcPr>
            <w:tcW w:w="1380" w:type="dxa"/>
            <w:vAlign w:val="bottom"/>
            <w:tcBorders>
              <w:bottom w:val="single" w:sz="8" w:color="ACACAC"/>
            </w:tcBorders>
            <w:shd w:val="clear" w:color="auto" w:fill="ACACAC"/>
          </w:tcPr>
          <w:p>
            <w:pPr>
              <w:spacing w:after="0"/>
              <w:rPr>
                <w:sz w:val="9"/>
                <w:szCs w:val="9"/>
                <w:color w:val="auto"/>
              </w:rPr>
            </w:pPr>
          </w:p>
        </w:tc>
        <w:tc>
          <w:tcPr>
            <w:tcW w:w="220" w:type="dxa"/>
            <w:vAlign w:val="bottom"/>
            <w:tcBorders>
              <w:bottom w:val="single" w:sz="8" w:color="ACACAC"/>
            </w:tcBorders>
            <w:shd w:val="clear" w:color="auto" w:fill="ACACAC"/>
          </w:tcPr>
          <w:p>
            <w:pPr>
              <w:spacing w:after="0"/>
              <w:rPr>
                <w:sz w:val="9"/>
                <w:szCs w:val="9"/>
                <w:color w:val="auto"/>
              </w:rPr>
            </w:pPr>
          </w:p>
        </w:tc>
        <w:tc>
          <w:tcPr>
            <w:tcW w:w="1420" w:type="dxa"/>
            <w:vAlign w:val="bottom"/>
            <w:tcBorders>
              <w:bottom w:val="single" w:sz="8" w:color="ACACAC"/>
            </w:tcBorders>
            <w:shd w:val="clear" w:color="auto" w:fill="ACACAC"/>
          </w:tcPr>
          <w:p>
            <w:pPr>
              <w:spacing w:after="0"/>
              <w:rPr>
                <w:sz w:val="9"/>
                <w:szCs w:val="9"/>
                <w:color w:val="auto"/>
              </w:rPr>
            </w:pPr>
          </w:p>
        </w:tc>
        <w:tc>
          <w:tcPr>
            <w:tcW w:w="200" w:type="dxa"/>
            <w:vAlign w:val="bottom"/>
            <w:tcBorders>
              <w:bottom w:val="single" w:sz="8" w:color="ACACAC"/>
            </w:tcBorders>
            <w:shd w:val="clear" w:color="auto" w:fill="ACACAC"/>
          </w:tcPr>
          <w:p>
            <w:pPr>
              <w:spacing w:after="0"/>
              <w:rPr>
                <w:sz w:val="9"/>
                <w:szCs w:val="9"/>
                <w:color w:val="auto"/>
              </w:rPr>
            </w:pPr>
          </w:p>
        </w:tc>
        <w:tc>
          <w:tcPr>
            <w:tcW w:w="1440" w:type="dxa"/>
            <w:vAlign w:val="bottom"/>
            <w:tcBorders>
              <w:bottom w:val="single" w:sz="8" w:color="ACACAC"/>
            </w:tcBorders>
            <w:shd w:val="clear" w:color="auto" w:fill="ACACAC"/>
          </w:tcPr>
          <w:p>
            <w:pPr>
              <w:spacing w:after="0"/>
              <w:rPr>
                <w:sz w:val="9"/>
                <w:szCs w:val="9"/>
                <w:color w:val="auto"/>
              </w:rPr>
            </w:pPr>
          </w:p>
        </w:tc>
        <w:tc>
          <w:tcPr>
            <w:tcW w:w="160" w:type="dxa"/>
            <w:vAlign w:val="bottom"/>
            <w:tcBorders>
              <w:bottom w:val="single" w:sz="8" w:color="ACACAC"/>
            </w:tcBorders>
            <w:shd w:val="clear" w:color="auto" w:fill="ACACAC"/>
          </w:tcPr>
          <w:p>
            <w:pPr>
              <w:spacing w:after="0"/>
              <w:rPr>
                <w:sz w:val="9"/>
                <w:szCs w:val="9"/>
                <w:color w:val="auto"/>
              </w:rPr>
            </w:pPr>
          </w:p>
        </w:tc>
        <w:tc>
          <w:tcPr>
            <w:tcW w:w="1500" w:type="dxa"/>
            <w:vAlign w:val="bottom"/>
            <w:tcBorders>
              <w:bottom w:val="single" w:sz="8" w:color="ACACAC"/>
              <w:right w:val="single" w:sz="8" w:color="ACACAC"/>
            </w:tcBorders>
            <w:shd w:val="clear" w:color="auto" w:fill="ACACAC"/>
          </w:tcPr>
          <w:p>
            <w:pPr>
              <w:spacing w:after="0"/>
              <w:rPr>
                <w:sz w:val="9"/>
                <w:szCs w:val="9"/>
                <w:color w:val="auto"/>
              </w:rPr>
            </w:pPr>
          </w:p>
        </w:tc>
        <w:tc>
          <w:tcPr>
            <w:tcW w:w="1580" w:type="dxa"/>
            <w:vAlign w:val="bottom"/>
            <w:tcBorders>
              <w:bottom w:val="single" w:sz="8" w:color="auto"/>
            </w:tcBorders>
            <w:shd w:val="clear" w:color="auto" w:fill="ACACAC"/>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tcBorders>
              <w:right w:val="single" w:sz="8" w:color="auto"/>
            </w:tcBorders>
            <w:gridSpan w:val="3"/>
          </w:tcPr>
          <w:p>
            <w:pPr>
              <w:jc w:val="right"/>
              <w:ind w:right="99"/>
              <w:spacing w:after="0"/>
              <w:rPr>
                <w:sz w:val="20"/>
                <w:szCs w:val="20"/>
                <w:color w:val="auto"/>
              </w:rPr>
            </w:pPr>
            <w:r>
              <w:rPr>
                <w:rFonts w:ascii="Arial" w:cs="Arial" w:eastAsia="Arial" w:hAnsi="Arial"/>
                <w:sz w:val="16"/>
                <w:szCs w:val="16"/>
                <w:color w:val="auto"/>
              </w:rPr>
              <w:t>Total Payout Percentage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jc w:val="both"/>
        <w:ind w:right="20" w:firstLine="8"/>
        <w:spacing w:after="0" w:line="250" w:lineRule="auto"/>
        <w:tabs>
          <w:tab w:leader="none" w:pos="241" w:val="left"/>
        </w:tabs>
        <w:numPr>
          <w:ilvl w:val="0"/>
          <w:numId w:val="37"/>
        </w:numPr>
        <w:rPr>
          <w:rFonts w:ascii="Arial" w:cs="Arial" w:eastAsia="Arial" w:hAnsi="Arial"/>
          <w:sz w:val="14"/>
          <w:szCs w:val="14"/>
          <w:color w:val="auto"/>
        </w:rPr>
      </w:pPr>
      <w:r>
        <w:rPr>
          <w:rFonts w:ascii="Arial" w:cs="Arial" w:eastAsia="Arial" w:hAnsi="Arial"/>
          <w:sz w:val="14"/>
          <w:szCs w:val="14"/>
          <w:color w:val="auto"/>
        </w:rPr>
        <w:t>Performance figures reflect adjustments approved by the Committee for certain events not contemplated when creating initial targets, consisting of adjustments to each measure relating to: the Tax Cuts and Jobs Act enacted on December 22, 2017, the Company's acquisition of Chris-Craft, and transaction costs associated with the Company's acquisition of Grand Design.</w:t>
      </w:r>
    </w:p>
    <w:p>
      <w:pPr>
        <w:spacing w:after="0" w:line="16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For the Fiscal 2017-2019 LTIP performance share units, Ms. Bogart was not employed at the time of the award and Mr. Clark was not eligible to participate in the award. The target award and actual payout for the eligible participants is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71755</wp:posOffset>
            </wp:positionV>
            <wp:extent cx="889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15430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71755</wp:posOffset>
            </wp:positionV>
            <wp:extent cx="889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15430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71755</wp:posOffset>
            </wp:positionV>
            <wp:extent cx="889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15430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71755</wp:posOffset>
            </wp:positionV>
            <wp:extent cx="889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15430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40" w:type="dxa"/>
            <w:vAlign w:val="bottom"/>
            <w:shd w:val="clear" w:color="auto" w:fill="BF2115"/>
          </w:tcPr>
          <w:p>
            <w:pPr>
              <w:ind w:left="40"/>
              <w:spacing w:after="0"/>
              <w:rPr>
                <w:sz w:val="20"/>
                <w:szCs w:val="20"/>
                <w:color w:val="auto"/>
              </w:rPr>
            </w:pPr>
            <w:r>
              <w:rPr>
                <w:rFonts w:ascii="Arial" w:cs="Arial" w:eastAsia="Arial" w:hAnsi="Arial"/>
                <w:sz w:val="16"/>
                <w:szCs w:val="16"/>
                <w:color w:val="FFFFFF"/>
              </w:rPr>
              <w:t>Name</w:t>
            </w:r>
          </w:p>
        </w:tc>
        <w:tc>
          <w:tcPr>
            <w:tcW w:w="1060" w:type="dxa"/>
            <w:vAlign w:val="bottom"/>
            <w:shd w:val="clear" w:color="auto" w:fill="BF2115"/>
          </w:tcPr>
          <w:p>
            <w:pPr>
              <w:spacing w:after="0"/>
              <w:rPr>
                <w:sz w:val="21"/>
                <w:szCs w:val="21"/>
                <w:color w:val="auto"/>
              </w:rPr>
            </w:pPr>
          </w:p>
        </w:tc>
        <w:tc>
          <w:tcPr>
            <w:tcW w:w="1800" w:type="dxa"/>
            <w:vAlign w:val="bottom"/>
            <w:shd w:val="clear" w:color="auto" w:fill="BF2115"/>
          </w:tcPr>
          <w:p>
            <w:pPr>
              <w:jc w:val="right"/>
              <w:ind w:right="459"/>
              <w:spacing w:after="0"/>
              <w:rPr>
                <w:sz w:val="20"/>
                <w:szCs w:val="20"/>
                <w:color w:val="auto"/>
              </w:rPr>
            </w:pPr>
            <w:r>
              <w:rPr>
                <w:rFonts w:ascii="Arial" w:cs="Arial" w:eastAsia="Arial" w:hAnsi="Arial"/>
                <w:sz w:val="16"/>
                <w:szCs w:val="16"/>
                <w:color w:val="FFFFFF"/>
              </w:rPr>
              <w:t>Target Shares</w:t>
            </w:r>
          </w:p>
        </w:tc>
        <w:tc>
          <w:tcPr>
            <w:tcW w:w="360" w:type="dxa"/>
            <w:vAlign w:val="bottom"/>
            <w:shd w:val="clear" w:color="auto" w:fill="BF2115"/>
          </w:tcPr>
          <w:p>
            <w:pPr>
              <w:spacing w:after="0"/>
              <w:rPr>
                <w:sz w:val="21"/>
                <w:szCs w:val="21"/>
                <w:color w:val="auto"/>
              </w:rPr>
            </w:pPr>
          </w:p>
        </w:tc>
        <w:tc>
          <w:tcPr>
            <w:tcW w:w="1800" w:type="dxa"/>
            <w:vAlign w:val="bottom"/>
            <w:shd w:val="clear" w:color="auto" w:fill="BF2115"/>
          </w:tcPr>
          <w:p>
            <w:pPr>
              <w:jc w:val="right"/>
              <w:ind w:right="379"/>
              <w:spacing w:after="0"/>
              <w:rPr>
                <w:sz w:val="20"/>
                <w:szCs w:val="20"/>
                <w:color w:val="auto"/>
              </w:rPr>
            </w:pPr>
            <w:r>
              <w:rPr>
                <w:rFonts w:ascii="Arial" w:cs="Arial" w:eastAsia="Arial" w:hAnsi="Arial"/>
                <w:sz w:val="16"/>
                <w:szCs w:val="16"/>
                <w:color w:val="FFFFFF"/>
              </w:rPr>
              <w:t>Target Payout</w:t>
            </w:r>
            <w:r>
              <w:rPr>
                <w:rFonts w:ascii="Arial" w:cs="Arial" w:eastAsia="Arial" w:hAnsi="Arial"/>
                <w:sz w:val="21"/>
                <w:szCs w:val="21"/>
                <w:color w:val="FFFFFF"/>
                <w:vertAlign w:val="superscript"/>
              </w:rPr>
              <w:t>(1)</w:t>
            </w:r>
          </w:p>
        </w:tc>
        <w:tc>
          <w:tcPr>
            <w:tcW w:w="380" w:type="dxa"/>
            <w:vAlign w:val="bottom"/>
            <w:shd w:val="clear" w:color="auto" w:fill="BF2115"/>
          </w:tcPr>
          <w:p>
            <w:pPr>
              <w:spacing w:after="0"/>
              <w:rPr>
                <w:sz w:val="21"/>
                <w:szCs w:val="21"/>
                <w:color w:val="auto"/>
              </w:rPr>
            </w:pPr>
          </w:p>
        </w:tc>
        <w:tc>
          <w:tcPr>
            <w:tcW w:w="1780" w:type="dxa"/>
            <w:vAlign w:val="bottom"/>
            <w:shd w:val="clear" w:color="auto" w:fill="BF2115"/>
          </w:tcPr>
          <w:p>
            <w:pPr>
              <w:jc w:val="right"/>
              <w:ind w:right="459"/>
              <w:spacing w:after="0"/>
              <w:rPr>
                <w:sz w:val="20"/>
                <w:szCs w:val="20"/>
                <w:color w:val="auto"/>
              </w:rPr>
            </w:pPr>
            <w:r>
              <w:rPr>
                <w:rFonts w:ascii="Arial" w:cs="Arial" w:eastAsia="Arial" w:hAnsi="Arial"/>
                <w:sz w:val="16"/>
                <w:szCs w:val="16"/>
                <w:color w:val="FFFFFF"/>
              </w:rPr>
              <w:t>Actual Shares</w:t>
            </w:r>
          </w:p>
        </w:tc>
        <w:tc>
          <w:tcPr>
            <w:tcW w:w="360" w:type="dxa"/>
            <w:vAlign w:val="bottom"/>
            <w:shd w:val="clear" w:color="auto" w:fill="BF2115"/>
          </w:tcPr>
          <w:p>
            <w:pPr>
              <w:spacing w:after="0"/>
              <w:rPr>
                <w:sz w:val="21"/>
                <w:szCs w:val="21"/>
                <w:color w:val="auto"/>
              </w:rPr>
            </w:pPr>
          </w:p>
        </w:tc>
        <w:tc>
          <w:tcPr>
            <w:tcW w:w="1840" w:type="dxa"/>
            <w:vAlign w:val="bottom"/>
            <w:shd w:val="clear" w:color="auto" w:fill="BF2115"/>
          </w:tcPr>
          <w:p>
            <w:pPr>
              <w:jc w:val="right"/>
              <w:ind w:right="419"/>
              <w:spacing w:after="0"/>
              <w:rPr>
                <w:sz w:val="20"/>
                <w:szCs w:val="20"/>
                <w:color w:val="auto"/>
              </w:rPr>
            </w:pPr>
            <w:r>
              <w:rPr>
                <w:rFonts w:ascii="Arial" w:cs="Arial" w:eastAsia="Arial" w:hAnsi="Arial"/>
                <w:sz w:val="16"/>
                <w:szCs w:val="16"/>
                <w:color w:val="FFFFFF"/>
              </w:rPr>
              <w:t>Actual Payout</w:t>
            </w:r>
            <w:r>
              <w:rPr>
                <w:rFonts w:ascii="Arial" w:cs="Arial" w:eastAsia="Arial" w:hAnsi="Arial"/>
                <w:sz w:val="21"/>
                <w:szCs w:val="21"/>
                <w:color w:val="FFFFFF"/>
                <w:vertAlign w:val="superscript"/>
              </w:rPr>
              <w:t>(1)</w:t>
            </w:r>
          </w:p>
        </w:tc>
      </w:tr>
      <w:tr>
        <w:trPr>
          <w:trHeight w:val="243"/>
        </w:trPr>
        <w:tc>
          <w:tcPr>
            <w:tcW w:w="2040" w:type="dxa"/>
            <w:vAlign w:val="bottom"/>
            <w:shd w:val="clear" w:color="auto" w:fill="ACACAC"/>
          </w:tcPr>
          <w:p>
            <w:pPr>
              <w:ind w:left="40"/>
              <w:spacing w:after="0"/>
              <w:rPr>
                <w:sz w:val="20"/>
                <w:szCs w:val="20"/>
                <w:color w:val="auto"/>
              </w:rPr>
            </w:pPr>
            <w:r>
              <w:rPr>
                <w:rFonts w:ascii="Arial" w:cs="Arial" w:eastAsia="Arial" w:hAnsi="Arial"/>
                <w:sz w:val="16"/>
                <w:szCs w:val="16"/>
                <w:color w:val="auto"/>
              </w:rPr>
              <w:t>Michael J. Happe</w:t>
            </w:r>
          </w:p>
        </w:tc>
        <w:tc>
          <w:tcPr>
            <w:tcW w:w="1060" w:type="dxa"/>
            <w:vAlign w:val="bottom"/>
            <w:shd w:val="clear" w:color="auto" w:fill="ACACAC"/>
          </w:tcPr>
          <w:p>
            <w:pPr>
              <w:jc w:val="right"/>
              <w:ind w:right="159"/>
              <w:spacing w:after="0"/>
              <w:rPr>
                <w:sz w:val="20"/>
                <w:szCs w:val="20"/>
                <w:color w:val="auto"/>
              </w:rPr>
            </w:pPr>
            <w:r>
              <w:rPr>
                <w:rFonts w:ascii="Arial" w:cs="Arial" w:eastAsia="Arial" w:hAnsi="Arial"/>
                <w:sz w:val="16"/>
                <w:szCs w:val="16"/>
                <w:color w:val="auto"/>
              </w:rPr>
              <w:t>$</w:t>
            </w:r>
          </w:p>
        </w:tc>
        <w:tc>
          <w:tcPr>
            <w:tcW w:w="1800" w:type="dxa"/>
            <w:vAlign w:val="bottom"/>
            <w:shd w:val="clear" w:color="auto" w:fill="ACACAC"/>
          </w:tcPr>
          <w:p>
            <w:pPr>
              <w:jc w:val="right"/>
              <w:spacing w:after="0"/>
              <w:rPr>
                <w:sz w:val="20"/>
                <w:szCs w:val="20"/>
                <w:color w:val="auto"/>
              </w:rPr>
            </w:pPr>
            <w:r>
              <w:rPr>
                <w:rFonts w:ascii="Arial" w:cs="Arial" w:eastAsia="Arial" w:hAnsi="Arial"/>
                <w:sz w:val="16"/>
                <w:szCs w:val="16"/>
                <w:color w:val="auto"/>
              </w:rPr>
              <w:t>22,709</w:t>
            </w:r>
          </w:p>
        </w:tc>
        <w:tc>
          <w:tcPr>
            <w:tcW w:w="360" w:type="dxa"/>
            <w:vAlign w:val="bottom"/>
            <w:shd w:val="clear" w:color="auto" w:fill="ACACAC"/>
          </w:tcPr>
          <w:p>
            <w:pPr>
              <w:jc w:val="right"/>
              <w:ind w:right="119"/>
              <w:spacing w:after="0"/>
              <w:rPr>
                <w:sz w:val="20"/>
                <w:szCs w:val="20"/>
                <w:color w:val="auto"/>
              </w:rPr>
            </w:pPr>
            <w:r>
              <w:rPr>
                <w:rFonts w:ascii="Arial" w:cs="Arial" w:eastAsia="Arial" w:hAnsi="Arial"/>
                <w:sz w:val="16"/>
                <w:szCs w:val="16"/>
                <w:color w:val="auto"/>
              </w:rPr>
              <w:t>$</w:t>
            </w:r>
          </w:p>
        </w:tc>
        <w:tc>
          <w:tcPr>
            <w:tcW w:w="1800" w:type="dxa"/>
            <w:vAlign w:val="bottom"/>
            <w:shd w:val="clear" w:color="auto" w:fill="ACACAC"/>
          </w:tcPr>
          <w:p>
            <w:pPr>
              <w:jc w:val="right"/>
              <w:spacing w:after="0"/>
              <w:rPr>
                <w:sz w:val="20"/>
                <w:szCs w:val="20"/>
                <w:color w:val="auto"/>
              </w:rPr>
            </w:pPr>
            <w:r>
              <w:rPr>
                <w:rFonts w:ascii="Arial" w:cs="Arial" w:eastAsia="Arial" w:hAnsi="Arial"/>
                <w:sz w:val="16"/>
                <w:szCs w:val="16"/>
                <w:color w:val="auto"/>
              </w:rPr>
              <w:t>633,354</w:t>
            </w:r>
          </w:p>
        </w:tc>
        <w:tc>
          <w:tcPr>
            <w:tcW w:w="380" w:type="dxa"/>
            <w:vAlign w:val="bottom"/>
            <w:shd w:val="clear" w:color="auto" w:fill="ACACAC"/>
          </w:tcPr>
          <w:p>
            <w:pPr>
              <w:jc w:val="right"/>
              <w:ind w:right="1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20,502</w:t>
            </w:r>
          </w:p>
        </w:tc>
        <w:tc>
          <w:tcPr>
            <w:tcW w:w="360" w:type="dxa"/>
            <w:vAlign w:val="bottom"/>
            <w:shd w:val="clear" w:color="auto" w:fill="ACACAC"/>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765,340</w:t>
            </w:r>
          </w:p>
        </w:tc>
      </w:tr>
      <w:tr>
        <w:trPr>
          <w:trHeight w:val="233"/>
        </w:trPr>
        <w:tc>
          <w:tcPr>
            <w:tcW w:w="2040" w:type="dxa"/>
            <w:vAlign w:val="bottom"/>
          </w:tcPr>
          <w:p>
            <w:pPr>
              <w:ind w:left="40"/>
              <w:spacing w:after="0"/>
              <w:rPr>
                <w:sz w:val="20"/>
                <w:szCs w:val="20"/>
                <w:color w:val="auto"/>
              </w:rPr>
            </w:pPr>
            <w:r>
              <w:rPr>
                <w:rFonts w:ascii="Arial" w:cs="Arial" w:eastAsia="Arial" w:hAnsi="Arial"/>
                <w:sz w:val="16"/>
                <w:szCs w:val="16"/>
                <w:color w:val="auto"/>
              </w:rPr>
              <w:t>Bryan L. Hughes</w:t>
            </w:r>
          </w:p>
        </w:tc>
        <w:tc>
          <w:tcPr>
            <w:tcW w:w="10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6,110</w:t>
            </w:r>
          </w:p>
        </w:tc>
        <w:tc>
          <w:tcPr>
            <w:tcW w:w="3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171,386</w:t>
            </w: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5,517</w:t>
            </w:r>
          </w:p>
        </w:tc>
        <w:tc>
          <w:tcPr>
            <w:tcW w:w="36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205,950</w:t>
            </w:r>
          </w:p>
        </w:tc>
      </w:tr>
      <w:tr>
        <w:trPr>
          <w:trHeight w:val="253"/>
        </w:trPr>
        <w:tc>
          <w:tcPr>
            <w:tcW w:w="2040" w:type="dxa"/>
            <w:vAlign w:val="bottom"/>
            <w:shd w:val="clear" w:color="auto" w:fill="ACACAC"/>
          </w:tcPr>
          <w:p>
            <w:pPr>
              <w:ind w:left="40"/>
              <w:spacing w:after="0"/>
              <w:rPr>
                <w:sz w:val="20"/>
                <w:szCs w:val="20"/>
                <w:color w:val="auto"/>
              </w:rPr>
            </w:pPr>
            <w:r>
              <w:rPr>
                <w:rFonts w:ascii="Arial" w:cs="Arial" w:eastAsia="Arial" w:hAnsi="Arial"/>
                <w:sz w:val="16"/>
                <w:szCs w:val="16"/>
                <w:color w:val="auto"/>
              </w:rPr>
              <w:t>Brian D. Hazelton</w:t>
            </w:r>
          </w:p>
        </w:tc>
        <w:tc>
          <w:tcPr>
            <w:tcW w:w="1060" w:type="dxa"/>
            <w:vAlign w:val="bottom"/>
            <w:shd w:val="clear" w:color="auto" w:fill="ACACAC"/>
          </w:tcPr>
          <w:p>
            <w:pPr>
              <w:spacing w:after="0"/>
              <w:rPr>
                <w:sz w:val="21"/>
                <w:szCs w:val="21"/>
                <w:color w:val="auto"/>
              </w:rPr>
            </w:pPr>
          </w:p>
        </w:tc>
        <w:tc>
          <w:tcPr>
            <w:tcW w:w="1800" w:type="dxa"/>
            <w:vAlign w:val="bottom"/>
            <w:shd w:val="clear" w:color="auto" w:fill="ACACAC"/>
          </w:tcPr>
          <w:p>
            <w:pPr>
              <w:jc w:val="right"/>
              <w:spacing w:after="0"/>
              <w:rPr>
                <w:sz w:val="20"/>
                <w:szCs w:val="20"/>
                <w:color w:val="auto"/>
              </w:rPr>
            </w:pPr>
            <w:r>
              <w:rPr>
                <w:rFonts w:ascii="Arial" w:cs="Arial" w:eastAsia="Arial" w:hAnsi="Arial"/>
                <w:sz w:val="16"/>
                <w:szCs w:val="16"/>
                <w:color w:val="auto"/>
              </w:rPr>
              <w:t>9,290</w:t>
            </w:r>
          </w:p>
        </w:tc>
        <w:tc>
          <w:tcPr>
            <w:tcW w:w="360" w:type="dxa"/>
            <w:vAlign w:val="bottom"/>
            <w:shd w:val="clear" w:color="auto" w:fill="ACACAC"/>
          </w:tcPr>
          <w:p>
            <w:pPr>
              <w:spacing w:after="0"/>
              <w:rPr>
                <w:sz w:val="21"/>
                <w:szCs w:val="21"/>
                <w:color w:val="auto"/>
              </w:rPr>
            </w:pPr>
          </w:p>
        </w:tc>
        <w:tc>
          <w:tcPr>
            <w:tcW w:w="1800" w:type="dxa"/>
            <w:vAlign w:val="bottom"/>
            <w:shd w:val="clear" w:color="auto" w:fill="ACACAC"/>
          </w:tcPr>
          <w:p>
            <w:pPr>
              <w:jc w:val="right"/>
              <w:spacing w:after="0"/>
              <w:rPr>
                <w:sz w:val="20"/>
                <w:szCs w:val="20"/>
                <w:color w:val="auto"/>
              </w:rPr>
            </w:pPr>
            <w:r>
              <w:rPr>
                <w:rFonts w:ascii="Arial" w:cs="Arial" w:eastAsia="Arial" w:hAnsi="Arial"/>
                <w:sz w:val="16"/>
                <w:szCs w:val="16"/>
                <w:color w:val="auto"/>
              </w:rPr>
              <w:t>259,098</w:t>
            </w:r>
          </w:p>
        </w:tc>
        <w:tc>
          <w:tcPr>
            <w:tcW w:w="380" w:type="dxa"/>
            <w:vAlign w:val="bottom"/>
            <w:shd w:val="clear" w:color="auto" w:fill="ACACAC"/>
          </w:tcPr>
          <w:p>
            <w:pPr>
              <w:spacing w:after="0"/>
              <w:rPr>
                <w:sz w:val="21"/>
                <w:szCs w:val="21"/>
                <w:color w:val="auto"/>
              </w:rPr>
            </w:pPr>
          </w:p>
        </w:tc>
        <w:tc>
          <w:tcPr>
            <w:tcW w:w="17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8,388</w:t>
            </w:r>
          </w:p>
        </w:tc>
        <w:tc>
          <w:tcPr>
            <w:tcW w:w="360" w:type="dxa"/>
            <w:vAlign w:val="bottom"/>
            <w:shd w:val="clear" w:color="auto" w:fill="ACACAC"/>
          </w:tcPr>
          <w:p>
            <w:pPr>
              <w:spacing w:after="0"/>
              <w:rPr>
                <w:sz w:val="21"/>
                <w:szCs w:val="21"/>
                <w:color w:val="auto"/>
              </w:rPr>
            </w:pPr>
          </w:p>
        </w:tc>
        <w:tc>
          <w:tcPr>
            <w:tcW w:w="184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313,124</w:t>
            </w:r>
          </w:p>
        </w:tc>
      </w:tr>
    </w:tbl>
    <w:p>
      <w:pPr>
        <w:spacing w:after="0" w:line="59" w:lineRule="exact"/>
        <w:rPr>
          <w:sz w:val="20"/>
          <w:szCs w:val="20"/>
          <w:color w:val="auto"/>
        </w:rPr>
      </w:pPr>
    </w:p>
    <w:p>
      <w:pPr>
        <w:jc w:val="both"/>
        <w:ind w:left="260" w:right="20" w:hanging="252"/>
        <w:spacing w:after="0" w:line="250" w:lineRule="auto"/>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Target payout is valued at the closing market price of our common stock on the grant date as quoted on the NYSE. For Messrs. Happe and Hazelton, the value was $27.89 (October 11, 2016), and for Mr. Hughes, who was hired during Fiscal 2017, the value was $28.05 (May 15, 2017). Actual payout is valued at the closing market price of our common stock on October 9, 2019, which was $37.33.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40"/>
          </w:cols>
          <w:pgMar w:left="240" w:top="303" w:right="219" w:bottom="1440" w:gutter="0" w:footer="0" w:header="0"/>
        </w:sectPr>
      </w:pPr>
    </w:p>
    <w:bookmarkStart w:id="28" w:name="page29"/>
    <w:bookmarkEnd w:id="28"/>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color w:val="BF2115"/>
        </w:rPr>
        <w:t>Benefits</w:t>
      </w:r>
    </w:p>
    <w:p>
      <w:pPr>
        <w:spacing w:after="0" w:line="28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NEOs are eligible to participate in the same benefit plans designed for all of our full-time employees. The basic insurance package includes health, dental, disability and basic group life insurance.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Except as specifically summarized in this Compensation Discussion and Analysis, we do not currently provide payments and benefits for NEOs following his or her retirement, including, but not limited to, tax-qualified defined benefit plans and supplemental executive retirement plans.</w:t>
      </w:r>
    </w:p>
    <w:p>
      <w:pPr>
        <w:spacing w:after="0" w:line="181" w:lineRule="exact"/>
        <w:rPr>
          <w:sz w:val="20"/>
          <w:szCs w:val="20"/>
          <w:color w:val="auto"/>
        </w:rPr>
      </w:pPr>
    </w:p>
    <w:p>
      <w:pPr>
        <w:ind w:right="480"/>
        <w:spacing w:after="0" w:line="249" w:lineRule="auto"/>
        <w:rPr>
          <w:sz w:val="20"/>
          <w:szCs w:val="20"/>
          <w:color w:val="auto"/>
        </w:rPr>
      </w:pPr>
      <w:r>
        <w:rPr>
          <w:rFonts w:ascii="Arial" w:cs="Arial" w:eastAsia="Arial" w:hAnsi="Arial"/>
          <w:sz w:val="22"/>
          <w:szCs w:val="22"/>
          <w:color w:val="828282"/>
        </w:rPr>
        <w:t>Profit Sharing and Deferred Savings and Investment Plan</w:t>
      </w:r>
    </w:p>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maintain a 401(k) plan, the Winnebago Industries, Inc. Profit Sharing and Deferred Savings and Investment Plan (the "401(k) Plan"), which is a tax-qualified defined contribution plan maintained for the benefit of substantially all hourly and salaried employees, including our executives. The 401(k) Plan offers NEOs and all other employees the opportunity to defer a percentage of income that is a part of their base compensation. Effective January 1, 2018, the Company matching contribution increased to $0.50 per $1.00 of employee contribution up to 6% of the base compensation deferred by employees (subject to IRS limits and non-discrimination testing), subject to a 2-year, pro-rata vesting period. Although executives, including the NEOs, are eligible to participate in the 401(k) Plan, the application of the annual limitation on contributions under the Internal Revenue Code prevents executives from participating at the same level as non-executives. This compensation element is tax-deferred and is not intended to affect the value of any other compensation element.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right="400"/>
        <w:spacing w:after="0" w:line="249" w:lineRule="auto"/>
        <w:rPr>
          <w:sz w:val="20"/>
          <w:szCs w:val="20"/>
          <w:color w:val="auto"/>
        </w:rPr>
      </w:pPr>
      <w:r>
        <w:rPr>
          <w:rFonts w:ascii="Arial" w:cs="Arial" w:eastAsia="Arial" w:hAnsi="Arial"/>
          <w:sz w:val="22"/>
          <w:szCs w:val="22"/>
          <w:color w:val="828282"/>
        </w:rPr>
        <w:t>Executive Deferred Compensation Plan (2007) (Non-Qualified Deferred Compensation Plan)</w:t>
      </w:r>
    </w:p>
    <w:p>
      <w:pPr>
        <w:spacing w:after="0" w:line="17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Executive Deferred Compensation Plan, executive officers and certain key employees may annually choose to defer up to 50% of their salary and up to 100% of their cash incentive awards. The Committee has determined that the deferred compensation plan will have the same nominal investment options as the 401(k) Plan. The Company does not provide any matching contributions to the Executive Deferred Compensation Plan.</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828282"/>
        </w:rPr>
        <w:t>Perquisites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provide NEOs with limited perquisites that the Committee believes are reasonable and consistent with the overall compensation program to better enable us to attract and retain superior employees for key positions. The Committee periodically reviews the levels of perquisites and other personal benefits provided to NEOs. Based upon this periodic review, perquisites are awarded or adjusted on an individual basis. NEOs are not automatically awarded all, or in equal amounts, perquisites granted by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perquisites provided to our NEOs include:</w:t>
      </w:r>
    </w:p>
    <w:p>
      <w:pPr>
        <w:spacing w:after="0" w:line="194" w:lineRule="exact"/>
        <w:rPr>
          <w:sz w:val="20"/>
          <w:szCs w:val="20"/>
          <w:color w:val="auto"/>
        </w:rPr>
      </w:pPr>
    </w:p>
    <w:p>
      <w:pPr>
        <w:jc w:val="both"/>
        <w:ind w:left="660" w:hanging="334"/>
        <w:spacing w:after="0" w:line="24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BF2115"/>
        </w:rPr>
        <w:t xml:space="preserve">Executive Physical. </w:t>
      </w:r>
      <w:r>
        <w:rPr>
          <w:rFonts w:ascii="Arial" w:cs="Arial" w:eastAsia="Arial" w:hAnsi="Arial"/>
          <w:sz w:val="16"/>
          <w:szCs w:val="16"/>
          <w:color w:val="000000"/>
        </w:rPr>
        <w:t>In an effort to encourage executives to monitor</w:t>
      </w:r>
      <w:r>
        <w:rPr>
          <w:rFonts w:ascii="Arial" w:cs="Arial" w:eastAsia="Arial" w:hAnsi="Arial"/>
          <w:sz w:val="16"/>
          <w:szCs w:val="16"/>
          <w:color w:val="BF2115"/>
        </w:rPr>
        <w:t xml:space="preserve"> </w:t>
      </w:r>
      <w:r>
        <w:rPr>
          <w:rFonts w:ascii="Arial" w:cs="Arial" w:eastAsia="Arial" w:hAnsi="Arial"/>
          <w:sz w:val="16"/>
          <w:szCs w:val="16"/>
          <w:color w:val="000000"/>
        </w:rPr>
        <w:t>and maintain good health, we pay for voluntary annual physical examinations for executives, including the NEOs.</w:t>
      </w:r>
    </w:p>
    <w:p>
      <w:pPr>
        <w:spacing w:after="0" w:line="1" w:lineRule="exact"/>
        <w:rPr>
          <w:rFonts w:ascii="Arial" w:cs="Arial" w:eastAsia="Arial" w:hAnsi="Arial"/>
          <w:sz w:val="16"/>
          <w:szCs w:val="16"/>
          <w:color w:val="auto"/>
        </w:rPr>
      </w:pPr>
    </w:p>
    <w:p>
      <w:pPr>
        <w:jc w:val="both"/>
        <w:ind w:left="660" w:hanging="334"/>
        <w:spacing w:after="0" w:line="24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BF2115"/>
        </w:rPr>
        <w:t xml:space="preserve">Recreational Vehicle Use. </w:t>
      </w:r>
      <w:r>
        <w:rPr>
          <w:rFonts w:ascii="Arial" w:cs="Arial" w:eastAsia="Arial" w:hAnsi="Arial"/>
          <w:sz w:val="16"/>
          <w:szCs w:val="16"/>
          <w:color w:val="000000"/>
        </w:rPr>
        <w:t>Our executives, including NEOs, have</w:t>
      </w:r>
      <w:r>
        <w:rPr>
          <w:rFonts w:ascii="Arial" w:cs="Arial" w:eastAsia="Arial" w:hAnsi="Arial"/>
          <w:sz w:val="16"/>
          <w:szCs w:val="16"/>
          <w:color w:val="BF2115"/>
        </w:rPr>
        <w:t xml:space="preserve"> </w:t>
      </w:r>
      <w:r>
        <w:rPr>
          <w:rFonts w:ascii="Arial" w:cs="Arial" w:eastAsia="Arial" w:hAnsi="Arial"/>
          <w:sz w:val="16"/>
          <w:szCs w:val="16"/>
          <w:color w:val="000000"/>
        </w:rPr>
        <w:t>the opportunity to utilize our recreational vehicles on a periodic and temporary basis. We encourage the executive to have a first-hand understanding of the recreational vehicle lifestyle experienced by our customers and to provide the executive with the opportunity to evaluate product design and efficiency.</w:t>
      </w:r>
    </w:p>
    <w:p>
      <w:pPr>
        <w:spacing w:after="0" w:line="2" w:lineRule="exact"/>
        <w:rPr>
          <w:rFonts w:ascii="Arial" w:cs="Arial" w:eastAsia="Arial" w:hAnsi="Arial"/>
          <w:sz w:val="16"/>
          <w:szCs w:val="16"/>
          <w:color w:val="auto"/>
        </w:rPr>
      </w:pPr>
    </w:p>
    <w:p>
      <w:pPr>
        <w:ind w:left="660" w:right="20" w:hanging="334"/>
        <w:spacing w:after="0" w:line="24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BF2115"/>
        </w:rPr>
        <w:t xml:space="preserve">Car Allowance. </w:t>
      </w:r>
      <w:r>
        <w:rPr>
          <w:rFonts w:ascii="Arial" w:cs="Arial" w:eastAsia="Arial" w:hAnsi="Arial"/>
          <w:sz w:val="16"/>
          <w:szCs w:val="16"/>
          <w:color w:val="000000"/>
        </w:rPr>
        <w:t>A car allowance is provided as frequent travel is</w:t>
      </w:r>
      <w:r>
        <w:rPr>
          <w:rFonts w:ascii="Arial" w:cs="Arial" w:eastAsia="Arial" w:hAnsi="Arial"/>
          <w:sz w:val="16"/>
          <w:szCs w:val="16"/>
          <w:color w:val="BF2115"/>
        </w:rPr>
        <w:t xml:space="preserve"> </w:t>
      </w:r>
      <w:r>
        <w:rPr>
          <w:rFonts w:ascii="Arial" w:cs="Arial" w:eastAsia="Arial" w:hAnsi="Arial"/>
          <w:sz w:val="16"/>
          <w:szCs w:val="16"/>
          <w:color w:val="000000"/>
        </w:rPr>
        <w:t>required.</w:t>
      </w:r>
    </w:p>
    <w:p>
      <w:pPr>
        <w:ind w:left="660" w:right="20" w:hanging="334"/>
        <w:spacing w:after="0" w:line="260"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BF2115"/>
        </w:rPr>
        <w:t xml:space="preserve">Financial &amp; Tax Planning. </w:t>
      </w:r>
      <w:r>
        <w:rPr>
          <w:rFonts w:ascii="Arial" w:cs="Arial" w:eastAsia="Arial" w:hAnsi="Arial"/>
          <w:sz w:val="16"/>
          <w:szCs w:val="16"/>
          <w:color w:val="000000"/>
        </w:rPr>
        <w:t>To address complex tax and financial</w:t>
      </w:r>
      <w:r>
        <w:rPr>
          <w:rFonts w:ascii="Arial" w:cs="Arial" w:eastAsia="Arial" w:hAnsi="Arial"/>
          <w:sz w:val="16"/>
          <w:szCs w:val="16"/>
          <w:color w:val="BF2115"/>
        </w:rPr>
        <w:t xml:space="preserve"> </w:t>
      </w:r>
      <w:r>
        <w:rPr>
          <w:rFonts w:ascii="Arial" w:cs="Arial" w:eastAsia="Arial" w:hAnsi="Arial"/>
          <w:sz w:val="16"/>
          <w:szCs w:val="16"/>
          <w:color w:val="000000"/>
        </w:rPr>
        <w:t>situations, a tax and financial planning payment is provided.</w:t>
      </w:r>
    </w:p>
    <w:p>
      <w:pPr>
        <w:spacing w:after="0" w:line="200" w:lineRule="exact"/>
        <w:rPr>
          <w:sz w:val="20"/>
          <w:szCs w:val="20"/>
          <w:color w:val="auto"/>
        </w:rPr>
      </w:pPr>
    </w:p>
    <w:p>
      <w:pPr>
        <w:sectPr>
          <w:pgSz w:w="11900" w:h="16838" w:orient="portrait"/>
          <w:cols w:equalWidth="0" w:num="2">
            <w:col w:w="5480" w:space="460"/>
            <w:col w:w="5480"/>
          </w:cols>
          <w:pgMar w:left="240" w:top="30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03" w:right="239" w:bottom="1440" w:gutter="0" w:footer="0" w:header="0"/>
          <w:type w:val="continuous"/>
        </w:sectPr>
      </w:pPr>
    </w:p>
    <w:bookmarkStart w:id="29" w:name="page30"/>
    <w:bookmarkEnd w:id="29"/>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color w:val="BF2115"/>
        </w:rPr>
        <w:t>Additional Compensation Policies</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828282"/>
        </w:rPr>
        <w:t>Stock Ownership Guidelines</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Committee has adopted Stock Ownership Guidelines for executives. In general, each executive has five years from the date he or she becomes an executive to accumulate the appropriate number of shares. In addition, each executive is required to retain 50% of any after tax shares received from the vesting of awards or exercise of stock options until his or her ownership guideline is met. The purpose of the guidelines is to encourage our executive officers to own and retain Company shares, thereby aligning their interests with our shareholders.</w:t>
      </w:r>
    </w:p>
    <w:p>
      <w:pPr>
        <w:spacing w:after="0" w:line="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review our stock ownership guidelines on a periodic basis. The table below describes the current ownership guidelines for the NEOs. Each of our NEOs has either met his or her stock ownership guideline goal or is on track to meet this goal within the prescribed five-year time 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3346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351" w:lineRule="exact"/>
        <w:rPr>
          <w:sz w:val="20"/>
          <w:szCs w:val="20"/>
          <w:color w:val="auto"/>
        </w:rPr>
      </w:pPr>
    </w:p>
    <w:p>
      <w:pPr>
        <w:ind w:left="8960"/>
        <w:spacing w:after="0"/>
        <w:rPr>
          <w:sz w:val="20"/>
          <w:szCs w:val="20"/>
          <w:color w:val="auto"/>
        </w:rPr>
      </w:pPr>
      <w:r>
        <w:rPr>
          <w:rFonts w:ascii="Arial" w:cs="Arial" w:eastAsia="Arial" w:hAnsi="Arial"/>
          <w:sz w:val="16"/>
          <w:szCs w:val="16"/>
          <w:color w:val="FFFFFF"/>
        </w:rPr>
        <w:t>Stock Ownership Guideline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460" w:type="dxa"/>
            <w:vAlign w:val="bottom"/>
          </w:tcPr>
          <w:p>
            <w:pPr>
              <w:ind w:left="40"/>
              <w:spacing w:after="0"/>
              <w:rPr>
                <w:sz w:val="20"/>
                <w:szCs w:val="20"/>
                <w:color w:val="auto"/>
              </w:rPr>
            </w:pPr>
            <w:r>
              <w:rPr>
                <w:rFonts w:ascii="Arial" w:cs="Arial" w:eastAsia="Arial" w:hAnsi="Arial"/>
                <w:sz w:val="16"/>
                <w:szCs w:val="16"/>
                <w:color w:val="FFFFFF"/>
              </w:rPr>
              <w:t>Name</w:t>
            </w:r>
          </w:p>
        </w:tc>
        <w:tc>
          <w:tcPr>
            <w:tcW w:w="1340" w:type="dxa"/>
            <w:vAlign w:val="bottom"/>
            <w:shd w:val="clear" w:color="auto" w:fill="BF2115"/>
          </w:tcPr>
          <w:p>
            <w:pPr>
              <w:jc w:val="center"/>
              <w:ind w:left="79"/>
              <w:spacing w:after="0"/>
              <w:rPr>
                <w:sz w:val="20"/>
                <w:szCs w:val="20"/>
                <w:color w:val="auto"/>
              </w:rPr>
            </w:pPr>
            <w:r>
              <w:rPr>
                <w:rFonts w:ascii="Arial" w:cs="Arial" w:eastAsia="Arial" w:hAnsi="Arial"/>
                <w:sz w:val="16"/>
                <w:szCs w:val="16"/>
                <w:color w:val="FFFFFF"/>
              </w:rPr>
              <w:t>% of Salary</w:t>
            </w:r>
          </w:p>
        </w:tc>
        <w:tc>
          <w:tcPr>
            <w:tcW w:w="480" w:type="dxa"/>
            <w:vAlign w:val="bottom"/>
            <w:shd w:val="clear" w:color="auto" w:fill="BF2115"/>
          </w:tcPr>
          <w:p>
            <w:pPr>
              <w:spacing w:after="0"/>
              <w:rPr>
                <w:sz w:val="22"/>
                <w:szCs w:val="22"/>
                <w:color w:val="auto"/>
              </w:rPr>
            </w:pPr>
          </w:p>
        </w:tc>
        <w:tc>
          <w:tcPr>
            <w:tcW w:w="1140" w:type="dxa"/>
            <w:vAlign w:val="bottom"/>
            <w:shd w:val="clear" w:color="auto" w:fill="BF2115"/>
          </w:tcPr>
          <w:p>
            <w:pPr>
              <w:jc w:val="right"/>
              <w:ind w:right="459"/>
              <w:spacing w:after="0"/>
              <w:rPr>
                <w:sz w:val="20"/>
                <w:szCs w:val="20"/>
                <w:color w:val="auto"/>
              </w:rPr>
            </w:pPr>
            <w:r>
              <w:rPr>
                <w:rFonts w:ascii="Arial" w:cs="Arial" w:eastAsia="Arial" w:hAnsi="Arial"/>
                <w:sz w:val="16"/>
                <w:szCs w:val="16"/>
                <w:color w:val="FFFFFF"/>
              </w:rPr>
              <w:t>Value</w:t>
            </w:r>
          </w:p>
        </w:tc>
      </w:tr>
      <w:tr>
        <w:trPr>
          <w:trHeight w:val="243"/>
        </w:trPr>
        <w:tc>
          <w:tcPr>
            <w:tcW w:w="8460" w:type="dxa"/>
            <w:vAlign w:val="bottom"/>
            <w:shd w:val="clear" w:color="auto" w:fill="ACACAC"/>
          </w:tcPr>
          <w:p>
            <w:pPr>
              <w:ind w:left="40"/>
              <w:spacing w:after="0"/>
              <w:rPr>
                <w:sz w:val="20"/>
                <w:szCs w:val="20"/>
                <w:color w:val="auto"/>
              </w:rPr>
            </w:pPr>
            <w:r>
              <w:rPr>
                <w:rFonts w:ascii="Arial" w:cs="Arial" w:eastAsia="Arial" w:hAnsi="Arial"/>
                <w:sz w:val="16"/>
                <w:szCs w:val="16"/>
                <w:color w:val="auto"/>
              </w:rPr>
              <w:t>Michael J. Happe</w:t>
            </w:r>
          </w:p>
        </w:tc>
        <w:tc>
          <w:tcPr>
            <w:tcW w:w="1340" w:type="dxa"/>
            <w:vAlign w:val="bottom"/>
            <w:shd w:val="clear" w:color="auto" w:fill="ACACAC"/>
          </w:tcPr>
          <w:p>
            <w:pPr>
              <w:jc w:val="center"/>
              <w:ind w:left="79"/>
              <w:spacing w:after="0"/>
              <w:rPr>
                <w:sz w:val="20"/>
                <w:szCs w:val="20"/>
                <w:color w:val="auto"/>
              </w:rPr>
            </w:pPr>
            <w:r>
              <w:rPr>
                <w:rFonts w:ascii="Arial" w:cs="Arial" w:eastAsia="Arial" w:hAnsi="Arial"/>
                <w:sz w:val="16"/>
                <w:szCs w:val="16"/>
                <w:color w:val="auto"/>
              </w:rPr>
              <w:t>500%</w:t>
            </w:r>
          </w:p>
        </w:tc>
        <w:tc>
          <w:tcPr>
            <w:tcW w:w="480" w:type="dxa"/>
            <w:vAlign w:val="bottom"/>
            <w:shd w:val="clear" w:color="auto" w:fill="ACACAC"/>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3,500,000</w:t>
            </w:r>
          </w:p>
        </w:tc>
      </w:tr>
      <w:tr>
        <w:trPr>
          <w:trHeight w:val="233"/>
        </w:trPr>
        <w:tc>
          <w:tcPr>
            <w:tcW w:w="8460" w:type="dxa"/>
            <w:vAlign w:val="bottom"/>
          </w:tcPr>
          <w:p>
            <w:pPr>
              <w:ind w:left="40"/>
              <w:spacing w:after="0"/>
              <w:rPr>
                <w:sz w:val="20"/>
                <w:szCs w:val="20"/>
                <w:color w:val="auto"/>
              </w:rPr>
            </w:pPr>
            <w:r>
              <w:rPr>
                <w:rFonts w:ascii="Arial" w:cs="Arial" w:eastAsia="Arial" w:hAnsi="Arial"/>
                <w:sz w:val="16"/>
                <w:szCs w:val="16"/>
                <w:color w:val="auto"/>
              </w:rPr>
              <w:t>Bryan L. Hughes</w:t>
            </w:r>
          </w:p>
        </w:tc>
        <w:tc>
          <w:tcPr>
            <w:tcW w:w="1340" w:type="dxa"/>
            <w:vAlign w:val="bottom"/>
          </w:tcPr>
          <w:p>
            <w:pPr>
              <w:jc w:val="center"/>
              <w:ind w:left="79"/>
              <w:spacing w:after="0"/>
              <w:rPr>
                <w:sz w:val="20"/>
                <w:szCs w:val="20"/>
                <w:color w:val="auto"/>
              </w:rPr>
            </w:pPr>
            <w:r>
              <w:rPr>
                <w:rFonts w:ascii="Arial" w:cs="Arial" w:eastAsia="Arial" w:hAnsi="Arial"/>
                <w:sz w:val="16"/>
                <w:szCs w:val="16"/>
                <w:color w:val="auto"/>
              </w:rPr>
              <w:t>250%</w:t>
            </w:r>
          </w:p>
        </w:tc>
        <w:tc>
          <w:tcPr>
            <w:tcW w:w="4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1,225,000</w:t>
            </w:r>
          </w:p>
        </w:tc>
      </w:tr>
      <w:tr>
        <w:trPr>
          <w:trHeight w:val="253"/>
        </w:trPr>
        <w:tc>
          <w:tcPr>
            <w:tcW w:w="8460" w:type="dxa"/>
            <w:vAlign w:val="bottom"/>
            <w:shd w:val="clear" w:color="auto" w:fill="ACACAC"/>
          </w:tcPr>
          <w:p>
            <w:pPr>
              <w:ind w:left="40"/>
              <w:spacing w:after="0"/>
              <w:rPr>
                <w:sz w:val="20"/>
                <w:szCs w:val="20"/>
                <w:color w:val="auto"/>
              </w:rPr>
            </w:pPr>
            <w:r>
              <w:rPr>
                <w:rFonts w:ascii="Arial" w:cs="Arial" w:eastAsia="Arial" w:hAnsi="Arial"/>
                <w:sz w:val="16"/>
                <w:szCs w:val="16"/>
                <w:color w:val="auto"/>
              </w:rPr>
              <w:t>Stacy L. Bogart</w:t>
            </w:r>
          </w:p>
        </w:tc>
        <w:tc>
          <w:tcPr>
            <w:tcW w:w="1340" w:type="dxa"/>
            <w:vAlign w:val="bottom"/>
            <w:shd w:val="clear" w:color="auto" w:fill="ACACAC"/>
          </w:tcPr>
          <w:p>
            <w:pPr>
              <w:jc w:val="center"/>
              <w:ind w:left="79"/>
              <w:spacing w:after="0"/>
              <w:rPr>
                <w:sz w:val="20"/>
                <w:szCs w:val="20"/>
                <w:color w:val="auto"/>
              </w:rPr>
            </w:pPr>
            <w:r>
              <w:rPr>
                <w:rFonts w:ascii="Arial" w:cs="Arial" w:eastAsia="Arial" w:hAnsi="Arial"/>
                <w:sz w:val="16"/>
                <w:szCs w:val="16"/>
                <w:color w:val="auto"/>
              </w:rPr>
              <w:t>250%</w:t>
            </w:r>
          </w:p>
        </w:tc>
        <w:tc>
          <w:tcPr>
            <w:tcW w:w="480" w:type="dxa"/>
            <w:vAlign w:val="bottom"/>
            <w:shd w:val="clear" w:color="auto" w:fill="ACACAC"/>
          </w:tcPr>
          <w:p>
            <w:pPr>
              <w:spacing w:after="0"/>
              <w:rPr>
                <w:sz w:val="21"/>
                <w:szCs w:val="21"/>
                <w:color w:val="auto"/>
              </w:rPr>
            </w:pPr>
          </w:p>
        </w:tc>
        <w:tc>
          <w:tcPr>
            <w:tcW w:w="114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1,068,748</w:t>
            </w:r>
          </w:p>
        </w:tc>
      </w:tr>
      <w:tr>
        <w:trPr>
          <w:trHeight w:val="233"/>
        </w:trPr>
        <w:tc>
          <w:tcPr>
            <w:tcW w:w="8460" w:type="dxa"/>
            <w:vAlign w:val="bottom"/>
          </w:tcPr>
          <w:p>
            <w:pPr>
              <w:ind w:left="40"/>
              <w:spacing w:after="0"/>
              <w:rPr>
                <w:sz w:val="20"/>
                <w:szCs w:val="20"/>
                <w:color w:val="auto"/>
              </w:rPr>
            </w:pPr>
            <w:r>
              <w:rPr>
                <w:rFonts w:ascii="Arial" w:cs="Arial" w:eastAsia="Arial" w:hAnsi="Arial"/>
                <w:sz w:val="16"/>
                <w:szCs w:val="16"/>
                <w:color w:val="auto"/>
              </w:rPr>
              <w:t>Donald J. Clark</w:t>
            </w:r>
          </w:p>
        </w:tc>
        <w:tc>
          <w:tcPr>
            <w:tcW w:w="1340" w:type="dxa"/>
            <w:vAlign w:val="bottom"/>
          </w:tcPr>
          <w:p>
            <w:pPr>
              <w:jc w:val="center"/>
              <w:ind w:left="79"/>
              <w:spacing w:after="0"/>
              <w:rPr>
                <w:sz w:val="20"/>
                <w:szCs w:val="20"/>
                <w:color w:val="auto"/>
              </w:rPr>
            </w:pPr>
            <w:r>
              <w:rPr>
                <w:rFonts w:ascii="Arial" w:cs="Arial" w:eastAsia="Arial" w:hAnsi="Arial"/>
                <w:sz w:val="16"/>
                <w:szCs w:val="16"/>
                <w:color w:val="auto"/>
              </w:rPr>
              <w:t>250%</w:t>
            </w:r>
          </w:p>
        </w:tc>
        <w:tc>
          <w:tcPr>
            <w:tcW w:w="4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1,000,000</w:t>
            </w:r>
          </w:p>
        </w:tc>
      </w:tr>
      <w:tr>
        <w:trPr>
          <w:trHeight w:val="253"/>
        </w:trPr>
        <w:tc>
          <w:tcPr>
            <w:tcW w:w="8460" w:type="dxa"/>
            <w:vAlign w:val="bottom"/>
            <w:shd w:val="clear" w:color="auto" w:fill="ACACAC"/>
          </w:tcPr>
          <w:p>
            <w:pPr>
              <w:ind w:left="40"/>
              <w:spacing w:after="0"/>
              <w:rPr>
                <w:sz w:val="20"/>
                <w:szCs w:val="20"/>
                <w:color w:val="auto"/>
              </w:rPr>
            </w:pPr>
            <w:r>
              <w:rPr>
                <w:rFonts w:ascii="Arial" w:cs="Arial" w:eastAsia="Arial" w:hAnsi="Arial"/>
                <w:sz w:val="16"/>
                <w:szCs w:val="16"/>
                <w:color w:val="auto"/>
              </w:rPr>
              <w:t>Brian D. Hazelton</w:t>
            </w:r>
          </w:p>
        </w:tc>
        <w:tc>
          <w:tcPr>
            <w:tcW w:w="1340" w:type="dxa"/>
            <w:vAlign w:val="bottom"/>
            <w:shd w:val="clear" w:color="auto" w:fill="ACACAC"/>
          </w:tcPr>
          <w:p>
            <w:pPr>
              <w:jc w:val="center"/>
              <w:ind w:left="79"/>
              <w:spacing w:after="0"/>
              <w:rPr>
                <w:sz w:val="20"/>
                <w:szCs w:val="20"/>
                <w:color w:val="auto"/>
              </w:rPr>
            </w:pPr>
            <w:r>
              <w:rPr>
                <w:rFonts w:ascii="Arial" w:cs="Arial" w:eastAsia="Arial" w:hAnsi="Arial"/>
                <w:sz w:val="16"/>
                <w:szCs w:val="16"/>
                <w:color w:val="auto"/>
              </w:rPr>
              <w:t>250%</w:t>
            </w:r>
          </w:p>
        </w:tc>
        <w:tc>
          <w:tcPr>
            <w:tcW w:w="480" w:type="dxa"/>
            <w:vAlign w:val="bottom"/>
            <w:shd w:val="clear" w:color="auto" w:fill="ACACAC"/>
          </w:tcPr>
          <w:p>
            <w:pPr>
              <w:spacing w:after="0"/>
              <w:rPr>
                <w:sz w:val="21"/>
                <w:szCs w:val="21"/>
                <w:color w:val="auto"/>
              </w:rPr>
            </w:pPr>
          </w:p>
        </w:tc>
        <w:tc>
          <w:tcPr>
            <w:tcW w:w="114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1,193,500</w:t>
            </w:r>
          </w:p>
        </w:tc>
      </w:tr>
      <w:tr>
        <w:trPr>
          <w:trHeight w:val="277"/>
        </w:trPr>
        <w:tc>
          <w:tcPr>
            <w:tcW w:w="84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828282"/>
        </w:rPr>
        <w:t>Severance and Change in Control Arrangements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828282"/>
        </w:rPr>
        <w:t>Employment Agreements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Mr. Happe and Mr. Clark are the only executives with individual employment agreements with the Company. In addition, these are the only agreements that provide for severance following a termination of employment outside of a change in control of the Company.</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Mr. Happe is terminated by the Company without “Cause” or terminates employment with the Company for “Good Reason” (as such terms are defined in his employment agreement), he is entitled to severance pay of his base salary for 12 months, health insurance for 12 months, accrued unused vacation pay and a pro-rata annual incentive bonus computed at target. Mr. Happe also is subject to one-year non-competition and non-solicitation covenants following termination of employment.</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Mr. Clark is terminated by the Company without “Cause” or terminates employment with the Company for “Good Reason” (as such terms are defined in his employment agreement), he is entitled to severance pay of his base salary for 12 months and any earned but unpaid incentive bonus due under the Grand Design Management Incentive Plan through the fiscal quarter in which the termination occurred. Mr. Clark is subject to a non-compete and non-solicitation covenant that terminates upon the later of October 2021 or 1 year from cessation of employment.</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828282"/>
        </w:rPr>
        <w:t>Executive Change in Control Agreement</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Each of the NEOs, including Mr. Happe and Mr. Clark, have also entered into an Executive Change of Control Agreement with the Company.</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revised Executive Change in Control Agreements, entered into by our executives in November and December 2018, generally provide that, in the event of a termination of the executive's employment (for a reason other than death, disability, termination for cause or, under certain circumstances, a voluntary termination of employment by the executive) within two years of a change of control, such executive will receive a severance only relative to salary and target annual incentives (as well as annual COBRA premium cost) at a 2x multiple (or 3x, in the case of Mr. Happe only). The current Executive Change in Control Agreements also revise the definition of Change in Control to make it consistent with current market practices. We also changed the definition of Change in Control for our Fiscal 2019 awards granted in October 2018, as described further under "Potential Payments upon Termination or Change in Control" on page 33. These changes were intended to align the Company’s practices with market standard practices among our peers and this definition is also consistent with the 2019 Plan. Due to the unique nature of Mr. Clark’s employment and compensation arrangements with the Company entered into in connection with the Grand Design acquisition, Mr. Clark's change in control agreement was entered into subsequent to that of the other executives, effective as of September 1, 2019, and additionally provides that his severance benefit payable thereunder would be capped at $3,000,000.</w:t>
      </w:r>
    </w:p>
    <w:p>
      <w:pPr>
        <w:spacing w:after="0" w:line="200" w:lineRule="exact"/>
        <w:rPr>
          <w:sz w:val="20"/>
          <w:szCs w:val="20"/>
          <w:color w:val="auto"/>
        </w:rPr>
      </w:pPr>
    </w:p>
    <w:p>
      <w:pPr>
        <w:sectPr>
          <w:pgSz w:w="11900" w:h="16838" w:orient="portrait"/>
          <w:cols w:equalWidth="0" w:num="2">
            <w:col w:w="5480" w:space="460"/>
            <w:col w:w="5480"/>
          </w:cols>
          <w:pgMar w:left="240" w:top="303" w:right="2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03" w:right="239" w:bottom="1440" w:gutter="0" w:footer="0" w:header="0"/>
          <w:type w:val="continuous"/>
        </w:sectPr>
      </w:pPr>
    </w:p>
    <w:bookmarkStart w:id="30" w:name="page31"/>
    <w:bookmarkEnd w:id="30"/>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Committee believes these agreements are an important part of the total executive compensation program because they protect our interest in the continuity and stability of the executive group. The Committee also believes that these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of Control-Executive Change of Control Agreements” below for additional detail.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828282"/>
        </w:rPr>
        <w:t>Insider Trading and Hedging</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With respect to the Company's Insider Trading Policy, the policy prohibits the unauthorized disclosure of any nonpublic information acquired in the workplace and the misuse of Material Nonpublic Information (as defined in the policy) in securities trading. Additionally, our Insider Trading Policy includes our policy on hedging and pledging, which is described in "Corporate Governance - Hedging and Pledging."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mindful of the benefit to us of the deductibility, it believes that we should maintain flexibility in compensating our executive officers in a manner that best promotes our corporate objectives.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828282"/>
        </w:rPr>
        <w:t>Section 409A of the Internal Revenue Code</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Section 409A of the Internal Revenue Code deals specifically with non-qualified deferred compensation plans. Although the Company makes no guarantees with respect to exemption from, or compliance with, Section 409A of the Internal Revenue Code, we have designed all of our executive benefit plans and severance arrangements with the intention that they are exempt from, or otherwise comply with, the requirements of Section 409A of the Internal Revenue Code.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828282"/>
        </w:rPr>
        <w:t>Compensation-Related Risk Assessment</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Committee has analyzed the potential risks arising from our compensation policies and practices, and has determined that there are no such risks that are reasonably likely to have a material adverse effect on us.</w:t>
      </w:r>
    </w:p>
    <w:p>
      <w:pPr>
        <w:spacing w:after="0" w:line="195" w:lineRule="exact"/>
        <w:rPr>
          <w:sz w:val="20"/>
          <w:szCs w:val="20"/>
          <w:color w:val="auto"/>
        </w:rPr>
      </w:pPr>
    </w:p>
    <w:p>
      <w:pPr>
        <w:sectPr>
          <w:pgSz w:w="11900" w:h="16838" w:orient="portrait"/>
          <w:cols w:equalWidth="0" w:num="2">
            <w:col w:w="5480" w:space="460"/>
            <w:col w:w="5480"/>
          </w:cols>
          <w:pgMar w:left="240" w:top="303" w:right="2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828282"/>
        </w:rPr>
        <w:t>Clawback Policy</w:t>
      </w: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Beginning with Fiscal 2012 incentive compensation programs, the Committee has included “clawback” provisions for each of the Officers Incentive Compensation Plan and Long-Term Incentive Program which, in part, provide for the recoupment of incentive compensation payouts in the event that payments are made based upon the achievement of financial results that are subsequently subject to a restatement due to material noncompliance with financial reporting requirements. On May 21, 2019, the Committee approved and implemented the Executive Officer Incentive Compensation Recovery Policy (the "Clawback Policy"), which provides for the recovery of incentive compensation from executive officers in certain circumstances. The Clawback Policy provides that the Company will require forfeiture or recovery of all or a portion of any incentive-based compensation awarded to an executive officer after the effective date of the policy in the event of certain financial restatements or certain misconduct.</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828282"/>
        </w:rPr>
        <w:t>Tax Considerations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828282"/>
        </w:rPr>
        <w:t>Deductibility of Executive Compensation</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Due to the enactment of the Tax Cuts and Jobs Act of 2017 (the "Tax Cuts Act") in December 2017, compensation paid in Fiscal 2019 and later years to our NEOs in excess of $1 million will not be deductible under Section 162(m) of the Code unless it qualifies for transitional relief applicable to certain binding, written performance-based compensation arrangements that were in place as of November 2, 2017. No assurance can be given that the compensation associated with these awards will qualify for the transitional relief. While our Committee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color w:val="BF2115"/>
        </w:rPr>
        <w:t>Human Resources Committee Report</w:t>
      </w:r>
    </w:p>
    <w:p>
      <w:pPr>
        <w:spacing w:after="0" w:line="28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Human Resources Committee of the Board of Directors of Winnebago Industries, Inc. has reviewed and discussed the foregoing Compensation Discussion and Analysis as required by Item 402(b) of Regulation S-K with management and, based on such review and discussion, the Committee recommended to the Board of Directors that the Compensation Discussion and Analysis be included in the Annual Report on Form 10-K and this Proxy Statement.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828282"/>
        </w:rPr>
        <w:t>Human Resources Committee: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John M. Murabito,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Robert M. Chiusano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Christopher J. Braun</w:t>
      </w:r>
    </w:p>
    <w:p>
      <w:pPr>
        <w:spacing w:after="0" w:line="199" w:lineRule="exact"/>
        <w:rPr>
          <w:sz w:val="20"/>
          <w:szCs w:val="20"/>
          <w:color w:val="auto"/>
        </w:rPr>
      </w:pPr>
    </w:p>
    <w:p>
      <w:pPr>
        <w:ind w:right="480"/>
        <w:spacing w:after="0" w:line="249" w:lineRule="auto"/>
        <w:rPr>
          <w:sz w:val="20"/>
          <w:szCs w:val="20"/>
          <w:color w:val="auto"/>
        </w:rPr>
      </w:pPr>
      <w:r>
        <w:rPr>
          <w:rFonts w:ascii="Arial" w:cs="Arial" w:eastAsia="Arial" w:hAnsi="Arial"/>
          <w:sz w:val="22"/>
          <w:szCs w:val="22"/>
          <w:color w:val="828282"/>
        </w:rPr>
        <w:t>Human Resources Committee Interlocks and Insider Participation</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current members of the Human Resources Committee of the Board of Directors, Messrs. Murabito, Chiusano and Braun, were not at any time during Fiscal 2019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of Directors or the Human Resources Committee during Fiscal 2019.</w:t>
      </w:r>
    </w:p>
    <w:p>
      <w:pPr>
        <w:spacing w:after="0" w:line="699" w:lineRule="exact"/>
        <w:rPr>
          <w:sz w:val="20"/>
          <w:szCs w:val="20"/>
          <w:color w:val="auto"/>
        </w:rPr>
      </w:pPr>
    </w:p>
    <w:p>
      <w:pPr>
        <w:sectPr>
          <w:pgSz w:w="11900" w:h="16838" w:orient="portrait"/>
          <w:cols w:equalWidth="0" w:num="2">
            <w:col w:w="5480" w:space="460"/>
            <w:col w:w="5480"/>
          </w:cols>
          <w:pgMar w:left="240" w:top="303" w:right="239" w:bottom="1440" w:gutter="0" w:footer="0" w:header="0"/>
          <w:type w:val="continuous"/>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03" w:right="239" w:bottom="1440" w:gutter="0" w:footer="0" w:header="0"/>
          <w:type w:val="continuous"/>
        </w:sectPr>
      </w:pPr>
    </w:p>
    <w:bookmarkStart w:id="31" w:name="page32"/>
    <w:bookmarkEnd w:id="31"/>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Compensation Tables and Narrative Disclosure</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828282"/>
        </w:rPr>
        <w:t>Summary Compensation Table</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tables set forth compensation information for our NEOs for services rendered in all capacities to Winnebago Industries and its subsidiaries in Fiscal 2019, 2018, and 2017. Presentation of the reported compensation information for these years has been recast from prior years to conform to the way in which Fiscal 2019 information is reported, consistent with SEC reporting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6677025</wp:posOffset>
            </wp:positionH>
            <wp:positionV relativeFrom="paragraph">
              <wp:posOffset>67310</wp:posOffset>
            </wp:positionV>
            <wp:extent cx="8890" cy="3860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38608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67310</wp:posOffset>
            </wp:positionV>
            <wp:extent cx="8890" cy="386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38608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67310</wp:posOffset>
            </wp:positionV>
            <wp:extent cx="8890" cy="3860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38608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67310</wp:posOffset>
            </wp:positionV>
            <wp:extent cx="8890" cy="3860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38608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67310</wp:posOffset>
            </wp:positionV>
            <wp:extent cx="8890" cy="3860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38608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67310</wp:posOffset>
            </wp:positionV>
            <wp:extent cx="8890" cy="3860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386080"/>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67310</wp:posOffset>
            </wp:positionV>
            <wp:extent cx="8890" cy="3860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38608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67310</wp:posOffset>
            </wp:positionV>
            <wp:extent cx="8890" cy="3860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38608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67310</wp:posOffset>
            </wp:positionV>
            <wp:extent cx="8890" cy="3860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38608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shd w:val="clear" w:color="auto" w:fill="BF2115"/>
          </w:tcPr>
          <w:p>
            <w:pPr>
              <w:spacing w:after="0"/>
              <w:rPr>
                <w:sz w:val="13"/>
                <w:szCs w:val="13"/>
                <w:color w:val="auto"/>
              </w:rPr>
            </w:pPr>
          </w:p>
        </w:tc>
        <w:tc>
          <w:tcPr>
            <w:tcW w:w="2300" w:type="dxa"/>
            <w:vAlign w:val="bottom"/>
            <w:shd w:val="clear" w:color="auto" w:fill="BF2115"/>
          </w:tcPr>
          <w:p>
            <w:pPr>
              <w:spacing w:after="0"/>
              <w:rPr>
                <w:sz w:val="13"/>
                <w:szCs w:val="13"/>
                <w:color w:val="auto"/>
              </w:rPr>
            </w:pPr>
          </w:p>
        </w:tc>
        <w:tc>
          <w:tcPr>
            <w:tcW w:w="560" w:type="dxa"/>
            <w:vAlign w:val="bottom"/>
            <w:shd w:val="clear" w:color="auto" w:fill="BF2115"/>
          </w:tcPr>
          <w:p>
            <w:pPr>
              <w:spacing w:after="0"/>
              <w:rPr>
                <w:sz w:val="13"/>
                <w:szCs w:val="13"/>
                <w:color w:val="auto"/>
              </w:rPr>
            </w:pPr>
          </w:p>
        </w:tc>
        <w:tc>
          <w:tcPr>
            <w:tcW w:w="800" w:type="dxa"/>
            <w:vAlign w:val="bottom"/>
            <w:shd w:val="clear" w:color="auto" w:fill="BF2115"/>
          </w:tcPr>
          <w:p>
            <w:pPr>
              <w:spacing w:after="0"/>
              <w:rPr>
                <w:sz w:val="13"/>
                <w:szCs w:val="13"/>
                <w:color w:val="auto"/>
              </w:rPr>
            </w:pPr>
          </w:p>
        </w:tc>
        <w:tc>
          <w:tcPr>
            <w:tcW w:w="860" w:type="dxa"/>
            <w:vAlign w:val="bottom"/>
            <w:shd w:val="clear" w:color="auto" w:fill="BF2115"/>
          </w:tcPr>
          <w:p>
            <w:pPr>
              <w:spacing w:after="0"/>
              <w:rPr>
                <w:sz w:val="13"/>
                <w:szCs w:val="13"/>
                <w:color w:val="auto"/>
              </w:rPr>
            </w:pPr>
          </w:p>
        </w:tc>
        <w:tc>
          <w:tcPr>
            <w:tcW w:w="920" w:type="dxa"/>
            <w:vAlign w:val="bottom"/>
            <w:shd w:val="clear" w:color="auto" w:fill="BF2115"/>
          </w:tcPr>
          <w:p>
            <w:pPr>
              <w:spacing w:after="0"/>
              <w:rPr>
                <w:sz w:val="13"/>
                <w:szCs w:val="13"/>
                <w:color w:val="auto"/>
              </w:rPr>
            </w:pPr>
          </w:p>
        </w:tc>
        <w:tc>
          <w:tcPr>
            <w:tcW w:w="840" w:type="dxa"/>
            <w:vAlign w:val="bottom"/>
            <w:shd w:val="clear" w:color="auto" w:fill="BF2115"/>
          </w:tcPr>
          <w:p>
            <w:pPr>
              <w:spacing w:after="0"/>
              <w:rPr>
                <w:sz w:val="13"/>
                <w:szCs w:val="13"/>
                <w:color w:val="auto"/>
              </w:rPr>
            </w:pPr>
          </w:p>
        </w:tc>
        <w:tc>
          <w:tcPr>
            <w:tcW w:w="1400" w:type="dxa"/>
            <w:vAlign w:val="bottom"/>
            <w:shd w:val="clear" w:color="auto" w:fill="BF2115"/>
          </w:tcPr>
          <w:p>
            <w:pPr>
              <w:spacing w:after="0"/>
              <w:rPr>
                <w:sz w:val="13"/>
                <w:szCs w:val="13"/>
                <w:color w:val="auto"/>
              </w:rPr>
            </w:pPr>
          </w:p>
        </w:tc>
        <w:tc>
          <w:tcPr>
            <w:tcW w:w="154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w w:val="98"/>
              </w:rPr>
              <w:t>Changes in Pension</w:t>
            </w:r>
          </w:p>
        </w:tc>
        <w:tc>
          <w:tcPr>
            <w:tcW w:w="1360" w:type="dxa"/>
            <w:vAlign w:val="bottom"/>
            <w:shd w:val="clear" w:color="auto" w:fill="BF2115"/>
          </w:tcPr>
          <w:p>
            <w:pPr>
              <w:spacing w:after="0"/>
              <w:rPr>
                <w:sz w:val="13"/>
                <w:szCs w:val="13"/>
                <w:color w:val="auto"/>
              </w:rPr>
            </w:pPr>
          </w:p>
        </w:tc>
        <w:tc>
          <w:tcPr>
            <w:tcW w:w="800" w:type="dxa"/>
            <w:vAlign w:val="bottom"/>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BF2115"/>
          </w:tcPr>
          <w:p>
            <w:pPr>
              <w:spacing w:after="0"/>
              <w:rPr>
                <w:sz w:val="11"/>
                <w:szCs w:val="11"/>
                <w:color w:val="auto"/>
              </w:rPr>
            </w:pPr>
          </w:p>
        </w:tc>
        <w:tc>
          <w:tcPr>
            <w:tcW w:w="2300" w:type="dxa"/>
            <w:vAlign w:val="bottom"/>
            <w:shd w:val="clear" w:color="auto" w:fill="BF2115"/>
          </w:tcPr>
          <w:p>
            <w:pPr>
              <w:spacing w:after="0"/>
              <w:rPr>
                <w:sz w:val="11"/>
                <w:szCs w:val="11"/>
                <w:color w:val="auto"/>
              </w:rPr>
            </w:pPr>
          </w:p>
        </w:tc>
        <w:tc>
          <w:tcPr>
            <w:tcW w:w="560" w:type="dxa"/>
            <w:vAlign w:val="bottom"/>
            <w:shd w:val="clear" w:color="auto" w:fill="BF2115"/>
          </w:tcPr>
          <w:p>
            <w:pPr>
              <w:spacing w:after="0"/>
              <w:rPr>
                <w:sz w:val="11"/>
                <w:szCs w:val="11"/>
                <w:color w:val="auto"/>
              </w:rPr>
            </w:pPr>
          </w:p>
        </w:tc>
        <w:tc>
          <w:tcPr>
            <w:tcW w:w="800" w:type="dxa"/>
            <w:vAlign w:val="bottom"/>
            <w:shd w:val="clear" w:color="auto" w:fill="BF2115"/>
          </w:tcPr>
          <w:p>
            <w:pPr>
              <w:spacing w:after="0"/>
              <w:rPr>
                <w:sz w:val="11"/>
                <w:szCs w:val="11"/>
                <w:color w:val="auto"/>
              </w:rPr>
            </w:pPr>
          </w:p>
        </w:tc>
        <w:tc>
          <w:tcPr>
            <w:tcW w:w="860" w:type="dxa"/>
            <w:vAlign w:val="bottom"/>
            <w:shd w:val="clear" w:color="auto" w:fill="BF2115"/>
          </w:tcPr>
          <w:p>
            <w:pPr>
              <w:spacing w:after="0"/>
              <w:rPr>
                <w:sz w:val="11"/>
                <w:szCs w:val="11"/>
                <w:color w:val="auto"/>
              </w:rPr>
            </w:pPr>
          </w:p>
        </w:tc>
        <w:tc>
          <w:tcPr>
            <w:tcW w:w="920" w:type="dxa"/>
            <w:vAlign w:val="bottom"/>
            <w:shd w:val="clear" w:color="auto" w:fill="BF2115"/>
          </w:tcPr>
          <w:p>
            <w:pPr>
              <w:spacing w:after="0"/>
              <w:rPr>
                <w:sz w:val="11"/>
                <w:szCs w:val="11"/>
                <w:color w:val="auto"/>
              </w:rPr>
            </w:pPr>
          </w:p>
        </w:tc>
        <w:tc>
          <w:tcPr>
            <w:tcW w:w="8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140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Non-Equity Incentive</w:t>
            </w:r>
          </w:p>
        </w:tc>
        <w:tc>
          <w:tcPr>
            <w:tcW w:w="15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5"/>
              </w:rPr>
              <w:t>Value and Non-qualified</w:t>
            </w:r>
          </w:p>
        </w:tc>
        <w:tc>
          <w:tcPr>
            <w:tcW w:w="1360" w:type="dxa"/>
            <w:vAlign w:val="bottom"/>
            <w:shd w:val="clear" w:color="auto" w:fill="BF2115"/>
          </w:tcPr>
          <w:p>
            <w:pPr>
              <w:jc w:val="center"/>
              <w:ind w:right="17"/>
              <w:spacing w:after="0" w:line="135" w:lineRule="exact"/>
              <w:rPr>
                <w:sz w:val="20"/>
                <w:szCs w:val="20"/>
                <w:color w:val="auto"/>
              </w:rPr>
            </w:pPr>
            <w:r>
              <w:rPr>
                <w:rFonts w:ascii="Arial" w:cs="Arial" w:eastAsia="Arial" w:hAnsi="Arial"/>
                <w:sz w:val="13"/>
                <w:szCs w:val="13"/>
                <w:b w:val="1"/>
                <w:bCs w:val="1"/>
                <w:color w:val="FFFFFF"/>
                <w:w w:val="96"/>
              </w:rPr>
              <w:t>All</w:t>
            </w:r>
          </w:p>
        </w:tc>
        <w:tc>
          <w:tcPr>
            <w:tcW w:w="800" w:type="dxa"/>
            <w:vAlign w:val="bottom"/>
            <w:shd w:val="clear" w:color="auto" w:fill="BF211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BF2115"/>
          </w:tcPr>
          <w:p>
            <w:pPr>
              <w:spacing w:after="0"/>
              <w:rPr>
                <w:sz w:val="11"/>
                <w:szCs w:val="11"/>
                <w:color w:val="auto"/>
              </w:rPr>
            </w:pPr>
          </w:p>
        </w:tc>
        <w:tc>
          <w:tcPr>
            <w:tcW w:w="2300" w:type="dxa"/>
            <w:vAlign w:val="bottom"/>
            <w:shd w:val="clear" w:color="auto" w:fill="BF2115"/>
          </w:tcPr>
          <w:p>
            <w:pPr>
              <w:spacing w:after="0"/>
              <w:rPr>
                <w:sz w:val="11"/>
                <w:szCs w:val="11"/>
                <w:color w:val="auto"/>
              </w:rPr>
            </w:pPr>
          </w:p>
        </w:tc>
        <w:tc>
          <w:tcPr>
            <w:tcW w:w="56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Fiscal</w:t>
            </w:r>
          </w:p>
        </w:tc>
        <w:tc>
          <w:tcPr>
            <w:tcW w:w="800" w:type="dxa"/>
            <w:vAlign w:val="bottom"/>
            <w:shd w:val="clear" w:color="auto" w:fill="BF2115"/>
          </w:tcPr>
          <w:p>
            <w:pPr>
              <w:spacing w:after="0"/>
              <w:rPr>
                <w:sz w:val="11"/>
                <w:szCs w:val="11"/>
                <w:color w:val="auto"/>
              </w:rPr>
            </w:pPr>
          </w:p>
        </w:tc>
        <w:tc>
          <w:tcPr>
            <w:tcW w:w="860" w:type="dxa"/>
            <w:vAlign w:val="bottom"/>
            <w:shd w:val="clear" w:color="auto" w:fill="BF2115"/>
          </w:tcPr>
          <w:p>
            <w:pPr>
              <w:spacing w:after="0"/>
              <w:rPr>
                <w:sz w:val="11"/>
                <w:szCs w:val="11"/>
                <w:color w:val="auto"/>
              </w:rPr>
            </w:pPr>
          </w:p>
        </w:tc>
        <w:tc>
          <w:tcPr>
            <w:tcW w:w="920" w:type="dxa"/>
            <w:vAlign w:val="bottom"/>
            <w:shd w:val="clear" w:color="auto" w:fill="BF2115"/>
          </w:tcPr>
          <w:p>
            <w:pPr>
              <w:jc w:val="right"/>
              <w:ind w:right="277"/>
              <w:spacing w:after="0" w:line="135" w:lineRule="exact"/>
              <w:rPr>
                <w:sz w:val="20"/>
                <w:szCs w:val="20"/>
                <w:color w:val="auto"/>
              </w:rPr>
            </w:pPr>
            <w:r>
              <w:rPr>
                <w:rFonts w:ascii="Arial" w:cs="Arial" w:eastAsia="Arial" w:hAnsi="Arial"/>
                <w:sz w:val="13"/>
                <w:szCs w:val="13"/>
                <w:b w:val="1"/>
                <w:bCs w:val="1"/>
                <w:color w:val="FFFFFF"/>
              </w:rPr>
              <w:t>Stock</w:t>
            </w:r>
          </w:p>
        </w:tc>
        <w:tc>
          <w:tcPr>
            <w:tcW w:w="8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8"/>
              </w:rPr>
              <w:t>Awards</w:t>
            </w:r>
            <w:r>
              <w:rPr>
                <w:rFonts w:ascii="Arial" w:cs="Arial" w:eastAsia="Arial" w:hAnsi="Arial"/>
                <w:sz w:val="8"/>
                <w:szCs w:val="8"/>
                <w:b w:val="1"/>
                <w:bCs w:val="1"/>
                <w:color w:val="FFFFFF"/>
                <w:w w:val="98"/>
              </w:rPr>
              <w:t>(2)</w:t>
            </w:r>
          </w:p>
        </w:tc>
        <w:tc>
          <w:tcPr>
            <w:tcW w:w="140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4"/>
              </w:rPr>
              <w:t>Plan</w:t>
            </w:r>
          </w:p>
        </w:tc>
        <w:tc>
          <w:tcPr>
            <w:tcW w:w="15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6"/>
              </w:rPr>
              <w:t>Deferred Compensation</w:t>
            </w:r>
          </w:p>
        </w:tc>
        <w:tc>
          <w:tcPr>
            <w:tcW w:w="1360" w:type="dxa"/>
            <w:vAlign w:val="bottom"/>
            <w:shd w:val="clear" w:color="auto" w:fill="BF2115"/>
          </w:tcPr>
          <w:p>
            <w:pPr>
              <w:jc w:val="center"/>
              <w:ind w:right="17"/>
              <w:spacing w:after="0" w:line="135" w:lineRule="exact"/>
              <w:rPr>
                <w:sz w:val="20"/>
                <w:szCs w:val="20"/>
                <w:color w:val="auto"/>
              </w:rPr>
            </w:pPr>
            <w:r>
              <w:rPr>
                <w:rFonts w:ascii="Arial" w:cs="Arial" w:eastAsia="Arial" w:hAnsi="Arial"/>
                <w:sz w:val="13"/>
                <w:szCs w:val="13"/>
                <w:b w:val="1"/>
                <w:bCs w:val="1"/>
                <w:color w:val="FFFFFF"/>
                <w:w w:val="92"/>
              </w:rPr>
              <w:t>Other</w:t>
            </w:r>
          </w:p>
        </w:tc>
        <w:tc>
          <w:tcPr>
            <w:tcW w:w="800" w:type="dxa"/>
            <w:vAlign w:val="bottom"/>
            <w:shd w:val="clear" w:color="auto" w:fill="BF2115"/>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340" w:type="dxa"/>
            <w:vAlign w:val="bottom"/>
            <w:tcBorders>
              <w:bottom w:val="single" w:sz="8" w:color="auto"/>
            </w:tcBorders>
            <w:gridSpan w:val="2"/>
            <w:shd w:val="clear" w:color="auto" w:fill="BF2115"/>
          </w:tcPr>
          <w:p>
            <w:pPr>
              <w:ind w:left="40"/>
              <w:spacing w:after="0"/>
              <w:rPr>
                <w:sz w:val="20"/>
                <w:szCs w:val="20"/>
                <w:color w:val="auto"/>
              </w:rPr>
            </w:pPr>
            <w:r>
              <w:rPr>
                <w:rFonts w:ascii="Arial" w:cs="Arial" w:eastAsia="Arial" w:hAnsi="Arial"/>
                <w:sz w:val="13"/>
                <w:szCs w:val="13"/>
                <w:b w:val="1"/>
                <w:bCs w:val="1"/>
                <w:color w:val="FFFFFF"/>
              </w:rPr>
              <w:t>Name and Principal Position</w:t>
            </w:r>
          </w:p>
        </w:tc>
        <w:tc>
          <w:tcPr>
            <w:tcW w:w="56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3"/>
                <w:szCs w:val="13"/>
                <w:b w:val="1"/>
                <w:bCs w:val="1"/>
                <w:color w:val="FFFFFF"/>
                <w:w w:val="99"/>
              </w:rPr>
              <w:t>Year</w:t>
            </w:r>
          </w:p>
        </w:tc>
        <w:tc>
          <w:tcPr>
            <w:tcW w:w="800" w:type="dxa"/>
            <w:vAlign w:val="bottom"/>
            <w:tcBorders>
              <w:bottom w:val="single" w:sz="8" w:color="auto"/>
            </w:tcBorders>
            <w:shd w:val="clear" w:color="auto" w:fill="BF2115"/>
          </w:tcPr>
          <w:p>
            <w:pPr>
              <w:jc w:val="right"/>
              <w:ind w:right="57"/>
              <w:spacing w:after="0"/>
              <w:rPr>
                <w:sz w:val="20"/>
                <w:szCs w:val="20"/>
                <w:color w:val="auto"/>
              </w:rPr>
            </w:pPr>
            <w:r>
              <w:rPr>
                <w:rFonts w:ascii="Arial" w:cs="Arial" w:eastAsia="Arial" w:hAnsi="Arial"/>
                <w:sz w:val="13"/>
                <w:szCs w:val="13"/>
                <w:b w:val="1"/>
                <w:bCs w:val="1"/>
                <w:color w:val="FFFFFF"/>
              </w:rPr>
              <w:t>Salary ($)</w:t>
            </w:r>
          </w:p>
        </w:tc>
        <w:tc>
          <w:tcPr>
            <w:tcW w:w="1780" w:type="dxa"/>
            <w:vAlign w:val="bottom"/>
            <w:tcBorders>
              <w:bottom w:val="single" w:sz="8" w:color="auto"/>
            </w:tcBorders>
            <w:gridSpan w:val="2"/>
            <w:shd w:val="clear" w:color="auto" w:fill="BF2115"/>
          </w:tcPr>
          <w:p>
            <w:pPr>
              <w:jc w:val="right"/>
              <w:ind w:right="77"/>
              <w:spacing w:after="0"/>
              <w:rPr>
                <w:sz w:val="20"/>
                <w:szCs w:val="20"/>
                <w:color w:val="auto"/>
              </w:rPr>
            </w:pPr>
            <w:r>
              <w:rPr>
                <w:rFonts w:ascii="Arial" w:cs="Arial" w:eastAsia="Arial" w:hAnsi="Arial"/>
                <w:sz w:val="13"/>
                <w:szCs w:val="13"/>
                <w:b w:val="1"/>
                <w:bCs w:val="1"/>
                <w:color w:val="FFFFFF"/>
              </w:rPr>
              <w:t>Bonus ($)   Awards</w:t>
            </w:r>
            <w:r>
              <w:rPr>
                <w:rFonts w:ascii="Arial" w:cs="Arial" w:eastAsia="Arial" w:hAnsi="Arial"/>
                <w:sz w:val="8"/>
                <w:szCs w:val="8"/>
                <w:b w:val="1"/>
                <w:bCs w:val="1"/>
                <w:color w:val="FFFFFF"/>
              </w:rPr>
              <w:t>(1)</w:t>
            </w:r>
            <w:r>
              <w:rPr>
                <w:rFonts w:ascii="Arial" w:cs="Arial" w:eastAsia="Arial" w:hAnsi="Arial"/>
                <w:sz w:val="13"/>
                <w:szCs w:val="13"/>
                <w:b w:val="1"/>
                <w:bCs w:val="1"/>
                <w:color w:val="FFFFFF"/>
              </w:rPr>
              <w:t xml:space="preserve"> ($)</w:t>
            </w:r>
          </w:p>
        </w:tc>
        <w:tc>
          <w:tcPr>
            <w:tcW w:w="84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3"/>
                <w:szCs w:val="13"/>
                <w:b w:val="1"/>
                <w:bCs w:val="1"/>
                <w:color w:val="FFFFFF"/>
              </w:rPr>
              <w:t>($)</w:t>
            </w:r>
          </w:p>
        </w:tc>
        <w:tc>
          <w:tcPr>
            <w:tcW w:w="140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3"/>
                <w:szCs w:val="13"/>
                <w:b w:val="1"/>
                <w:bCs w:val="1"/>
                <w:color w:val="FFFFFF"/>
                <w:w w:val="96"/>
              </w:rPr>
              <w:t>Compensation</w:t>
            </w:r>
            <w:r>
              <w:rPr>
                <w:rFonts w:ascii="Arial" w:cs="Arial" w:eastAsia="Arial" w:hAnsi="Arial"/>
                <w:sz w:val="8"/>
                <w:szCs w:val="8"/>
                <w:b w:val="1"/>
                <w:bCs w:val="1"/>
                <w:color w:val="FFFFFF"/>
                <w:w w:val="96"/>
              </w:rPr>
              <w:t>(3)</w:t>
            </w:r>
            <w:r>
              <w:rPr>
                <w:rFonts w:ascii="Arial" w:cs="Arial" w:eastAsia="Arial" w:hAnsi="Arial"/>
                <w:sz w:val="13"/>
                <w:szCs w:val="13"/>
                <w:b w:val="1"/>
                <w:bCs w:val="1"/>
                <w:color w:val="FFFFFF"/>
                <w:w w:val="96"/>
              </w:rPr>
              <w:t xml:space="preserve"> ($)</w:t>
            </w:r>
          </w:p>
        </w:tc>
        <w:tc>
          <w:tcPr>
            <w:tcW w:w="154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3"/>
                <w:szCs w:val="13"/>
                <w:b w:val="1"/>
                <w:bCs w:val="1"/>
                <w:color w:val="FFFFFF"/>
                <w:w w:val="98"/>
              </w:rPr>
              <w:t>Earnings ($)</w:t>
            </w:r>
          </w:p>
        </w:tc>
        <w:tc>
          <w:tcPr>
            <w:tcW w:w="1360" w:type="dxa"/>
            <w:vAlign w:val="bottom"/>
            <w:tcBorders>
              <w:bottom w:val="single" w:sz="8" w:color="auto"/>
            </w:tcBorders>
            <w:shd w:val="clear" w:color="auto" w:fill="BF2115"/>
          </w:tcPr>
          <w:p>
            <w:pPr>
              <w:jc w:val="center"/>
              <w:ind w:right="17"/>
              <w:spacing w:after="0"/>
              <w:rPr>
                <w:sz w:val="20"/>
                <w:szCs w:val="20"/>
                <w:color w:val="auto"/>
              </w:rPr>
            </w:pPr>
            <w:r>
              <w:rPr>
                <w:rFonts w:ascii="Arial" w:cs="Arial" w:eastAsia="Arial" w:hAnsi="Arial"/>
                <w:sz w:val="13"/>
                <w:szCs w:val="13"/>
                <w:b w:val="1"/>
                <w:bCs w:val="1"/>
                <w:color w:val="FFFFFF"/>
                <w:w w:val="96"/>
              </w:rPr>
              <w:t>Compensation ($)</w:t>
            </w:r>
            <w:r>
              <w:rPr>
                <w:rFonts w:ascii="Arial" w:cs="Arial" w:eastAsia="Arial" w:hAnsi="Arial"/>
                <w:sz w:val="8"/>
                <w:szCs w:val="8"/>
                <w:b w:val="1"/>
                <w:bCs w:val="1"/>
                <w:color w:val="FFFFFF"/>
                <w:w w:val="96"/>
              </w:rPr>
              <w:t>(4)</w:t>
            </w:r>
          </w:p>
        </w:tc>
        <w:tc>
          <w:tcPr>
            <w:tcW w:w="800" w:type="dxa"/>
            <w:vAlign w:val="bottom"/>
            <w:tcBorders>
              <w:bottom w:val="single" w:sz="8" w:color="auto"/>
            </w:tcBorders>
            <w:shd w:val="clear" w:color="auto" w:fill="BF2115"/>
          </w:tcPr>
          <w:p>
            <w:pPr>
              <w:jc w:val="right"/>
              <w:ind w:right="137"/>
              <w:spacing w:after="0"/>
              <w:rPr>
                <w:sz w:val="20"/>
                <w:szCs w:val="20"/>
                <w:color w:val="auto"/>
              </w:rPr>
            </w:pPr>
            <w:r>
              <w:rPr>
                <w:rFonts w:ascii="Arial" w:cs="Arial" w:eastAsia="Arial" w:hAnsi="Arial"/>
                <w:sz w:val="13"/>
                <w:szCs w:val="13"/>
                <w:b w:val="1"/>
                <w:bCs w:val="1"/>
                <w:color w:val="FFFFFF"/>
              </w:rPr>
              <w:t>Total ($)</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ACACAC"/>
          </w:tcPr>
          <w:p>
            <w:pPr>
              <w:ind w:left="40"/>
              <w:spacing w:after="0"/>
              <w:rPr>
                <w:sz w:val="20"/>
                <w:szCs w:val="20"/>
                <w:color w:val="auto"/>
              </w:rPr>
            </w:pPr>
            <w:r>
              <w:rPr>
                <w:rFonts w:ascii="Arial" w:cs="Arial" w:eastAsia="Arial" w:hAnsi="Arial"/>
                <w:sz w:val="13"/>
                <w:szCs w:val="13"/>
                <w:color w:val="auto"/>
              </w:rPr>
              <w:t>Michael J. Happe</w:t>
            </w:r>
            <w:r>
              <w:rPr>
                <w:rFonts w:ascii="Arial" w:cs="Arial" w:eastAsia="Arial" w:hAnsi="Arial"/>
                <w:sz w:val="8"/>
                <w:szCs w:val="8"/>
                <w:color w:val="auto"/>
              </w:rPr>
              <w:t>(5)</w:t>
            </w:r>
          </w:p>
        </w:tc>
        <w:tc>
          <w:tcPr>
            <w:tcW w:w="56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6"/>
              </w:rPr>
              <w:t>2019</w:t>
            </w:r>
          </w:p>
        </w:tc>
        <w:tc>
          <w:tcPr>
            <w:tcW w:w="800" w:type="dxa"/>
            <w:vAlign w:val="bottom"/>
            <w:shd w:val="clear" w:color="auto" w:fill="ACACAC"/>
          </w:tcPr>
          <w:p>
            <w:pPr>
              <w:jc w:val="right"/>
              <w:ind w:right="57"/>
              <w:spacing w:after="0"/>
              <w:rPr>
                <w:sz w:val="20"/>
                <w:szCs w:val="20"/>
                <w:color w:val="auto"/>
              </w:rPr>
            </w:pPr>
            <w:r>
              <w:rPr>
                <w:rFonts w:ascii="Arial" w:cs="Arial" w:eastAsia="Arial" w:hAnsi="Arial"/>
                <w:sz w:val="13"/>
                <w:szCs w:val="13"/>
                <w:color w:val="auto"/>
              </w:rPr>
              <w:t>691,346</w:t>
            </w:r>
          </w:p>
        </w:tc>
        <w:tc>
          <w:tcPr>
            <w:tcW w:w="860" w:type="dxa"/>
            <w:vAlign w:val="bottom"/>
            <w:shd w:val="clear" w:color="auto" w:fill="ACACAC"/>
          </w:tcPr>
          <w:p>
            <w:pPr>
              <w:jc w:val="right"/>
              <w:ind w:right="117"/>
              <w:spacing w:after="0"/>
              <w:rPr>
                <w:sz w:val="20"/>
                <w:szCs w:val="20"/>
                <w:color w:val="auto"/>
              </w:rPr>
            </w:pPr>
            <w:r>
              <w:rPr>
                <w:rFonts w:ascii="Arial" w:cs="Arial" w:eastAsia="Arial" w:hAnsi="Arial"/>
                <w:sz w:val="13"/>
                <w:szCs w:val="13"/>
                <w:color w:val="auto"/>
              </w:rPr>
              <w:t>11,731</w:t>
            </w:r>
          </w:p>
        </w:tc>
        <w:tc>
          <w:tcPr>
            <w:tcW w:w="920" w:type="dxa"/>
            <w:vAlign w:val="bottom"/>
            <w:shd w:val="clear" w:color="auto" w:fill="ACACAC"/>
          </w:tcPr>
          <w:p>
            <w:pPr>
              <w:jc w:val="right"/>
              <w:ind w:right="97"/>
              <w:spacing w:after="0"/>
              <w:rPr>
                <w:sz w:val="20"/>
                <w:szCs w:val="20"/>
                <w:color w:val="auto"/>
              </w:rPr>
            </w:pPr>
            <w:r>
              <w:rPr>
                <w:rFonts w:ascii="Arial" w:cs="Arial" w:eastAsia="Arial" w:hAnsi="Arial"/>
                <w:sz w:val="13"/>
                <w:szCs w:val="13"/>
                <w:color w:val="auto"/>
              </w:rPr>
              <w:t>1,425,000</w:t>
            </w:r>
          </w:p>
        </w:tc>
        <w:tc>
          <w:tcPr>
            <w:tcW w:w="840" w:type="dxa"/>
            <w:vAlign w:val="bottom"/>
            <w:shd w:val="clear" w:color="auto" w:fill="ACACAC"/>
          </w:tcPr>
          <w:p>
            <w:pPr>
              <w:jc w:val="right"/>
              <w:ind w:right="17"/>
              <w:spacing w:after="0"/>
              <w:rPr>
                <w:sz w:val="20"/>
                <w:szCs w:val="20"/>
                <w:color w:val="auto"/>
              </w:rPr>
            </w:pPr>
            <w:r>
              <w:rPr>
                <w:rFonts w:ascii="Arial" w:cs="Arial" w:eastAsia="Arial" w:hAnsi="Arial"/>
                <w:sz w:val="13"/>
                <w:szCs w:val="13"/>
                <w:color w:val="auto"/>
              </w:rPr>
              <w:t>475,000</w:t>
            </w:r>
          </w:p>
        </w:tc>
        <w:tc>
          <w:tcPr>
            <w:tcW w:w="1400" w:type="dxa"/>
            <w:vAlign w:val="bottom"/>
            <w:shd w:val="clear" w:color="auto" w:fill="ACACAC"/>
          </w:tcPr>
          <w:p>
            <w:pPr>
              <w:jc w:val="right"/>
              <w:ind w:right="77"/>
              <w:spacing w:after="0"/>
              <w:rPr>
                <w:sz w:val="20"/>
                <w:szCs w:val="20"/>
                <w:color w:val="auto"/>
              </w:rPr>
            </w:pPr>
            <w:r>
              <w:rPr>
                <w:rFonts w:ascii="Arial" w:cs="Arial" w:eastAsia="Arial" w:hAnsi="Arial"/>
                <w:sz w:val="13"/>
                <w:szCs w:val="13"/>
                <w:color w:val="auto"/>
              </w:rPr>
              <w:t>138,269</w:t>
            </w:r>
          </w:p>
        </w:tc>
        <w:tc>
          <w:tcPr>
            <w:tcW w:w="1540" w:type="dxa"/>
            <w:vAlign w:val="bottom"/>
            <w:shd w:val="clear" w:color="auto" w:fill="ACACAC"/>
          </w:tcPr>
          <w:p>
            <w:pPr>
              <w:ind w:left="1320"/>
              <w:spacing w:after="0"/>
              <w:rPr>
                <w:sz w:val="20"/>
                <w:szCs w:val="20"/>
                <w:color w:val="auto"/>
              </w:rPr>
            </w:pPr>
            <w:r>
              <w:rPr>
                <w:rFonts w:ascii="Arial" w:cs="Arial" w:eastAsia="Arial" w:hAnsi="Arial"/>
                <w:sz w:val="13"/>
                <w:szCs w:val="13"/>
                <w:color w:val="auto"/>
              </w:rPr>
              <w:t>—</w:t>
            </w:r>
          </w:p>
        </w:tc>
        <w:tc>
          <w:tcPr>
            <w:tcW w:w="1360" w:type="dxa"/>
            <w:vAlign w:val="bottom"/>
            <w:shd w:val="clear" w:color="auto" w:fill="ACACAC"/>
          </w:tcPr>
          <w:p>
            <w:pPr>
              <w:jc w:val="right"/>
              <w:ind w:right="157"/>
              <w:spacing w:after="0"/>
              <w:rPr>
                <w:sz w:val="20"/>
                <w:szCs w:val="20"/>
                <w:color w:val="auto"/>
              </w:rPr>
            </w:pPr>
            <w:r>
              <w:rPr>
                <w:rFonts w:ascii="Arial" w:cs="Arial" w:eastAsia="Arial" w:hAnsi="Arial"/>
                <w:sz w:val="13"/>
                <w:szCs w:val="13"/>
                <w:color w:val="auto"/>
              </w:rPr>
              <w:t>34,484</w:t>
            </w:r>
          </w:p>
        </w:tc>
        <w:tc>
          <w:tcPr>
            <w:tcW w:w="800" w:type="dxa"/>
            <w:vAlign w:val="bottom"/>
            <w:shd w:val="clear" w:color="auto" w:fill="ACACAC"/>
          </w:tcPr>
          <w:p>
            <w:pPr>
              <w:jc w:val="right"/>
              <w:ind w:right="37"/>
              <w:spacing w:after="0"/>
              <w:rPr>
                <w:sz w:val="20"/>
                <w:szCs w:val="20"/>
                <w:color w:val="auto"/>
              </w:rPr>
            </w:pPr>
            <w:r>
              <w:rPr>
                <w:rFonts w:ascii="Arial" w:cs="Arial" w:eastAsia="Arial" w:hAnsi="Arial"/>
                <w:sz w:val="13"/>
                <w:szCs w:val="13"/>
                <w:color w:val="auto"/>
              </w:rPr>
              <w:t>2,775,830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300" w:type="dxa"/>
            <w:vAlign w:val="bottom"/>
          </w:tcPr>
          <w:p>
            <w:pPr>
              <w:ind w:left="140"/>
              <w:spacing w:after="0"/>
              <w:rPr>
                <w:sz w:val="20"/>
                <w:szCs w:val="20"/>
                <w:color w:val="auto"/>
              </w:rPr>
            </w:pPr>
            <w:r>
              <w:rPr>
                <w:rFonts w:ascii="Arial" w:cs="Arial" w:eastAsia="Arial" w:hAnsi="Arial"/>
                <w:sz w:val="13"/>
                <w:szCs w:val="13"/>
                <w:color w:val="auto"/>
              </w:rPr>
              <w:t>President, CEO</w:t>
            </w:r>
          </w:p>
        </w:tc>
        <w:tc>
          <w:tcPr>
            <w:tcW w:w="560" w:type="dxa"/>
            <w:vAlign w:val="bottom"/>
          </w:tcPr>
          <w:p>
            <w:pPr>
              <w:jc w:val="center"/>
              <w:spacing w:after="0"/>
              <w:rPr>
                <w:sz w:val="20"/>
                <w:szCs w:val="20"/>
                <w:color w:val="auto"/>
              </w:rPr>
            </w:pPr>
            <w:r>
              <w:rPr>
                <w:rFonts w:ascii="Arial" w:cs="Arial" w:eastAsia="Arial" w:hAnsi="Arial"/>
                <w:sz w:val="13"/>
                <w:szCs w:val="13"/>
                <w:color w:val="auto"/>
                <w:w w:val="96"/>
              </w:rPr>
              <w:t>2018</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657,692</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1,242,179</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414,062</w:t>
            </w:r>
          </w:p>
        </w:tc>
        <w:tc>
          <w:tcPr>
            <w:tcW w:w="1400" w:type="dxa"/>
            <w:vAlign w:val="bottom"/>
          </w:tcPr>
          <w:p>
            <w:pPr>
              <w:jc w:val="right"/>
              <w:ind w:right="77"/>
              <w:spacing w:after="0"/>
              <w:rPr>
                <w:sz w:val="20"/>
                <w:szCs w:val="20"/>
                <w:color w:val="auto"/>
              </w:rPr>
            </w:pPr>
            <w:r>
              <w:rPr>
                <w:rFonts w:ascii="Arial" w:cs="Arial" w:eastAsia="Arial" w:hAnsi="Arial"/>
                <w:sz w:val="13"/>
                <w:szCs w:val="13"/>
                <w:color w:val="auto"/>
              </w:rPr>
              <w:t>855,658</w:t>
            </w:r>
          </w:p>
        </w:tc>
        <w:tc>
          <w:tcPr>
            <w:tcW w:w="1540" w:type="dxa"/>
            <w:vAlign w:val="bottom"/>
          </w:tcPr>
          <w:p>
            <w:pPr>
              <w:ind w:left="1320"/>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57"/>
              <w:spacing w:after="0"/>
              <w:rPr>
                <w:sz w:val="20"/>
                <w:szCs w:val="20"/>
                <w:color w:val="auto"/>
              </w:rPr>
            </w:pPr>
            <w:r>
              <w:rPr>
                <w:rFonts w:ascii="Arial" w:cs="Arial" w:eastAsia="Arial" w:hAnsi="Arial"/>
                <w:sz w:val="13"/>
                <w:szCs w:val="13"/>
                <w:color w:val="auto"/>
              </w:rPr>
              <w:t>44,082</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3,213,673</w:t>
            </w:r>
          </w:p>
        </w:tc>
        <w:tc>
          <w:tcPr>
            <w:tcW w:w="0" w:type="dxa"/>
            <w:vAlign w:val="bottom"/>
          </w:tcPr>
          <w:p>
            <w:pPr>
              <w:spacing w:after="0"/>
              <w:rPr>
                <w:sz w:val="1"/>
                <w:szCs w:val="1"/>
                <w:color w:val="auto"/>
              </w:rPr>
            </w:pPr>
          </w:p>
        </w:tc>
      </w:tr>
      <w:tr>
        <w:trPr>
          <w:trHeight w:val="181"/>
        </w:trPr>
        <w:tc>
          <w:tcPr>
            <w:tcW w:w="40" w:type="dxa"/>
            <w:vAlign w:val="bottom"/>
            <w:shd w:val="clear" w:color="auto" w:fill="ACACAC"/>
          </w:tcPr>
          <w:p>
            <w:pPr>
              <w:spacing w:after="0"/>
              <w:rPr>
                <w:sz w:val="15"/>
                <w:szCs w:val="15"/>
                <w:color w:val="auto"/>
              </w:rPr>
            </w:pPr>
          </w:p>
        </w:tc>
        <w:tc>
          <w:tcPr>
            <w:tcW w:w="2300" w:type="dxa"/>
            <w:vAlign w:val="bottom"/>
            <w:shd w:val="clear" w:color="auto" w:fill="ACACAC"/>
          </w:tcPr>
          <w:p>
            <w:pPr>
              <w:spacing w:after="0"/>
              <w:rPr>
                <w:sz w:val="15"/>
                <w:szCs w:val="15"/>
                <w:color w:val="auto"/>
              </w:rPr>
            </w:pPr>
          </w:p>
        </w:tc>
        <w:tc>
          <w:tcPr>
            <w:tcW w:w="56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6"/>
              </w:rPr>
              <w:t>2017</w:t>
            </w:r>
          </w:p>
        </w:tc>
        <w:tc>
          <w:tcPr>
            <w:tcW w:w="800" w:type="dxa"/>
            <w:vAlign w:val="bottom"/>
            <w:vMerge w:val="restart"/>
            <w:shd w:val="clear" w:color="auto" w:fill="ACACAC"/>
          </w:tcPr>
          <w:p>
            <w:pPr>
              <w:jc w:val="right"/>
              <w:ind w:right="57"/>
              <w:spacing w:after="0"/>
              <w:rPr>
                <w:sz w:val="20"/>
                <w:szCs w:val="20"/>
                <w:color w:val="auto"/>
              </w:rPr>
            </w:pPr>
            <w:r>
              <w:rPr>
                <w:rFonts w:ascii="Arial" w:cs="Arial" w:eastAsia="Arial" w:hAnsi="Arial"/>
                <w:sz w:val="13"/>
                <w:szCs w:val="13"/>
                <w:color w:val="auto"/>
              </w:rPr>
              <w:t>599,038</w:t>
            </w:r>
          </w:p>
        </w:tc>
        <w:tc>
          <w:tcPr>
            <w:tcW w:w="860" w:type="dxa"/>
            <w:vAlign w:val="bottom"/>
            <w:vMerge w:val="restart"/>
            <w:shd w:val="clear" w:color="auto" w:fill="ACACAC"/>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ACACAC"/>
          </w:tcPr>
          <w:p>
            <w:pPr>
              <w:jc w:val="right"/>
              <w:ind w:right="97"/>
              <w:spacing w:after="0"/>
              <w:rPr>
                <w:sz w:val="20"/>
                <w:szCs w:val="20"/>
                <w:color w:val="auto"/>
              </w:rPr>
            </w:pPr>
            <w:r>
              <w:rPr>
                <w:rFonts w:ascii="Arial" w:cs="Arial" w:eastAsia="Arial" w:hAnsi="Arial"/>
                <w:sz w:val="13"/>
                <w:szCs w:val="13"/>
                <w:color w:val="auto"/>
              </w:rPr>
              <w:t>1,004,291</w:t>
            </w:r>
          </w:p>
        </w:tc>
        <w:tc>
          <w:tcPr>
            <w:tcW w:w="840" w:type="dxa"/>
            <w:vAlign w:val="bottom"/>
            <w:vMerge w:val="restart"/>
            <w:shd w:val="clear" w:color="auto" w:fill="ACACAC"/>
          </w:tcPr>
          <w:p>
            <w:pPr>
              <w:jc w:val="right"/>
              <w:ind w:right="17"/>
              <w:spacing w:after="0"/>
              <w:rPr>
                <w:sz w:val="20"/>
                <w:szCs w:val="20"/>
                <w:color w:val="auto"/>
              </w:rPr>
            </w:pPr>
            <w:r>
              <w:rPr>
                <w:rFonts w:ascii="Arial" w:cs="Arial" w:eastAsia="Arial" w:hAnsi="Arial"/>
                <w:sz w:val="13"/>
                <w:szCs w:val="13"/>
                <w:color w:val="auto"/>
              </w:rPr>
              <w:t>247,854</w:t>
            </w:r>
          </w:p>
        </w:tc>
        <w:tc>
          <w:tcPr>
            <w:tcW w:w="1400" w:type="dxa"/>
            <w:vAlign w:val="bottom"/>
            <w:vMerge w:val="restart"/>
            <w:shd w:val="clear" w:color="auto" w:fill="ACACAC"/>
          </w:tcPr>
          <w:p>
            <w:pPr>
              <w:jc w:val="right"/>
              <w:ind w:right="77"/>
              <w:spacing w:after="0"/>
              <w:rPr>
                <w:sz w:val="20"/>
                <w:szCs w:val="20"/>
                <w:color w:val="auto"/>
              </w:rPr>
            </w:pPr>
            <w:r>
              <w:rPr>
                <w:rFonts w:ascii="Arial" w:cs="Arial" w:eastAsia="Arial" w:hAnsi="Arial"/>
                <w:sz w:val="13"/>
                <w:szCs w:val="13"/>
                <w:color w:val="auto"/>
              </w:rPr>
              <w:t>902,152</w:t>
            </w:r>
          </w:p>
        </w:tc>
        <w:tc>
          <w:tcPr>
            <w:tcW w:w="1540" w:type="dxa"/>
            <w:vAlign w:val="bottom"/>
            <w:vMerge w:val="restart"/>
            <w:shd w:val="clear" w:color="auto" w:fill="ACACAC"/>
          </w:tcPr>
          <w:p>
            <w:pPr>
              <w:ind w:left="1320"/>
              <w:spacing w:after="0"/>
              <w:rPr>
                <w:sz w:val="20"/>
                <w:szCs w:val="20"/>
                <w:color w:val="auto"/>
              </w:rPr>
            </w:pPr>
            <w:r>
              <w:rPr>
                <w:rFonts w:ascii="Arial" w:cs="Arial" w:eastAsia="Arial" w:hAnsi="Arial"/>
                <w:sz w:val="13"/>
                <w:szCs w:val="13"/>
                <w:color w:val="auto"/>
              </w:rPr>
              <w:t>—</w:t>
            </w:r>
          </w:p>
        </w:tc>
        <w:tc>
          <w:tcPr>
            <w:tcW w:w="1360" w:type="dxa"/>
            <w:vAlign w:val="bottom"/>
            <w:vMerge w:val="restart"/>
            <w:shd w:val="clear" w:color="auto" w:fill="ACACAC"/>
          </w:tcPr>
          <w:p>
            <w:pPr>
              <w:jc w:val="right"/>
              <w:ind w:right="157"/>
              <w:spacing w:after="0"/>
              <w:rPr>
                <w:sz w:val="20"/>
                <w:szCs w:val="20"/>
                <w:color w:val="auto"/>
              </w:rPr>
            </w:pPr>
            <w:r>
              <w:rPr>
                <w:rFonts w:ascii="Arial" w:cs="Arial" w:eastAsia="Arial" w:hAnsi="Arial"/>
                <w:sz w:val="13"/>
                <w:szCs w:val="13"/>
                <w:color w:val="auto"/>
              </w:rPr>
              <w:t>29,843</w:t>
            </w:r>
          </w:p>
        </w:tc>
        <w:tc>
          <w:tcPr>
            <w:tcW w:w="800" w:type="dxa"/>
            <w:vAlign w:val="bottom"/>
            <w:shd w:val="clear" w:color="auto" w:fill="ACACAC"/>
          </w:tcPr>
          <w:p>
            <w:pPr>
              <w:jc w:val="right"/>
              <w:ind w:right="37"/>
              <w:spacing w:after="0"/>
              <w:rPr>
                <w:sz w:val="20"/>
                <w:szCs w:val="20"/>
                <w:color w:val="auto"/>
              </w:rPr>
            </w:pPr>
            <w:r>
              <w:rPr>
                <w:rFonts w:ascii="Arial" w:cs="Arial" w:eastAsia="Arial" w:hAnsi="Arial"/>
                <w:sz w:val="13"/>
                <w:szCs w:val="13"/>
                <w:color w:val="auto"/>
              </w:rPr>
              <w:t>2,783,178</w:t>
            </w: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shd w:val="clear" w:color="auto" w:fill="ACACAC"/>
          </w:tcPr>
          <w:p>
            <w:pPr>
              <w:spacing w:after="0"/>
              <w:rPr>
                <w:sz w:val="7"/>
                <w:szCs w:val="7"/>
                <w:color w:val="auto"/>
              </w:rPr>
            </w:pPr>
          </w:p>
        </w:tc>
        <w:tc>
          <w:tcPr>
            <w:tcW w:w="2300" w:type="dxa"/>
            <w:vAlign w:val="bottom"/>
            <w:tcBorders>
              <w:bottom w:val="single" w:sz="8" w:color="auto"/>
            </w:tcBorders>
            <w:shd w:val="clear" w:color="auto" w:fill="ACACAC"/>
          </w:tcPr>
          <w:p>
            <w:pPr>
              <w:spacing w:after="0"/>
              <w:rPr>
                <w:sz w:val="7"/>
                <w:szCs w:val="7"/>
                <w:color w:val="auto"/>
              </w:rPr>
            </w:pPr>
          </w:p>
        </w:tc>
        <w:tc>
          <w:tcPr>
            <w:tcW w:w="560" w:type="dxa"/>
            <w:vAlign w:val="bottom"/>
            <w:tcBorders>
              <w:bottom w:val="single" w:sz="8" w:color="auto"/>
            </w:tcBorders>
            <w:shd w:val="clear" w:color="auto" w:fill="ACACAC"/>
          </w:tcPr>
          <w:p>
            <w:pPr>
              <w:spacing w:after="0"/>
              <w:rPr>
                <w:sz w:val="7"/>
                <w:szCs w:val="7"/>
                <w:color w:val="auto"/>
              </w:rPr>
            </w:pPr>
          </w:p>
        </w:tc>
        <w:tc>
          <w:tcPr>
            <w:tcW w:w="800" w:type="dxa"/>
            <w:vAlign w:val="bottom"/>
            <w:tcBorders>
              <w:bottom w:val="single" w:sz="8" w:color="auto"/>
            </w:tcBorders>
            <w:vMerge w:val="continue"/>
            <w:shd w:val="clear" w:color="auto" w:fill="ACACAC"/>
          </w:tcPr>
          <w:p>
            <w:pPr>
              <w:spacing w:after="0"/>
              <w:rPr>
                <w:sz w:val="7"/>
                <w:szCs w:val="7"/>
                <w:color w:val="auto"/>
              </w:rPr>
            </w:pPr>
          </w:p>
        </w:tc>
        <w:tc>
          <w:tcPr>
            <w:tcW w:w="860" w:type="dxa"/>
            <w:vAlign w:val="bottom"/>
            <w:tcBorders>
              <w:bottom w:val="single" w:sz="8" w:color="auto"/>
            </w:tcBorders>
            <w:vMerge w:val="continue"/>
            <w:shd w:val="clear" w:color="auto" w:fill="ACACAC"/>
          </w:tcPr>
          <w:p>
            <w:pPr>
              <w:spacing w:after="0"/>
              <w:rPr>
                <w:sz w:val="7"/>
                <w:szCs w:val="7"/>
                <w:color w:val="auto"/>
              </w:rPr>
            </w:pPr>
          </w:p>
        </w:tc>
        <w:tc>
          <w:tcPr>
            <w:tcW w:w="920" w:type="dxa"/>
            <w:vAlign w:val="bottom"/>
            <w:tcBorders>
              <w:bottom w:val="single" w:sz="8" w:color="auto"/>
            </w:tcBorders>
            <w:vMerge w:val="continue"/>
            <w:shd w:val="clear" w:color="auto" w:fill="ACACAC"/>
          </w:tcPr>
          <w:p>
            <w:pPr>
              <w:spacing w:after="0"/>
              <w:rPr>
                <w:sz w:val="7"/>
                <w:szCs w:val="7"/>
                <w:color w:val="auto"/>
              </w:rPr>
            </w:pPr>
          </w:p>
        </w:tc>
        <w:tc>
          <w:tcPr>
            <w:tcW w:w="840" w:type="dxa"/>
            <w:vAlign w:val="bottom"/>
            <w:tcBorders>
              <w:bottom w:val="single" w:sz="8" w:color="auto"/>
            </w:tcBorders>
            <w:vMerge w:val="continue"/>
            <w:shd w:val="clear" w:color="auto" w:fill="ACACAC"/>
          </w:tcPr>
          <w:p>
            <w:pPr>
              <w:spacing w:after="0"/>
              <w:rPr>
                <w:sz w:val="7"/>
                <w:szCs w:val="7"/>
                <w:color w:val="auto"/>
              </w:rPr>
            </w:pPr>
          </w:p>
        </w:tc>
        <w:tc>
          <w:tcPr>
            <w:tcW w:w="1400" w:type="dxa"/>
            <w:vAlign w:val="bottom"/>
            <w:tcBorders>
              <w:bottom w:val="single" w:sz="8" w:color="auto"/>
            </w:tcBorders>
            <w:vMerge w:val="continue"/>
            <w:shd w:val="clear" w:color="auto" w:fill="ACACAC"/>
          </w:tcPr>
          <w:p>
            <w:pPr>
              <w:spacing w:after="0"/>
              <w:rPr>
                <w:sz w:val="7"/>
                <w:szCs w:val="7"/>
                <w:color w:val="auto"/>
              </w:rPr>
            </w:pPr>
          </w:p>
        </w:tc>
        <w:tc>
          <w:tcPr>
            <w:tcW w:w="1540" w:type="dxa"/>
            <w:vAlign w:val="bottom"/>
            <w:tcBorders>
              <w:bottom w:val="single" w:sz="8" w:color="auto"/>
            </w:tcBorders>
            <w:vMerge w:val="continue"/>
            <w:shd w:val="clear" w:color="auto" w:fill="ACACAC"/>
          </w:tcPr>
          <w:p>
            <w:pPr>
              <w:spacing w:after="0"/>
              <w:rPr>
                <w:sz w:val="7"/>
                <w:szCs w:val="7"/>
                <w:color w:val="auto"/>
              </w:rPr>
            </w:pPr>
          </w:p>
        </w:tc>
        <w:tc>
          <w:tcPr>
            <w:tcW w:w="1360" w:type="dxa"/>
            <w:vAlign w:val="bottom"/>
            <w:tcBorders>
              <w:bottom w:val="single" w:sz="8" w:color="auto"/>
            </w:tcBorders>
            <w:vMerge w:val="continue"/>
            <w:shd w:val="clear" w:color="auto" w:fill="ACACAC"/>
          </w:tcPr>
          <w:p>
            <w:pPr>
              <w:spacing w:after="0"/>
              <w:rPr>
                <w:sz w:val="7"/>
                <w:szCs w:val="7"/>
                <w:color w:val="auto"/>
              </w:rPr>
            </w:pPr>
          </w:p>
        </w:tc>
        <w:tc>
          <w:tcPr>
            <w:tcW w:w="800" w:type="dxa"/>
            <w:vAlign w:val="bottom"/>
            <w:tcBorders>
              <w:bottom w:val="single" w:sz="8" w:color="auto"/>
            </w:tcBorders>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340" w:type="dxa"/>
            <w:vAlign w:val="bottom"/>
            <w:gridSpan w:val="2"/>
          </w:tcPr>
          <w:p>
            <w:pPr>
              <w:ind w:left="40"/>
              <w:spacing w:after="0"/>
              <w:rPr>
                <w:sz w:val="20"/>
                <w:szCs w:val="20"/>
                <w:color w:val="auto"/>
              </w:rPr>
            </w:pPr>
            <w:r>
              <w:rPr>
                <w:rFonts w:ascii="Arial" w:cs="Arial" w:eastAsia="Arial" w:hAnsi="Arial"/>
                <w:sz w:val="13"/>
                <w:szCs w:val="13"/>
                <w:color w:val="auto"/>
              </w:rPr>
              <w:t>Bryan L. Hughes</w:t>
            </w:r>
            <w:r>
              <w:rPr>
                <w:rFonts w:ascii="Arial" w:cs="Arial" w:eastAsia="Arial" w:hAnsi="Arial"/>
                <w:sz w:val="8"/>
                <w:szCs w:val="8"/>
                <w:color w:val="auto"/>
              </w:rPr>
              <w:t>(5)</w:t>
            </w:r>
          </w:p>
        </w:tc>
        <w:tc>
          <w:tcPr>
            <w:tcW w:w="560" w:type="dxa"/>
            <w:vAlign w:val="bottom"/>
          </w:tcPr>
          <w:p>
            <w:pPr>
              <w:jc w:val="center"/>
              <w:spacing w:after="0"/>
              <w:rPr>
                <w:sz w:val="20"/>
                <w:szCs w:val="20"/>
                <w:color w:val="auto"/>
              </w:rPr>
            </w:pPr>
            <w:r>
              <w:rPr>
                <w:rFonts w:ascii="Arial" w:cs="Arial" w:eastAsia="Arial" w:hAnsi="Arial"/>
                <w:sz w:val="13"/>
                <w:szCs w:val="13"/>
                <w:color w:val="auto"/>
                <w:w w:val="96"/>
              </w:rPr>
              <w:t>2019</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473,183</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27,746</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380,532</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126,844</w:t>
            </w:r>
          </w:p>
        </w:tc>
        <w:tc>
          <w:tcPr>
            <w:tcW w:w="1400" w:type="dxa"/>
            <w:vAlign w:val="bottom"/>
          </w:tcPr>
          <w:p>
            <w:pPr>
              <w:jc w:val="right"/>
              <w:ind w:right="77"/>
              <w:spacing w:after="0"/>
              <w:rPr>
                <w:sz w:val="20"/>
                <w:szCs w:val="20"/>
                <w:color w:val="auto"/>
              </w:rPr>
            </w:pPr>
            <w:r>
              <w:rPr>
                <w:rFonts w:ascii="Arial" w:cs="Arial" w:eastAsia="Arial" w:hAnsi="Arial"/>
                <w:sz w:val="13"/>
                <w:szCs w:val="13"/>
                <w:color w:val="auto"/>
              </w:rPr>
              <w:t>70,997</w:t>
            </w:r>
          </w:p>
        </w:tc>
        <w:tc>
          <w:tcPr>
            <w:tcW w:w="1540" w:type="dxa"/>
            <w:vAlign w:val="bottom"/>
          </w:tcPr>
          <w:p>
            <w:pPr>
              <w:ind w:left="1320"/>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57"/>
              <w:spacing w:after="0"/>
              <w:rPr>
                <w:sz w:val="20"/>
                <w:szCs w:val="20"/>
                <w:color w:val="auto"/>
              </w:rPr>
            </w:pPr>
            <w:r>
              <w:rPr>
                <w:rFonts w:ascii="Arial" w:cs="Arial" w:eastAsia="Arial" w:hAnsi="Arial"/>
                <w:sz w:val="13"/>
                <w:szCs w:val="13"/>
                <w:color w:val="auto"/>
              </w:rPr>
              <w:t>36,084</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1,115,386</w:t>
            </w:r>
          </w:p>
        </w:tc>
        <w:tc>
          <w:tcPr>
            <w:tcW w:w="0" w:type="dxa"/>
            <w:vAlign w:val="bottom"/>
          </w:tcPr>
          <w:p>
            <w:pPr>
              <w:spacing w:after="0"/>
              <w:rPr>
                <w:sz w:val="1"/>
                <w:szCs w:val="1"/>
                <w:color w:val="auto"/>
              </w:rPr>
            </w:pPr>
          </w:p>
        </w:tc>
      </w:tr>
      <w:tr>
        <w:trPr>
          <w:trHeight w:val="224"/>
        </w:trPr>
        <w:tc>
          <w:tcPr>
            <w:tcW w:w="40" w:type="dxa"/>
            <w:vAlign w:val="bottom"/>
            <w:shd w:val="clear" w:color="auto" w:fill="ACACAC"/>
          </w:tcPr>
          <w:p>
            <w:pPr>
              <w:spacing w:after="0"/>
              <w:rPr>
                <w:sz w:val="19"/>
                <w:szCs w:val="19"/>
                <w:color w:val="auto"/>
              </w:rPr>
            </w:pPr>
          </w:p>
        </w:tc>
        <w:tc>
          <w:tcPr>
            <w:tcW w:w="2300" w:type="dxa"/>
            <w:vAlign w:val="bottom"/>
            <w:shd w:val="clear" w:color="auto" w:fill="ACACAC"/>
          </w:tcPr>
          <w:p>
            <w:pPr>
              <w:ind w:left="100"/>
              <w:spacing w:after="0"/>
              <w:rPr>
                <w:sz w:val="20"/>
                <w:szCs w:val="20"/>
                <w:color w:val="auto"/>
              </w:rPr>
            </w:pPr>
            <w:r>
              <w:rPr>
                <w:rFonts w:ascii="Arial" w:cs="Arial" w:eastAsia="Arial" w:hAnsi="Arial"/>
                <w:sz w:val="13"/>
                <w:szCs w:val="13"/>
                <w:color w:val="auto"/>
              </w:rPr>
              <w:t>Vice President, CFO</w:t>
            </w:r>
          </w:p>
        </w:tc>
        <w:tc>
          <w:tcPr>
            <w:tcW w:w="56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6"/>
              </w:rPr>
              <w:t>2018</w:t>
            </w:r>
          </w:p>
        </w:tc>
        <w:tc>
          <w:tcPr>
            <w:tcW w:w="800" w:type="dxa"/>
            <w:vAlign w:val="bottom"/>
            <w:shd w:val="clear" w:color="auto" w:fill="ACACAC"/>
          </w:tcPr>
          <w:p>
            <w:pPr>
              <w:jc w:val="right"/>
              <w:ind w:right="57"/>
              <w:spacing w:after="0"/>
              <w:rPr>
                <w:sz w:val="20"/>
                <w:szCs w:val="20"/>
                <w:color w:val="auto"/>
              </w:rPr>
            </w:pPr>
            <w:r>
              <w:rPr>
                <w:rFonts w:ascii="Arial" w:cs="Arial" w:eastAsia="Arial" w:hAnsi="Arial"/>
                <w:sz w:val="13"/>
                <w:szCs w:val="13"/>
                <w:color w:val="auto"/>
              </w:rPr>
              <w:t>457,356</w:t>
            </w:r>
          </w:p>
        </w:tc>
        <w:tc>
          <w:tcPr>
            <w:tcW w:w="860" w:type="dxa"/>
            <w:vAlign w:val="bottom"/>
            <w:shd w:val="clear" w:color="auto" w:fill="ACACAC"/>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shd w:val="clear" w:color="auto" w:fill="ACACAC"/>
          </w:tcPr>
          <w:p>
            <w:pPr>
              <w:jc w:val="right"/>
              <w:ind w:right="97"/>
              <w:spacing w:after="0"/>
              <w:rPr>
                <w:sz w:val="20"/>
                <w:szCs w:val="20"/>
                <w:color w:val="auto"/>
              </w:rPr>
            </w:pPr>
            <w:r>
              <w:rPr>
                <w:rFonts w:ascii="Arial" w:cs="Arial" w:eastAsia="Arial" w:hAnsi="Arial"/>
                <w:sz w:val="13"/>
                <w:szCs w:val="13"/>
                <w:color w:val="auto"/>
              </w:rPr>
              <w:t>371,228</w:t>
            </w:r>
          </w:p>
        </w:tc>
        <w:tc>
          <w:tcPr>
            <w:tcW w:w="840" w:type="dxa"/>
            <w:vAlign w:val="bottom"/>
            <w:shd w:val="clear" w:color="auto" w:fill="ACACAC"/>
          </w:tcPr>
          <w:p>
            <w:pPr>
              <w:jc w:val="right"/>
              <w:ind w:right="17"/>
              <w:spacing w:after="0"/>
              <w:rPr>
                <w:sz w:val="20"/>
                <w:szCs w:val="20"/>
                <w:color w:val="auto"/>
              </w:rPr>
            </w:pPr>
            <w:r>
              <w:rPr>
                <w:rFonts w:ascii="Arial" w:cs="Arial" w:eastAsia="Arial" w:hAnsi="Arial"/>
                <w:sz w:val="13"/>
                <w:szCs w:val="13"/>
                <w:color w:val="auto"/>
              </w:rPr>
              <w:t>123,753</w:t>
            </w:r>
          </w:p>
        </w:tc>
        <w:tc>
          <w:tcPr>
            <w:tcW w:w="1400" w:type="dxa"/>
            <w:vAlign w:val="bottom"/>
            <w:shd w:val="clear" w:color="auto" w:fill="ACACAC"/>
          </w:tcPr>
          <w:p>
            <w:pPr>
              <w:jc w:val="right"/>
              <w:ind w:right="77"/>
              <w:spacing w:after="0"/>
              <w:rPr>
                <w:sz w:val="20"/>
                <w:szCs w:val="20"/>
                <w:color w:val="auto"/>
              </w:rPr>
            </w:pPr>
            <w:r>
              <w:rPr>
                <w:rFonts w:ascii="Arial" w:cs="Arial" w:eastAsia="Arial" w:hAnsi="Arial"/>
                <w:sz w:val="13"/>
                <w:szCs w:val="13"/>
                <w:color w:val="auto"/>
              </w:rPr>
              <w:t>405,277</w:t>
            </w:r>
          </w:p>
        </w:tc>
        <w:tc>
          <w:tcPr>
            <w:tcW w:w="1540" w:type="dxa"/>
            <w:vAlign w:val="bottom"/>
            <w:shd w:val="clear" w:color="auto" w:fill="ACACAC"/>
          </w:tcPr>
          <w:p>
            <w:pPr>
              <w:ind w:left="1320"/>
              <w:spacing w:after="0"/>
              <w:rPr>
                <w:sz w:val="20"/>
                <w:szCs w:val="20"/>
                <w:color w:val="auto"/>
              </w:rPr>
            </w:pPr>
            <w:r>
              <w:rPr>
                <w:rFonts w:ascii="Arial" w:cs="Arial" w:eastAsia="Arial" w:hAnsi="Arial"/>
                <w:sz w:val="13"/>
                <w:szCs w:val="13"/>
                <w:color w:val="auto"/>
              </w:rPr>
              <w:t>—</w:t>
            </w:r>
          </w:p>
        </w:tc>
        <w:tc>
          <w:tcPr>
            <w:tcW w:w="1360" w:type="dxa"/>
            <w:vAlign w:val="bottom"/>
            <w:shd w:val="clear" w:color="auto" w:fill="ACACAC"/>
          </w:tcPr>
          <w:p>
            <w:pPr>
              <w:jc w:val="right"/>
              <w:ind w:right="157"/>
              <w:spacing w:after="0"/>
              <w:rPr>
                <w:sz w:val="20"/>
                <w:szCs w:val="20"/>
                <w:color w:val="auto"/>
              </w:rPr>
            </w:pPr>
            <w:r>
              <w:rPr>
                <w:rFonts w:ascii="Arial" w:cs="Arial" w:eastAsia="Arial" w:hAnsi="Arial"/>
                <w:sz w:val="13"/>
                <w:szCs w:val="13"/>
                <w:color w:val="auto"/>
              </w:rPr>
              <w:t>37,446</w:t>
            </w:r>
          </w:p>
        </w:tc>
        <w:tc>
          <w:tcPr>
            <w:tcW w:w="800" w:type="dxa"/>
            <w:vAlign w:val="bottom"/>
            <w:shd w:val="clear" w:color="auto" w:fill="ACACAC"/>
          </w:tcPr>
          <w:p>
            <w:pPr>
              <w:jc w:val="right"/>
              <w:ind w:right="37"/>
              <w:spacing w:after="0"/>
              <w:rPr>
                <w:sz w:val="20"/>
                <w:szCs w:val="20"/>
                <w:color w:val="auto"/>
              </w:rPr>
            </w:pPr>
            <w:r>
              <w:rPr>
                <w:rFonts w:ascii="Arial" w:cs="Arial" w:eastAsia="Arial" w:hAnsi="Arial"/>
                <w:sz w:val="13"/>
                <w:szCs w:val="13"/>
                <w:color w:val="auto"/>
              </w:rPr>
              <w:t>1,395,060</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6"/>
              </w:rPr>
              <w:t>2017</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298,846</w:t>
            </w: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97"/>
              <w:spacing w:after="0"/>
              <w:rPr>
                <w:sz w:val="20"/>
                <w:szCs w:val="20"/>
                <w:color w:val="auto"/>
              </w:rPr>
            </w:pPr>
            <w:r>
              <w:rPr>
                <w:rFonts w:ascii="Arial" w:cs="Arial" w:eastAsia="Arial" w:hAnsi="Arial"/>
                <w:sz w:val="13"/>
                <w:szCs w:val="13"/>
                <w:color w:val="auto"/>
              </w:rPr>
              <w:t>451,886</w:t>
            </w: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vMerge w:val="restart"/>
          </w:tcPr>
          <w:p>
            <w:pPr>
              <w:jc w:val="right"/>
              <w:ind w:right="77"/>
              <w:spacing w:after="0"/>
              <w:rPr>
                <w:sz w:val="20"/>
                <w:szCs w:val="20"/>
                <w:color w:val="auto"/>
              </w:rPr>
            </w:pPr>
            <w:r>
              <w:rPr>
                <w:rFonts w:ascii="Arial" w:cs="Arial" w:eastAsia="Arial" w:hAnsi="Arial"/>
                <w:sz w:val="13"/>
                <w:szCs w:val="13"/>
                <w:color w:val="auto"/>
              </w:rPr>
              <w:t>134,497</w:t>
            </w:r>
          </w:p>
        </w:tc>
        <w:tc>
          <w:tcPr>
            <w:tcW w:w="1540" w:type="dxa"/>
            <w:vAlign w:val="bottom"/>
            <w:vMerge w:val="restart"/>
          </w:tcPr>
          <w:p>
            <w:pPr>
              <w:ind w:left="1320"/>
              <w:spacing w:after="0"/>
              <w:rPr>
                <w:sz w:val="20"/>
                <w:szCs w:val="20"/>
                <w:color w:val="auto"/>
              </w:rPr>
            </w:pPr>
            <w:r>
              <w:rPr>
                <w:rFonts w:ascii="Arial" w:cs="Arial" w:eastAsia="Arial" w:hAnsi="Arial"/>
                <w:sz w:val="13"/>
                <w:szCs w:val="13"/>
                <w:color w:val="auto"/>
              </w:rPr>
              <w:t>—</w:t>
            </w:r>
          </w:p>
        </w:tc>
        <w:tc>
          <w:tcPr>
            <w:tcW w:w="1360" w:type="dxa"/>
            <w:vAlign w:val="bottom"/>
            <w:vMerge w:val="restart"/>
          </w:tcPr>
          <w:p>
            <w:pPr>
              <w:jc w:val="right"/>
              <w:ind w:right="157"/>
              <w:spacing w:after="0"/>
              <w:rPr>
                <w:sz w:val="20"/>
                <w:szCs w:val="20"/>
                <w:color w:val="auto"/>
              </w:rPr>
            </w:pPr>
            <w:r>
              <w:rPr>
                <w:rFonts w:ascii="Arial" w:cs="Arial" w:eastAsia="Arial" w:hAnsi="Arial"/>
                <w:sz w:val="13"/>
                <w:szCs w:val="13"/>
                <w:color w:val="auto"/>
              </w:rPr>
              <w:t>6,370</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891,599</w:t>
            </w:r>
          </w:p>
        </w:tc>
        <w:tc>
          <w:tcPr>
            <w:tcW w:w="0" w:type="dxa"/>
            <w:vAlign w:val="bottom"/>
          </w:tcPr>
          <w:p>
            <w:pPr>
              <w:spacing w:after="0"/>
              <w:rPr>
                <w:sz w:val="1"/>
                <w:szCs w:val="1"/>
                <w:color w:val="auto"/>
              </w:rPr>
            </w:pPr>
          </w:p>
        </w:tc>
      </w:tr>
      <w:tr>
        <w:trPr>
          <w:trHeight w:val="91"/>
        </w:trPr>
        <w:tc>
          <w:tcPr>
            <w:tcW w:w="4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1540" w:type="dxa"/>
            <w:vAlign w:val="bottom"/>
            <w:tcBorders>
              <w:bottom w:val="single" w:sz="8" w:color="auto"/>
            </w:tcBorders>
            <w:vMerge w:val="continue"/>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ACACAC"/>
          </w:tcPr>
          <w:p>
            <w:pPr>
              <w:ind w:left="40"/>
              <w:spacing w:after="0"/>
              <w:rPr>
                <w:sz w:val="20"/>
                <w:szCs w:val="20"/>
                <w:color w:val="auto"/>
              </w:rPr>
            </w:pPr>
            <w:r>
              <w:rPr>
                <w:rFonts w:ascii="Arial" w:cs="Arial" w:eastAsia="Arial" w:hAnsi="Arial"/>
                <w:sz w:val="13"/>
                <w:szCs w:val="13"/>
                <w:color w:val="auto"/>
              </w:rPr>
              <w:t>Stacy L. Bogart</w:t>
            </w:r>
            <w:r>
              <w:rPr>
                <w:rFonts w:ascii="Arial" w:cs="Arial" w:eastAsia="Arial" w:hAnsi="Arial"/>
                <w:sz w:val="8"/>
                <w:szCs w:val="8"/>
                <w:color w:val="auto"/>
              </w:rPr>
              <w:t>(5)(6)</w:t>
            </w:r>
          </w:p>
        </w:tc>
        <w:tc>
          <w:tcPr>
            <w:tcW w:w="56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6"/>
              </w:rPr>
              <w:t>2019</w:t>
            </w:r>
          </w:p>
        </w:tc>
        <w:tc>
          <w:tcPr>
            <w:tcW w:w="800" w:type="dxa"/>
            <w:vAlign w:val="bottom"/>
            <w:shd w:val="clear" w:color="auto" w:fill="ACACAC"/>
          </w:tcPr>
          <w:p>
            <w:pPr>
              <w:jc w:val="right"/>
              <w:ind w:right="57"/>
              <w:spacing w:after="0"/>
              <w:rPr>
                <w:sz w:val="20"/>
                <w:szCs w:val="20"/>
                <w:color w:val="auto"/>
              </w:rPr>
            </w:pPr>
            <w:r>
              <w:rPr>
                <w:rFonts w:ascii="Arial" w:cs="Arial" w:eastAsia="Arial" w:hAnsi="Arial"/>
                <w:sz w:val="13"/>
                <w:szCs w:val="13"/>
                <w:color w:val="auto"/>
              </w:rPr>
              <w:t>423,173</w:t>
            </w:r>
          </w:p>
        </w:tc>
        <w:tc>
          <w:tcPr>
            <w:tcW w:w="860" w:type="dxa"/>
            <w:vAlign w:val="bottom"/>
            <w:shd w:val="clear" w:color="auto" w:fill="ACACAC"/>
          </w:tcPr>
          <w:p>
            <w:pPr>
              <w:jc w:val="right"/>
              <w:ind w:right="117"/>
              <w:spacing w:after="0"/>
              <w:rPr>
                <w:sz w:val="20"/>
                <w:szCs w:val="20"/>
                <w:color w:val="auto"/>
              </w:rPr>
            </w:pPr>
            <w:r>
              <w:rPr>
                <w:rFonts w:ascii="Arial" w:cs="Arial" w:eastAsia="Arial" w:hAnsi="Arial"/>
                <w:sz w:val="13"/>
                <w:szCs w:val="13"/>
                <w:color w:val="auto"/>
              </w:rPr>
              <w:t>20,194</w:t>
            </w:r>
          </w:p>
        </w:tc>
        <w:tc>
          <w:tcPr>
            <w:tcW w:w="920" w:type="dxa"/>
            <w:vAlign w:val="bottom"/>
            <w:shd w:val="clear" w:color="auto" w:fill="ACACAC"/>
          </w:tcPr>
          <w:p>
            <w:pPr>
              <w:jc w:val="right"/>
              <w:ind w:right="97"/>
              <w:spacing w:after="0"/>
              <w:rPr>
                <w:sz w:val="20"/>
                <w:szCs w:val="20"/>
                <w:color w:val="auto"/>
              </w:rPr>
            </w:pPr>
            <w:r>
              <w:rPr>
                <w:rFonts w:ascii="Arial" w:cs="Arial" w:eastAsia="Arial" w:hAnsi="Arial"/>
                <w:sz w:val="13"/>
                <w:szCs w:val="13"/>
                <w:color w:val="auto"/>
              </w:rPr>
              <w:t>326,813</w:t>
            </w:r>
          </w:p>
        </w:tc>
        <w:tc>
          <w:tcPr>
            <w:tcW w:w="840" w:type="dxa"/>
            <w:vAlign w:val="bottom"/>
            <w:shd w:val="clear" w:color="auto" w:fill="ACACAC"/>
          </w:tcPr>
          <w:p>
            <w:pPr>
              <w:jc w:val="right"/>
              <w:ind w:right="17"/>
              <w:spacing w:after="0"/>
              <w:rPr>
                <w:sz w:val="20"/>
                <w:szCs w:val="20"/>
                <w:color w:val="auto"/>
              </w:rPr>
            </w:pPr>
            <w:r>
              <w:rPr>
                <w:rFonts w:ascii="Arial" w:cs="Arial" w:eastAsia="Arial" w:hAnsi="Arial"/>
                <w:sz w:val="13"/>
                <w:szCs w:val="13"/>
                <w:color w:val="auto"/>
              </w:rPr>
              <w:t>108,938</w:t>
            </w:r>
          </w:p>
        </w:tc>
        <w:tc>
          <w:tcPr>
            <w:tcW w:w="1400" w:type="dxa"/>
            <w:vAlign w:val="bottom"/>
            <w:shd w:val="clear" w:color="auto" w:fill="ACACAC"/>
          </w:tcPr>
          <w:p>
            <w:pPr>
              <w:jc w:val="right"/>
              <w:ind w:right="77"/>
              <w:spacing w:after="0"/>
              <w:rPr>
                <w:sz w:val="20"/>
                <w:szCs w:val="20"/>
                <w:color w:val="auto"/>
              </w:rPr>
            </w:pPr>
            <w:r>
              <w:rPr>
                <w:rFonts w:ascii="Arial" w:cs="Arial" w:eastAsia="Arial" w:hAnsi="Arial"/>
                <w:sz w:val="13"/>
                <w:szCs w:val="13"/>
                <w:color w:val="auto"/>
              </w:rPr>
              <w:t>50,781</w:t>
            </w:r>
          </w:p>
        </w:tc>
        <w:tc>
          <w:tcPr>
            <w:tcW w:w="1540" w:type="dxa"/>
            <w:vAlign w:val="bottom"/>
            <w:shd w:val="clear" w:color="auto" w:fill="ACACAC"/>
          </w:tcPr>
          <w:p>
            <w:pPr>
              <w:ind w:left="1320"/>
              <w:spacing w:after="0"/>
              <w:rPr>
                <w:sz w:val="20"/>
                <w:szCs w:val="20"/>
                <w:color w:val="auto"/>
              </w:rPr>
            </w:pPr>
            <w:r>
              <w:rPr>
                <w:rFonts w:ascii="Arial" w:cs="Arial" w:eastAsia="Arial" w:hAnsi="Arial"/>
                <w:sz w:val="13"/>
                <w:szCs w:val="13"/>
                <w:color w:val="auto"/>
              </w:rPr>
              <w:t>—</w:t>
            </w:r>
          </w:p>
        </w:tc>
        <w:tc>
          <w:tcPr>
            <w:tcW w:w="1360" w:type="dxa"/>
            <w:vAlign w:val="bottom"/>
            <w:shd w:val="clear" w:color="auto" w:fill="ACACAC"/>
          </w:tcPr>
          <w:p>
            <w:pPr>
              <w:jc w:val="right"/>
              <w:ind w:right="157"/>
              <w:spacing w:after="0"/>
              <w:rPr>
                <w:sz w:val="20"/>
                <w:szCs w:val="20"/>
                <w:color w:val="auto"/>
              </w:rPr>
            </w:pPr>
            <w:r>
              <w:rPr>
                <w:rFonts w:ascii="Arial" w:cs="Arial" w:eastAsia="Arial" w:hAnsi="Arial"/>
                <w:sz w:val="13"/>
                <w:szCs w:val="13"/>
                <w:color w:val="auto"/>
              </w:rPr>
              <w:t>38,401</w:t>
            </w:r>
          </w:p>
        </w:tc>
        <w:tc>
          <w:tcPr>
            <w:tcW w:w="800" w:type="dxa"/>
            <w:vAlign w:val="bottom"/>
            <w:shd w:val="clear" w:color="auto" w:fill="ACACAC"/>
          </w:tcPr>
          <w:p>
            <w:pPr>
              <w:jc w:val="right"/>
              <w:ind w:right="37"/>
              <w:spacing w:after="0"/>
              <w:rPr>
                <w:sz w:val="20"/>
                <w:szCs w:val="20"/>
                <w:color w:val="auto"/>
              </w:rPr>
            </w:pPr>
            <w:r>
              <w:rPr>
                <w:rFonts w:ascii="Arial" w:cs="Arial" w:eastAsia="Arial" w:hAnsi="Arial"/>
                <w:sz w:val="13"/>
                <w:szCs w:val="13"/>
                <w:color w:val="auto"/>
              </w:rPr>
              <w:t>968,300</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300" w:type="dxa"/>
            <w:vAlign w:val="bottom"/>
          </w:tcPr>
          <w:p>
            <w:pPr>
              <w:ind w:left="140"/>
              <w:spacing w:after="0"/>
              <w:rPr>
                <w:sz w:val="20"/>
                <w:szCs w:val="20"/>
                <w:color w:val="auto"/>
              </w:rPr>
            </w:pPr>
            <w:r>
              <w:rPr>
                <w:rFonts w:ascii="Arial" w:cs="Arial" w:eastAsia="Arial" w:hAnsi="Arial"/>
                <w:sz w:val="13"/>
                <w:szCs w:val="13"/>
                <w:color w:val="auto"/>
              </w:rPr>
              <w:t>Vice President, General Counsel and</w:t>
            </w:r>
          </w:p>
        </w:tc>
        <w:tc>
          <w:tcPr>
            <w:tcW w:w="560" w:type="dxa"/>
            <w:vAlign w:val="bottom"/>
          </w:tcPr>
          <w:p>
            <w:pPr>
              <w:jc w:val="center"/>
              <w:spacing w:after="0"/>
              <w:rPr>
                <w:sz w:val="20"/>
                <w:szCs w:val="20"/>
                <w:color w:val="auto"/>
              </w:rPr>
            </w:pPr>
            <w:r>
              <w:rPr>
                <w:rFonts w:ascii="Arial" w:cs="Arial" w:eastAsia="Arial" w:hAnsi="Arial"/>
                <w:sz w:val="13"/>
                <w:szCs w:val="13"/>
                <w:color w:val="auto"/>
                <w:w w:val="96"/>
              </w:rPr>
              <w:t>2018</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271,346</w:t>
            </w: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color w:val="auto"/>
              </w:rPr>
              <w:t>50,000</w:t>
            </w:r>
          </w:p>
        </w:tc>
        <w:tc>
          <w:tcPr>
            <w:tcW w:w="920" w:type="dxa"/>
            <w:vAlign w:val="bottom"/>
            <w:vMerge w:val="restart"/>
          </w:tcPr>
          <w:p>
            <w:pPr>
              <w:jc w:val="right"/>
              <w:ind w:right="97"/>
              <w:spacing w:after="0"/>
              <w:rPr>
                <w:sz w:val="20"/>
                <w:szCs w:val="20"/>
                <w:color w:val="auto"/>
              </w:rPr>
            </w:pPr>
            <w:r>
              <w:rPr>
                <w:rFonts w:ascii="Arial" w:cs="Arial" w:eastAsia="Arial" w:hAnsi="Arial"/>
                <w:sz w:val="13"/>
                <w:szCs w:val="13"/>
                <w:color w:val="auto"/>
              </w:rPr>
              <w:t>701,153</w:t>
            </w: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vMerge w:val="restart"/>
          </w:tcPr>
          <w:p>
            <w:pPr>
              <w:jc w:val="right"/>
              <w:ind w:right="77"/>
              <w:spacing w:after="0"/>
              <w:rPr>
                <w:sz w:val="20"/>
                <w:szCs w:val="20"/>
                <w:color w:val="auto"/>
              </w:rPr>
            </w:pPr>
            <w:r>
              <w:rPr>
                <w:rFonts w:ascii="Arial" w:cs="Arial" w:eastAsia="Arial" w:hAnsi="Arial"/>
                <w:sz w:val="13"/>
                <w:szCs w:val="13"/>
                <w:color w:val="auto"/>
              </w:rPr>
              <w:t>211,813</w:t>
            </w:r>
          </w:p>
        </w:tc>
        <w:tc>
          <w:tcPr>
            <w:tcW w:w="1540" w:type="dxa"/>
            <w:vAlign w:val="bottom"/>
            <w:vMerge w:val="restart"/>
          </w:tcPr>
          <w:p>
            <w:pPr>
              <w:ind w:left="1320"/>
              <w:spacing w:after="0"/>
              <w:rPr>
                <w:sz w:val="20"/>
                <w:szCs w:val="20"/>
                <w:color w:val="auto"/>
              </w:rPr>
            </w:pPr>
            <w:r>
              <w:rPr>
                <w:rFonts w:ascii="Arial" w:cs="Arial" w:eastAsia="Arial" w:hAnsi="Arial"/>
                <w:sz w:val="13"/>
                <w:szCs w:val="13"/>
                <w:color w:val="auto"/>
              </w:rPr>
              <w:t>—</w:t>
            </w:r>
          </w:p>
        </w:tc>
        <w:tc>
          <w:tcPr>
            <w:tcW w:w="1360" w:type="dxa"/>
            <w:vAlign w:val="bottom"/>
            <w:vMerge w:val="restart"/>
          </w:tcPr>
          <w:p>
            <w:pPr>
              <w:jc w:val="right"/>
              <w:ind w:right="157"/>
              <w:spacing w:after="0"/>
              <w:rPr>
                <w:sz w:val="20"/>
                <w:szCs w:val="20"/>
                <w:color w:val="auto"/>
              </w:rPr>
            </w:pPr>
            <w:r>
              <w:rPr>
                <w:rFonts w:ascii="Arial" w:cs="Arial" w:eastAsia="Arial" w:hAnsi="Arial"/>
                <w:sz w:val="13"/>
                <w:szCs w:val="13"/>
                <w:color w:val="auto"/>
              </w:rPr>
              <w:t>25,248</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1,259,560</w:t>
            </w: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2300" w:type="dxa"/>
            <w:vAlign w:val="bottom"/>
            <w:vMerge w:val="restart"/>
          </w:tcPr>
          <w:p>
            <w:pPr>
              <w:ind w:left="140"/>
              <w:spacing w:after="0"/>
              <w:rPr>
                <w:sz w:val="20"/>
                <w:szCs w:val="20"/>
                <w:color w:val="auto"/>
              </w:rPr>
            </w:pPr>
            <w:r>
              <w:rPr>
                <w:rFonts w:ascii="Arial" w:cs="Arial" w:eastAsia="Arial" w:hAnsi="Arial"/>
                <w:sz w:val="13"/>
                <w:szCs w:val="13"/>
                <w:color w:val="auto"/>
              </w:rPr>
              <w:t>Secretary</w:t>
            </w:r>
          </w:p>
        </w:tc>
        <w:tc>
          <w:tcPr>
            <w:tcW w:w="5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40" w:type="dxa"/>
            <w:vAlign w:val="bottom"/>
          </w:tcPr>
          <w:p>
            <w:pPr>
              <w:spacing w:after="0"/>
              <w:rPr>
                <w:sz w:val="6"/>
                <w:szCs w:val="6"/>
                <w:color w:val="auto"/>
              </w:rPr>
            </w:pPr>
          </w:p>
        </w:tc>
        <w:tc>
          <w:tcPr>
            <w:tcW w:w="23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ACACAC"/>
          </w:tcPr>
          <w:p>
            <w:pPr>
              <w:spacing w:after="0"/>
              <w:rPr>
                <w:sz w:val="19"/>
                <w:szCs w:val="19"/>
                <w:color w:val="auto"/>
              </w:rPr>
            </w:pPr>
          </w:p>
        </w:tc>
        <w:tc>
          <w:tcPr>
            <w:tcW w:w="2300" w:type="dxa"/>
            <w:vAlign w:val="bottom"/>
            <w:shd w:val="clear" w:color="auto" w:fill="ACACAC"/>
          </w:tcPr>
          <w:p>
            <w:pPr>
              <w:spacing w:after="0"/>
              <w:rPr>
                <w:sz w:val="20"/>
                <w:szCs w:val="20"/>
                <w:color w:val="auto"/>
              </w:rPr>
            </w:pPr>
            <w:r>
              <w:rPr>
                <w:rFonts w:ascii="Arial" w:cs="Arial" w:eastAsia="Arial" w:hAnsi="Arial"/>
                <w:sz w:val="13"/>
                <w:szCs w:val="13"/>
                <w:color w:val="auto"/>
                <w:highlight w:val="darkGray"/>
              </w:rPr>
              <w:t>Donald J. Clark</w:t>
            </w:r>
          </w:p>
        </w:tc>
        <w:tc>
          <w:tcPr>
            <w:tcW w:w="56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6"/>
              </w:rPr>
              <w:t>2019</w:t>
            </w:r>
          </w:p>
        </w:tc>
        <w:tc>
          <w:tcPr>
            <w:tcW w:w="800" w:type="dxa"/>
            <w:vAlign w:val="bottom"/>
            <w:shd w:val="clear" w:color="auto" w:fill="ACACAC"/>
          </w:tcPr>
          <w:p>
            <w:pPr>
              <w:jc w:val="right"/>
              <w:ind w:right="57"/>
              <w:spacing w:after="0"/>
              <w:rPr>
                <w:sz w:val="20"/>
                <w:szCs w:val="20"/>
                <w:color w:val="auto"/>
              </w:rPr>
            </w:pPr>
            <w:r>
              <w:rPr>
                <w:rFonts w:ascii="Arial" w:cs="Arial" w:eastAsia="Arial" w:hAnsi="Arial"/>
                <w:sz w:val="13"/>
                <w:szCs w:val="13"/>
                <w:color w:val="auto"/>
              </w:rPr>
              <w:t>400,000</w:t>
            </w:r>
          </w:p>
        </w:tc>
        <w:tc>
          <w:tcPr>
            <w:tcW w:w="860" w:type="dxa"/>
            <w:vAlign w:val="bottom"/>
            <w:shd w:val="clear" w:color="auto" w:fill="ACACAC"/>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shd w:val="clear" w:color="auto" w:fill="ACACAC"/>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ACACAC"/>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shd w:val="clear" w:color="auto" w:fill="ACACAC"/>
          </w:tcPr>
          <w:p>
            <w:pPr>
              <w:jc w:val="right"/>
              <w:ind w:right="77"/>
              <w:spacing w:after="0"/>
              <w:rPr>
                <w:sz w:val="20"/>
                <w:szCs w:val="20"/>
                <w:color w:val="auto"/>
              </w:rPr>
            </w:pPr>
            <w:r>
              <w:rPr>
                <w:rFonts w:ascii="Arial" w:cs="Arial" w:eastAsia="Arial" w:hAnsi="Arial"/>
                <w:sz w:val="13"/>
                <w:szCs w:val="13"/>
                <w:color w:val="auto"/>
              </w:rPr>
              <w:t>5,160,931</w:t>
            </w:r>
          </w:p>
        </w:tc>
        <w:tc>
          <w:tcPr>
            <w:tcW w:w="1540" w:type="dxa"/>
            <w:vAlign w:val="bottom"/>
            <w:shd w:val="clear" w:color="auto" w:fill="ACACAC"/>
          </w:tcPr>
          <w:p>
            <w:pPr>
              <w:ind w:left="1320"/>
              <w:spacing w:after="0"/>
              <w:rPr>
                <w:sz w:val="20"/>
                <w:szCs w:val="20"/>
                <w:color w:val="auto"/>
              </w:rPr>
            </w:pPr>
            <w:r>
              <w:rPr>
                <w:rFonts w:ascii="Arial" w:cs="Arial" w:eastAsia="Arial" w:hAnsi="Arial"/>
                <w:sz w:val="13"/>
                <w:szCs w:val="13"/>
                <w:color w:val="auto"/>
              </w:rPr>
              <w:t>—</w:t>
            </w:r>
          </w:p>
        </w:tc>
        <w:tc>
          <w:tcPr>
            <w:tcW w:w="1360" w:type="dxa"/>
            <w:vAlign w:val="bottom"/>
            <w:shd w:val="clear" w:color="auto" w:fill="ACACAC"/>
          </w:tcPr>
          <w:p>
            <w:pPr>
              <w:jc w:val="right"/>
              <w:ind w:right="157"/>
              <w:spacing w:after="0"/>
              <w:rPr>
                <w:sz w:val="20"/>
                <w:szCs w:val="20"/>
                <w:color w:val="auto"/>
              </w:rPr>
            </w:pPr>
            <w:r>
              <w:rPr>
                <w:rFonts w:ascii="Arial" w:cs="Arial" w:eastAsia="Arial" w:hAnsi="Arial"/>
                <w:sz w:val="13"/>
                <w:szCs w:val="13"/>
                <w:color w:val="auto"/>
              </w:rPr>
              <w:t>—</w:t>
            </w:r>
          </w:p>
        </w:tc>
        <w:tc>
          <w:tcPr>
            <w:tcW w:w="800" w:type="dxa"/>
            <w:vAlign w:val="bottom"/>
            <w:shd w:val="clear" w:color="auto" w:fill="ACACAC"/>
          </w:tcPr>
          <w:p>
            <w:pPr>
              <w:jc w:val="right"/>
              <w:ind w:right="37"/>
              <w:spacing w:after="0"/>
              <w:rPr>
                <w:sz w:val="20"/>
                <w:szCs w:val="20"/>
                <w:color w:val="auto"/>
              </w:rPr>
            </w:pPr>
            <w:r>
              <w:rPr>
                <w:rFonts w:ascii="Arial" w:cs="Arial" w:eastAsia="Arial" w:hAnsi="Arial"/>
                <w:sz w:val="13"/>
                <w:szCs w:val="13"/>
                <w:color w:val="auto"/>
              </w:rPr>
              <w:t>5,560,931</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300" w:type="dxa"/>
            <w:vAlign w:val="bottom"/>
          </w:tcPr>
          <w:p>
            <w:pPr>
              <w:ind w:left="140"/>
              <w:spacing w:after="0"/>
              <w:rPr>
                <w:sz w:val="20"/>
                <w:szCs w:val="20"/>
                <w:color w:val="auto"/>
              </w:rPr>
            </w:pPr>
            <w:r>
              <w:rPr>
                <w:rFonts w:ascii="Arial" w:cs="Arial" w:eastAsia="Arial" w:hAnsi="Arial"/>
                <w:sz w:val="13"/>
                <w:szCs w:val="13"/>
                <w:color w:val="auto"/>
              </w:rPr>
              <w:t>President, Grand Design</w:t>
            </w:r>
          </w:p>
        </w:tc>
        <w:tc>
          <w:tcPr>
            <w:tcW w:w="560" w:type="dxa"/>
            <w:vAlign w:val="bottom"/>
          </w:tcPr>
          <w:p>
            <w:pPr>
              <w:jc w:val="center"/>
              <w:spacing w:after="0"/>
              <w:rPr>
                <w:sz w:val="20"/>
                <w:szCs w:val="20"/>
                <w:color w:val="auto"/>
              </w:rPr>
            </w:pPr>
            <w:r>
              <w:rPr>
                <w:rFonts w:ascii="Arial" w:cs="Arial" w:eastAsia="Arial" w:hAnsi="Arial"/>
                <w:sz w:val="13"/>
                <w:szCs w:val="13"/>
                <w:color w:val="auto"/>
                <w:w w:val="96"/>
              </w:rPr>
              <w:t>2018</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400,000</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77"/>
              <w:spacing w:after="0"/>
              <w:rPr>
                <w:sz w:val="20"/>
                <w:szCs w:val="20"/>
                <w:color w:val="auto"/>
              </w:rPr>
            </w:pPr>
            <w:r>
              <w:rPr>
                <w:rFonts w:ascii="Arial" w:cs="Arial" w:eastAsia="Arial" w:hAnsi="Arial"/>
                <w:sz w:val="13"/>
                <w:szCs w:val="13"/>
                <w:color w:val="auto"/>
              </w:rPr>
              <w:t>4,574,055</w:t>
            </w:r>
          </w:p>
        </w:tc>
        <w:tc>
          <w:tcPr>
            <w:tcW w:w="1540" w:type="dxa"/>
            <w:vAlign w:val="bottom"/>
          </w:tcPr>
          <w:p>
            <w:pPr>
              <w:ind w:left="1320"/>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4,974,055</w:t>
            </w:r>
          </w:p>
        </w:tc>
        <w:tc>
          <w:tcPr>
            <w:tcW w:w="0" w:type="dxa"/>
            <w:vAlign w:val="bottom"/>
          </w:tcPr>
          <w:p>
            <w:pPr>
              <w:spacing w:after="0"/>
              <w:rPr>
                <w:sz w:val="1"/>
                <w:szCs w:val="1"/>
                <w:color w:val="auto"/>
              </w:rPr>
            </w:pPr>
          </w:p>
        </w:tc>
      </w:tr>
      <w:tr>
        <w:trPr>
          <w:trHeight w:val="224"/>
        </w:trPr>
        <w:tc>
          <w:tcPr>
            <w:tcW w:w="40" w:type="dxa"/>
            <w:vAlign w:val="bottom"/>
            <w:shd w:val="clear" w:color="auto" w:fill="ACACAC"/>
          </w:tcPr>
          <w:p>
            <w:pPr>
              <w:spacing w:after="0"/>
              <w:rPr>
                <w:sz w:val="19"/>
                <w:szCs w:val="19"/>
                <w:color w:val="auto"/>
              </w:rPr>
            </w:pPr>
          </w:p>
        </w:tc>
        <w:tc>
          <w:tcPr>
            <w:tcW w:w="2300" w:type="dxa"/>
            <w:vAlign w:val="bottom"/>
            <w:shd w:val="clear" w:color="auto" w:fill="ACACAC"/>
          </w:tcPr>
          <w:p>
            <w:pPr>
              <w:ind w:left="100"/>
              <w:spacing w:after="0"/>
              <w:rPr>
                <w:sz w:val="20"/>
                <w:szCs w:val="20"/>
                <w:color w:val="auto"/>
              </w:rPr>
            </w:pPr>
            <w:r>
              <w:rPr>
                <w:rFonts w:ascii="Arial" w:cs="Arial" w:eastAsia="Arial" w:hAnsi="Arial"/>
                <w:sz w:val="13"/>
                <w:szCs w:val="13"/>
                <w:color w:val="auto"/>
              </w:rPr>
              <w:t>Vice President, Winnebago</w:t>
            </w:r>
          </w:p>
        </w:tc>
        <w:tc>
          <w:tcPr>
            <w:tcW w:w="56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6"/>
              </w:rPr>
              <w:t>2017</w:t>
            </w:r>
          </w:p>
        </w:tc>
        <w:tc>
          <w:tcPr>
            <w:tcW w:w="800" w:type="dxa"/>
            <w:vAlign w:val="bottom"/>
            <w:shd w:val="clear" w:color="auto" w:fill="ACACAC"/>
          </w:tcPr>
          <w:p>
            <w:pPr>
              <w:jc w:val="right"/>
              <w:ind w:right="57"/>
              <w:spacing w:after="0"/>
              <w:rPr>
                <w:sz w:val="20"/>
                <w:szCs w:val="20"/>
                <w:color w:val="auto"/>
              </w:rPr>
            </w:pPr>
            <w:r>
              <w:rPr>
                <w:rFonts w:ascii="Arial" w:cs="Arial" w:eastAsia="Arial" w:hAnsi="Arial"/>
                <w:sz w:val="13"/>
                <w:szCs w:val="13"/>
                <w:color w:val="auto"/>
              </w:rPr>
              <w:t>330,769</w:t>
            </w:r>
          </w:p>
        </w:tc>
        <w:tc>
          <w:tcPr>
            <w:tcW w:w="860" w:type="dxa"/>
            <w:vAlign w:val="bottom"/>
            <w:shd w:val="clear" w:color="auto" w:fill="ACACAC"/>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shd w:val="clear" w:color="auto" w:fill="ACACAC"/>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ACACAC"/>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shd w:val="clear" w:color="auto" w:fill="ACACAC"/>
          </w:tcPr>
          <w:p>
            <w:pPr>
              <w:jc w:val="right"/>
              <w:ind w:right="77"/>
              <w:spacing w:after="0"/>
              <w:rPr>
                <w:sz w:val="20"/>
                <w:szCs w:val="20"/>
                <w:color w:val="auto"/>
              </w:rPr>
            </w:pPr>
            <w:r>
              <w:rPr>
                <w:rFonts w:ascii="Arial" w:cs="Arial" w:eastAsia="Arial" w:hAnsi="Arial"/>
                <w:sz w:val="13"/>
                <w:szCs w:val="13"/>
                <w:color w:val="auto"/>
              </w:rPr>
              <w:t>2,700,915</w:t>
            </w:r>
          </w:p>
        </w:tc>
        <w:tc>
          <w:tcPr>
            <w:tcW w:w="1540" w:type="dxa"/>
            <w:vAlign w:val="bottom"/>
            <w:shd w:val="clear" w:color="auto" w:fill="ACACAC"/>
          </w:tcPr>
          <w:p>
            <w:pPr>
              <w:ind w:left="1320"/>
              <w:spacing w:after="0"/>
              <w:rPr>
                <w:sz w:val="20"/>
                <w:szCs w:val="20"/>
                <w:color w:val="auto"/>
              </w:rPr>
            </w:pPr>
            <w:r>
              <w:rPr>
                <w:rFonts w:ascii="Arial" w:cs="Arial" w:eastAsia="Arial" w:hAnsi="Arial"/>
                <w:sz w:val="13"/>
                <w:szCs w:val="13"/>
                <w:color w:val="auto"/>
              </w:rPr>
              <w:t>—</w:t>
            </w:r>
          </w:p>
        </w:tc>
        <w:tc>
          <w:tcPr>
            <w:tcW w:w="1360" w:type="dxa"/>
            <w:vAlign w:val="bottom"/>
            <w:shd w:val="clear" w:color="auto" w:fill="ACACAC"/>
          </w:tcPr>
          <w:p>
            <w:pPr>
              <w:jc w:val="right"/>
              <w:ind w:right="157"/>
              <w:spacing w:after="0"/>
              <w:rPr>
                <w:sz w:val="20"/>
                <w:szCs w:val="20"/>
                <w:color w:val="auto"/>
              </w:rPr>
            </w:pPr>
            <w:r>
              <w:rPr>
                <w:rFonts w:ascii="Arial" w:cs="Arial" w:eastAsia="Arial" w:hAnsi="Arial"/>
                <w:sz w:val="13"/>
                <w:szCs w:val="13"/>
                <w:color w:val="auto"/>
              </w:rPr>
              <w:t>—</w:t>
            </w:r>
          </w:p>
        </w:tc>
        <w:tc>
          <w:tcPr>
            <w:tcW w:w="800" w:type="dxa"/>
            <w:vAlign w:val="bottom"/>
            <w:shd w:val="clear" w:color="auto" w:fill="ACACAC"/>
          </w:tcPr>
          <w:p>
            <w:pPr>
              <w:jc w:val="right"/>
              <w:ind w:right="37"/>
              <w:spacing w:after="0"/>
              <w:rPr>
                <w:sz w:val="20"/>
                <w:szCs w:val="20"/>
                <w:color w:val="auto"/>
              </w:rPr>
            </w:pPr>
            <w:r>
              <w:rPr>
                <w:rFonts w:ascii="Arial" w:cs="Arial" w:eastAsia="Arial" w:hAnsi="Arial"/>
                <w:sz w:val="13"/>
                <w:szCs w:val="13"/>
                <w:color w:val="auto"/>
              </w:rPr>
              <w:t>3,031,684</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300" w:type="dxa"/>
            <w:vAlign w:val="bottom"/>
          </w:tcPr>
          <w:p>
            <w:pPr>
              <w:ind w:left="100"/>
              <w:spacing w:after="0"/>
              <w:rPr>
                <w:sz w:val="20"/>
                <w:szCs w:val="20"/>
                <w:color w:val="auto"/>
              </w:rPr>
            </w:pPr>
            <w:r>
              <w:rPr>
                <w:rFonts w:ascii="Arial" w:cs="Arial" w:eastAsia="Arial" w:hAnsi="Arial"/>
                <w:sz w:val="13"/>
                <w:szCs w:val="13"/>
                <w:color w:val="auto"/>
              </w:rPr>
              <w:t>Industries, Inc.</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340" w:type="dxa"/>
            <w:vAlign w:val="bottom"/>
            <w:gridSpan w:val="2"/>
            <w:shd w:val="clear" w:color="auto" w:fill="ACACAC"/>
          </w:tcPr>
          <w:p>
            <w:pPr>
              <w:ind w:left="40"/>
              <w:spacing w:after="0"/>
              <w:rPr>
                <w:sz w:val="20"/>
                <w:szCs w:val="20"/>
                <w:color w:val="auto"/>
              </w:rPr>
            </w:pPr>
            <w:r>
              <w:rPr>
                <w:rFonts w:ascii="Arial" w:cs="Arial" w:eastAsia="Arial" w:hAnsi="Arial"/>
                <w:sz w:val="13"/>
                <w:szCs w:val="13"/>
                <w:color w:val="auto"/>
              </w:rPr>
              <w:t>Brian D. Hazelton</w:t>
            </w:r>
          </w:p>
        </w:tc>
        <w:tc>
          <w:tcPr>
            <w:tcW w:w="56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6"/>
              </w:rPr>
              <w:t>2019</w:t>
            </w:r>
          </w:p>
        </w:tc>
        <w:tc>
          <w:tcPr>
            <w:tcW w:w="800" w:type="dxa"/>
            <w:vAlign w:val="bottom"/>
            <w:shd w:val="clear" w:color="auto" w:fill="ACACAC"/>
          </w:tcPr>
          <w:p>
            <w:pPr>
              <w:jc w:val="right"/>
              <w:ind w:right="57"/>
              <w:spacing w:after="0"/>
              <w:rPr>
                <w:sz w:val="20"/>
                <w:szCs w:val="20"/>
                <w:color w:val="auto"/>
              </w:rPr>
            </w:pPr>
            <w:r>
              <w:rPr>
                <w:rFonts w:ascii="Arial" w:cs="Arial" w:eastAsia="Arial" w:hAnsi="Arial"/>
                <w:sz w:val="13"/>
                <w:szCs w:val="13"/>
                <w:color w:val="auto"/>
              </w:rPr>
              <w:t>477,400</w:t>
            </w:r>
          </w:p>
        </w:tc>
        <w:tc>
          <w:tcPr>
            <w:tcW w:w="860" w:type="dxa"/>
            <w:vAlign w:val="bottom"/>
            <w:shd w:val="clear" w:color="auto" w:fill="ACACAC"/>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shd w:val="clear" w:color="auto" w:fill="ACACAC"/>
          </w:tcPr>
          <w:p>
            <w:pPr>
              <w:jc w:val="right"/>
              <w:ind w:right="97"/>
              <w:spacing w:after="0"/>
              <w:rPr>
                <w:sz w:val="20"/>
                <w:szCs w:val="20"/>
                <w:color w:val="auto"/>
              </w:rPr>
            </w:pPr>
            <w:r>
              <w:rPr>
                <w:rFonts w:ascii="Arial" w:cs="Arial" w:eastAsia="Arial" w:hAnsi="Arial"/>
                <w:sz w:val="13"/>
                <w:szCs w:val="13"/>
                <w:color w:val="auto"/>
              </w:rPr>
              <w:t>393,855</w:t>
            </w:r>
          </w:p>
        </w:tc>
        <w:tc>
          <w:tcPr>
            <w:tcW w:w="840" w:type="dxa"/>
            <w:vAlign w:val="bottom"/>
            <w:shd w:val="clear" w:color="auto" w:fill="ACACAC"/>
          </w:tcPr>
          <w:p>
            <w:pPr>
              <w:jc w:val="right"/>
              <w:ind w:right="17"/>
              <w:spacing w:after="0"/>
              <w:rPr>
                <w:sz w:val="20"/>
                <w:szCs w:val="20"/>
                <w:color w:val="auto"/>
              </w:rPr>
            </w:pPr>
            <w:r>
              <w:rPr>
                <w:rFonts w:ascii="Arial" w:cs="Arial" w:eastAsia="Arial" w:hAnsi="Arial"/>
                <w:sz w:val="13"/>
                <w:szCs w:val="13"/>
                <w:color w:val="auto"/>
              </w:rPr>
              <w:t>131,285</w:t>
            </w:r>
          </w:p>
        </w:tc>
        <w:tc>
          <w:tcPr>
            <w:tcW w:w="1400" w:type="dxa"/>
            <w:vAlign w:val="bottom"/>
            <w:shd w:val="clear" w:color="auto" w:fill="ACACAC"/>
          </w:tcPr>
          <w:p>
            <w:pPr>
              <w:jc w:val="right"/>
              <w:ind w:right="77"/>
              <w:spacing w:after="0"/>
              <w:rPr>
                <w:sz w:val="20"/>
                <w:szCs w:val="20"/>
                <w:color w:val="auto"/>
              </w:rPr>
            </w:pPr>
            <w:r>
              <w:rPr>
                <w:rFonts w:ascii="Arial" w:cs="Arial" w:eastAsia="Arial" w:hAnsi="Arial"/>
                <w:sz w:val="13"/>
                <w:szCs w:val="13"/>
                <w:color w:val="auto"/>
              </w:rPr>
              <w:t>46,546</w:t>
            </w:r>
          </w:p>
        </w:tc>
        <w:tc>
          <w:tcPr>
            <w:tcW w:w="1540" w:type="dxa"/>
            <w:vAlign w:val="bottom"/>
            <w:shd w:val="clear" w:color="auto" w:fill="ACACAC"/>
          </w:tcPr>
          <w:p>
            <w:pPr>
              <w:ind w:left="1320"/>
              <w:spacing w:after="0"/>
              <w:rPr>
                <w:sz w:val="20"/>
                <w:szCs w:val="20"/>
                <w:color w:val="auto"/>
              </w:rPr>
            </w:pPr>
            <w:r>
              <w:rPr>
                <w:rFonts w:ascii="Arial" w:cs="Arial" w:eastAsia="Arial" w:hAnsi="Arial"/>
                <w:sz w:val="13"/>
                <w:szCs w:val="13"/>
                <w:color w:val="auto"/>
              </w:rPr>
              <w:t>—</w:t>
            </w:r>
          </w:p>
        </w:tc>
        <w:tc>
          <w:tcPr>
            <w:tcW w:w="1360" w:type="dxa"/>
            <w:vAlign w:val="bottom"/>
            <w:shd w:val="clear" w:color="auto" w:fill="ACACAC"/>
          </w:tcPr>
          <w:p>
            <w:pPr>
              <w:jc w:val="right"/>
              <w:ind w:right="157"/>
              <w:spacing w:after="0"/>
              <w:rPr>
                <w:sz w:val="20"/>
                <w:szCs w:val="20"/>
                <w:color w:val="auto"/>
              </w:rPr>
            </w:pPr>
            <w:r>
              <w:rPr>
                <w:rFonts w:ascii="Arial" w:cs="Arial" w:eastAsia="Arial" w:hAnsi="Arial"/>
                <w:sz w:val="13"/>
                <w:szCs w:val="13"/>
                <w:color w:val="auto"/>
              </w:rPr>
              <w:t>36,535</w:t>
            </w:r>
          </w:p>
        </w:tc>
        <w:tc>
          <w:tcPr>
            <w:tcW w:w="800" w:type="dxa"/>
            <w:vAlign w:val="bottom"/>
            <w:shd w:val="clear" w:color="auto" w:fill="ACACAC"/>
          </w:tcPr>
          <w:p>
            <w:pPr>
              <w:jc w:val="right"/>
              <w:ind w:right="37"/>
              <w:spacing w:after="0"/>
              <w:rPr>
                <w:sz w:val="20"/>
                <w:szCs w:val="20"/>
                <w:color w:val="auto"/>
              </w:rPr>
            </w:pPr>
            <w:r>
              <w:rPr>
                <w:rFonts w:ascii="Arial" w:cs="Arial" w:eastAsia="Arial" w:hAnsi="Arial"/>
                <w:sz w:val="13"/>
                <w:szCs w:val="13"/>
                <w:color w:val="auto"/>
              </w:rPr>
              <w:t>1,085,621</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300" w:type="dxa"/>
            <w:vAlign w:val="bottom"/>
          </w:tcPr>
          <w:p>
            <w:pPr>
              <w:ind w:left="140"/>
              <w:spacing w:after="0"/>
              <w:rPr>
                <w:sz w:val="20"/>
                <w:szCs w:val="20"/>
                <w:color w:val="auto"/>
              </w:rPr>
            </w:pPr>
            <w:r>
              <w:rPr>
                <w:rFonts w:ascii="Arial" w:cs="Arial" w:eastAsia="Arial" w:hAnsi="Arial"/>
                <w:sz w:val="13"/>
                <w:szCs w:val="13"/>
                <w:color w:val="auto"/>
              </w:rPr>
              <w:t>Vice President and</w:t>
            </w:r>
          </w:p>
        </w:tc>
        <w:tc>
          <w:tcPr>
            <w:tcW w:w="560" w:type="dxa"/>
            <w:vAlign w:val="bottom"/>
          </w:tcPr>
          <w:p>
            <w:pPr>
              <w:jc w:val="center"/>
              <w:spacing w:after="0"/>
              <w:rPr>
                <w:sz w:val="20"/>
                <w:szCs w:val="20"/>
                <w:color w:val="auto"/>
              </w:rPr>
            </w:pPr>
            <w:r>
              <w:rPr>
                <w:rFonts w:ascii="Arial" w:cs="Arial" w:eastAsia="Arial" w:hAnsi="Arial"/>
                <w:sz w:val="13"/>
                <w:szCs w:val="13"/>
                <w:color w:val="auto"/>
                <w:w w:val="96"/>
              </w:rPr>
              <w:t>2018</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472,588</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365,368</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121,802</w:t>
            </w:r>
          </w:p>
        </w:tc>
        <w:tc>
          <w:tcPr>
            <w:tcW w:w="1400" w:type="dxa"/>
            <w:vAlign w:val="bottom"/>
          </w:tcPr>
          <w:p>
            <w:pPr>
              <w:jc w:val="right"/>
              <w:ind w:right="77"/>
              <w:spacing w:after="0"/>
              <w:rPr>
                <w:sz w:val="20"/>
                <w:szCs w:val="20"/>
                <w:color w:val="auto"/>
              </w:rPr>
            </w:pPr>
            <w:r>
              <w:rPr>
                <w:rFonts w:ascii="Arial" w:cs="Arial" w:eastAsia="Arial" w:hAnsi="Arial"/>
                <w:sz w:val="13"/>
                <w:szCs w:val="13"/>
                <w:color w:val="auto"/>
              </w:rPr>
              <w:t>173,054</w:t>
            </w:r>
          </w:p>
        </w:tc>
        <w:tc>
          <w:tcPr>
            <w:tcW w:w="1540" w:type="dxa"/>
            <w:vAlign w:val="bottom"/>
          </w:tcPr>
          <w:p>
            <w:pPr>
              <w:ind w:left="1320"/>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57"/>
              <w:spacing w:after="0"/>
              <w:rPr>
                <w:sz w:val="20"/>
                <w:szCs w:val="20"/>
                <w:color w:val="auto"/>
              </w:rPr>
            </w:pPr>
            <w:r>
              <w:rPr>
                <w:rFonts w:ascii="Arial" w:cs="Arial" w:eastAsia="Arial" w:hAnsi="Arial"/>
                <w:sz w:val="13"/>
                <w:szCs w:val="13"/>
                <w:color w:val="auto"/>
              </w:rPr>
              <w:t>39,945</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1,172,757</w:t>
            </w:r>
          </w:p>
        </w:tc>
        <w:tc>
          <w:tcPr>
            <w:tcW w:w="0" w:type="dxa"/>
            <w:vAlign w:val="bottom"/>
          </w:tcPr>
          <w:p>
            <w:pPr>
              <w:spacing w:after="0"/>
              <w:rPr>
                <w:sz w:val="1"/>
                <w:szCs w:val="1"/>
                <w:color w:val="auto"/>
              </w:rPr>
            </w:pPr>
          </w:p>
        </w:tc>
      </w:tr>
      <w:tr>
        <w:trPr>
          <w:trHeight w:val="224"/>
        </w:trPr>
        <w:tc>
          <w:tcPr>
            <w:tcW w:w="40" w:type="dxa"/>
            <w:vAlign w:val="bottom"/>
            <w:shd w:val="clear" w:color="auto" w:fill="ACACAC"/>
          </w:tcPr>
          <w:p>
            <w:pPr>
              <w:spacing w:after="0"/>
              <w:rPr>
                <w:sz w:val="19"/>
                <w:szCs w:val="19"/>
                <w:color w:val="auto"/>
              </w:rPr>
            </w:pPr>
          </w:p>
        </w:tc>
        <w:tc>
          <w:tcPr>
            <w:tcW w:w="2300" w:type="dxa"/>
            <w:vAlign w:val="bottom"/>
            <w:shd w:val="clear" w:color="auto" w:fill="ACACAC"/>
          </w:tcPr>
          <w:p>
            <w:pPr>
              <w:ind w:left="140"/>
              <w:spacing w:after="0"/>
              <w:rPr>
                <w:sz w:val="20"/>
                <w:szCs w:val="20"/>
                <w:color w:val="auto"/>
              </w:rPr>
            </w:pPr>
            <w:r>
              <w:rPr>
                <w:rFonts w:ascii="Arial" w:cs="Arial" w:eastAsia="Arial" w:hAnsi="Arial"/>
                <w:sz w:val="13"/>
                <w:szCs w:val="13"/>
                <w:color w:val="auto"/>
              </w:rPr>
              <w:t>General Manager,</w:t>
            </w:r>
          </w:p>
        </w:tc>
        <w:tc>
          <w:tcPr>
            <w:tcW w:w="56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6"/>
              </w:rPr>
              <w:t>2017</w:t>
            </w:r>
          </w:p>
        </w:tc>
        <w:tc>
          <w:tcPr>
            <w:tcW w:w="800" w:type="dxa"/>
            <w:vAlign w:val="bottom"/>
            <w:shd w:val="clear" w:color="auto" w:fill="ACACAC"/>
          </w:tcPr>
          <w:p>
            <w:pPr>
              <w:jc w:val="right"/>
              <w:ind w:right="57"/>
              <w:spacing w:after="0"/>
              <w:rPr>
                <w:sz w:val="20"/>
                <w:szCs w:val="20"/>
                <w:color w:val="auto"/>
              </w:rPr>
            </w:pPr>
            <w:r>
              <w:rPr>
                <w:rFonts w:ascii="Arial" w:cs="Arial" w:eastAsia="Arial" w:hAnsi="Arial"/>
                <w:sz w:val="13"/>
                <w:szCs w:val="13"/>
                <w:color w:val="auto"/>
              </w:rPr>
              <w:t>558,827</w:t>
            </w:r>
          </w:p>
        </w:tc>
        <w:tc>
          <w:tcPr>
            <w:tcW w:w="860" w:type="dxa"/>
            <w:vAlign w:val="bottom"/>
            <w:shd w:val="clear" w:color="auto" w:fill="ACACAC"/>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shd w:val="clear" w:color="auto" w:fill="ACACAC"/>
          </w:tcPr>
          <w:p>
            <w:pPr>
              <w:jc w:val="right"/>
              <w:ind w:right="97"/>
              <w:spacing w:after="0"/>
              <w:rPr>
                <w:sz w:val="20"/>
                <w:szCs w:val="20"/>
                <w:color w:val="auto"/>
              </w:rPr>
            </w:pPr>
            <w:r>
              <w:rPr>
                <w:rFonts w:ascii="Arial" w:cs="Arial" w:eastAsia="Arial" w:hAnsi="Arial"/>
                <w:sz w:val="13"/>
                <w:szCs w:val="13"/>
                <w:color w:val="auto"/>
              </w:rPr>
              <w:t>551,208</w:t>
            </w:r>
          </w:p>
        </w:tc>
        <w:tc>
          <w:tcPr>
            <w:tcW w:w="840" w:type="dxa"/>
            <w:vAlign w:val="bottom"/>
            <w:shd w:val="clear" w:color="auto" w:fill="ACACAC"/>
          </w:tcPr>
          <w:p>
            <w:pPr>
              <w:jc w:val="right"/>
              <w:ind w:right="17"/>
              <w:spacing w:after="0"/>
              <w:rPr>
                <w:sz w:val="20"/>
                <w:szCs w:val="20"/>
                <w:color w:val="auto"/>
              </w:rPr>
            </w:pPr>
            <w:r>
              <w:rPr>
                <w:rFonts w:ascii="Arial" w:cs="Arial" w:eastAsia="Arial" w:hAnsi="Arial"/>
                <w:sz w:val="13"/>
                <w:szCs w:val="13"/>
                <w:color w:val="auto"/>
              </w:rPr>
              <w:t>57,260</w:t>
            </w:r>
          </w:p>
        </w:tc>
        <w:tc>
          <w:tcPr>
            <w:tcW w:w="1400" w:type="dxa"/>
            <w:vAlign w:val="bottom"/>
            <w:shd w:val="clear" w:color="auto" w:fill="ACACAC"/>
          </w:tcPr>
          <w:p>
            <w:pPr>
              <w:jc w:val="right"/>
              <w:ind w:right="77"/>
              <w:spacing w:after="0"/>
              <w:rPr>
                <w:sz w:val="20"/>
                <w:szCs w:val="20"/>
                <w:color w:val="auto"/>
              </w:rPr>
            </w:pPr>
            <w:r>
              <w:rPr>
                <w:rFonts w:ascii="Arial" w:cs="Arial" w:eastAsia="Arial" w:hAnsi="Arial"/>
                <w:sz w:val="13"/>
                <w:szCs w:val="13"/>
                <w:color w:val="auto"/>
              </w:rPr>
              <w:t>207,298</w:t>
            </w:r>
          </w:p>
        </w:tc>
        <w:tc>
          <w:tcPr>
            <w:tcW w:w="1540" w:type="dxa"/>
            <w:vAlign w:val="bottom"/>
            <w:shd w:val="clear" w:color="auto" w:fill="ACACAC"/>
          </w:tcPr>
          <w:p>
            <w:pPr>
              <w:ind w:left="1320"/>
              <w:spacing w:after="0"/>
              <w:rPr>
                <w:sz w:val="20"/>
                <w:szCs w:val="20"/>
                <w:color w:val="auto"/>
              </w:rPr>
            </w:pPr>
            <w:r>
              <w:rPr>
                <w:rFonts w:ascii="Arial" w:cs="Arial" w:eastAsia="Arial" w:hAnsi="Arial"/>
                <w:sz w:val="13"/>
                <w:szCs w:val="13"/>
                <w:color w:val="auto"/>
              </w:rPr>
              <w:t>—</w:t>
            </w:r>
          </w:p>
        </w:tc>
        <w:tc>
          <w:tcPr>
            <w:tcW w:w="1360" w:type="dxa"/>
            <w:vAlign w:val="bottom"/>
            <w:shd w:val="clear" w:color="auto" w:fill="ACACAC"/>
          </w:tcPr>
          <w:p>
            <w:pPr>
              <w:jc w:val="right"/>
              <w:ind w:right="157"/>
              <w:spacing w:after="0"/>
              <w:rPr>
                <w:sz w:val="20"/>
                <w:szCs w:val="20"/>
                <w:color w:val="auto"/>
              </w:rPr>
            </w:pPr>
            <w:r>
              <w:rPr>
                <w:rFonts w:ascii="Arial" w:cs="Arial" w:eastAsia="Arial" w:hAnsi="Arial"/>
                <w:sz w:val="13"/>
                <w:szCs w:val="13"/>
                <w:color w:val="auto"/>
              </w:rPr>
              <w:t>23,089</w:t>
            </w:r>
          </w:p>
        </w:tc>
        <w:tc>
          <w:tcPr>
            <w:tcW w:w="800" w:type="dxa"/>
            <w:vAlign w:val="bottom"/>
            <w:shd w:val="clear" w:color="auto" w:fill="ACACAC"/>
          </w:tcPr>
          <w:p>
            <w:pPr>
              <w:jc w:val="right"/>
              <w:ind w:right="37"/>
              <w:spacing w:after="0"/>
              <w:rPr>
                <w:sz w:val="20"/>
                <w:szCs w:val="20"/>
                <w:color w:val="auto"/>
              </w:rPr>
            </w:pPr>
            <w:r>
              <w:rPr>
                <w:rFonts w:ascii="Arial" w:cs="Arial" w:eastAsia="Arial" w:hAnsi="Arial"/>
                <w:sz w:val="13"/>
                <w:szCs w:val="13"/>
                <w:color w:val="auto"/>
              </w:rPr>
              <w:t>1,397,682</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300" w:type="dxa"/>
            <w:vAlign w:val="bottom"/>
          </w:tcPr>
          <w:p>
            <w:pPr>
              <w:ind w:left="140"/>
              <w:spacing w:after="0"/>
              <w:rPr>
                <w:sz w:val="20"/>
                <w:szCs w:val="20"/>
                <w:color w:val="auto"/>
              </w:rPr>
            </w:pPr>
            <w:r>
              <w:rPr>
                <w:rFonts w:ascii="Arial" w:cs="Arial" w:eastAsia="Arial" w:hAnsi="Arial"/>
                <w:sz w:val="13"/>
                <w:szCs w:val="13"/>
                <w:color w:val="auto"/>
              </w:rPr>
              <w:t>Motorhomes</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4"/>
          <w:szCs w:val="14"/>
          <w:color w:val="auto"/>
        </w:rPr>
        <w:t>The table below illustrates the two categories of stock awards as presented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83185</wp:posOffset>
            </wp:positionV>
            <wp:extent cx="6783705" cy="2571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83705" cy="257175"/>
                    </a:xfrm>
                    <a:prstGeom prst="rect">
                      <a:avLst/>
                    </a:prstGeom>
                    <a:noFill/>
                  </pic:spPr>
                </pic:pic>
              </a:graphicData>
            </a:graphic>
          </wp:anchor>
        </w:drawing>
      </w:r>
    </w:p>
    <w:p>
      <w:pPr>
        <w:spacing w:after="0" w:line="111"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1760" w:type="dxa"/>
            <w:vAlign w:val="bottom"/>
            <w:shd w:val="clear" w:color="auto" w:fill="BF2115"/>
          </w:tcPr>
          <w:p>
            <w:pPr>
              <w:spacing w:after="0"/>
              <w:rPr>
                <w:sz w:val="16"/>
                <w:szCs w:val="16"/>
                <w:color w:val="auto"/>
              </w:rPr>
            </w:pPr>
          </w:p>
        </w:tc>
        <w:tc>
          <w:tcPr>
            <w:tcW w:w="1140" w:type="dxa"/>
            <w:vAlign w:val="bottom"/>
            <w:shd w:val="clear" w:color="auto" w:fill="BF2115"/>
          </w:tcPr>
          <w:p>
            <w:pPr>
              <w:jc w:val="center"/>
              <w:ind w:left="428"/>
              <w:spacing w:after="0"/>
              <w:rPr>
                <w:sz w:val="20"/>
                <w:szCs w:val="20"/>
                <w:color w:val="auto"/>
              </w:rPr>
            </w:pPr>
            <w:r>
              <w:rPr>
                <w:rFonts w:ascii="Arial" w:cs="Arial" w:eastAsia="Arial" w:hAnsi="Arial"/>
                <w:sz w:val="14"/>
                <w:szCs w:val="14"/>
                <w:b w:val="1"/>
                <w:bCs w:val="1"/>
                <w:color w:val="FFFFFF"/>
              </w:rPr>
              <w:t>Fiscal</w:t>
            </w:r>
          </w:p>
        </w:tc>
        <w:tc>
          <w:tcPr>
            <w:tcW w:w="440" w:type="dxa"/>
            <w:vAlign w:val="bottom"/>
            <w:shd w:val="clear" w:color="auto" w:fill="BF2115"/>
          </w:tcPr>
          <w:p>
            <w:pPr>
              <w:spacing w:after="0"/>
              <w:rPr>
                <w:sz w:val="16"/>
                <w:szCs w:val="16"/>
                <w:color w:val="auto"/>
              </w:rPr>
            </w:pPr>
          </w:p>
        </w:tc>
        <w:tc>
          <w:tcPr>
            <w:tcW w:w="2200" w:type="dxa"/>
            <w:vAlign w:val="bottom"/>
            <w:shd w:val="clear" w:color="auto" w:fill="BF2115"/>
          </w:tcPr>
          <w:p>
            <w:pPr>
              <w:jc w:val="right"/>
              <w:ind w:right="848"/>
              <w:spacing w:after="0"/>
              <w:rPr>
                <w:sz w:val="20"/>
                <w:szCs w:val="20"/>
                <w:color w:val="auto"/>
              </w:rPr>
            </w:pPr>
            <w:r>
              <w:rPr>
                <w:rFonts w:ascii="Arial" w:cs="Arial" w:eastAsia="Arial" w:hAnsi="Arial"/>
                <w:sz w:val="14"/>
                <w:szCs w:val="14"/>
                <w:b w:val="1"/>
                <w:bCs w:val="1"/>
                <w:color w:val="FFFFFF"/>
              </w:rPr>
              <w:t>Restricted</w:t>
            </w:r>
          </w:p>
        </w:tc>
        <w:tc>
          <w:tcPr>
            <w:tcW w:w="240" w:type="dxa"/>
            <w:vAlign w:val="bottom"/>
            <w:shd w:val="clear" w:color="auto" w:fill="BF2115"/>
          </w:tcPr>
          <w:p>
            <w:pPr>
              <w:spacing w:after="0"/>
              <w:rPr>
                <w:sz w:val="16"/>
                <w:szCs w:val="16"/>
                <w:color w:val="auto"/>
              </w:rPr>
            </w:pPr>
          </w:p>
        </w:tc>
        <w:tc>
          <w:tcPr>
            <w:tcW w:w="2300" w:type="dxa"/>
            <w:vAlign w:val="bottom"/>
            <w:shd w:val="clear" w:color="auto" w:fill="BF2115"/>
          </w:tcPr>
          <w:p>
            <w:pPr>
              <w:spacing w:after="0"/>
              <w:rPr>
                <w:sz w:val="16"/>
                <w:szCs w:val="16"/>
                <w:color w:val="auto"/>
              </w:rPr>
            </w:pPr>
          </w:p>
        </w:tc>
        <w:tc>
          <w:tcPr>
            <w:tcW w:w="400" w:type="dxa"/>
            <w:vAlign w:val="bottom"/>
            <w:shd w:val="clear" w:color="auto" w:fill="BF2115"/>
          </w:tcPr>
          <w:p>
            <w:pPr>
              <w:spacing w:after="0"/>
              <w:rPr>
                <w:sz w:val="16"/>
                <w:szCs w:val="16"/>
                <w:color w:val="auto"/>
              </w:rPr>
            </w:pPr>
          </w:p>
        </w:tc>
        <w:tc>
          <w:tcPr>
            <w:tcW w:w="2200" w:type="dxa"/>
            <w:vAlign w:val="bottom"/>
            <w:shd w:val="clear" w:color="auto" w:fill="BF2115"/>
          </w:tcPr>
          <w:p>
            <w:pPr>
              <w:spacing w:after="0"/>
              <w:rPr>
                <w:sz w:val="16"/>
                <w:szCs w:val="16"/>
                <w:color w:val="auto"/>
              </w:rPr>
            </w:pPr>
          </w:p>
        </w:tc>
      </w:tr>
      <w:tr>
        <w:trPr>
          <w:trHeight w:val="202"/>
        </w:trPr>
        <w:tc>
          <w:tcPr>
            <w:tcW w:w="1760" w:type="dxa"/>
            <w:vAlign w:val="bottom"/>
            <w:tcBorders>
              <w:bottom w:val="single" w:sz="8" w:color="auto"/>
            </w:tcBorders>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140" w:type="dxa"/>
            <w:vAlign w:val="bottom"/>
            <w:tcBorders>
              <w:bottom w:val="single" w:sz="8" w:color="auto"/>
            </w:tcBorders>
            <w:shd w:val="clear" w:color="auto" w:fill="BF2115"/>
          </w:tcPr>
          <w:p>
            <w:pPr>
              <w:jc w:val="center"/>
              <w:ind w:left="428"/>
              <w:spacing w:after="0"/>
              <w:rPr>
                <w:sz w:val="20"/>
                <w:szCs w:val="20"/>
                <w:color w:val="auto"/>
              </w:rPr>
            </w:pPr>
            <w:r>
              <w:rPr>
                <w:rFonts w:ascii="Arial" w:cs="Arial" w:eastAsia="Arial" w:hAnsi="Arial"/>
                <w:sz w:val="14"/>
                <w:szCs w:val="14"/>
                <w:b w:val="1"/>
                <w:bCs w:val="1"/>
                <w:color w:val="FFFFFF"/>
              </w:rPr>
              <w:t>Year</w:t>
            </w:r>
          </w:p>
        </w:tc>
        <w:tc>
          <w:tcPr>
            <w:tcW w:w="440" w:type="dxa"/>
            <w:vAlign w:val="bottom"/>
            <w:tcBorders>
              <w:bottom w:val="single" w:sz="8" w:color="auto"/>
            </w:tcBorders>
            <w:shd w:val="clear" w:color="auto" w:fill="BF2115"/>
          </w:tcPr>
          <w:p>
            <w:pPr>
              <w:spacing w:after="0"/>
              <w:rPr>
                <w:sz w:val="17"/>
                <w:szCs w:val="17"/>
                <w:color w:val="auto"/>
              </w:rPr>
            </w:pPr>
          </w:p>
        </w:tc>
        <w:tc>
          <w:tcPr>
            <w:tcW w:w="2200" w:type="dxa"/>
            <w:vAlign w:val="bottom"/>
            <w:tcBorders>
              <w:bottom w:val="single" w:sz="8" w:color="auto"/>
            </w:tcBorders>
            <w:shd w:val="clear" w:color="auto" w:fill="BF2115"/>
          </w:tcPr>
          <w:p>
            <w:pPr>
              <w:jc w:val="right"/>
              <w:ind w:right="448"/>
              <w:spacing w:after="0"/>
              <w:rPr>
                <w:sz w:val="20"/>
                <w:szCs w:val="20"/>
                <w:color w:val="auto"/>
              </w:rPr>
            </w:pPr>
            <w:r>
              <w:rPr>
                <w:rFonts w:ascii="Arial" w:cs="Arial" w:eastAsia="Arial" w:hAnsi="Arial"/>
                <w:sz w:val="14"/>
                <w:szCs w:val="14"/>
                <w:b w:val="1"/>
                <w:bCs w:val="1"/>
                <w:color w:val="FFFFFF"/>
              </w:rPr>
              <w:t>Stock or RSU Grant</w:t>
            </w:r>
            <w:r>
              <w:rPr>
                <w:rFonts w:ascii="Arial" w:cs="Arial" w:eastAsia="Arial" w:hAnsi="Arial"/>
                <w:sz w:val="17"/>
                <w:szCs w:val="17"/>
                <w:b w:val="1"/>
                <w:bCs w:val="1"/>
                <w:color w:val="FFFFFF"/>
                <w:vertAlign w:val="superscript"/>
              </w:rPr>
              <w:t>(a)</w:t>
            </w:r>
          </w:p>
        </w:tc>
        <w:tc>
          <w:tcPr>
            <w:tcW w:w="240" w:type="dxa"/>
            <w:vAlign w:val="bottom"/>
            <w:tcBorders>
              <w:bottom w:val="single" w:sz="8" w:color="auto"/>
            </w:tcBorders>
            <w:shd w:val="clear" w:color="auto" w:fill="BF2115"/>
          </w:tcPr>
          <w:p>
            <w:pPr>
              <w:spacing w:after="0"/>
              <w:rPr>
                <w:sz w:val="17"/>
                <w:szCs w:val="17"/>
                <w:color w:val="auto"/>
              </w:rPr>
            </w:pPr>
          </w:p>
        </w:tc>
        <w:tc>
          <w:tcPr>
            <w:tcW w:w="2300" w:type="dxa"/>
            <w:vAlign w:val="bottom"/>
            <w:tcBorders>
              <w:bottom w:val="single" w:sz="8" w:color="auto"/>
            </w:tcBorders>
            <w:shd w:val="clear" w:color="auto" w:fill="BF2115"/>
          </w:tcPr>
          <w:p>
            <w:pPr>
              <w:jc w:val="right"/>
              <w:ind w:right="168"/>
              <w:spacing w:after="0"/>
              <w:rPr>
                <w:sz w:val="20"/>
                <w:szCs w:val="20"/>
                <w:color w:val="auto"/>
              </w:rPr>
            </w:pPr>
            <w:r>
              <w:rPr>
                <w:rFonts w:ascii="Arial" w:cs="Arial" w:eastAsia="Arial" w:hAnsi="Arial"/>
                <w:sz w:val="14"/>
                <w:szCs w:val="14"/>
                <w:b w:val="1"/>
                <w:bCs w:val="1"/>
                <w:color w:val="FFFFFF"/>
              </w:rPr>
              <w:t xml:space="preserve">LTIP / Performance Shares </w:t>
            </w:r>
            <w:r>
              <w:rPr>
                <w:rFonts w:ascii="Arial" w:cs="Arial" w:eastAsia="Arial" w:hAnsi="Arial"/>
                <w:sz w:val="17"/>
                <w:szCs w:val="17"/>
                <w:b w:val="1"/>
                <w:bCs w:val="1"/>
                <w:color w:val="FFFFFF"/>
                <w:vertAlign w:val="superscript"/>
              </w:rPr>
              <w:t>(b)</w:t>
            </w:r>
          </w:p>
        </w:tc>
        <w:tc>
          <w:tcPr>
            <w:tcW w:w="400" w:type="dxa"/>
            <w:vAlign w:val="bottom"/>
            <w:tcBorders>
              <w:bottom w:val="single" w:sz="8" w:color="auto"/>
            </w:tcBorders>
            <w:shd w:val="clear" w:color="auto" w:fill="BF2115"/>
          </w:tcPr>
          <w:p>
            <w:pPr>
              <w:spacing w:after="0"/>
              <w:rPr>
                <w:sz w:val="17"/>
                <w:szCs w:val="17"/>
                <w:color w:val="auto"/>
              </w:rPr>
            </w:pPr>
          </w:p>
        </w:tc>
        <w:tc>
          <w:tcPr>
            <w:tcW w:w="2200" w:type="dxa"/>
            <w:vAlign w:val="bottom"/>
            <w:tcBorders>
              <w:bottom w:val="single" w:sz="8" w:color="auto"/>
            </w:tcBorders>
            <w:shd w:val="clear" w:color="auto" w:fill="BF2115"/>
          </w:tcPr>
          <w:p>
            <w:pPr>
              <w:jc w:val="right"/>
              <w:ind w:right="548"/>
              <w:spacing w:after="0"/>
              <w:rPr>
                <w:sz w:val="20"/>
                <w:szCs w:val="20"/>
                <w:color w:val="auto"/>
              </w:rPr>
            </w:pPr>
            <w:r>
              <w:rPr>
                <w:rFonts w:ascii="Arial" w:cs="Arial" w:eastAsia="Arial" w:hAnsi="Arial"/>
                <w:sz w:val="14"/>
                <w:szCs w:val="14"/>
                <w:b w:val="1"/>
                <w:bCs w:val="1"/>
                <w:color w:val="FFFFFF"/>
              </w:rPr>
              <w:t>Total Stock Awards</w:t>
            </w:r>
          </w:p>
        </w:tc>
      </w:tr>
      <w:tr>
        <w:trPr>
          <w:trHeight w:val="210"/>
        </w:trPr>
        <w:tc>
          <w:tcPr>
            <w:tcW w:w="1760" w:type="dxa"/>
            <w:vAlign w:val="bottom"/>
            <w:shd w:val="clear" w:color="auto" w:fill="ACACAC"/>
          </w:tcPr>
          <w:p>
            <w:pPr>
              <w:ind w:left="20"/>
              <w:spacing w:after="0"/>
              <w:rPr>
                <w:sz w:val="20"/>
                <w:szCs w:val="20"/>
                <w:color w:val="auto"/>
              </w:rPr>
            </w:pPr>
            <w:r>
              <w:rPr>
                <w:rFonts w:ascii="Arial" w:cs="Arial" w:eastAsia="Arial" w:hAnsi="Arial"/>
                <w:sz w:val="14"/>
                <w:szCs w:val="14"/>
                <w:color w:val="auto"/>
              </w:rPr>
              <w:t>Michael J. Happe</w:t>
            </w:r>
          </w:p>
        </w:tc>
        <w:tc>
          <w:tcPr>
            <w:tcW w:w="1140" w:type="dxa"/>
            <w:vAlign w:val="bottom"/>
            <w:shd w:val="clear" w:color="auto" w:fill="ACACAC"/>
          </w:tcPr>
          <w:p>
            <w:pPr>
              <w:jc w:val="center"/>
              <w:ind w:left="428"/>
              <w:spacing w:after="0"/>
              <w:rPr>
                <w:sz w:val="20"/>
                <w:szCs w:val="20"/>
                <w:color w:val="auto"/>
              </w:rPr>
            </w:pPr>
            <w:r>
              <w:rPr>
                <w:rFonts w:ascii="Arial" w:cs="Arial" w:eastAsia="Arial" w:hAnsi="Arial"/>
                <w:sz w:val="14"/>
                <w:szCs w:val="14"/>
                <w:color w:val="auto"/>
              </w:rPr>
              <w:t>2019</w:t>
            </w:r>
          </w:p>
        </w:tc>
        <w:tc>
          <w:tcPr>
            <w:tcW w:w="440" w:type="dxa"/>
            <w:vAlign w:val="bottom"/>
            <w:shd w:val="clear" w:color="auto" w:fill="ACACAC"/>
          </w:tcPr>
          <w:p>
            <w:pPr>
              <w:jc w:val="right"/>
              <w:ind w:right="148"/>
              <w:spacing w:after="0"/>
              <w:rPr>
                <w:sz w:val="20"/>
                <w:szCs w:val="20"/>
                <w:color w:val="auto"/>
              </w:rPr>
            </w:pPr>
            <w:r>
              <w:rPr>
                <w:rFonts w:ascii="Arial" w:cs="Arial" w:eastAsia="Arial" w:hAnsi="Arial"/>
                <w:sz w:val="14"/>
                <w:szCs w:val="14"/>
                <w:color w:val="auto"/>
              </w:rPr>
              <w:t>$</w:t>
            </w:r>
          </w:p>
        </w:tc>
        <w:tc>
          <w:tcPr>
            <w:tcW w:w="2200" w:type="dxa"/>
            <w:vAlign w:val="bottom"/>
            <w:shd w:val="clear" w:color="auto" w:fill="ACACAC"/>
          </w:tcPr>
          <w:p>
            <w:pPr>
              <w:jc w:val="right"/>
              <w:spacing w:after="0"/>
              <w:rPr>
                <w:sz w:val="20"/>
                <w:szCs w:val="20"/>
                <w:color w:val="auto"/>
              </w:rPr>
            </w:pPr>
            <w:r>
              <w:rPr>
                <w:rFonts w:ascii="Arial" w:cs="Arial" w:eastAsia="Arial" w:hAnsi="Arial"/>
                <w:sz w:val="14"/>
                <w:szCs w:val="14"/>
                <w:color w:val="auto"/>
              </w:rPr>
              <w:t>475,000</w:t>
            </w:r>
          </w:p>
        </w:tc>
        <w:tc>
          <w:tcPr>
            <w:tcW w:w="24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w:t>
            </w:r>
          </w:p>
        </w:tc>
        <w:tc>
          <w:tcPr>
            <w:tcW w:w="2300" w:type="dxa"/>
            <w:vAlign w:val="bottom"/>
            <w:shd w:val="clear" w:color="auto" w:fill="ACACAC"/>
          </w:tcPr>
          <w:p>
            <w:pPr>
              <w:jc w:val="right"/>
              <w:spacing w:after="0"/>
              <w:rPr>
                <w:sz w:val="20"/>
                <w:szCs w:val="20"/>
                <w:color w:val="auto"/>
              </w:rPr>
            </w:pPr>
            <w:r>
              <w:rPr>
                <w:rFonts w:ascii="Arial" w:cs="Arial" w:eastAsia="Arial" w:hAnsi="Arial"/>
                <w:sz w:val="14"/>
                <w:szCs w:val="14"/>
                <w:color w:val="auto"/>
              </w:rPr>
              <w:t>950,000</w:t>
            </w:r>
          </w:p>
        </w:tc>
        <w:tc>
          <w:tcPr>
            <w:tcW w:w="400" w:type="dxa"/>
            <w:vAlign w:val="bottom"/>
            <w:shd w:val="clear" w:color="auto" w:fill="ACACAC"/>
          </w:tcPr>
          <w:p>
            <w:pPr>
              <w:jc w:val="right"/>
              <w:ind w:right="188"/>
              <w:spacing w:after="0"/>
              <w:rPr>
                <w:sz w:val="20"/>
                <w:szCs w:val="20"/>
                <w:color w:val="auto"/>
              </w:rPr>
            </w:pPr>
            <w:r>
              <w:rPr>
                <w:rFonts w:ascii="Arial" w:cs="Arial" w:eastAsia="Arial" w:hAnsi="Arial"/>
                <w:sz w:val="14"/>
                <w:szCs w:val="14"/>
                <w:color w:val="auto"/>
              </w:rPr>
              <w:t>$</w:t>
            </w:r>
          </w:p>
        </w:tc>
        <w:tc>
          <w:tcPr>
            <w:tcW w:w="220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1,425,000</w:t>
            </w:r>
          </w:p>
        </w:tc>
      </w:tr>
      <w:tr>
        <w:trPr>
          <w:trHeight w:val="231"/>
        </w:trPr>
        <w:tc>
          <w:tcPr>
            <w:tcW w:w="1760" w:type="dxa"/>
            <w:vAlign w:val="bottom"/>
          </w:tcPr>
          <w:p>
            <w:pPr>
              <w:spacing w:after="0"/>
              <w:rPr>
                <w:sz w:val="20"/>
                <w:szCs w:val="20"/>
                <w:color w:val="auto"/>
              </w:rPr>
            </w:pPr>
          </w:p>
        </w:tc>
        <w:tc>
          <w:tcPr>
            <w:tcW w:w="1140" w:type="dxa"/>
            <w:vAlign w:val="bottom"/>
          </w:tcPr>
          <w:p>
            <w:pPr>
              <w:jc w:val="center"/>
              <w:ind w:left="428"/>
              <w:spacing w:after="0"/>
              <w:rPr>
                <w:sz w:val="20"/>
                <w:szCs w:val="20"/>
                <w:color w:val="auto"/>
              </w:rPr>
            </w:pPr>
            <w:r>
              <w:rPr>
                <w:rFonts w:ascii="Arial" w:cs="Arial" w:eastAsia="Arial" w:hAnsi="Arial"/>
                <w:sz w:val="14"/>
                <w:szCs w:val="14"/>
                <w:color w:val="auto"/>
              </w:rPr>
              <w:t>2018</w:t>
            </w:r>
          </w:p>
        </w:tc>
        <w:tc>
          <w:tcPr>
            <w:tcW w:w="44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414,075</w:t>
            </w:r>
          </w:p>
        </w:tc>
        <w:tc>
          <w:tcPr>
            <w:tcW w:w="24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828,104</w:t>
            </w:r>
          </w:p>
        </w:tc>
        <w:tc>
          <w:tcPr>
            <w:tcW w:w="400" w:type="dxa"/>
            <w:vAlign w:val="bottom"/>
          </w:tcPr>
          <w:p>
            <w:pPr>
              <w:spacing w:after="0"/>
              <w:rPr>
                <w:sz w:val="20"/>
                <w:szCs w:val="20"/>
                <w:color w:val="auto"/>
              </w:rPr>
            </w:pPr>
          </w:p>
        </w:tc>
        <w:tc>
          <w:tcPr>
            <w:tcW w:w="2200" w:type="dxa"/>
            <w:vAlign w:val="bottom"/>
          </w:tcPr>
          <w:p>
            <w:pPr>
              <w:jc w:val="right"/>
              <w:ind w:right="28"/>
              <w:spacing w:after="0"/>
              <w:rPr>
                <w:sz w:val="20"/>
                <w:szCs w:val="20"/>
                <w:color w:val="auto"/>
              </w:rPr>
            </w:pPr>
            <w:r>
              <w:rPr>
                <w:rFonts w:ascii="Arial" w:cs="Arial" w:eastAsia="Arial" w:hAnsi="Arial"/>
                <w:sz w:val="14"/>
                <w:szCs w:val="14"/>
                <w:color w:val="auto"/>
              </w:rPr>
              <w:t>1,242,179</w:t>
            </w:r>
          </w:p>
        </w:tc>
      </w:tr>
      <w:tr>
        <w:trPr>
          <w:trHeight w:val="39"/>
        </w:trPr>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75"/>
        </w:trPr>
        <w:tc>
          <w:tcPr>
            <w:tcW w:w="1760" w:type="dxa"/>
            <w:vAlign w:val="bottom"/>
            <w:tcBorders>
              <w:bottom w:val="single" w:sz="8" w:color="ACACAC"/>
            </w:tcBorders>
            <w:shd w:val="clear" w:color="auto" w:fill="ACACAC"/>
          </w:tcPr>
          <w:p>
            <w:pPr>
              <w:spacing w:after="0"/>
              <w:rPr>
                <w:sz w:val="23"/>
                <w:szCs w:val="23"/>
                <w:color w:val="auto"/>
              </w:rPr>
            </w:pPr>
          </w:p>
        </w:tc>
        <w:tc>
          <w:tcPr>
            <w:tcW w:w="1140" w:type="dxa"/>
            <w:vAlign w:val="bottom"/>
            <w:tcBorders>
              <w:bottom w:val="single" w:sz="8" w:color="ACACAC"/>
            </w:tcBorders>
            <w:shd w:val="clear" w:color="auto" w:fill="ACACAC"/>
          </w:tcPr>
          <w:p>
            <w:pPr>
              <w:jc w:val="center"/>
              <w:ind w:left="428"/>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CACAC"/>
            </w:tcBorders>
            <w:shd w:val="clear" w:color="auto" w:fill="ACACAC"/>
          </w:tcPr>
          <w:p>
            <w:pPr>
              <w:spacing w:after="0"/>
              <w:rPr>
                <w:sz w:val="23"/>
                <w:szCs w:val="23"/>
                <w:color w:val="auto"/>
              </w:rPr>
            </w:pPr>
          </w:p>
        </w:tc>
        <w:tc>
          <w:tcPr>
            <w:tcW w:w="22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370,937</w:t>
            </w:r>
          </w:p>
        </w:tc>
        <w:tc>
          <w:tcPr>
            <w:tcW w:w="240" w:type="dxa"/>
            <w:vAlign w:val="bottom"/>
            <w:tcBorders>
              <w:bottom w:val="single" w:sz="8" w:color="ACACAC"/>
            </w:tcBorders>
            <w:shd w:val="clear" w:color="auto" w:fill="ACACAC"/>
          </w:tcPr>
          <w:p>
            <w:pPr>
              <w:spacing w:after="0"/>
              <w:rPr>
                <w:sz w:val="23"/>
                <w:szCs w:val="23"/>
                <w:color w:val="auto"/>
              </w:rPr>
            </w:pPr>
          </w:p>
        </w:tc>
        <w:tc>
          <w:tcPr>
            <w:tcW w:w="23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633,354</w:t>
            </w:r>
          </w:p>
        </w:tc>
        <w:tc>
          <w:tcPr>
            <w:tcW w:w="400" w:type="dxa"/>
            <w:vAlign w:val="bottom"/>
            <w:tcBorders>
              <w:bottom w:val="single" w:sz="8" w:color="ACACAC"/>
            </w:tcBorders>
            <w:shd w:val="clear" w:color="auto" w:fill="ACACAC"/>
          </w:tcPr>
          <w:p>
            <w:pPr>
              <w:spacing w:after="0"/>
              <w:rPr>
                <w:sz w:val="23"/>
                <w:szCs w:val="23"/>
                <w:color w:val="auto"/>
              </w:rPr>
            </w:pPr>
          </w:p>
        </w:tc>
        <w:tc>
          <w:tcPr>
            <w:tcW w:w="2200" w:type="dxa"/>
            <w:vAlign w:val="bottom"/>
            <w:tcBorders>
              <w:bottom w:val="single" w:sz="8" w:color="ACACAC"/>
            </w:tcBorders>
            <w:shd w:val="clear" w:color="auto" w:fill="ACACAC"/>
          </w:tcPr>
          <w:p>
            <w:pPr>
              <w:jc w:val="right"/>
              <w:ind w:right="28"/>
              <w:spacing w:after="0"/>
              <w:rPr>
                <w:sz w:val="20"/>
                <w:szCs w:val="20"/>
                <w:color w:val="auto"/>
              </w:rPr>
            </w:pPr>
            <w:r>
              <w:rPr>
                <w:rFonts w:ascii="Arial" w:cs="Arial" w:eastAsia="Arial" w:hAnsi="Arial"/>
                <w:sz w:val="14"/>
                <w:szCs w:val="14"/>
                <w:color w:val="auto"/>
              </w:rPr>
              <w:t>1,004,291</w:t>
            </w:r>
          </w:p>
        </w:tc>
      </w:tr>
      <w:tr>
        <w:trPr>
          <w:trHeight w:val="204"/>
        </w:trPr>
        <w:tc>
          <w:tcPr>
            <w:tcW w:w="17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Bryan L. Hughes</w:t>
            </w:r>
          </w:p>
        </w:tc>
        <w:tc>
          <w:tcPr>
            <w:tcW w:w="1140" w:type="dxa"/>
            <w:vAlign w:val="bottom"/>
            <w:tcBorders>
              <w:top w:val="single" w:sz="8" w:color="auto"/>
            </w:tcBorders>
          </w:tcPr>
          <w:p>
            <w:pPr>
              <w:jc w:val="center"/>
              <w:ind w:left="428"/>
              <w:spacing w:after="0"/>
              <w:rPr>
                <w:sz w:val="20"/>
                <w:szCs w:val="20"/>
                <w:color w:val="auto"/>
              </w:rPr>
            </w:pPr>
            <w:r>
              <w:rPr>
                <w:rFonts w:ascii="Arial" w:cs="Arial" w:eastAsia="Arial" w:hAnsi="Arial"/>
                <w:sz w:val="14"/>
                <w:szCs w:val="14"/>
                <w:color w:val="auto"/>
              </w:rPr>
              <w:t>2019</w:t>
            </w:r>
          </w:p>
        </w:tc>
        <w:tc>
          <w:tcPr>
            <w:tcW w:w="44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126,844</w:t>
            </w:r>
          </w:p>
        </w:tc>
        <w:tc>
          <w:tcPr>
            <w:tcW w:w="24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253,688</w:t>
            </w:r>
          </w:p>
        </w:tc>
        <w:tc>
          <w:tcPr>
            <w:tcW w:w="40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380,532</w:t>
            </w:r>
          </w:p>
        </w:tc>
      </w:tr>
      <w:tr>
        <w:trPr>
          <w:trHeight w:val="256"/>
        </w:trPr>
        <w:tc>
          <w:tcPr>
            <w:tcW w:w="1760" w:type="dxa"/>
            <w:vAlign w:val="bottom"/>
            <w:tcBorders>
              <w:bottom w:val="single" w:sz="8" w:color="ACACAC"/>
            </w:tcBorders>
            <w:shd w:val="clear" w:color="auto" w:fill="ACACAC"/>
          </w:tcPr>
          <w:p>
            <w:pPr>
              <w:spacing w:after="0"/>
              <w:rPr>
                <w:sz w:val="22"/>
                <w:szCs w:val="22"/>
                <w:color w:val="auto"/>
              </w:rPr>
            </w:pPr>
          </w:p>
        </w:tc>
        <w:tc>
          <w:tcPr>
            <w:tcW w:w="1140" w:type="dxa"/>
            <w:vAlign w:val="bottom"/>
            <w:tcBorders>
              <w:bottom w:val="single" w:sz="8" w:color="ACACAC"/>
            </w:tcBorders>
            <w:shd w:val="clear" w:color="auto" w:fill="ACACAC"/>
          </w:tcPr>
          <w:p>
            <w:pPr>
              <w:jc w:val="center"/>
              <w:ind w:left="428"/>
              <w:spacing w:after="0"/>
              <w:rPr>
                <w:sz w:val="20"/>
                <w:szCs w:val="20"/>
                <w:color w:val="auto"/>
              </w:rPr>
            </w:pPr>
            <w:r>
              <w:rPr>
                <w:rFonts w:ascii="Arial" w:cs="Arial" w:eastAsia="Arial" w:hAnsi="Arial"/>
                <w:sz w:val="14"/>
                <w:szCs w:val="14"/>
                <w:color w:val="auto"/>
              </w:rPr>
              <w:t>2018</w:t>
            </w:r>
          </w:p>
        </w:tc>
        <w:tc>
          <w:tcPr>
            <w:tcW w:w="440" w:type="dxa"/>
            <w:vAlign w:val="bottom"/>
            <w:tcBorders>
              <w:bottom w:val="single" w:sz="8" w:color="ACACAC"/>
            </w:tcBorders>
            <w:shd w:val="clear" w:color="auto" w:fill="ACACAC"/>
          </w:tcPr>
          <w:p>
            <w:pPr>
              <w:spacing w:after="0"/>
              <w:rPr>
                <w:sz w:val="22"/>
                <w:szCs w:val="22"/>
                <w:color w:val="auto"/>
              </w:rPr>
            </w:pPr>
          </w:p>
        </w:tc>
        <w:tc>
          <w:tcPr>
            <w:tcW w:w="22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123,742</w:t>
            </w:r>
          </w:p>
        </w:tc>
        <w:tc>
          <w:tcPr>
            <w:tcW w:w="240" w:type="dxa"/>
            <w:vAlign w:val="bottom"/>
            <w:tcBorders>
              <w:bottom w:val="single" w:sz="8" w:color="ACACAC"/>
            </w:tcBorders>
            <w:shd w:val="clear" w:color="auto" w:fill="ACACAC"/>
          </w:tcPr>
          <w:p>
            <w:pPr>
              <w:spacing w:after="0"/>
              <w:rPr>
                <w:sz w:val="22"/>
                <w:szCs w:val="22"/>
                <w:color w:val="auto"/>
              </w:rPr>
            </w:pPr>
          </w:p>
        </w:tc>
        <w:tc>
          <w:tcPr>
            <w:tcW w:w="23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247,486</w:t>
            </w:r>
          </w:p>
        </w:tc>
        <w:tc>
          <w:tcPr>
            <w:tcW w:w="400" w:type="dxa"/>
            <w:vAlign w:val="bottom"/>
            <w:tcBorders>
              <w:bottom w:val="single" w:sz="8" w:color="ACACAC"/>
            </w:tcBorders>
            <w:shd w:val="clear" w:color="auto" w:fill="ACACAC"/>
          </w:tcPr>
          <w:p>
            <w:pPr>
              <w:spacing w:after="0"/>
              <w:rPr>
                <w:sz w:val="22"/>
                <w:szCs w:val="22"/>
                <w:color w:val="auto"/>
              </w:rPr>
            </w:pPr>
          </w:p>
        </w:tc>
        <w:tc>
          <w:tcPr>
            <w:tcW w:w="2200" w:type="dxa"/>
            <w:vAlign w:val="bottom"/>
            <w:tcBorders>
              <w:bottom w:val="single" w:sz="8" w:color="ACACAC"/>
            </w:tcBorders>
            <w:shd w:val="clear" w:color="auto" w:fill="ACACAC"/>
          </w:tcPr>
          <w:p>
            <w:pPr>
              <w:jc w:val="right"/>
              <w:ind w:right="28"/>
              <w:spacing w:after="0"/>
              <w:rPr>
                <w:sz w:val="20"/>
                <w:szCs w:val="20"/>
                <w:color w:val="auto"/>
              </w:rPr>
            </w:pPr>
            <w:r>
              <w:rPr>
                <w:rFonts w:ascii="Arial" w:cs="Arial" w:eastAsia="Arial" w:hAnsi="Arial"/>
                <w:sz w:val="14"/>
                <w:szCs w:val="14"/>
                <w:color w:val="auto"/>
              </w:rPr>
              <w:t>371,228</w:t>
            </w:r>
          </w:p>
        </w:tc>
      </w:tr>
      <w:tr>
        <w:trPr>
          <w:trHeight w:val="231"/>
        </w:trPr>
        <w:tc>
          <w:tcPr>
            <w:tcW w:w="1760" w:type="dxa"/>
            <w:vAlign w:val="bottom"/>
          </w:tcPr>
          <w:p>
            <w:pPr>
              <w:spacing w:after="0"/>
              <w:rPr>
                <w:sz w:val="20"/>
                <w:szCs w:val="20"/>
                <w:color w:val="auto"/>
              </w:rPr>
            </w:pPr>
          </w:p>
        </w:tc>
        <w:tc>
          <w:tcPr>
            <w:tcW w:w="1140" w:type="dxa"/>
            <w:vAlign w:val="bottom"/>
          </w:tcPr>
          <w:p>
            <w:pPr>
              <w:jc w:val="center"/>
              <w:ind w:left="428"/>
              <w:spacing w:after="0"/>
              <w:rPr>
                <w:sz w:val="20"/>
                <w:szCs w:val="20"/>
                <w:color w:val="auto"/>
              </w:rPr>
            </w:pPr>
            <w:r>
              <w:rPr>
                <w:rFonts w:ascii="Arial" w:cs="Arial" w:eastAsia="Arial" w:hAnsi="Arial"/>
                <w:sz w:val="14"/>
                <w:szCs w:val="14"/>
                <w:color w:val="auto"/>
              </w:rPr>
              <w:t>2017</w:t>
            </w:r>
          </w:p>
        </w:tc>
        <w:tc>
          <w:tcPr>
            <w:tcW w:w="44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280,500</w:t>
            </w:r>
          </w:p>
        </w:tc>
        <w:tc>
          <w:tcPr>
            <w:tcW w:w="24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171,386</w:t>
            </w:r>
          </w:p>
        </w:tc>
        <w:tc>
          <w:tcPr>
            <w:tcW w:w="400" w:type="dxa"/>
            <w:vAlign w:val="bottom"/>
          </w:tcPr>
          <w:p>
            <w:pPr>
              <w:spacing w:after="0"/>
              <w:rPr>
                <w:sz w:val="20"/>
                <w:szCs w:val="20"/>
                <w:color w:val="auto"/>
              </w:rPr>
            </w:pPr>
          </w:p>
        </w:tc>
        <w:tc>
          <w:tcPr>
            <w:tcW w:w="2200" w:type="dxa"/>
            <w:vAlign w:val="bottom"/>
          </w:tcPr>
          <w:p>
            <w:pPr>
              <w:jc w:val="right"/>
              <w:ind w:right="28"/>
              <w:spacing w:after="0"/>
              <w:rPr>
                <w:sz w:val="20"/>
                <w:szCs w:val="20"/>
                <w:color w:val="auto"/>
              </w:rPr>
            </w:pPr>
            <w:r>
              <w:rPr>
                <w:rFonts w:ascii="Arial" w:cs="Arial" w:eastAsia="Arial" w:hAnsi="Arial"/>
                <w:sz w:val="14"/>
                <w:szCs w:val="14"/>
                <w:color w:val="auto"/>
              </w:rPr>
              <w:t>451,886</w:t>
            </w:r>
          </w:p>
        </w:tc>
      </w:tr>
      <w:tr>
        <w:trPr>
          <w:trHeight w:val="39"/>
        </w:trPr>
        <w:tc>
          <w:tcPr>
            <w:tcW w:w="17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r>
      <w:tr>
        <w:trPr>
          <w:trHeight w:val="210"/>
        </w:trPr>
        <w:tc>
          <w:tcPr>
            <w:tcW w:w="1760" w:type="dxa"/>
            <w:vAlign w:val="bottom"/>
            <w:shd w:val="clear" w:color="auto" w:fill="ACACAC"/>
          </w:tcPr>
          <w:p>
            <w:pPr>
              <w:ind w:left="20"/>
              <w:spacing w:after="0"/>
              <w:rPr>
                <w:sz w:val="20"/>
                <w:szCs w:val="20"/>
                <w:color w:val="auto"/>
              </w:rPr>
            </w:pPr>
            <w:r>
              <w:rPr>
                <w:rFonts w:ascii="Arial" w:cs="Arial" w:eastAsia="Arial" w:hAnsi="Arial"/>
                <w:sz w:val="14"/>
                <w:szCs w:val="14"/>
                <w:color w:val="auto"/>
              </w:rPr>
              <w:t xml:space="preserve">Stacy L. Bogart </w:t>
            </w:r>
            <w:r>
              <w:rPr>
                <w:rFonts w:ascii="Arial" w:cs="Arial" w:eastAsia="Arial" w:hAnsi="Arial"/>
                <w:sz w:val="17"/>
                <w:szCs w:val="17"/>
                <w:color w:val="auto"/>
                <w:vertAlign w:val="superscript"/>
              </w:rPr>
              <w:t>(c)</w:t>
            </w:r>
          </w:p>
        </w:tc>
        <w:tc>
          <w:tcPr>
            <w:tcW w:w="1140" w:type="dxa"/>
            <w:vAlign w:val="bottom"/>
            <w:shd w:val="clear" w:color="auto" w:fill="ACACAC"/>
          </w:tcPr>
          <w:p>
            <w:pPr>
              <w:jc w:val="center"/>
              <w:ind w:left="428"/>
              <w:spacing w:after="0"/>
              <w:rPr>
                <w:sz w:val="20"/>
                <w:szCs w:val="20"/>
                <w:color w:val="auto"/>
              </w:rPr>
            </w:pPr>
            <w:r>
              <w:rPr>
                <w:rFonts w:ascii="Arial" w:cs="Arial" w:eastAsia="Arial" w:hAnsi="Arial"/>
                <w:sz w:val="14"/>
                <w:szCs w:val="14"/>
                <w:color w:val="auto"/>
              </w:rPr>
              <w:t>2019</w:t>
            </w:r>
          </w:p>
        </w:tc>
        <w:tc>
          <w:tcPr>
            <w:tcW w:w="440" w:type="dxa"/>
            <w:vAlign w:val="bottom"/>
            <w:shd w:val="clear" w:color="auto" w:fill="ACACAC"/>
          </w:tcPr>
          <w:p>
            <w:pPr>
              <w:spacing w:after="0"/>
              <w:rPr>
                <w:sz w:val="18"/>
                <w:szCs w:val="18"/>
                <w:color w:val="auto"/>
              </w:rPr>
            </w:pPr>
          </w:p>
        </w:tc>
        <w:tc>
          <w:tcPr>
            <w:tcW w:w="2200" w:type="dxa"/>
            <w:vAlign w:val="bottom"/>
            <w:shd w:val="clear" w:color="auto" w:fill="ACACAC"/>
          </w:tcPr>
          <w:p>
            <w:pPr>
              <w:jc w:val="right"/>
              <w:spacing w:after="0"/>
              <w:rPr>
                <w:sz w:val="20"/>
                <w:szCs w:val="20"/>
                <w:color w:val="auto"/>
              </w:rPr>
            </w:pPr>
            <w:r>
              <w:rPr>
                <w:rFonts w:ascii="Arial" w:cs="Arial" w:eastAsia="Arial" w:hAnsi="Arial"/>
                <w:sz w:val="14"/>
                <w:szCs w:val="14"/>
                <w:color w:val="auto"/>
              </w:rPr>
              <w:t>108,938</w:t>
            </w:r>
          </w:p>
        </w:tc>
        <w:tc>
          <w:tcPr>
            <w:tcW w:w="240" w:type="dxa"/>
            <w:vAlign w:val="bottom"/>
            <w:shd w:val="clear" w:color="auto" w:fill="ACACAC"/>
          </w:tcPr>
          <w:p>
            <w:pPr>
              <w:spacing w:after="0"/>
              <w:rPr>
                <w:sz w:val="18"/>
                <w:szCs w:val="18"/>
                <w:color w:val="auto"/>
              </w:rPr>
            </w:pPr>
          </w:p>
        </w:tc>
        <w:tc>
          <w:tcPr>
            <w:tcW w:w="2300" w:type="dxa"/>
            <w:vAlign w:val="bottom"/>
            <w:shd w:val="clear" w:color="auto" w:fill="ACACAC"/>
          </w:tcPr>
          <w:p>
            <w:pPr>
              <w:jc w:val="right"/>
              <w:spacing w:after="0"/>
              <w:rPr>
                <w:sz w:val="20"/>
                <w:szCs w:val="20"/>
                <w:color w:val="auto"/>
              </w:rPr>
            </w:pPr>
            <w:r>
              <w:rPr>
                <w:rFonts w:ascii="Arial" w:cs="Arial" w:eastAsia="Arial" w:hAnsi="Arial"/>
                <w:sz w:val="14"/>
                <w:szCs w:val="14"/>
                <w:color w:val="auto"/>
              </w:rPr>
              <w:t>217,875</w:t>
            </w:r>
          </w:p>
        </w:tc>
        <w:tc>
          <w:tcPr>
            <w:tcW w:w="400" w:type="dxa"/>
            <w:vAlign w:val="bottom"/>
            <w:shd w:val="clear" w:color="auto" w:fill="ACACAC"/>
          </w:tcPr>
          <w:p>
            <w:pPr>
              <w:spacing w:after="0"/>
              <w:rPr>
                <w:sz w:val="18"/>
                <w:szCs w:val="18"/>
                <w:color w:val="auto"/>
              </w:rPr>
            </w:pPr>
          </w:p>
        </w:tc>
        <w:tc>
          <w:tcPr>
            <w:tcW w:w="220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326,813</w:t>
            </w:r>
          </w:p>
        </w:tc>
      </w:tr>
      <w:tr>
        <w:trPr>
          <w:trHeight w:val="231"/>
        </w:trPr>
        <w:tc>
          <w:tcPr>
            <w:tcW w:w="1760" w:type="dxa"/>
            <w:vAlign w:val="bottom"/>
          </w:tcPr>
          <w:p>
            <w:pPr>
              <w:spacing w:after="0"/>
              <w:rPr>
                <w:sz w:val="20"/>
                <w:szCs w:val="20"/>
                <w:color w:val="auto"/>
              </w:rPr>
            </w:pPr>
          </w:p>
        </w:tc>
        <w:tc>
          <w:tcPr>
            <w:tcW w:w="1140" w:type="dxa"/>
            <w:vAlign w:val="bottom"/>
          </w:tcPr>
          <w:p>
            <w:pPr>
              <w:jc w:val="center"/>
              <w:ind w:left="428"/>
              <w:spacing w:after="0"/>
              <w:rPr>
                <w:sz w:val="20"/>
                <w:szCs w:val="20"/>
                <w:color w:val="auto"/>
              </w:rPr>
            </w:pPr>
            <w:r>
              <w:rPr>
                <w:rFonts w:ascii="Arial" w:cs="Arial" w:eastAsia="Arial" w:hAnsi="Arial"/>
                <w:sz w:val="14"/>
                <w:szCs w:val="14"/>
                <w:color w:val="auto"/>
              </w:rPr>
              <w:t>2018</w:t>
            </w:r>
          </w:p>
        </w:tc>
        <w:tc>
          <w:tcPr>
            <w:tcW w:w="44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554,500</w:t>
            </w:r>
          </w:p>
        </w:tc>
        <w:tc>
          <w:tcPr>
            <w:tcW w:w="24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146,653</w:t>
            </w:r>
          </w:p>
        </w:tc>
        <w:tc>
          <w:tcPr>
            <w:tcW w:w="400" w:type="dxa"/>
            <w:vAlign w:val="bottom"/>
          </w:tcPr>
          <w:p>
            <w:pPr>
              <w:spacing w:after="0"/>
              <w:rPr>
                <w:sz w:val="20"/>
                <w:szCs w:val="20"/>
                <w:color w:val="auto"/>
              </w:rPr>
            </w:pPr>
          </w:p>
        </w:tc>
        <w:tc>
          <w:tcPr>
            <w:tcW w:w="2200" w:type="dxa"/>
            <w:vAlign w:val="bottom"/>
          </w:tcPr>
          <w:p>
            <w:pPr>
              <w:jc w:val="right"/>
              <w:ind w:right="28"/>
              <w:spacing w:after="0"/>
              <w:rPr>
                <w:sz w:val="20"/>
                <w:szCs w:val="20"/>
                <w:color w:val="auto"/>
              </w:rPr>
            </w:pPr>
            <w:r>
              <w:rPr>
                <w:rFonts w:ascii="Arial" w:cs="Arial" w:eastAsia="Arial" w:hAnsi="Arial"/>
                <w:sz w:val="14"/>
                <w:szCs w:val="14"/>
                <w:color w:val="auto"/>
              </w:rPr>
              <w:t>701,153</w:t>
            </w:r>
          </w:p>
        </w:tc>
      </w:tr>
      <w:tr>
        <w:trPr>
          <w:trHeight w:val="39"/>
        </w:trPr>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75"/>
        </w:trPr>
        <w:tc>
          <w:tcPr>
            <w:tcW w:w="1760" w:type="dxa"/>
            <w:vAlign w:val="bottom"/>
            <w:tcBorders>
              <w:bottom w:val="single" w:sz="8" w:color="ACACAC"/>
            </w:tcBorders>
            <w:shd w:val="clear" w:color="auto" w:fill="ACACAC"/>
          </w:tcPr>
          <w:p>
            <w:pPr>
              <w:spacing w:after="0"/>
              <w:rPr>
                <w:sz w:val="23"/>
                <w:szCs w:val="23"/>
                <w:color w:val="auto"/>
              </w:rPr>
            </w:pPr>
          </w:p>
        </w:tc>
        <w:tc>
          <w:tcPr>
            <w:tcW w:w="1140" w:type="dxa"/>
            <w:vAlign w:val="bottom"/>
            <w:tcBorders>
              <w:bottom w:val="single" w:sz="8" w:color="ACACAC"/>
            </w:tcBorders>
            <w:shd w:val="clear" w:color="auto" w:fill="ACACAC"/>
          </w:tcPr>
          <w:p>
            <w:pPr>
              <w:jc w:val="center"/>
              <w:ind w:left="408"/>
              <w:spacing w:after="0"/>
              <w:rPr>
                <w:sz w:val="20"/>
                <w:szCs w:val="20"/>
                <w:color w:val="auto"/>
              </w:rPr>
            </w:pPr>
            <w:r>
              <w:rPr>
                <w:rFonts w:ascii="Arial" w:cs="Arial" w:eastAsia="Arial" w:hAnsi="Arial"/>
                <w:sz w:val="14"/>
                <w:szCs w:val="14"/>
                <w:color w:val="auto"/>
                <w:w w:val="99"/>
              </w:rPr>
              <w:t>—</w:t>
            </w:r>
          </w:p>
        </w:tc>
        <w:tc>
          <w:tcPr>
            <w:tcW w:w="440" w:type="dxa"/>
            <w:vAlign w:val="bottom"/>
            <w:tcBorders>
              <w:bottom w:val="single" w:sz="8" w:color="ACACAC"/>
            </w:tcBorders>
            <w:shd w:val="clear" w:color="auto" w:fill="ACACAC"/>
          </w:tcPr>
          <w:p>
            <w:pPr>
              <w:spacing w:after="0"/>
              <w:rPr>
                <w:sz w:val="23"/>
                <w:szCs w:val="23"/>
                <w:color w:val="auto"/>
              </w:rPr>
            </w:pPr>
          </w:p>
        </w:tc>
        <w:tc>
          <w:tcPr>
            <w:tcW w:w="22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CACAC"/>
            </w:tcBorders>
            <w:shd w:val="clear" w:color="auto" w:fill="ACACAC"/>
          </w:tcPr>
          <w:p>
            <w:pPr>
              <w:spacing w:after="0"/>
              <w:rPr>
                <w:sz w:val="23"/>
                <w:szCs w:val="23"/>
                <w:color w:val="auto"/>
              </w:rPr>
            </w:pPr>
          </w:p>
        </w:tc>
        <w:tc>
          <w:tcPr>
            <w:tcW w:w="23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CACAC"/>
            </w:tcBorders>
            <w:shd w:val="clear" w:color="auto" w:fill="ACACAC"/>
          </w:tcPr>
          <w:p>
            <w:pPr>
              <w:spacing w:after="0"/>
              <w:rPr>
                <w:sz w:val="23"/>
                <w:szCs w:val="23"/>
                <w:color w:val="auto"/>
              </w:rPr>
            </w:pPr>
          </w:p>
        </w:tc>
        <w:tc>
          <w:tcPr>
            <w:tcW w:w="2200" w:type="dxa"/>
            <w:vAlign w:val="bottom"/>
            <w:tcBorders>
              <w:bottom w:val="single" w:sz="8" w:color="ACACAC"/>
            </w:tcBorders>
            <w:shd w:val="clear" w:color="auto" w:fill="ACACAC"/>
          </w:tcPr>
          <w:p>
            <w:pPr>
              <w:jc w:val="right"/>
              <w:ind w:right="28"/>
              <w:spacing w:after="0"/>
              <w:rPr>
                <w:sz w:val="20"/>
                <w:szCs w:val="20"/>
                <w:color w:val="auto"/>
              </w:rPr>
            </w:pPr>
            <w:r>
              <w:rPr>
                <w:rFonts w:ascii="Arial" w:cs="Arial" w:eastAsia="Arial" w:hAnsi="Arial"/>
                <w:sz w:val="14"/>
                <w:szCs w:val="14"/>
                <w:color w:val="auto"/>
              </w:rPr>
              <w:t>—</w:t>
            </w:r>
          </w:p>
        </w:tc>
      </w:tr>
      <w:tr>
        <w:trPr>
          <w:trHeight w:val="204"/>
        </w:trPr>
        <w:tc>
          <w:tcPr>
            <w:tcW w:w="17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Donald J. Clark</w:t>
            </w:r>
          </w:p>
        </w:tc>
        <w:tc>
          <w:tcPr>
            <w:tcW w:w="1140" w:type="dxa"/>
            <w:vAlign w:val="bottom"/>
            <w:tcBorders>
              <w:top w:val="single" w:sz="8" w:color="auto"/>
            </w:tcBorders>
          </w:tcPr>
          <w:p>
            <w:pPr>
              <w:jc w:val="center"/>
              <w:ind w:left="428"/>
              <w:spacing w:after="0"/>
              <w:rPr>
                <w:sz w:val="20"/>
                <w:szCs w:val="20"/>
                <w:color w:val="auto"/>
              </w:rPr>
            </w:pPr>
            <w:r>
              <w:rPr>
                <w:rFonts w:ascii="Arial" w:cs="Arial" w:eastAsia="Arial" w:hAnsi="Arial"/>
                <w:sz w:val="14"/>
                <w:szCs w:val="14"/>
                <w:color w:val="auto"/>
              </w:rPr>
              <w:t>2019</w:t>
            </w:r>
          </w:p>
        </w:tc>
        <w:tc>
          <w:tcPr>
            <w:tcW w:w="44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1760" w:type="dxa"/>
            <w:vAlign w:val="bottom"/>
            <w:tcBorders>
              <w:bottom w:val="single" w:sz="8" w:color="ACACAC"/>
            </w:tcBorders>
            <w:shd w:val="clear" w:color="auto" w:fill="ACACAC"/>
          </w:tcPr>
          <w:p>
            <w:pPr>
              <w:spacing w:after="0"/>
              <w:rPr>
                <w:sz w:val="22"/>
                <w:szCs w:val="22"/>
                <w:color w:val="auto"/>
              </w:rPr>
            </w:pPr>
          </w:p>
        </w:tc>
        <w:tc>
          <w:tcPr>
            <w:tcW w:w="1140" w:type="dxa"/>
            <w:vAlign w:val="bottom"/>
            <w:tcBorders>
              <w:bottom w:val="single" w:sz="8" w:color="ACACAC"/>
            </w:tcBorders>
            <w:shd w:val="clear" w:color="auto" w:fill="ACACAC"/>
          </w:tcPr>
          <w:p>
            <w:pPr>
              <w:jc w:val="center"/>
              <w:ind w:left="428"/>
              <w:spacing w:after="0"/>
              <w:rPr>
                <w:sz w:val="20"/>
                <w:szCs w:val="20"/>
                <w:color w:val="auto"/>
              </w:rPr>
            </w:pPr>
            <w:r>
              <w:rPr>
                <w:rFonts w:ascii="Arial" w:cs="Arial" w:eastAsia="Arial" w:hAnsi="Arial"/>
                <w:sz w:val="14"/>
                <w:szCs w:val="14"/>
                <w:color w:val="auto"/>
              </w:rPr>
              <w:t>2018</w:t>
            </w:r>
          </w:p>
        </w:tc>
        <w:tc>
          <w:tcPr>
            <w:tcW w:w="440" w:type="dxa"/>
            <w:vAlign w:val="bottom"/>
            <w:tcBorders>
              <w:bottom w:val="single" w:sz="8" w:color="ACACAC"/>
            </w:tcBorders>
            <w:shd w:val="clear" w:color="auto" w:fill="ACACAC"/>
          </w:tcPr>
          <w:p>
            <w:pPr>
              <w:spacing w:after="0"/>
              <w:rPr>
                <w:sz w:val="22"/>
                <w:szCs w:val="22"/>
                <w:color w:val="auto"/>
              </w:rPr>
            </w:pPr>
          </w:p>
        </w:tc>
        <w:tc>
          <w:tcPr>
            <w:tcW w:w="22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CACAC"/>
            </w:tcBorders>
            <w:shd w:val="clear" w:color="auto" w:fill="ACACAC"/>
          </w:tcPr>
          <w:p>
            <w:pPr>
              <w:spacing w:after="0"/>
              <w:rPr>
                <w:sz w:val="22"/>
                <w:szCs w:val="22"/>
                <w:color w:val="auto"/>
              </w:rPr>
            </w:pPr>
          </w:p>
        </w:tc>
        <w:tc>
          <w:tcPr>
            <w:tcW w:w="23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CACAC"/>
            </w:tcBorders>
            <w:shd w:val="clear" w:color="auto" w:fill="ACACAC"/>
          </w:tcPr>
          <w:p>
            <w:pPr>
              <w:spacing w:after="0"/>
              <w:rPr>
                <w:sz w:val="22"/>
                <w:szCs w:val="22"/>
                <w:color w:val="auto"/>
              </w:rPr>
            </w:pPr>
          </w:p>
        </w:tc>
        <w:tc>
          <w:tcPr>
            <w:tcW w:w="2200" w:type="dxa"/>
            <w:vAlign w:val="bottom"/>
            <w:tcBorders>
              <w:bottom w:val="single" w:sz="8" w:color="ACACAC"/>
            </w:tcBorders>
            <w:shd w:val="clear" w:color="auto" w:fill="ACACAC"/>
          </w:tcPr>
          <w:p>
            <w:pPr>
              <w:jc w:val="right"/>
              <w:ind w:right="28"/>
              <w:spacing w:after="0"/>
              <w:rPr>
                <w:sz w:val="20"/>
                <w:szCs w:val="20"/>
                <w:color w:val="auto"/>
              </w:rPr>
            </w:pPr>
            <w:r>
              <w:rPr>
                <w:rFonts w:ascii="Arial" w:cs="Arial" w:eastAsia="Arial" w:hAnsi="Arial"/>
                <w:sz w:val="14"/>
                <w:szCs w:val="14"/>
                <w:color w:val="auto"/>
              </w:rPr>
              <w:t>—</w:t>
            </w:r>
          </w:p>
        </w:tc>
      </w:tr>
      <w:tr>
        <w:trPr>
          <w:trHeight w:val="231"/>
        </w:trPr>
        <w:tc>
          <w:tcPr>
            <w:tcW w:w="1760" w:type="dxa"/>
            <w:vAlign w:val="bottom"/>
          </w:tcPr>
          <w:p>
            <w:pPr>
              <w:spacing w:after="0"/>
              <w:rPr>
                <w:sz w:val="20"/>
                <w:szCs w:val="20"/>
                <w:color w:val="auto"/>
              </w:rPr>
            </w:pPr>
          </w:p>
        </w:tc>
        <w:tc>
          <w:tcPr>
            <w:tcW w:w="1140" w:type="dxa"/>
            <w:vAlign w:val="bottom"/>
          </w:tcPr>
          <w:p>
            <w:pPr>
              <w:jc w:val="center"/>
              <w:ind w:left="428"/>
              <w:spacing w:after="0"/>
              <w:rPr>
                <w:sz w:val="20"/>
                <w:szCs w:val="20"/>
                <w:color w:val="auto"/>
              </w:rPr>
            </w:pPr>
            <w:r>
              <w:rPr>
                <w:rFonts w:ascii="Arial" w:cs="Arial" w:eastAsia="Arial" w:hAnsi="Arial"/>
                <w:sz w:val="14"/>
                <w:szCs w:val="14"/>
                <w:color w:val="auto"/>
              </w:rPr>
              <w:t>2017</w:t>
            </w:r>
          </w:p>
        </w:tc>
        <w:tc>
          <w:tcPr>
            <w:tcW w:w="44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2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9"/>
        </w:trPr>
        <w:tc>
          <w:tcPr>
            <w:tcW w:w="17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r>
      <w:tr>
        <w:trPr>
          <w:trHeight w:val="210"/>
        </w:trPr>
        <w:tc>
          <w:tcPr>
            <w:tcW w:w="1760" w:type="dxa"/>
            <w:vAlign w:val="bottom"/>
            <w:shd w:val="clear" w:color="auto" w:fill="ACACAC"/>
          </w:tcPr>
          <w:p>
            <w:pPr>
              <w:ind w:left="20"/>
              <w:spacing w:after="0"/>
              <w:rPr>
                <w:sz w:val="20"/>
                <w:szCs w:val="20"/>
                <w:color w:val="auto"/>
              </w:rPr>
            </w:pPr>
            <w:r>
              <w:rPr>
                <w:rFonts w:ascii="Arial" w:cs="Arial" w:eastAsia="Arial" w:hAnsi="Arial"/>
                <w:sz w:val="14"/>
                <w:szCs w:val="14"/>
                <w:color w:val="auto"/>
              </w:rPr>
              <w:t>Brian D. Hazelton</w:t>
            </w:r>
          </w:p>
        </w:tc>
        <w:tc>
          <w:tcPr>
            <w:tcW w:w="1140" w:type="dxa"/>
            <w:vAlign w:val="bottom"/>
            <w:shd w:val="clear" w:color="auto" w:fill="ACACAC"/>
          </w:tcPr>
          <w:p>
            <w:pPr>
              <w:jc w:val="center"/>
              <w:ind w:left="428"/>
              <w:spacing w:after="0"/>
              <w:rPr>
                <w:sz w:val="20"/>
                <w:szCs w:val="20"/>
                <w:color w:val="auto"/>
              </w:rPr>
            </w:pPr>
            <w:r>
              <w:rPr>
                <w:rFonts w:ascii="Arial" w:cs="Arial" w:eastAsia="Arial" w:hAnsi="Arial"/>
                <w:sz w:val="14"/>
                <w:szCs w:val="14"/>
                <w:color w:val="auto"/>
              </w:rPr>
              <w:t>2019</w:t>
            </w:r>
          </w:p>
        </w:tc>
        <w:tc>
          <w:tcPr>
            <w:tcW w:w="440" w:type="dxa"/>
            <w:vAlign w:val="bottom"/>
            <w:shd w:val="clear" w:color="auto" w:fill="ACACAC"/>
          </w:tcPr>
          <w:p>
            <w:pPr>
              <w:spacing w:after="0"/>
              <w:rPr>
                <w:sz w:val="18"/>
                <w:szCs w:val="18"/>
                <w:color w:val="auto"/>
              </w:rPr>
            </w:pPr>
          </w:p>
        </w:tc>
        <w:tc>
          <w:tcPr>
            <w:tcW w:w="2200" w:type="dxa"/>
            <w:vAlign w:val="bottom"/>
            <w:shd w:val="clear" w:color="auto" w:fill="ACACAC"/>
          </w:tcPr>
          <w:p>
            <w:pPr>
              <w:jc w:val="right"/>
              <w:spacing w:after="0"/>
              <w:rPr>
                <w:sz w:val="20"/>
                <w:szCs w:val="20"/>
                <w:color w:val="auto"/>
              </w:rPr>
            </w:pPr>
            <w:r>
              <w:rPr>
                <w:rFonts w:ascii="Arial" w:cs="Arial" w:eastAsia="Arial" w:hAnsi="Arial"/>
                <w:sz w:val="14"/>
                <w:szCs w:val="14"/>
                <w:color w:val="auto"/>
              </w:rPr>
              <w:t>131,285</w:t>
            </w:r>
          </w:p>
        </w:tc>
        <w:tc>
          <w:tcPr>
            <w:tcW w:w="240" w:type="dxa"/>
            <w:vAlign w:val="bottom"/>
            <w:shd w:val="clear" w:color="auto" w:fill="ACACAC"/>
          </w:tcPr>
          <w:p>
            <w:pPr>
              <w:spacing w:after="0"/>
              <w:rPr>
                <w:sz w:val="18"/>
                <w:szCs w:val="18"/>
                <w:color w:val="auto"/>
              </w:rPr>
            </w:pPr>
          </w:p>
        </w:tc>
        <w:tc>
          <w:tcPr>
            <w:tcW w:w="2300" w:type="dxa"/>
            <w:vAlign w:val="bottom"/>
            <w:shd w:val="clear" w:color="auto" w:fill="ACACAC"/>
          </w:tcPr>
          <w:p>
            <w:pPr>
              <w:jc w:val="right"/>
              <w:spacing w:after="0"/>
              <w:rPr>
                <w:sz w:val="20"/>
                <w:szCs w:val="20"/>
                <w:color w:val="auto"/>
              </w:rPr>
            </w:pPr>
            <w:r>
              <w:rPr>
                <w:rFonts w:ascii="Arial" w:cs="Arial" w:eastAsia="Arial" w:hAnsi="Arial"/>
                <w:sz w:val="14"/>
                <w:szCs w:val="14"/>
                <w:color w:val="auto"/>
              </w:rPr>
              <w:t>262,570</w:t>
            </w:r>
          </w:p>
        </w:tc>
        <w:tc>
          <w:tcPr>
            <w:tcW w:w="400" w:type="dxa"/>
            <w:vAlign w:val="bottom"/>
            <w:shd w:val="clear" w:color="auto" w:fill="ACACAC"/>
          </w:tcPr>
          <w:p>
            <w:pPr>
              <w:spacing w:after="0"/>
              <w:rPr>
                <w:sz w:val="18"/>
                <w:szCs w:val="18"/>
                <w:color w:val="auto"/>
              </w:rPr>
            </w:pPr>
          </w:p>
        </w:tc>
        <w:tc>
          <w:tcPr>
            <w:tcW w:w="220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393,855</w:t>
            </w:r>
          </w:p>
        </w:tc>
      </w:tr>
      <w:tr>
        <w:trPr>
          <w:trHeight w:val="231"/>
        </w:trPr>
        <w:tc>
          <w:tcPr>
            <w:tcW w:w="1760" w:type="dxa"/>
            <w:vAlign w:val="bottom"/>
          </w:tcPr>
          <w:p>
            <w:pPr>
              <w:spacing w:after="0"/>
              <w:rPr>
                <w:sz w:val="20"/>
                <w:szCs w:val="20"/>
                <w:color w:val="auto"/>
              </w:rPr>
            </w:pPr>
          </w:p>
        </w:tc>
        <w:tc>
          <w:tcPr>
            <w:tcW w:w="1140" w:type="dxa"/>
            <w:vAlign w:val="bottom"/>
          </w:tcPr>
          <w:p>
            <w:pPr>
              <w:jc w:val="center"/>
              <w:ind w:left="428"/>
              <w:spacing w:after="0"/>
              <w:rPr>
                <w:sz w:val="20"/>
                <w:szCs w:val="20"/>
                <w:color w:val="auto"/>
              </w:rPr>
            </w:pPr>
            <w:r>
              <w:rPr>
                <w:rFonts w:ascii="Arial" w:cs="Arial" w:eastAsia="Arial" w:hAnsi="Arial"/>
                <w:sz w:val="14"/>
                <w:szCs w:val="14"/>
                <w:color w:val="auto"/>
              </w:rPr>
              <w:t>2018</w:t>
            </w:r>
          </w:p>
        </w:tc>
        <w:tc>
          <w:tcPr>
            <w:tcW w:w="44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121,790</w:t>
            </w:r>
          </w:p>
        </w:tc>
        <w:tc>
          <w:tcPr>
            <w:tcW w:w="24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243,578</w:t>
            </w:r>
          </w:p>
        </w:tc>
        <w:tc>
          <w:tcPr>
            <w:tcW w:w="400" w:type="dxa"/>
            <w:vAlign w:val="bottom"/>
          </w:tcPr>
          <w:p>
            <w:pPr>
              <w:spacing w:after="0"/>
              <w:rPr>
                <w:sz w:val="20"/>
                <w:szCs w:val="20"/>
                <w:color w:val="auto"/>
              </w:rPr>
            </w:pPr>
          </w:p>
        </w:tc>
        <w:tc>
          <w:tcPr>
            <w:tcW w:w="2200" w:type="dxa"/>
            <w:vAlign w:val="bottom"/>
          </w:tcPr>
          <w:p>
            <w:pPr>
              <w:jc w:val="right"/>
              <w:ind w:right="28"/>
              <w:spacing w:after="0"/>
              <w:rPr>
                <w:sz w:val="20"/>
                <w:szCs w:val="20"/>
                <w:color w:val="auto"/>
              </w:rPr>
            </w:pPr>
            <w:r>
              <w:rPr>
                <w:rFonts w:ascii="Arial" w:cs="Arial" w:eastAsia="Arial" w:hAnsi="Arial"/>
                <w:sz w:val="14"/>
                <w:szCs w:val="14"/>
                <w:color w:val="auto"/>
              </w:rPr>
              <w:t>365,368</w:t>
            </w:r>
          </w:p>
        </w:tc>
      </w:tr>
      <w:tr>
        <w:trPr>
          <w:trHeight w:val="39"/>
        </w:trPr>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50"/>
        </w:trPr>
        <w:tc>
          <w:tcPr>
            <w:tcW w:w="1760" w:type="dxa"/>
            <w:vAlign w:val="bottom"/>
            <w:tcBorders>
              <w:bottom w:val="single" w:sz="8" w:color="ACACAC"/>
            </w:tcBorders>
            <w:shd w:val="clear" w:color="auto" w:fill="ACACAC"/>
          </w:tcPr>
          <w:p>
            <w:pPr>
              <w:spacing w:after="0"/>
              <w:rPr>
                <w:sz w:val="21"/>
                <w:szCs w:val="21"/>
                <w:color w:val="auto"/>
              </w:rPr>
            </w:pPr>
          </w:p>
        </w:tc>
        <w:tc>
          <w:tcPr>
            <w:tcW w:w="1140" w:type="dxa"/>
            <w:vAlign w:val="bottom"/>
            <w:tcBorders>
              <w:bottom w:val="single" w:sz="8" w:color="ACACAC"/>
            </w:tcBorders>
            <w:shd w:val="clear" w:color="auto" w:fill="ACACAC"/>
          </w:tcPr>
          <w:p>
            <w:pPr>
              <w:jc w:val="center"/>
              <w:ind w:left="428"/>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CACAC"/>
            </w:tcBorders>
            <w:shd w:val="clear" w:color="auto" w:fill="ACACAC"/>
          </w:tcPr>
          <w:p>
            <w:pPr>
              <w:spacing w:after="0"/>
              <w:rPr>
                <w:sz w:val="21"/>
                <w:szCs w:val="21"/>
                <w:color w:val="auto"/>
              </w:rPr>
            </w:pPr>
          </w:p>
        </w:tc>
        <w:tc>
          <w:tcPr>
            <w:tcW w:w="22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292,110</w:t>
            </w:r>
          </w:p>
        </w:tc>
        <w:tc>
          <w:tcPr>
            <w:tcW w:w="240" w:type="dxa"/>
            <w:vAlign w:val="bottom"/>
            <w:tcBorders>
              <w:bottom w:val="single" w:sz="8" w:color="ACACAC"/>
            </w:tcBorders>
            <w:shd w:val="clear" w:color="auto" w:fill="ACACAC"/>
          </w:tcPr>
          <w:p>
            <w:pPr>
              <w:spacing w:after="0"/>
              <w:rPr>
                <w:sz w:val="21"/>
                <w:szCs w:val="21"/>
                <w:color w:val="auto"/>
              </w:rPr>
            </w:pPr>
          </w:p>
        </w:tc>
        <w:tc>
          <w:tcPr>
            <w:tcW w:w="23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259,098</w:t>
            </w:r>
          </w:p>
        </w:tc>
        <w:tc>
          <w:tcPr>
            <w:tcW w:w="400" w:type="dxa"/>
            <w:vAlign w:val="bottom"/>
            <w:tcBorders>
              <w:bottom w:val="single" w:sz="8" w:color="ACACAC"/>
            </w:tcBorders>
            <w:shd w:val="clear" w:color="auto" w:fill="ACACAC"/>
          </w:tcPr>
          <w:p>
            <w:pPr>
              <w:spacing w:after="0"/>
              <w:rPr>
                <w:sz w:val="21"/>
                <w:szCs w:val="21"/>
                <w:color w:val="auto"/>
              </w:rPr>
            </w:pPr>
          </w:p>
        </w:tc>
        <w:tc>
          <w:tcPr>
            <w:tcW w:w="2200" w:type="dxa"/>
            <w:vAlign w:val="bottom"/>
            <w:tcBorders>
              <w:bottom w:val="single" w:sz="8" w:color="ACACAC"/>
            </w:tcBorders>
            <w:shd w:val="clear" w:color="auto" w:fill="ACACAC"/>
          </w:tcPr>
          <w:p>
            <w:pPr>
              <w:jc w:val="right"/>
              <w:ind w:right="28"/>
              <w:spacing w:after="0"/>
              <w:rPr>
                <w:sz w:val="20"/>
                <w:szCs w:val="20"/>
                <w:color w:val="auto"/>
              </w:rPr>
            </w:pPr>
            <w:r>
              <w:rPr>
                <w:rFonts w:ascii="Arial" w:cs="Arial" w:eastAsia="Arial" w:hAnsi="Arial"/>
                <w:sz w:val="14"/>
                <w:szCs w:val="14"/>
                <w:color w:val="auto"/>
              </w:rPr>
              <w:t>551,208</w:t>
            </w:r>
          </w:p>
        </w:tc>
      </w:tr>
      <w:tr>
        <w:trPr>
          <w:trHeight w:val="20"/>
        </w:trPr>
        <w:tc>
          <w:tcPr>
            <w:tcW w:w="17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r>
    </w:tbl>
    <w:p>
      <w:pPr>
        <w:spacing w:after="0" w:line="59" w:lineRule="exact"/>
        <w:rPr>
          <w:sz w:val="20"/>
          <w:szCs w:val="20"/>
          <w:color w:val="auto"/>
        </w:rPr>
      </w:pPr>
    </w:p>
    <w:p>
      <w:pPr>
        <w:jc w:val="both"/>
        <w:ind w:left="660" w:hanging="247"/>
        <w:spacing w:after="0" w:line="250" w:lineRule="auto"/>
        <w:tabs>
          <w:tab w:leader="none" w:pos="660" w:val="left"/>
        </w:tabs>
        <w:numPr>
          <w:ilvl w:val="0"/>
          <w:numId w:val="41"/>
        </w:numPr>
        <w:rPr>
          <w:rFonts w:ascii="Arial" w:cs="Arial" w:eastAsia="Arial" w:hAnsi="Arial"/>
          <w:sz w:val="13"/>
          <w:szCs w:val="13"/>
          <w:color w:val="auto"/>
        </w:rPr>
      </w:pPr>
      <w:r>
        <w:rPr>
          <w:rFonts w:ascii="Arial" w:cs="Arial" w:eastAsia="Arial" w:hAnsi="Arial"/>
          <w:sz w:val="14"/>
          <w:szCs w:val="14"/>
          <w:color w:val="auto"/>
        </w:rPr>
        <w:t>These amounts represent restricted stock and restricted stock units granted pursuant to the 2014 Plan computed in accordance with Accounting Standards Codification ("ASC") 718. The grant date fair value of each of the awards was determined at the closing price of the Company's shares on the NYSE on the grant date without regard to estimated forfeitures related to service-based vesting conditions.</w:t>
      </w:r>
    </w:p>
    <w:p>
      <w:pPr>
        <w:spacing w:after="0" w:line="37" w:lineRule="exact"/>
        <w:rPr>
          <w:rFonts w:ascii="Arial" w:cs="Arial" w:eastAsia="Arial" w:hAnsi="Arial"/>
          <w:sz w:val="13"/>
          <w:szCs w:val="13"/>
          <w:color w:val="auto"/>
        </w:rPr>
      </w:pPr>
    </w:p>
    <w:p>
      <w:pPr>
        <w:jc w:val="both"/>
        <w:ind w:left="660" w:hanging="247"/>
        <w:spacing w:after="0" w:line="245" w:lineRule="auto"/>
        <w:tabs>
          <w:tab w:leader="none" w:pos="660" w:val="left"/>
        </w:tabs>
        <w:numPr>
          <w:ilvl w:val="0"/>
          <w:numId w:val="41"/>
        </w:numPr>
        <w:rPr>
          <w:rFonts w:ascii="Arial" w:cs="Arial" w:eastAsia="Arial" w:hAnsi="Arial"/>
          <w:sz w:val="13"/>
          <w:szCs w:val="13"/>
          <w:color w:val="auto"/>
        </w:rPr>
      </w:pPr>
      <w:r>
        <w:rPr>
          <w:rFonts w:ascii="Arial" w:cs="Arial" w:eastAsia="Arial" w:hAnsi="Arial"/>
          <w:sz w:val="14"/>
          <w:szCs w:val="14"/>
          <w:color w:val="auto"/>
        </w:rPr>
        <w:t xml:space="preserve">The amounts shown represent the grant date fair value computed in accordance with ASC 718 of the LTIP / performance share awards. The amounts shown for Fiscal 2019-2021 LTIP represent the values that are based on achievement of 100% of the target performance. Assuming achievement of the maximum 200% of target performance, the value of the Fiscal 2019-2021 LTIP awards would be: $1,899,971 for Mr. Happe; $507,390 for Mr. Hughes; $435,748 for Ms. Bogart; and $525,142 for Mr. Hazelton. Assumptions used in the calculation of the amounts reported in this column are included in Note 13, </w:t>
      </w:r>
      <w:r>
        <w:rPr>
          <w:rFonts w:ascii="Arial" w:cs="Arial" w:eastAsia="Arial" w:hAnsi="Arial"/>
          <w:sz w:val="14"/>
          <w:szCs w:val="14"/>
          <w:i w:val="1"/>
          <w:iCs w:val="1"/>
          <w:color w:val="auto"/>
        </w:rPr>
        <w:t>Stock-Based Compensation Plans</w:t>
      </w:r>
      <w:r>
        <w:rPr>
          <w:rFonts w:ascii="Arial" w:cs="Arial" w:eastAsia="Arial" w:hAnsi="Arial"/>
          <w:sz w:val="14"/>
          <w:szCs w:val="14"/>
          <w:color w:val="auto"/>
        </w:rPr>
        <w:t>, of the Notes to the Consolidated Financial Statements included in our 2019 Form 10-K.</w:t>
      </w:r>
    </w:p>
    <w:p>
      <w:pPr>
        <w:sectPr>
          <w:pgSz w:w="11900" w:h="16838" w:orient="portrait"/>
          <w:cols w:equalWidth="0" w:num="1">
            <w:col w:w="11420"/>
          </w:cols>
          <w:pgMar w:left="240" w:top="303"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03" w:right="239" w:bottom="1440" w:gutter="0" w:footer="0" w:header="0"/>
          <w:type w:val="continuous"/>
        </w:sectPr>
      </w:pPr>
    </w:p>
    <w:bookmarkStart w:id="32" w:name="page33"/>
    <w:bookmarkEnd w:id="32"/>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660" w:hanging="247"/>
        <w:spacing w:after="0"/>
        <w:tabs>
          <w:tab w:leader="none" w:pos="660" w:val="left"/>
        </w:tabs>
        <w:numPr>
          <w:ilvl w:val="1"/>
          <w:numId w:val="42"/>
        </w:numPr>
        <w:rPr>
          <w:rFonts w:ascii="Arial" w:cs="Arial" w:eastAsia="Arial" w:hAnsi="Arial"/>
          <w:sz w:val="14"/>
          <w:szCs w:val="14"/>
          <w:color w:val="auto"/>
        </w:rPr>
      </w:pPr>
      <w:r>
        <w:rPr>
          <w:rFonts w:ascii="Arial" w:cs="Arial" w:eastAsia="Arial" w:hAnsi="Arial"/>
          <w:sz w:val="14"/>
          <w:szCs w:val="14"/>
          <w:color w:val="auto"/>
        </w:rPr>
        <w:t>Ms. Bogart joined the Company in January 2018.</w:t>
      </w:r>
    </w:p>
    <w:p>
      <w:pPr>
        <w:spacing w:after="0" w:line="55"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The amounts shown represent the aggregate grant date fair values of the option grants. Assumptions used in the calculation of the amounts reported in this column are included in Note 13, </w:t>
      </w:r>
      <w:r>
        <w:rPr>
          <w:rFonts w:ascii="Arial" w:cs="Arial" w:eastAsia="Arial" w:hAnsi="Arial"/>
          <w:sz w:val="14"/>
          <w:szCs w:val="14"/>
          <w:i w:val="1"/>
          <w:iCs w:val="1"/>
          <w:color w:val="auto"/>
        </w:rPr>
        <w:t>Stock-Based Compensation Plans</w:t>
      </w:r>
      <w:r>
        <w:rPr>
          <w:rFonts w:ascii="Arial" w:cs="Arial" w:eastAsia="Arial" w:hAnsi="Arial"/>
          <w:sz w:val="14"/>
          <w:szCs w:val="14"/>
          <w:color w:val="auto"/>
        </w:rPr>
        <w:t>, of the Notes to the Consolidated Financial Statements included in our 2019 Form 10-K.</w:t>
      </w:r>
    </w:p>
    <w:p>
      <w:pPr>
        <w:spacing w:after="0" w:line="32"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amounts represent actual annual incentive plan award payouts made in cash to NEOs under the 2017, 2018, and 2019 OICPs. In the case of Mr. Clark, these amounts do not represent award payouts under such OICPs, but instead represent award payouts under the pre-existing Grand Design Management Incentive Plan that he participates in. Mr. Hughes elected to defer into the Winnebago Industries Inc. Executive Deferral Compensation Plan 25% of his annual incentive plan payout for Fiscal 2019 and 15% of his annual incentive plan payout for Fiscal 2018.</w:t>
      </w:r>
    </w:p>
    <w:p>
      <w:pPr>
        <w:spacing w:after="0" w:line="39"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Amounts reported in this column for Fiscal 2019 include the following:</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176"/>
        </w:trPr>
        <w:tc>
          <w:tcPr>
            <w:tcW w:w="1500" w:type="dxa"/>
            <w:vAlign w:val="bottom"/>
            <w:shd w:val="clear" w:color="auto" w:fill="BF2115"/>
          </w:tcPr>
          <w:p>
            <w:pPr>
              <w:spacing w:after="0"/>
              <w:rPr>
                <w:sz w:val="15"/>
                <w:szCs w:val="15"/>
                <w:color w:val="auto"/>
              </w:rPr>
            </w:pPr>
          </w:p>
        </w:tc>
        <w:tc>
          <w:tcPr>
            <w:tcW w:w="460" w:type="dxa"/>
            <w:vAlign w:val="bottom"/>
            <w:shd w:val="clear" w:color="auto" w:fill="BF2115"/>
          </w:tcPr>
          <w:p>
            <w:pPr>
              <w:spacing w:after="0"/>
              <w:rPr>
                <w:sz w:val="15"/>
                <w:szCs w:val="15"/>
                <w:color w:val="auto"/>
              </w:rPr>
            </w:pPr>
          </w:p>
        </w:tc>
        <w:tc>
          <w:tcPr>
            <w:tcW w:w="1320" w:type="dxa"/>
            <w:vAlign w:val="bottom"/>
            <w:shd w:val="clear" w:color="auto" w:fill="BF2115"/>
          </w:tcPr>
          <w:p>
            <w:pPr>
              <w:jc w:val="right"/>
              <w:ind w:right="28"/>
              <w:spacing w:after="0"/>
              <w:rPr>
                <w:sz w:val="20"/>
                <w:szCs w:val="20"/>
                <w:color w:val="auto"/>
              </w:rPr>
            </w:pPr>
            <w:r>
              <w:rPr>
                <w:rFonts w:ascii="Arial" w:cs="Arial" w:eastAsia="Arial" w:hAnsi="Arial"/>
                <w:sz w:val="14"/>
                <w:szCs w:val="14"/>
                <w:b w:val="1"/>
                <w:bCs w:val="1"/>
                <w:color w:val="FFFFFF"/>
              </w:rPr>
              <w:t>Tax and Financial</w:t>
            </w:r>
          </w:p>
        </w:tc>
        <w:tc>
          <w:tcPr>
            <w:tcW w:w="200" w:type="dxa"/>
            <w:vAlign w:val="bottom"/>
            <w:shd w:val="clear" w:color="auto" w:fill="BF2115"/>
          </w:tcPr>
          <w:p>
            <w:pPr>
              <w:spacing w:after="0"/>
              <w:rPr>
                <w:sz w:val="15"/>
                <w:szCs w:val="15"/>
                <w:color w:val="auto"/>
              </w:rPr>
            </w:pPr>
          </w:p>
        </w:tc>
        <w:tc>
          <w:tcPr>
            <w:tcW w:w="1280" w:type="dxa"/>
            <w:vAlign w:val="bottom"/>
            <w:shd w:val="clear" w:color="auto" w:fill="BF2115"/>
          </w:tcPr>
          <w:p>
            <w:pPr>
              <w:spacing w:after="0"/>
              <w:rPr>
                <w:sz w:val="15"/>
                <w:szCs w:val="15"/>
                <w:color w:val="auto"/>
              </w:rPr>
            </w:pPr>
          </w:p>
        </w:tc>
        <w:tc>
          <w:tcPr>
            <w:tcW w:w="200" w:type="dxa"/>
            <w:vAlign w:val="bottom"/>
            <w:shd w:val="clear" w:color="auto" w:fill="BF2115"/>
          </w:tcPr>
          <w:p>
            <w:pPr>
              <w:spacing w:after="0"/>
              <w:rPr>
                <w:sz w:val="15"/>
                <w:szCs w:val="15"/>
                <w:color w:val="auto"/>
              </w:rPr>
            </w:pPr>
          </w:p>
        </w:tc>
        <w:tc>
          <w:tcPr>
            <w:tcW w:w="1280" w:type="dxa"/>
            <w:vAlign w:val="bottom"/>
            <w:shd w:val="clear" w:color="auto" w:fill="BF2115"/>
          </w:tcPr>
          <w:p>
            <w:pPr>
              <w:jc w:val="right"/>
              <w:ind w:right="148"/>
              <w:spacing w:after="0"/>
              <w:rPr>
                <w:sz w:val="20"/>
                <w:szCs w:val="20"/>
                <w:color w:val="auto"/>
              </w:rPr>
            </w:pPr>
            <w:r>
              <w:rPr>
                <w:rFonts w:ascii="Arial" w:cs="Arial" w:eastAsia="Arial" w:hAnsi="Arial"/>
                <w:sz w:val="14"/>
                <w:szCs w:val="14"/>
                <w:b w:val="1"/>
                <w:bCs w:val="1"/>
                <w:color w:val="FFFFFF"/>
              </w:rPr>
              <w:t>Life Insurance</w:t>
            </w:r>
          </w:p>
        </w:tc>
        <w:tc>
          <w:tcPr>
            <w:tcW w:w="220" w:type="dxa"/>
            <w:vAlign w:val="bottom"/>
            <w:shd w:val="clear" w:color="auto" w:fill="BF2115"/>
          </w:tcPr>
          <w:p>
            <w:pPr>
              <w:spacing w:after="0"/>
              <w:rPr>
                <w:sz w:val="15"/>
                <w:szCs w:val="15"/>
                <w:color w:val="auto"/>
              </w:rPr>
            </w:pPr>
          </w:p>
        </w:tc>
        <w:tc>
          <w:tcPr>
            <w:tcW w:w="1240" w:type="dxa"/>
            <w:vAlign w:val="bottom"/>
            <w:shd w:val="clear" w:color="auto" w:fill="BF2115"/>
          </w:tcPr>
          <w:p>
            <w:pPr>
              <w:spacing w:after="0"/>
              <w:rPr>
                <w:sz w:val="15"/>
                <w:szCs w:val="15"/>
                <w:color w:val="auto"/>
              </w:rPr>
            </w:pPr>
          </w:p>
        </w:tc>
        <w:tc>
          <w:tcPr>
            <w:tcW w:w="200" w:type="dxa"/>
            <w:vAlign w:val="bottom"/>
            <w:shd w:val="clear" w:color="auto" w:fill="BF2115"/>
          </w:tcPr>
          <w:p>
            <w:pPr>
              <w:spacing w:after="0"/>
              <w:rPr>
                <w:sz w:val="15"/>
                <w:szCs w:val="15"/>
                <w:color w:val="auto"/>
              </w:rPr>
            </w:pPr>
          </w:p>
        </w:tc>
        <w:tc>
          <w:tcPr>
            <w:tcW w:w="1300" w:type="dxa"/>
            <w:vAlign w:val="bottom"/>
            <w:shd w:val="clear" w:color="auto" w:fill="BF2115"/>
          </w:tcPr>
          <w:p>
            <w:pPr>
              <w:jc w:val="right"/>
              <w:ind w:right="168"/>
              <w:spacing w:after="0"/>
              <w:rPr>
                <w:sz w:val="20"/>
                <w:szCs w:val="20"/>
                <w:color w:val="auto"/>
              </w:rPr>
            </w:pPr>
            <w:r>
              <w:rPr>
                <w:rFonts w:ascii="Arial" w:cs="Arial" w:eastAsia="Arial" w:hAnsi="Arial"/>
                <w:sz w:val="14"/>
                <w:szCs w:val="14"/>
                <w:b w:val="1"/>
                <w:bCs w:val="1"/>
                <w:color w:val="FFFFFF"/>
              </w:rPr>
              <w:t>Total All Other</w:t>
            </w:r>
          </w:p>
        </w:tc>
      </w:tr>
      <w:tr>
        <w:trPr>
          <w:trHeight w:val="202"/>
        </w:trPr>
        <w:tc>
          <w:tcPr>
            <w:tcW w:w="1500" w:type="dxa"/>
            <w:vAlign w:val="bottom"/>
            <w:shd w:val="clear" w:color="auto" w:fill="BF2115"/>
          </w:tcPr>
          <w:p>
            <w:pPr>
              <w:ind w:left="720"/>
              <w:spacing w:after="0"/>
              <w:rPr>
                <w:sz w:val="20"/>
                <w:szCs w:val="20"/>
                <w:color w:val="auto"/>
              </w:rPr>
            </w:pPr>
            <w:r>
              <w:rPr>
                <w:rFonts w:ascii="Arial" w:cs="Arial" w:eastAsia="Arial" w:hAnsi="Arial"/>
                <w:sz w:val="14"/>
                <w:szCs w:val="14"/>
                <w:b w:val="1"/>
                <w:bCs w:val="1"/>
                <w:color w:val="FFFFFF"/>
              </w:rPr>
              <w:t>Name</w:t>
            </w:r>
          </w:p>
        </w:tc>
        <w:tc>
          <w:tcPr>
            <w:tcW w:w="460" w:type="dxa"/>
            <w:vAlign w:val="bottom"/>
            <w:shd w:val="clear" w:color="auto" w:fill="BF2115"/>
          </w:tcPr>
          <w:p>
            <w:pPr>
              <w:spacing w:after="0"/>
              <w:rPr>
                <w:sz w:val="17"/>
                <w:szCs w:val="17"/>
                <w:color w:val="auto"/>
              </w:rPr>
            </w:pPr>
          </w:p>
        </w:tc>
        <w:tc>
          <w:tcPr>
            <w:tcW w:w="1320" w:type="dxa"/>
            <w:vAlign w:val="bottom"/>
            <w:shd w:val="clear" w:color="auto" w:fill="BF2115"/>
          </w:tcPr>
          <w:p>
            <w:pPr>
              <w:jc w:val="right"/>
              <w:ind w:right="328"/>
              <w:spacing w:after="0"/>
              <w:rPr>
                <w:sz w:val="20"/>
                <w:szCs w:val="20"/>
                <w:color w:val="auto"/>
              </w:rPr>
            </w:pPr>
            <w:r>
              <w:rPr>
                <w:rFonts w:ascii="Arial" w:cs="Arial" w:eastAsia="Arial" w:hAnsi="Arial"/>
                <w:sz w:val="14"/>
                <w:szCs w:val="14"/>
                <w:b w:val="1"/>
                <w:bCs w:val="1"/>
                <w:color w:val="FFFFFF"/>
              </w:rPr>
              <w:t>Planning</w:t>
            </w:r>
          </w:p>
        </w:tc>
        <w:tc>
          <w:tcPr>
            <w:tcW w:w="200" w:type="dxa"/>
            <w:vAlign w:val="bottom"/>
            <w:shd w:val="clear" w:color="auto" w:fill="BF2115"/>
          </w:tcPr>
          <w:p>
            <w:pPr>
              <w:spacing w:after="0"/>
              <w:rPr>
                <w:sz w:val="17"/>
                <w:szCs w:val="17"/>
                <w:color w:val="auto"/>
              </w:rPr>
            </w:pPr>
          </w:p>
        </w:tc>
        <w:tc>
          <w:tcPr>
            <w:tcW w:w="1280" w:type="dxa"/>
            <w:vAlign w:val="bottom"/>
            <w:shd w:val="clear" w:color="auto" w:fill="BF2115"/>
          </w:tcPr>
          <w:p>
            <w:pPr>
              <w:jc w:val="right"/>
              <w:ind w:right="148"/>
              <w:spacing w:after="0"/>
              <w:rPr>
                <w:sz w:val="20"/>
                <w:szCs w:val="20"/>
                <w:color w:val="auto"/>
              </w:rPr>
            </w:pPr>
            <w:r>
              <w:rPr>
                <w:rFonts w:ascii="Arial" w:cs="Arial" w:eastAsia="Arial" w:hAnsi="Arial"/>
                <w:sz w:val="14"/>
                <w:szCs w:val="14"/>
                <w:b w:val="1"/>
                <w:bCs w:val="1"/>
                <w:color w:val="FFFFFF"/>
              </w:rPr>
              <w:t>Car Allowance</w:t>
            </w:r>
          </w:p>
        </w:tc>
        <w:tc>
          <w:tcPr>
            <w:tcW w:w="200" w:type="dxa"/>
            <w:vAlign w:val="bottom"/>
            <w:shd w:val="clear" w:color="auto" w:fill="BF2115"/>
          </w:tcPr>
          <w:p>
            <w:pPr>
              <w:spacing w:after="0"/>
              <w:rPr>
                <w:sz w:val="17"/>
                <w:szCs w:val="17"/>
                <w:color w:val="auto"/>
              </w:rPr>
            </w:pPr>
          </w:p>
        </w:tc>
        <w:tc>
          <w:tcPr>
            <w:tcW w:w="1280" w:type="dxa"/>
            <w:vAlign w:val="bottom"/>
            <w:shd w:val="clear" w:color="auto" w:fill="BF2115"/>
          </w:tcPr>
          <w:p>
            <w:pPr>
              <w:jc w:val="right"/>
              <w:ind w:right="288"/>
              <w:spacing w:after="0"/>
              <w:rPr>
                <w:sz w:val="20"/>
                <w:szCs w:val="20"/>
                <w:color w:val="auto"/>
              </w:rPr>
            </w:pPr>
            <w:r>
              <w:rPr>
                <w:rFonts w:ascii="Arial" w:cs="Arial" w:eastAsia="Arial" w:hAnsi="Arial"/>
                <w:sz w:val="14"/>
                <w:szCs w:val="14"/>
                <w:b w:val="1"/>
                <w:bCs w:val="1"/>
                <w:color w:val="FFFFFF"/>
              </w:rPr>
              <w:t>Premiums</w:t>
            </w:r>
          </w:p>
        </w:tc>
        <w:tc>
          <w:tcPr>
            <w:tcW w:w="220" w:type="dxa"/>
            <w:vAlign w:val="bottom"/>
            <w:shd w:val="clear" w:color="auto" w:fill="BF2115"/>
          </w:tcPr>
          <w:p>
            <w:pPr>
              <w:spacing w:after="0"/>
              <w:rPr>
                <w:sz w:val="17"/>
                <w:szCs w:val="17"/>
                <w:color w:val="auto"/>
              </w:rPr>
            </w:pPr>
          </w:p>
        </w:tc>
        <w:tc>
          <w:tcPr>
            <w:tcW w:w="1240" w:type="dxa"/>
            <w:vAlign w:val="bottom"/>
            <w:shd w:val="clear" w:color="auto" w:fill="BF2115"/>
          </w:tcPr>
          <w:p>
            <w:pPr>
              <w:jc w:val="right"/>
              <w:ind w:right="188"/>
              <w:spacing w:after="0"/>
              <w:rPr>
                <w:sz w:val="20"/>
                <w:szCs w:val="20"/>
                <w:color w:val="auto"/>
              </w:rPr>
            </w:pPr>
            <w:r>
              <w:rPr>
                <w:rFonts w:ascii="Arial" w:cs="Arial" w:eastAsia="Arial" w:hAnsi="Arial"/>
                <w:sz w:val="14"/>
                <w:szCs w:val="14"/>
                <w:b w:val="1"/>
                <w:bCs w:val="1"/>
                <w:color w:val="FFFFFF"/>
              </w:rPr>
              <w:t>401(k) Match</w:t>
            </w:r>
          </w:p>
        </w:tc>
        <w:tc>
          <w:tcPr>
            <w:tcW w:w="200" w:type="dxa"/>
            <w:vAlign w:val="bottom"/>
            <w:shd w:val="clear" w:color="auto" w:fill="BF2115"/>
          </w:tcPr>
          <w:p>
            <w:pPr>
              <w:spacing w:after="0"/>
              <w:rPr>
                <w:sz w:val="17"/>
                <w:szCs w:val="17"/>
                <w:color w:val="auto"/>
              </w:rPr>
            </w:pPr>
          </w:p>
        </w:tc>
        <w:tc>
          <w:tcPr>
            <w:tcW w:w="1300" w:type="dxa"/>
            <w:vAlign w:val="bottom"/>
            <w:shd w:val="clear" w:color="auto" w:fill="BF2115"/>
          </w:tcPr>
          <w:p>
            <w:pPr>
              <w:jc w:val="right"/>
              <w:ind w:right="128"/>
              <w:spacing w:after="0"/>
              <w:rPr>
                <w:sz w:val="20"/>
                <w:szCs w:val="20"/>
                <w:color w:val="auto"/>
              </w:rPr>
            </w:pPr>
            <w:r>
              <w:rPr>
                <w:rFonts w:ascii="Arial" w:cs="Arial" w:eastAsia="Arial" w:hAnsi="Arial"/>
                <w:sz w:val="14"/>
                <w:szCs w:val="14"/>
                <w:b w:val="1"/>
                <w:bCs w:val="1"/>
                <w:color w:val="FFFFFF"/>
              </w:rPr>
              <w:t>Compenstation</w:t>
            </w:r>
          </w:p>
        </w:tc>
      </w:tr>
      <w:tr>
        <w:trPr>
          <w:trHeight w:val="216"/>
        </w:trPr>
        <w:tc>
          <w:tcPr>
            <w:tcW w:w="1500" w:type="dxa"/>
            <w:vAlign w:val="bottom"/>
            <w:shd w:val="clear" w:color="auto" w:fill="ACACAC"/>
          </w:tcPr>
          <w:p>
            <w:pPr>
              <w:ind w:left="20"/>
              <w:spacing w:after="0"/>
              <w:rPr>
                <w:sz w:val="20"/>
                <w:szCs w:val="20"/>
                <w:color w:val="auto"/>
              </w:rPr>
            </w:pPr>
            <w:r>
              <w:rPr>
                <w:rFonts w:ascii="Arial" w:cs="Arial" w:eastAsia="Arial" w:hAnsi="Arial"/>
                <w:sz w:val="14"/>
                <w:szCs w:val="14"/>
                <w:color w:val="auto"/>
              </w:rPr>
              <w:t>Michael J. Happe</w:t>
            </w:r>
          </w:p>
        </w:tc>
        <w:tc>
          <w:tcPr>
            <w:tcW w:w="460" w:type="dxa"/>
            <w:vAlign w:val="bottom"/>
            <w:shd w:val="clear" w:color="auto" w:fill="ACACAC"/>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color w:val="auto"/>
              </w:rPr>
              <w:t>7,800</w:t>
            </w:r>
          </w:p>
        </w:tc>
        <w:tc>
          <w:tcPr>
            <w:tcW w:w="200" w:type="dxa"/>
            <w:vAlign w:val="bottom"/>
            <w:shd w:val="clear" w:color="auto" w:fill="ACACAC"/>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17,800</w:t>
            </w:r>
          </w:p>
        </w:tc>
        <w:tc>
          <w:tcPr>
            <w:tcW w:w="200" w:type="dxa"/>
            <w:vAlign w:val="bottom"/>
            <w:shd w:val="clear" w:color="auto" w:fill="ACACAC"/>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634</w:t>
            </w:r>
          </w:p>
        </w:tc>
        <w:tc>
          <w:tcPr>
            <w:tcW w:w="22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color w:val="auto"/>
              </w:rPr>
              <w:t>8,250</w:t>
            </w:r>
          </w:p>
        </w:tc>
        <w:tc>
          <w:tcPr>
            <w:tcW w:w="200" w:type="dxa"/>
            <w:vAlign w:val="bottom"/>
            <w:shd w:val="clear" w:color="auto" w:fill="ACACAC"/>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34,484</w:t>
            </w:r>
          </w:p>
        </w:tc>
      </w:tr>
      <w:tr>
        <w:trPr>
          <w:trHeight w:val="210"/>
        </w:trPr>
        <w:tc>
          <w:tcPr>
            <w:tcW w:w="1500" w:type="dxa"/>
            <w:vAlign w:val="bottom"/>
          </w:tcPr>
          <w:p>
            <w:pPr>
              <w:ind w:left="20"/>
              <w:spacing w:after="0"/>
              <w:rPr>
                <w:sz w:val="20"/>
                <w:szCs w:val="20"/>
                <w:color w:val="auto"/>
              </w:rPr>
            </w:pPr>
            <w:r>
              <w:rPr>
                <w:rFonts w:ascii="Arial" w:cs="Arial" w:eastAsia="Arial" w:hAnsi="Arial"/>
                <w:sz w:val="14"/>
                <w:szCs w:val="14"/>
                <w:color w:val="auto"/>
              </w:rPr>
              <w:t>Bryan L. Hughes</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7,800</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17,800</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810</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9,674</w:t>
            </w:r>
          </w:p>
        </w:tc>
        <w:tc>
          <w:tcPr>
            <w:tcW w:w="20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36,084</w:t>
            </w:r>
          </w:p>
        </w:tc>
      </w:tr>
      <w:tr>
        <w:trPr>
          <w:trHeight w:val="222"/>
        </w:trPr>
        <w:tc>
          <w:tcPr>
            <w:tcW w:w="1500" w:type="dxa"/>
            <w:vAlign w:val="bottom"/>
            <w:shd w:val="clear" w:color="auto" w:fill="ACACAC"/>
          </w:tcPr>
          <w:p>
            <w:pPr>
              <w:ind w:left="20"/>
              <w:spacing w:after="0"/>
              <w:rPr>
                <w:sz w:val="20"/>
                <w:szCs w:val="20"/>
                <w:color w:val="auto"/>
              </w:rPr>
            </w:pPr>
            <w:r>
              <w:rPr>
                <w:rFonts w:ascii="Arial" w:cs="Arial" w:eastAsia="Arial" w:hAnsi="Arial"/>
                <w:sz w:val="14"/>
                <w:szCs w:val="14"/>
                <w:color w:val="auto"/>
              </w:rPr>
              <w:t>Stacy L. Bogart</w:t>
            </w:r>
          </w:p>
        </w:tc>
        <w:tc>
          <w:tcPr>
            <w:tcW w:w="460" w:type="dxa"/>
            <w:vAlign w:val="bottom"/>
            <w:shd w:val="clear" w:color="auto" w:fill="ACACAC"/>
          </w:tcPr>
          <w:p>
            <w:pPr>
              <w:spacing w:after="0"/>
              <w:rPr>
                <w:sz w:val="19"/>
                <w:szCs w:val="19"/>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color w:val="auto"/>
              </w:rPr>
              <w:t>7,800</w:t>
            </w:r>
          </w:p>
        </w:tc>
        <w:tc>
          <w:tcPr>
            <w:tcW w:w="200" w:type="dxa"/>
            <w:vAlign w:val="bottom"/>
            <w:shd w:val="clear" w:color="auto" w:fill="ACACAC"/>
          </w:tcPr>
          <w:p>
            <w:pPr>
              <w:spacing w:after="0"/>
              <w:rPr>
                <w:sz w:val="19"/>
                <w:szCs w:val="19"/>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17,800</w:t>
            </w:r>
          </w:p>
        </w:tc>
        <w:tc>
          <w:tcPr>
            <w:tcW w:w="200" w:type="dxa"/>
            <w:vAlign w:val="bottom"/>
            <w:shd w:val="clear" w:color="auto" w:fill="ACACAC"/>
          </w:tcPr>
          <w:p>
            <w:pPr>
              <w:spacing w:after="0"/>
              <w:rPr>
                <w:sz w:val="19"/>
                <w:szCs w:val="19"/>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1,877</w:t>
            </w:r>
          </w:p>
        </w:tc>
        <w:tc>
          <w:tcPr>
            <w:tcW w:w="220" w:type="dxa"/>
            <w:vAlign w:val="bottom"/>
            <w:shd w:val="clear" w:color="auto" w:fill="ACACAC"/>
          </w:tcPr>
          <w:p>
            <w:pPr>
              <w:spacing w:after="0"/>
              <w:rPr>
                <w:sz w:val="19"/>
                <w:szCs w:val="19"/>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color w:val="auto"/>
              </w:rPr>
              <w:t>10,924</w:t>
            </w:r>
          </w:p>
        </w:tc>
        <w:tc>
          <w:tcPr>
            <w:tcW w:w="200" w:type="dxa"/>
            <w:vAlign w:val="bottom"/>
            <w:shd w:val="clear" w:color="auto" w:fill="ACACAC"/>
          </w:tcPr>
          <w:p>
            <w:pPr>
              <w:spacing w:after="0"/>
              <w:rPr>
                <w:sz w:val="19"/>
                <w:szCs w:val="19"/>
                <w:color w:val="auto"/>
              </w:rPr>
            </w:pPr>
          </w:p>
        </w:tc>
        <w:tc>
          <w:tcPr>
            <w:tcW w:w="130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38,401</w:t>
            </w:r>
          </w:p>
        </w:tc>
      </w:tr>
      <w:tr>
        <w:trPr>
          <w:trHeight w:val="210"/>
        </w:trPr>
        <w:tc>
          <w:tcPr>
            <w:tcW w:w="1500" w:type="dxa"/>
            <w:vAlign w:val="bottom"/>
          </w:tcPr>
          <w:p>
            <w:pPr>
              <w:ind w:left="20"/>
              <w:spacing w:after="0"/>
              <w:rPr>
                <w:sz w:val="20"/>
                <w:szCs w:val="20"/>
                <w:color w:val="auto"/>
              </w:rPr>
            </w:pPr>
            <w:r>
              <w:rPr>
                <w:rFonts w:ascii="Arial" w:cs="Arial" w:eastAsia="Arial" w:hAnsi="Arial"/>
                <w:sz w:val="14"/>
                <w:szCs w:val="14"/>
                <w:color w:val="auto"/>
              </w:rPr>
              <w:t>Donald J. Clark</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2"/>
        </w:trPr>
        <w:tc>
          <w:tcPr>
            <w:tcW w:w="1500" w:type="dxa"/>
            <w:vAlign w:val="bottom"/>
            <w:shd w:val="clear" w:color="auto" w:fill="ACACAC"/>
          </w:tcPr>
          <w:p>
            <w:pPr>
              <w:ind w:left="20"/>
              <w:spacing w:after="0"/>
              <w:rPr>
                <w:sz w:val="20"/>
                <w:szCs w:val="20"/>
                <w:color w:val="auto"/>
              </w:rPr>
            </w:pPr>
            <w:r>
              <w:rPr>
                <w:rFonts w:ascii="Arial" w:cs="Arial" w:eastAsia="Arial" w:hAnsi="Arial"/>
                <w:sz w:val="14"/>
                <w:szCs w:val="14"/>
                <w:color w:val="auto"/>
              </w:rPr>
              <w:t>Brian D. Hazelton</w:t>
            </w:r>
          </w:p>
        </w:tc>
        <w:tc>
          <w:tcPr>
            <w:tcW w:w="460" w:type="dxa"/>
            <w:vAlign w:val="bottom"/>
            <w:shd w:val="clear" w:color="auto" w:fill="ACACAC"/>
          </w:tcPr>
          <w:p>
            <w:pPr>
              <w:spacing w:after="0"/>
              <w:rPr>
                <w:sz w:val="19"/>
                <w:szCs w:val="19"/>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color w:val="auto"/>
              </w:rPr>
              <w:t>7,800</w:t>
            </w:r>
          </w:p>
        </w:tc>
        <w:tc>
          <w:tcPr>
            <w:tcW w:w="200" w:type="dxa"/>
            <w:vAlign w:val="bottom"/>
            <w:shd w:val="clear" w:color="auto" w:fill="ACACAC"/>
          </w:tcPr>
          <w:p>
            <w:pPr>
              <w:spacing w:after="0"/>
              <w:rPr>
                <w:sz w:val="19"/>
                <w:szCs w:val="19"/>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17,800</w:t>
            </w:r>
          </w:p>
        </w:tc>
        <w:tc>
          <w:tcPr>
            <w:tcW w:w="200" w:type="dxa"/>
            <w:vAlign w:val="bottom"/>
            <w:shd w:val="clear" w:color="auto" w:fill="ACACAC"/>
          </w:tcPr>
          <w:p>
            <w:pPr>
              <w:spacing w:after="0"/>
              <w:rPr>
                <w:sz w:val="19"/>
                <w:szCs w:val="19"/>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1,020</w:t>
            </w:r>
          </w:p>
        </w:tc>
        <w:tc>
          <w:tcPr>
            <w:tcW w:w="220" w:type="dxa"/>
            <w:vAlign w:val="bottom"/>
            <w:shd w:val="clear" w:color="auto" w:fill="ACACAC"/>
          </w:tcPr>
          <w:p>
            <w:pPr>
              <w:spacing w:after="0"/>
              <w:rPr>
                <w:sz w:val="19"/>
                <w:szCs w:val="19"/>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color w:val="auto"/>
              </w:rPr>
              <w:t>9,915</w:t>
            </w:r>
          </w:p>
        </w:tc>
        <w:tc>
          <w:tcPr>
            <w:tcW w:w="200" w:type="dxa"/>
            <w:vAlign w:val="bottom"/>
            <w:shd w:val="clear" w:color="auto" w:fill="ACACAC"/>
          </w:tcPr>
          <w:p>
            <w:pPr>
              <w:spacing w:after="0"/>
              <w:rPr>
                <w:sz w:val="19"/>
                <w:szCs w:val="19"/>
                <w:color w:val="auto"/>
              </w:rPr>
            </w:pPr>
          </w:p>
        </w:tc>
        <w:tc>
          <w:tcPr>
            <w:tcW w:w="130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36,535</w:t>
            </w:r>
          </w:p>
        </w:tc>
      </w:tr>
    </w:tbl>
    <w:p>
      <w:pPr>
        <w:spacing w:after="0" w:line="275" w:lineRule="exact"/>
        <w:rPr>
          <w:sz w:val="20"/>
          <w:szCs w:val="20"/>
          <w:color w:val="auto"/>
        </w:rPr>
      </w:pPr>
    </w:p>
    <w:p>
      <w:pPr>
        <w:ind w:left="340" w:right="20" w:hanging="332"/>
        <w:spacing w:after="0" w:line="258"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amounts for Fiscal 2019 represent an incremental payment paid pursuant to the OICP awards as described under "Annual Incentive Plan - Officers' Incentive Compensation Plan (OICP)" in the CD&amp;A.</w:t>
      </w:r>
    </w:p>
    <w:p>
      <w:pPr>
        <w:spacing w:after="0" w:line="32"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Ms. Bogart received a new hire stock award of 10,000 shares of restricted stock on January 2, 2018 and a pro-rated Fiscal 2018-2020 LTIP award with a target value of 3,303 shares. She also received a sign-on bonus of $50,000 on January 2, 2018.</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828282"/>
        </w:rPr>
        <w:t>Grants of Plan-Based Awards Table</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provides additional information relating to plan-based awards granted to our NEOs in Fiscal 2019. Actual payouts were made to the NEOs under the 2014 Plan and the Fiscal 2019 OICP and awards were granted under the Fiscal 2019-2021 LTIP as discussed under "Compensation Discussion and Analysis-Annual Incentive Plan," "Fiscal 2019 OICP," and "Fiscal 2019 Equity Awards," respectively, above.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040" w:type="dxa"/>
            <w:vAlign w:val="bottom"/>
            <w:shd w:val="clear" w:color="auto" w:fill="BF2115"/>
          </w:tcPr>
          <w:p>
            <w:pPr>
              <w:spacing w:after="0"/>
              <w:rPr>
                <w:sz w:val="11"/>
                <w:szCs w:val="11"/>
                <w:color w:val="auto"/>
              </w:rPr>
            </w:pPr>
          </w:p>
        </w:tc>
        <w:tc>
          <w:tcPr>
            <w:tcW w:w="400" w:type="dxa"/>
            <w:vAlign w:val="bottom"/>
            <w:shd w:val="clear" w:color="auto" w:fill="BF2115"/>
          </w:tcPr>
          <w:p>
            <w:pPr>
              <w:spacing w:after="0"/>
              <w:rPr>
                <w:sz w:val="11"/>
                <w:szCs w:val="11"/>
                <w:color w:val="auto"/>
              </w:rPr>
            </w:pPr>
          </w:p>
        </w:tc>
        <w:tc>
          <w:tcPr>
            <w:tcW w:w="700" w:type="dxa"/>
            <w:vAlign w:val="bottom"/>
            <w:shd w:val="clear" w:color="auto" w:fill="BF2115"/>
          </w:tcPr>
          <w:p>
            <w:pPr>
              <w:spacing w:after="0"/>
              <w:rPr>
                <w:sz w:val="11"/>
                <w:szCs w:val="11"/>
                <w:color w:val="auto"/>
              </w:rPr>
            </w:pPr>
          </w:p>
        </w:tc>
        <w:tc>
          <w:tcPr>
            <w:tcW w:w="780" w:type="dxa"/>
            <w:vAlign w:val="bottom"/>
            <w:shd w:val="clear" w:color="auto" w:fill="BF2115"/>
          </w:tcPr>
          <w:p>
            <w:pPr>
              <w:spacing w:after="0"/>
              <w:rPr>
                <w:sz w:val="11"/>
                <w:szCs w:val="11"/>
                <w:color w:val="auto"/>
              </w:rPr>
            </w:pPr>
          </w:p>
        </w:tc>
        <w:tc>
          <w:tcPr>
            <w:tcW w:w="980" w:type="dxa"/>
            <w:vAlign w:val="bottom"/>
            <w:shd w:val="clear" w:color="auto" w:fill="BF2115"/>
          </w:tcPr>
          <w:p>
            <w:pPr>
              <w:spacing w:after="0"/>
              <w:rPr>
                <w:sz w:val="11"/>
                <w:szCs w:val="11"/>
                <w:color w:val="auto"/>
              </w:rPr>
            </w:pPr>
          </w:p>
        </w:tc>
        <w:tc>
          <w:tcPr>
            <w:tcW w:w="900" w:type="dxa"/>
            <w:vAlign w:val="bottom"/>
            <w:shd w:val="clear" w:color="auto" w:fill="BF2115"/>
          </w:tcPr>
          <w:p>
            <w:pPr>
              <w:spacing w:after="0"/>
              <w:rPr>
                <w:sz w:val="11"/>
                <w:szCs w:val="11"/>
                <w:color w:val="auto"/>
              </w:rPr>
            </w:pPr>
          </w:p>
        </w:tc>
        <w:tc>
          <w:tcPr>
            <w:tcW w:w="880" w:type="dxa"/>
            <w:vAlign w:val="bottom"/>
            <w:shd w:val="clear" w:color="auto" w:fill="BF2115"/>
          </w:tcPr>
          <w:p>
            <w:pPr>
              <w:spacing w:after="0"/>
              <w:rPr>
                <w:sz w:val="11"/>
                <w:szCs w:val="11"/>
                <w:color w:val="auto"/>
              </w:rPr>
            </w:pPr>
          </w:p>
        </w:tc>
        <w:tc>
          <w:tcPr>
            <w:tcW w:w="840" w:type="dxa"/>
            <w:vAlign w:val="bottom"/>
            <w:shd w:val="clear" w:color="auto" w:fill="BF2115"/>
          </w:tcPr>
          <w:p>
            <w:pPr>
              <w:spacing w:after="0"/>
              <w:rPr>
                <w:sz w:val="11"/>
                <w:szCs w:val="11"/>
                <w:color w:val="auto"/>
              </w:rPr>
            </w:pPr>
          </w:p>
        </w:tc>
        <w:tc>
          <w:tcPr>
            <w:tcW w:w="740" w:type="dxa"/>
            <w:vAlign w:val="bottom"/>
            <w:shd w:val="clear" w:color="auto" w:fill="BF2115"/>
          </w:tcPr>
          <w:p>
            <w:pPr>
              <w:spacing w:after="0"/>
              <w:rPr>
                <w:sz w:val="11"/>
                <w:szCs w:val="11"/>
                <w:color w:val="auto"/>
              </w:rPr>
            </w:pPr>
          </w:p>
        </w:tc>
        <w:tc>
          <w:tcPr>
            <w:tcW w:w="740" w:type="dxa"/>
            <w:vAlign w:val="bottom"/>
            <w:shd w:val="clear" w:color="auto" w:fill="BF2115"/>
          </w:tcPr>
          <w:p>
            <w:pPr>
              <w:spacing w:after="0"/>
              <w:rPr>
                <w:sz w:val="11"/>
                <w:szCs w:val="11"/>
                <w:color w:val="auto"/>
              </w:rPr>
            </w:pPr>
          </w:p>
        </w:tc>
        <w:tc>
          <w:tcPr>
            <w:tcW w:w="82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All Other</w:t>
            </w:r>
          </w:p>
        </w:tc>
        <w:tc>
          <w:tcPr>
            <w:tcW w:w="92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All Other Option</w:t>
            </w:r>
          </w:p>
        </w:tc>
        <w:tc>
          <w:tcPr>
            <w:tcW w:w="780" w:type="dxa"/>
            <w:vAlign w:val="bottom"/>
            <w:shd w:val="clear" w:color="auto" w:fill="BF2115"/>
          </w:tcPr>
          <w:p>
            <w:pPr>
              <w:spacing w:after="0"/>
              <w:rPr>
                <w:sz w:val="11"/>
                <w:szCs w:val="11"/>
                <w:color w:val="auto"/>
              </w:rPr>
            </w:pPr>
          </w:p>
        </w:tc>
        <w:tc>
          <w:tcPr>
            <w:tcW w:w="900" w:type="dxa"/>
            <w:vAlign w:val="bottom"/>
            <w:shd w:val="clear" w:color="auto" w:fill="BF2115"/>
          </w:tcPr>
          <w:p>
            <w:pPr>
              <w:spacing w:after="0"/>
              <w:rPr>
                <w:sz w:val="11"/>
                <w:szCs w:val="11"/>
                <w:color w:val="auto"/>
              </w:rPr>
            </w:pPr>
          </w:p>
        </w:tc>
      </w:tr>
      <w:tr>
        <w:trPr>
          <w:trHeight w:val="123"/>
        </w:trPr>
        <w:tc>
          <w:tcPr>
            <w:tcW w:w="1040" w:type="dxa"/>
            <w:vAlign w:val="bottom"/>
            <w:shd w:val="clear" w:color="auto" w:fill="BF2115"/>
          </w:tcPr>
          <w:p>
            <w:pPr>
              <w:spacing w:after="0"/>
              <w:rPr>
                <w:sz w:val="10"/>
                <w:szCs w:val="10"/>
                <w:color w:val="auto"/>
              </w:rPr>
            </w:pPr>
          </w:p>
        </w:tc>
        <w:tc>
          <w:tcPr>
            <w:tcW w:w="400" w:type="dxa"/>
            <w:vAlign w:val="bottom"/>
            <w:shd w:val="clear" w:color="auto" w:fill="BF2115"/>
          </w:tcPr>
          <w:p>
            <w:pPr>
              <w:spacing w:after="0"/>
              <w:rPr>
                <w:sz w:val="10"/>
                <w:szCs w:val="10"/>
                <w:color w:val="auto"/>
              </w:rPr>
            </w:pPr>
          </w:p>
        </w:tc>
        <w:tc>
          <w:tcPr>
            <w:tcW w:w="700" w:type="dxa"/>
            <w:vAlign w:val="bottom"/>
            <w:shd w:val="clear" w:color="auto" w:fill="BF2115"/>
          </w:tcPr>
          <w:p>
            <w:pPr>
              <w:spacing w:after="0"/>
              <w:rPr>
                <w:sz w:val="10"/>
                <w:szCs w:val="10"/>
                <w:color w:val="auto"/>
              </w:rPr>
            </w:pPr>
          </w:p>
        </w:tc>
        <w:tc>
          <w:tcPr>
            <w:tcW w:w="780" w:type="dxa"/>
            <w:vAlign w:val="bottom"/>
            <w:shd w:val="clear" w:color="auto" w:fill="BF2115"/>
          </w:tcPr>
          <w:p>
            <w:pPr>
              <w:spacing w:after="0"/>
              <w:rPr>
                <w:sz w:val="10"/>
                <w:szCs w:val="10"/>
                <w:color w:val="auto"/>
              </w:rPr>
            </w:pPr>
          </w:p>
        </w:tc>
        <w:tc>
          <w:tcPr>
            <w:tcW w:w="2760" w:type="dxa"/>
            <w:vAlign w:val="bottom"/>
            <w:gridSpan w:val="3"/>
            <w:shd w:val="clear" w:color="auto" w:fill="BF2115"/>
          </w:tcPr>
          <w:p>
            <w:pPr>
              <w:jc w:val="center"/>
              <w:spacing w:after="0" w:line="123" w:lineRule="exact"/>
              <w:rPr>
                <w:sz w:val="20"/>
                <w:szCs w:val="20"/>
                <w:color w:val="auto"/>
              </w:rPr>
            </w:pPr>
            <w:r>
              <w:rPr>
                <w:rFonts w:ascii="Arial" w:cs="Arial" w:eastAsia="Arial" w:hAnsi="Arial"/>
                <w:sz w:val="11"/>
                <w:szCs w:val="11"/>
                <w:b w:val="1"/>
                <w:bCs w:val="1"/>
                <w:color w:val="FFFFFF"/>
                <w:w w:val="98"/>
              </w:rPr>
              <w:t>Estimated Future Payouts Under</w:t>
            </w:r>
          </w:p>
        </w:tc>
        <w:tc>
          <w:tcPr>
            <w:tcW w:w="2320" w:type="dxa"/>
            <w:vAlign w:val="bottom"/>
            <w:gridSpan w:val="3"/>
            <w:shd w:val="clear" w:color="auto" w:fill="BF2115"/>
          </w:tcPr>
          <w:p>
            <w:pPr>
              <w:jc w:val="center"/>
              <w:ind w:left="6"/>
              <w:spacing w:after="0" w:line="123" w:lineRule="exact"/>
              <w:rPr>
                <w:sz w:val="20"/>
                <w:szCs w:val="20"/>
                <w:color w:val="auto"/>
              </w:rPr>
            </w:pPr>
            <w:r>
              <w:rPr>
                <w:rFonts w:ascii="Arial" w:cs="Arial" w:eastAsia="Arial" w:hAnsi="Arial"/>
                <w:sz w:val="11"/>
                <w:szCs w:val="11"/>
                <w:b w:val="1"/>
                <w:bCs w:val="1"/>
                <w:color w:val="FFFFFF"/>
                <w:w w:val="98"/>
              </w:rPr>
              <w:t>Estimated Future Payouts</w:t>
            </w:r>
          </w:p>
        </w:tc>
        <w:tc>
          <w:tcPr>
            <w:tcW w:w="820" w:type="dxa"/>
            <w:vAlign w:val="bottom"/>
            <w:shd w:val="clear" w:color="auto" w:fill="BF2115"/>
          </w:tcPr>
          <w:p>
            <w:pPr>
              <w:jc w:val="center"/>
              <w:spacing w:after="0" w:line="123" w:lineRule="exact"/>
              <w:rPr>
                <w:sz w:val="20"/>
                <w:szCs w:val="20"/>
                <w:color w:val="auto"/>
              </w:rPr>
            </w:pPr>
            <w:r>
              <w:rPr>
                <w:rFonts w:ascii="Arial" w:cs="Arial" w:eastAsia="Arial" w:hAnsi="Arial"/>
                <w:sz w:val="11"/>
                <w:szCs w:val="11"/>
                <w:b w:val="1"/>
                <w:bCs w:val="1"/>
                <w:color w:val="FFFFFF"/>
                <w:w w:val="99"/>
              </w:rPr>
              <w:t>Stock</w:t>
            </w:r>
          </w:p>
        </w:tc>
        <w:tc>
          <w:tcPr>
            <w:tcW w:w="920" w:type="dxa"/>
            <w:vAlign w:val="bottom"/>
            <w:shd w:val="clear" w:color="auto" w:fill="BF2115"/>
          </w:tcPr>
          <w:p>
            <w:pPr>
              <w:jc w:val="center"/>
              <w:spacing w:after="0" w:line="123" w:lineRule="exact"/>
              <w:rPr>
                <w:sz w:val="20"/>
                <w:szCs w:val="20"/>
                <w:color w:val="auto"/>
              </w:rPr>
            </w:pPr>
            <w:r>
              <w:rPr>
                <w:rFonts w:ascii="Arial" w:cs="Arial" w:eastAsia="Arial" w:hAnsi="Arial"/>
                <w:sz w:val="11"/>
                <w:szCs w:val="11"/>
                <w:b w:val="1"/>
                <w:bCs w:val="1"/>
                <w:color w:val="FFFFFF"/>
              </w:rPr>
              <w:t>Awards:</w:t>
            </w:r>
          </w:p>
        </w:tc>
        <w:tc>
          <w:tcPr>
            <w:tcW w:w="780" w:type="dxa"/>
            <w:vAlign w:val="bottom"/>
            <w:shd w:val="clear" w:color="auto" w:fill="BF2115"/>
          </w:tcPr>
          <w:p>
            <w:pPr>
              <w:spacing w:after="0"/>
              <w:rPr>
                <w:sz w:val="10"/>
                <w:szCs w:val="10"/>
                <w:color w:val="auto"/>
              </w:rPr>
            </w:pPr>
          </w:p>
        </w:tc>
        <w:tc>
          <w:tcPr>
            <w:tcW w:w="900" w:type="dxa"/>
            <w:vAlign w:val="bottom"/>
            <w:shd w:val="clear" w:color="auto" w:fill="BF2115"/>
          </w:tcPr>
          <w:p>
            <w:pPr>
              <w:spacing w:after="0"/>
              <w:rPr>
                <w:sz w:val="10"/>
                <w:szCs w:val="10"/>
                <w:color w:val="auto"/>
              </w:rPr>
            </w:pPr>
          </w:p>
        </w:tc>
      </w:tr>
      <w:tr>
        <w:trPr>
          <w:trHeight w:val="122"/>
        </w:trPr>
        <w:tc>
          <w:tcPr>
            <w:tcW w:w="1040" w:type="dxa"/>
            <w:vAlign w:val="bottom"/>
            <w:shd w:val="clear" w:color="auto" w:fill="BF2115"/>
          </w:tcPr>
          <w:p>
            <w:pPr>
              <w:spacing w:after="0"/>
              <w:rPr>
                <w:sz w:val="10"/>
                <w:szCs w:val="10"/>
                <w:color w:val="auto"/>
              </w:rPr>
            </w:pPr>
          </w:p>
        </w:tc>
        <w:tc>
          <w:tcPr>
            <w:tcW w:w="400" w:type="dxa"/>
            <w:vAlign w:val="bottom"/>
            <w:shd w:val="clear" w:color="auto" w:fill="BF2115"/>
          </w:tcPr>
          <w:p>
            <w:pPr>
              <w:spacing w:after="0"/>
              <w:rPr>
                <w:sz w:val="10"/>
                <w:szCs w:val="10"/>
                <w:color w:val="auto"/>
              </w:rPr>
            </w:pPr>
          </w:p>
        </w:tc>
        <w:tc>
          <w:tcPr>
            <w:tcW w:w="700" w:type="dxa"/>
            <w:vAlign w:val="bottom"/>
            <w:shd w:val="clear" w:color="auto" w:fill="BF2115"/>
          </w:tcPr>
          <w:p>
            <w:pPr>
              <w:spacing w:after="0"/>
              <w:rPr>
                <w:sz w:val="10"/>
                <w:szCs w:val="10"/>
                <w:color w:val="auto"/>
              </w:rPr>
            </w:pPr>
          </w:p>
        </w:tc>
        <w:tc>
          <w:tcPr>
            <w:tcW w:w="780" w:type="dxa"/>
            <w:vAlign w:val="bottom"/>
            <w:shd w:val="clear" w:color="auto" w:fill="BF2115"/>
          </w:tcPr>
          <w:p>
            <w:pPr>
              <w:spacing w:after="0"/>
              <w:rPr>
                <w:sz w:val="10"/>
                <w:szCs w:val="10"/>
                <w:color w:val="auto"/>
              </w:rPr>
            </w:pPr>
          </w:p>
        </w:tc>
        <w:tc>
          <w:tcPr>
            <w:tcW w:w="2760" w:type="dxa"/>
            <w:vAlign w:val="bottom"/>
            <w:gridSpan w:val="3"/>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8"/>
              </w:rPr>
              <w:t>Non-Equity Incentive Plan Awards</w:t>
            </w:r>
            <w:r>
              <w:rPr>
                <w:rFonts w:ascii="Arial" w:cs="Arial" w:eastAsia="Arial" w:hAnsi="Arial"/>
                <w:sz w:val="7"/>
                <w:szCs w:val="7"/>
                <w:color w:val="FFFFFF"/>
                <w:w w:val="98"/>
              </w:rPr>
              <w:t>(1)</w:t>
            </w:r>
          </w:p>
        </w:tc>
        <w:tc>
          <w:tcPr>
            <w:tcW w:w="2320" w:type="dxa"/>
            <w:vAlign w:val="bottom"/>
            <w:gridSpan w:val="3"/>
            <w:shd w:val="clear" w:color="auto" w:fill="BF2115"/>
          </w:tcPr>
          <w:p>
            <w:pPr>
              <w:jc w:val="center"/>
              <w:ind w:left="6"/>
              <w:spacing w:after="0" w:line="122" w:lineRule="exact"/>
              <w:rPr>
                <w:sz w:val="20"/>
                <w:szCs w:val="20"/>
                <w:color w:val="auto"/>
              </w:rPr>
            </w:pPr>
            <w:r>
              <w:rPr>
                <w:rFonts w:ascii="Arial" w:cs="Arial" w:eastAsia="Arial" w:hAnsi="Arial"/>
                <w:sz w:val="11"/>
                <w:szCs w:val="11"/>
                <w:b w:val="1"/>
                <w:bCs w:val="1"/>
                <w:color w:val="FFFFFF"/>
                <w:w w:val="98"/>
              </w:rPr>
              <w:t>Under Equity Incentive Plan Awards</w:t>
            </w:r>
            <w:r>
              <w:rPr>
                <w:rFonts w:ascii="Arial" w:cs="Arial" w:eastAsia="Arial" w:hAnsi="Arial"/>
                <w:sz w:val="7"/>
                <w:szCs w:val="7"/>
                <w:color w:val="FFFFFF"/>
                <w:w w:val="98"/>
              </w:rPr>
              <w:t>(2)</w:t>
            </w:r>
          </w:p>
        </w:tc>
        <w:tc>
          <w:tcPr>
            <w:tcW w:w="82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6"/>
              </w:rPr>
              <w:t>Awards:</w:t>
            </w:r>
          </w:p>
        </w:tc>
        <w:tc>
          <w:tcPr>
            <w:tcW w:w="92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8"/>
              </w:rPr>
              <w:t>Number of</w:t>
            </w:r>
          </w:p>
        </w:tc>
        <w:tc>
          <w:tcPr>
            <w:tcW w:w="78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7"/>
              </w:rPr>
              <w:t>Exercise or</w:t>
            </w:r>
          </w:p>
        </w:tc>
        <w:tc>
          <w:tcPr>
            <w:tcW w:w="90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8"/>
              </w:rPr>
              <w:t>Grant Date Fair</w:t>
            </w:r>
          </w:p>
        </w:tc>
      </w:tr>
      <w:tr>
        <w:trPr>
          <w:trHeight w:val="120"/>
        </w:trPr>
        <w:tc>
          <w:tcPr>
            <w:tcW w:w="1040" w:type="dxa"/>
            <w:vAlign w:val="bottom"/>
            <w:shd w:val="clear" w:color="auto" w:fill="BF2115"/>
          </w:tcPr>
          <w:p>
            <w:pPr>
              <w:spacing w:after="0"/>
              <w:rPr>
                <w:sz w:val="10"/>
                <w:szCs w:val="10"/>
                <w:color w:val="auto"/>
              </w:rPr>
            </w:pPr>
          </w:p>
        </w:tc>
        <w:tc>
          <w:tcPr>
            <w:tcW w:w="400" w:type="dxa"/>
            <w:vAlign w:val="bottom"/>
            <w:shd w:val="clear" w:color="auto" w:fill="BF2115"/>
          </w:tcPr>
          <w:p>
            <w:pPr>
              <w:spacing w:after="0"/>
              <w:rPr>
                <w:sz w:val="10"/>
                <w:szCs w:val="10"/>
                <w:color w:val="auto"/>
              </w:rPr>
            </w:pPr>
          </w:p>
        </w:tc>
        <w:tc>
          <w:tcPr>
            <w:tcW w:w="700" w:type="dxa"/>
            <w:vAlign w:val="bottom"/>
            <w:shd w:val="clear" w:color="auto" w:fill="BF2115"/>
          </w:tcPr>
          <w:p>
            <w:pPr>
              <w:spacing w:after="0"/>
              <w:rPr>
                <w:sz w:val="10"/>
                <w:szCs w:val="10"/>
                <w:color w:val="auto"/>
              </w:rPr>
            </w:pPr>
          </w:p>
        </w:tc>
        <w:tc>
          <w:tcPr>
            <w:tcW w:w="780" w:type="dxa"/>
            <w:vAlign w:val="bottom"/>
            <w:shd w:val="clear" w:color="auto" w:fill="BF2115"/>
          </w:tcPr>
          <w:p>
            <w:pPr>
              <w:spacing w:after="0"/>
              <w:rPr>
                <w:sz w:val="10"/>
                <w:szCs w:val="10"/>
                <w:color w:val="auto"/>
              </w:rPr>
            </w:pPr>
          </w:p>
        </w:tc>
        <w:tc>
          <w:tcPr>
            <w:tcW w:w="980" w:type="dxa"/>
            <w:vAlign w:val="bottom"/>
            <w:shd w:val="clear" w:color="auto" w:fill="BF2115"/>
          </w:tcPr>
          <w:p>
            <w:pPr>
              <w:spacing w:after="0"/>
              <w:rPr>
                <w:sz w:val="10"/>
                <w:szCs w:val="10"/>
                <w:color w:val="auto"/>
              </w:rPr>
            </w:pPr>
          </w:p>
        </w:tc>
        <w:tc>
          <w:tcPr>
            <w:tcW w:w="900" w:type="dxa"/>
            <w:vAlign w:val="bottom"/>
            <w:shd w:val="clear" w:color="auto" w:fill="BF2115"/>
          </w:tcPr>
          <w:p>
            <w:pPr>
              <w:spacing w:after="0"/>
              <w:rPr>
                <w:sz w:val="10"/>
                <w:szCs w:val="10"/>
                <w:color w:val="auto"/>
              </w:rPr>
            </w:pPr>
          </w:p>
        </w:tc>
        <w:tc>
          <w:tcPr>
            <w:tcW w:w="880" w:type="dxa"/>
            <w:vAlign w:val="bottom"/>
            <w:shd w:val="clear" w:color="auto" w:fill="BF2115"/>
          </w:tcPr>
          <w:p>
            <w:pPr>
              <w:spacing w:after="0"/>
              <w:rPr>
                <w:sz w:val="10"/>
                <w:szCs w:val="10"/>
                <w:color w:val="auto"/>
              </w:rPr>
            </w:pPr>
          </w:p>
        </w:tc>
        <w:tc>
          <w:tcPr>
            <w:tcW w:w="840" w:type="dxa"/>
            <w:vAlign w:val="bottom"/>
            <w:shd w:val="clear" w:color="auto" w:fill="BF2115"/>
          </w:tcPr>
          <w:p>
            <w:pPr>
              <w:spacing w:after="0"/>
              <w:rPr>
                <w:sz w:val="10"/>
                <w:szCs w:val="10"/>
                <w:color w:val="auto"/>
              </w:rPr>
            </w:pPr>
          </w:p>
        </w:tc>
        <w:tc>
          <w:tcPr>
            <w:tcW w:w="740" w:type="dxa"/>
            <w:vAlign w:val="bottom"/>
            <w:shd w:val="clear" w:color="auto" w:fill="BF2115"/>
          </w:tcPr>
          <w:p>
            <w:pPr>
              <w:spacing w:after="0"/>
              <w:rPr>
                <w:sz w:val="10"/>
                <w:szCs w:val="10"/>
                <w:color w:val="auto"/>
              </w:rPr>
            </w:pPr>
          </w:p>
        </w:tc>
        <w:tc>
          <w:tcPr>
            <w:tcW w:w="740" w:type="dxa"/>
            <w:vAlign w:val="bottom"/>
            <w:shd w:val="clear" w:color="auto" w:fill="BF2115"/>
          </w:tcPr>
          <w:p>
            <w:pPr>
              <w:spacing w:after="0"/>
              <w:rPr>
                <w:sz w:val="10"/>
                <w:szCs w:val="10"/>
                <w:color w:val="auto"/>
              </w:rPr>
            </w:pPr>
          </w:p>
        </w:tc>
        <w:tc>
          <w:tcPr>
            <w:tcW w:w="820" w:type="dxa"/>
            <w:vAlign w:val="bottom"/>
            <w:shd w:val="clear" w:color="auto" w:fill="BF2115"/>
          </w:tcPr>
          <w:p>
            <w:pPr>
              <w:jc w:val="center"/>
              <w:spacing w:after="0" w:line="120" w:lineRule="exact"/>
              <w:rPr>
                <w:sz w:val="20"/>
                <w:szCs w:val="20"/>
                <w:color w:val="auto"/>
              </w:rPr>
            </w:pPr>
            <w:r>
              <w:rPr>
                <w:rFonts w:ascii="Arial" w:cs="Arial" w:eastAsia="Arial" w:hAnsi="Arial"/>
                <w:sz w:val="11"/>
                <w:szCs w:val="11"/>
                <w:b w:val="1"/>
                <w:bCs w:val="1"/>
                <w:color w:val="FFFFFF"/>
                <w:w w:val="98"/>
              </w:rPr>
              <w:t>Number of</w:t>
            </w:r>
          </w:p>
        </w:tc>
        <w:tc>
          <w:tcPr>
            <w:tcW w:w="920" w:type="dxa"/>
            <w:vAlign w:val="bottom"/>
            <w:shd w:val="clear" w:color="auto" w:fill="BF2115"/>
          </w:tcPr>
          <w:p>
            <w:pPr>
              <w:jc w:val="center"/>
              <w:spacing w:after="0" w:line="120" w:lineRule="exact"/>
              <w:rPr>
                <w:sz w:val="20"/>
                <w:szCs w:val="20"/>
                <w:color w:val="auto"/>
              </w:rPr>
            </w:pPr>
            <w:r>
              <w:rPr>
                <w:rFonts w:ascii="Arial" w:cs="Arial" w:eastAsia="Arial" w:hAnsi="Arial"/>
                <w:sz w:val="11"/>
                <w:szCs w:val="11"/>
                <w:b w:val="1"/>
                <w:bCs w:val="1"/>
                <w:color w:val="FFFFFF"/>
                <w:w w:val="98"/>
              </w:rPr>
              <w:t>Securities</w:t>
            </w:r>
          </w:p>
        </w:tc>
        <w:tc>
          <w:tcPr>
            <w:tcW w:w="780" w:type="dxa"/>
            <w:vAlign w:val="bottom"/>
            <w:shd w:val="clear" w:color="auto" w:fill="BF2115"/>
          </w:tcPr>
          <w:p>
            <w:pPr>
              <w:jc w:val="center"/>
              <w:spacing w:after="0" w:line="120" w:lineRule="exact"/>
              <w:rPr>
                <w:sz w:val="20"/>
                <w:szCs w:val="20"/>
                <w:color w:val="auto"/>
              </w:rPr>
            </w:pPr>
            <w:r>
              <w:rPr>
                <w:rFonts w:ascii="Arial" w:cs="Arial" w:eastAsia="Arial" w:hAnsi="Arial"/>
                <w:sz w:val="11"/>
                <w:szCs w:val="11"/>
                <w:b w:val="1"/>
                <w:bCs w:val="1"/>
                <w:color w:val="FFFFFF"/>
                <w:w w:val="97"/>
              </w:rPr>
              <w:t>Base Price of</w:t>
            </w:r>
          </w:p>
        </w:tc>
        <w:tc>
          <w:tcPr>
            <w:tcW w:w="900" w:type="dxa"/>
            <w:vAlign w:val="bottom"/>
            <w:shd w:val="clear" w:color="auto" w:fill="BF2115"/>
          </w:tcPr>
          <w:p>
            <w:pPr>
              <w:jc w:val="center"/>
              <w:spacing w:after="0" w:line="120" w:lineRule="exact"/>
              <w:rPr>
                <w:sz w:val="20"/>
                <w:szCs w:val="20"/>
                <w:color w:val="auto"/>
              </w:rPr>
            </w:pPr>
            <w:r>
              <w:rPr>
                <w:rFonts w:ascii="Arial" w:cs="Arial" w:eastAsia="Arial" w:hAnsi="Arial"/>
                <w:sz w:val="11"/>
                <w:szCs w:val="11"/>
                <w:b w:val="1"/>
                <w:bCs w:val="1"/>
                <w:color w:val="FFFFFF"/>
                <w:w w:val="97"/>
              </w:rPr>
              <w:t>Value of Stock</w:t>
            </w:r>
          </w:p>
        </w:tc>
      </w:tr>
      <w:tr>
        <w:trPr>
          <w:trHeight w:val="122"/>
        </w:trPr>
        <w:tc>
          <w:tcPr>
            <w:tcW w:w="1040" w:type="dxa"/>
            <w:vAlign w:val="bottom"/>
            <w:shd w:val="clear" w:color="auto" w:fill="BF2115"/>
          </w:tcPr>
          <w:p>
            <w:pPr>
              <w:spacing w:after="0"/>
              <w:rPr>
                <w:sz w:val="10"/>
                <w:szCs w:val="10"/>
                <w:color w:val="auto"/>
              </w:rPr>
            </w:pPr>
          </w:p>
        </w:tc>
        <w:tc>
          <w:tcPr>
            <w:tcW w:w="400" w:type="dxa"/>
            <w:vAlign w:val="bottom"/>
            <w:shd w:val="clear" w:color="auto" w:fill="BF2115"/>
          </w:tcPr>
          <w:p>
            <w:pPr>
              <w:spacing w:after="0"/>
              <w:rPr>
                <w:sz w:val="10"/>
                <w:szCs w:val="10"/>
                <w:color w:val="auto"/>
              </w:rPr>
            </w:pPr>
          </w:p>
        </w:tc>
        <w:tc>
          <w:tcPr>
            <w:tcW w:w="700" w:type="dxa"/>
            <w:vAlign w:val="bottom"/>
            <w:shd w:val="clear" w:color="auto" w:fill="BF2115"/>
          </w:tcPr>
          <w:p>
            <w:pPr>
              <w:spacing w:after="0"/>
              <w:rPr>
                <w:sz w:val="10"/>
                <w:szCs w:val="10"/>
                <w:color w:val="auto"/>
              </w:rPr>
            </w:pPr>
          </w:p>
        </w:tc>
        <w:tc>
          <w:tcPr>
            <w:tcW w:w="780" w:type="dxa"/>
            <w:vAlign w:val="bottom"/>
            <w:shd w:val="clear" w:color="auto" w:fill="BF2115"/>
          </w:tcPr>
          <w:p>
            <w:pPr>
              <w:spacing w:after="0"/>
              <w:rPr>
                <w:sz w:val="10"/>
                <w:szCs w:val="10"/>
                <w:color w:val="auto"/>
              </w:rPr>
            </w:pPr>
          </w:p>
        </w:tc>
        <w:tc>
          <w:tcPr>
            <w:tcW w:w="980" w:type="dxa"/>
            <w:vAlign w:val="bottom"/>
            <w:shd w:val="clear" w:color="auto" w:fill="BF2115"/>
          </w:tcPr>
          <w:p>
            <w:pPr>
              <w:spacing w:after="0"/>
              <w:rPr>
                <w:sz w:val="10"/>
                <w:szCs w:val="10"/>
                <w:color w:val="auto"/>
              </w:rPr>
            </w:pPr>
          </w:p>
        </w:tc>
        <w:tc>
          <w:tcPr>
            <w:tcW w:w="900" w:type="dxa"/>
            <w:vAlign w:val="bottom"/>
            <w:shd w:val="clear" w:color="auto" w:fill="BF2115"/>
          </w:tcPr>
          <w:p>
            <w:pPr>
              <w:spacing w:after="0"/>
              <w:rPr>
                <w:sz w:val="10"/>
                <w:szCs w:val="10"/>
                <w:color w:val="auto"/>
              </w:rPr>
            </w:pPr>
          </w:p>
        </w:tc>
        <w:tc>
          <w:tcPr>
            <w:tcW w:w="880" w:type="dxa"/>
            <w:vAlign w:val="bottom"/>
            <w:shd w:val="clear" w:color="auto" w:fill="BF2115"/>
          </w:tcPr>
          <w:p>
            <w:pPr>
              <w:spacing w:after="0"/>
              <w:rPr>
                <w:sz w:val="10"/>
                <w:szCs w:val="10"/>
                <w:color w:val="auto"/>
              </w:rPr>
            </w:pPr>
          </w:p>
        </w:tc>
        <w:tc>
          <w:tcPr>
            <w:tcW w:w="840" w:type="dxa"/>
            <w:vAlign w:val="bottom"/>
            <w:shd w:val="clear" w:color="auto" w:fill="BF2115"/>
          </w:tcPr>
          <w:p>
            <w:pPr>
              <w:spacing w:after="0"/>
              <w:rPr>
                <w:sz w:val="10"/>
                <w:szCs w:val="10"/>
                <w:color w:val="auto"/>
              </w:rPr>
            </w:pPr>
          </w:p>
        </w:tc>
        <w:tc>
          <w:tcPr>
            <w:tcW w:w="740" w:type="dxa"/>
            <w:vAlign w:val="bottom"/>
            <w:shd w:val="clear" w:color="auto" w:fill="BF2115"/>
          </w:tcPr>
          <w:p>
            <w:pPr>
              <w:spacing w:after="0"/>
              <w:rPr>
                <w:sz w:val="10"/>
                <w:szCs w:val="10"/>
                <w:color w:val="auto"/>
              </w:rPr>
            </w:pPr>
          </w:p>
        </w:tc>
        <w:tc>
          <w:tcPr>
            <w:tcW w:w="740" w:type="dxa"/>
            <w:vAlign w:val="bottom"/>
            <w:shd w:val="clear" w:color="auto" w:fill="BF2115"/>
          </w:tcPr>
          <w:p>
            <w:pPr>
              <w:spacing w:after="0"/>
              <w:rPr>
                <w:sz w:val="10"/>
                <w:szCs w:val="10"/>
                <w:color w:val="auto"/>
              </w:rPr>
            </w:pPr>
          </w:p>
        </w:tc>
        <w:tc>
          <w:tcPr>
            <w:tcW w:w="82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9"/>
              </w:rPr>
              <w:t>Shares of</w:t>
            </w:r>
          </w:p>
        </w:tc>
        <w:tc>
          <w:tcPr>
            <w:tcW w:w="92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7"/>
              </w:rPr>
              <w:t>Underlying</w:t>
            </w:r>
          </w:p>
        </w:tc>
        <w:tc>
          <w:tcPr>
            <w:tcW w:w="78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rPr>
              <w:t>Option</w:t>
            </w:r>
          </w:p>
        </w:tc>
        <w:tc>
          <w:tcPr>
            <w:tcW w:w="90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9"/>
              </w:rPr>
              <w:t>and Option</w:t>
            </w:r>
          </w:p>
        </w:tc>
      </w:tr>
      <w:tr>
        <w:trPr>
          <w:trHeight w:val="122"/>
        </w:trPr>
        <w:tc>
          <w:tcPr>
            <w:tcW w:w="1040" w:type="dxa"/>
            <w:vAlign w:val="bottom"/>
            <w:shd w:val="clear" w:color="auto" w:fill="BF2115"/>
          </w:tcPr>
          <w:p>
            <w:pPr>
              <w:spacing w:after="0"/>
              <w:rPr>
                <w:sz w:val="10"/>
                <w:szCs w:val="10"/>
                <w:color w:val="auto"/>
              </w:rPr>
            </w:pPr>
          </w:p>
        </w:tc>
        <w:tc>
          <w:tcPr>
            <w:tcW w:w="400" w:type="dxa"/>
            <w:vAlign w:val="bottom"/>
            <w:shd w:val="clear" w:color="auto" w:fill="BF2115"/>
          </w:tcPr>
          <w:p>
            <w:pPr>
              <w:spacing w:after="0"/>
              <w:rPr>
                <w:sz w:val="10"/>
                <w:szCs w:val="10"/>
                <w:color w:val="auto"/>
              </w:rPr>
            </w:pPr>
          </w:p>
        </w:tc>
        <w:tc>
          <w:tcPr>
            <w:tcW w:w="700" w:type="dxa"/>
            <w:vAlign w:val="bottom"/>
            <w:shd w:val="clear" w:color="auto" w:fill="BF2115"/>
          </w:tcPr>
          <w:p>
            <w:pPr>
              <w:spacing w:after="0"/>
              <w:rPr>
                <w:sz w:val="10"/>
                <w:szCs w:val="10"/>
                <w:color w:val="auto"/>
              </w:rPr>
            </w:pPr>
          </w:p>
        </w:tc>
        <w:tc>
          <w:tcPr>
            <w:tcW w:w="78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5"/>
              </w:rPr>
              <w:t>Grant</w:t>
            </w:r>
          </w:p>
        </w:tc>
        <w:tc>
          <w:tcPr>
            <w:tcW w:w="980" w:type="dxa"/>
            <w:vAlign w:val="bottom"/>
            <w:shd w:val="clear" w:color="auto" w:fill="BF2115"/>
          </w:tcPr>
          <w:p>
            <w:pPr>
              <w:jc w:val="right"/>
              <w:ind w:right="226"/>
              <w:spacing w:after="0" w:line="122" w:lineRule="exact"/>
              <w:rPr>
                <w:sz w:val="20"/>
                <w:szCs w:val="20"/>
                <w:color w:val="auto"/>
              </w:rPr>
            </w:pPr>
            <w:r>
              <w:rPr>
                <w:rFonts w:ascii="Arial" w:cs="Arial" w:eastAsia="Arial" w:hAnsi="Arial"/>
                <w:sz w:val="11"/>
                <w:szCs w:val="11"/>
                <w:b w:val="1"/>
                <w:bCs w:val="1"/>
                <w:color w:val="FFFFFF"/>
              </w:rPr>
              <w:t>Threshold</w:t>
            </w:r>
          </w:p>
        </w:tc>
        <w:tc>
          <w:tcPr>
            <w:tcW w:w="900" w:type="dxa"/>
            <w:vAlign w:val="bottom"/>
            <w:shd w:val="clear" w:color="auto" w:fill="BF2115"/>
          </w:tcPr>
          <w:p>
            <w:pPr>
              <w:jc w:val="center"/>
              <w:ind w:right="86"/>
              <w:spacing w:after="0" w:line="122" w:lineRule="exact"/>
              <w:rPr>
                <w:sz w:val="20"/>
                <w:szCs w:val="20"/>
                <w:color w:val="auto"/>
              </w:rPr>
            </w:pPr>
            <w:r>
              <w:rPr>
                <w:rFonts w:ascii="Arial" w:cs="Arial" w:eastAsia="Arial" w:hAnsi="Arial"/>
                <w:sz w:val="11"/>
                <w:szCs w:val="11"/>
                <w:b w:val="1"/>
                <w:bCs w:val="1"/>
                <w:color w:val="FFFFFF"/>
                <w:w w:val="95"/>
              </w:rPr>
              <w:t>Target</w:t>
            </w:r>
          </w:p>
        </w:tc>
        <w:tc>
          <w:tcPr>
            <w:tcW w:w="880" w:type="dxa"/>
            <w:vAlign w:val="bottom"/>
            <w:shd w:val="clear" w:color="auto" w:fill="BF2115"/>
          </w:tcPr>
          <w:p>
            <w:pPr>
              <w:jc w:val="right"/>
              <w:ind w:right="166"/>
              <w:spacing w:after="0" w:line="122" w:lineRule="exact"/>
              <w:rPr>
                <w:sz w:val="20"/>
                <w:szCs w:val="20"/>
                <w:color w:val="auto"/>
              </w:rPr>
            </w:pPr>
            <w:r>
              <w:rPr>
                <w:rFonts w:ascii="Arial" w:cs="Arial" w:eastAsia="Arial" w:hAnsi="Arial"/>
                <w:sz w:val="11"/>
                <w:szCs w:val="11"/>
                <w:b w:val="1"/>
                <w:bCs w:val="1"/>
                <w:color w:val="FFFFFF"/>
              </w:rPr>
              <w:t>Maximum</w:t>
            </w:r>
          </w:p>
        </w:tc>
        <w:tc>
          <w:tcPr>
            <w:tcW w:w="840" w:type="dxa"/>
            <w:vAlign w:val="bottom"/>
            <w:shd w:val="clear" w:color="auto" w:fill="BF2115"/>
          </w:tcPr>
          <w:p>
            <w:pPr>
              <w:jc w:val="right"/>
              <w:ind w:right="126"/>
              <w:spacing w:after="0" w:line="122" w:lineRule="exact"/>
              <w:rPr>
                <w:sz w:val="20"/>
                <w:szCs w:val="20"/>
                <w:color w:val="auto"/>
              </w:rPr>
            </w:pPr>
            <w:r>
              <w:rPr>
                <w:rFonts w:ascii="Arial" w:cs="Arial" w:eastAsia="Arial" w:hAnsi="Arial"/>
                <w:sz w:val="11"/>
                <w:szCs w:val="11"/>
                <w:b w:val="1"/>
                <w:bCs w:val="1"/>
                <w:color w:val="FFFFFF"/>
              </w:rPr>
              <w:t>Threshold</w:t>
            </w:r>
          </w:p>
        </w:tc>
        <w:tc>
          <w:tcPr>
            <w:tcW w:w="740" w:type="dxa"/>
            <w:vAlign w:val="bottom"/>
            <w:shd w:val="clear" w:color="auto" w:fill="BF2115"/>
          </w:tcPr>
          <w:p>
            <w:pPr>
              <w:jc w:val="center"/>
              <w:ind w:right="6"/>
              <w:spacing w:after="0" w:line="122" w:lineRule="exact"/>
              <w:rPr>
                <w:sz w:val="20"/>
                <w:szCs w:val="20"/>
                <w:color w:val="auto"/>
              </w:rPr>
            </w:pPr>
            <w:r>
              <w:rPr>
                <w:rFonts w:ascii="Arial" w:cs="Arial" w:eastAsia="Arial" w:hAnsi="Arial"/>
                <w:sz w:val="11"/>
                <w:szCs w:val="11"/>
                <w:b w:val="1"/>
                <w:bCs w:val="1"/>
                <w:color w:val="FFFFFF"/>
                <w:w w:val="95"/>
              </w:rPr>
              <w:t>Target</w:t>
            </w:r>
          </w:p>
        </w:tc>
        <w:tc>
          <w:tcPr>
            <w:tcW w:w="740" w:type="dxa"/>
            <w:vAlign w:val="bottom"/>
            <w:shd w:val="clear" w:color="auto" w:fill="BF2115"/>
          </w:tcPr>
          <w:p>
            <w:pPr>
              <w:jc w:val="right"/>
              <w:ind w:right="66"/>
              <w:spacing w:after="0" w:line="122" w:lineRule="exact"/>
              <w:rPr>
                <w:sz w:val="20"/>
                <w:szCs w:val="20"/>
                <w:color w:val="auto"/>
              </w:rPr>
            </w:pPr>
            <w:r>
              <w:rPr>
                <w:rFonts w:ascii="Arial" w:cs="Arial" w:eastAsia="Arial" w:hAnsi="Arial"/>
                <w:sz w:val="11"/>
                <w:szCs w:val="11"/>
                <w:b w:val="1"/>
                <w:bCs w:val="1"/>
                <w:color w:val="FFFFFF"/>
              </w:rPr>
              <w:t>Maximum</w:t>
            </w:r>
          </w:p>
        </w:tc>
        <w:tc>
          <w:tcPr>
            <w:tcW w:w="82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9"/>
              </w:rPr>
              <w:t>Stock or Units</w:t>
            </w:r>
          </w:p>
        </w:tc>
        <w:tc>
          <w:tcPr>
            <w:tcW w:w="92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6"/>
              </w:rPr>
              <w:t>Options</w:t>
            </w:r>
          </w:p>
        </w:tc>
        <w:tc>
          <w:tcPr>
            <w:tcW w:w="78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rPr>
              <w:t>Awards</w:t>
            </w:r>
          </w:p>
        </w:tc>
        <w:tc>
          <w:tcPr>
            <w:tcW w:w="90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9"/>
              </w:rPr>
              <w:t>Awards</w:t>
            </w:r>
            <w:r>
              <w:rPr>
                <w:rFonts w:ascii="Arial" w:cs="Arial" w:eastAsia="Arial" w:hAnsi="Arial"/>
                <w:sz w:val="7"/>
                <w:szCs w:val="7"/>
                <w:color w:val="FFFFFF"/>
                <w:w w:val="99"/>
              </w:rPr>
              <w:t>(4)</w:t>
            </w:r>
          </w:p>
        </w:tc>
      </w:tr>
      <w:tr>
        <w:trPr>
          <w:trHeight w:val="164"/>
        </w:trPr>
        <w:tc>
          <w:tcPr>
            <w:tcW w:w="1040" w:type="dxa"/>
            <w:vAlign w:val="bottom"/>
            <w:tcBorders>
              <w:bottom w:val="single" w:sz="8" w:color="auto"/>
            </w:tcBorders>
            <w:shd w:val="clear" w:color="auto" w:fill="BF2115"/>
          </w:tcPr>
          <w:p>
            <w:pPr>
              <w:ind w:left="40"/>
              <w:spacing w:after="0"/>
              <w:rPr>
                <w:sz w:val="20"/>
                <w:szCs w:val="20"/>
                <w:color w:val="auto"/>
              </w:rPr>
            </w:pPr>
            <w:r>
              <w:rPr>
                <w:rFonts w:ascii="Arial" w:cs="Arial" w:eastAsia="Arial" w:hAnsi="Arial"/>
                <w:sz w:val="11"/>
                <w:szCs w:val="11"/>
                <w:b w:val="1"/>
                <w:bCs w:val="1"/>
                <w:color w:val="FFFFFF"/>
              </w:rPr>
              <w:t>Name</w:t>
            </w:r>
          </w:p>
        </w:tc>
        <w:tc>
          <w:tcPr>
            <w:tcW w:w="1100" w:type="dxa"/>
            <w:vAlign w:val="bottom"/>
            <w:tcBorders>
              <w:bottom w:val="single" w:sz="8" w:color="auto"/>
            </w:tcBorders>
            <w:gridSpan w:val="2"/>
            <w:shd w:val="clear" w:color="auto" w:fill="BF2115"/>
          </w:tcPr>
          <w:p>
            <w:pPr>
              <w:ind w:left="360"/>
              <w:spacing w:after="0"/>
              <w:rPr>
                <w:sz w:val="20"/>
                <w:szCs w:val="20"/>
                <w:color w:val="auto"/>
              </w:rPr>
            </w:pPr>
            <w:r>
              <w:rPr>
                <w:rFonts w:ascii="Arial" w:cs="Arial" w:eastAsia="Arial" w:hAnsi="Arial"/>
                <w:sz w:val="11"/>
                <w:szCs w:val="11"/>
                <w:b w:val="1"/>
                <w:bCs w:val="1"/>
                <w:color w:val="FFFFFF"/>
              </w:rPr>
              <w:t>Plan Name</w:t>
            </w:r>
          </w:p>
        </w:tc>
        <w:tc>
          <w:tcPr>
            <w:tcW w:w="78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Date</w:t>
            </w:r>
            <w:r>
              <w:rPr>
                <w:rFonts w:ascii="Arial" w:cs="Arial" w:eastAsia="Arial" w:hAnsi="Arial"/>
                <w:sz w:val="7"/>
                <w:szCs w:val="7"/>
                <w:b w:val="1"/>
                <w:bCs w:val="1"/>
                <w:color w:val="FFFFFF"/>
                <w:w w:val="98"/>
              </w:rPr>
              <w:t>(5)</w:t>
            </w:r>
          </w:p>
        </w:tc>
        <w:tc>
          <w:tcPr>
            <w:tcW w:w="980" w:type="dxa"/>
            <w:vAlign w:val="bottom"/>
            <w:tcBorders>
              <w:bottom w:val="single" w:sz="8" w:color="auto"/>
            </w:tcBorders>
            <w:shd w:val="clear" w:color="auto" w:fill="BF2115"/>
          </w:tcPr>
          <w:p>
            <w:pPr>
              <w:jc w:val="right"/>
              <w:ind w:right="426"/>
              <w:spacing w:after="0"/>
              <w:rPr>
                <w:sz w:val="20"/>
                <w:szCs w:val="20"/>
                <w:color w:val="auto"/>
              </w:rPr>
            </w:pPr>
            <w:r>
              <w:rPr>
                <w:rFonts w:ascii="Arial" w:cs="Arial" w:eastAsia="Arial" w:hAnsi="Arial"/>
                <w:sz w:val="11"/>
                <w:szCs w:val="11"/>
                <w:b w:val="1"/>
                <w:bCs w:val="1"/>
                <w:color w:val="FFFFFF"/>
              </w:rPr>
              <w:t>($)</w:t>
            </w:r>
          </w:p>
        </w:tc>
        <w:tc>
          <w:tcPr>
            <w:tcW w:w="900" w:type="dxa"/>
            <w:vAlign w:val="bottom"/>
            <w:tcBorders>
              <w:bottom w:val="single" w:sz="8" w:color="auto"/>
            </w:tcBorders>
            <w:shd w:val="clear" w:color="auto" w:fill="BF2115"/>
          </w:tcPr>
          <w:p>
            <w:pPr>
              <w:jc w:val="center"/>
              <w:ind w:right="86"/>
              <w:spacing w:after="0"/>
              <w:rPr>
                <w:sz w:val="20"/>
                <w:szCs w:val="20"/>
                <w:color w:val="auto"/>
              </w:rPr>
            </w:pPr>
            <w:r>
              <w:rPr>
                <w:rFonts w:ascii="Arial" w:cs="Arial" w:eastAsia="Arial" w:hAnsi="Arial"/>
                <w:sz w:val="11"/>
                <w:szCs w:val="11"/>
                <w:b w:val="1"/>
                <w:bCs w:val="1"/>
                <w:color w:val="FFFFFF"/>
                <w:w w:val="88"/>
              </w:rPr>
              <w:t>($)</w:t>
            </w:r>
          </w:p>
        </w:tc>
        <w:tc>
          <w:tcPr>
            <w:tcW w:w="880" w:type="dxa"/>
            <w:vAlign w:val="bottom"/>
            <w:tcBorders>
              <w:bottom w:val="single" w:sz="8" w:color="auto"/>
            </w:tcBorders>
            <w:shd w:val="clear" w:color="auto" w:fill="BF2115"/>
          </w:tcPr>
          <w:p>
            <w:pPr>
              <w:jc w:val="right"/>
              <w:ind w:right="346"/>
              <w:spacing w:after="0"/>
              <w:rPr>
                <w:sz w:val="20"/>
                <w:szCs w:val="20"/>
                <w:color w:val="auto"/>
              </w:rPr>
            </w:pPr>
            <w:r>
              <w:rPr>
                <w:rFonts w:ascii="Arial" w:cs="Arial" w:eastAsia="Arial" w:hAnsi="Arial"/>
                <w:sz w:val="11"/>
                <w:szCs w:val="11"/>
                <w:b w:val="1"/>
                <w:bCs w:val="1"/>
                <w:color w:val="FFFFFF"/>
              </w:rPr>
              <w:t>($)</w:t>
            </w:r>
          </w:p>
        </w:tc>
        <w:tc>
          <w:tcPr>
            <w:tcW w:w="840" w:type="dxa"/>
            <w:vAlign w:val="bottom"/>
            <w:tcBorders>
              <w:bottom w:val="single" w:sz="8" w:color="auto"/>
            </w:tcBorders>
            <w:shd w:val="clear" w:color="auto" w:fill="BF2115"/>
          </w:tcPr>
          <w:p>
            <w:pPr>
              <w:jc w:val="right"/>
              <w:ind w:right="326"/>
              <w:spacing w:after="0"/>
              <w:rPr>
                <w:sz w:val="20"/>
                <w:szCs w:val="20"/>
                <w:color w:val="auto"/>
              </w:rPr>
            </w:pPr>
            <w:r>
              <w:rPr>
                <w:rFonts w:ascii="Arial" w:cs="Arial" w:eastAsia="Arial" w:hAnsi="Arial"/>
                <w:sz w:val="11"/>
                <w:szCs w:val="11"/>
                <w:b w:val="1"/>
                <w:bCs w:val="1"/>
                <w:color w:val="FFFFFF"/>
              </w:rPr>
              <w:t>(#)</w:t>
            </w:r>
          </w:p>
        </w:tc>
        <w:tc>
          <w:tcPr>
            <w:tcW w:w="740" w:type="dxa"/>
            <w:vAlign w:val="bottom"/>
            <w:tcBorders>
              <w:bottom w:val="single" w:sz="8" w:color="auto"/>
            </w:tcBorders>
            <w:shd w:val="clear" w:color="auto" w:fill="BF2115"/>
          </w:tcPr>
          <w:p>
            <w:pPr>
              <w:jc w:val="center"/>
              <w:ind w:right="26"/>
              <w:spacing w:after="0"/>
              <w:rPr>
                <w:sz w:val="20"/>
                <w:szCs w:val="20"/>
                <w:color w:val="auto"/>
              </w:rPr>
            </w:pPr>
            <w:r>
              <w:rPr>
                <w:rFonts w:ascii="Arial" w:cs="Arial" w:eastAsia="Arial" w:hAnsi="Arial"/>
                <w:sz w:val="11"/>
                <w:szCs w:val="11"/>
                <w:b w:val="1"/>
                <w:bCs w:val="1"/>
                <w:color w:val="FFFFFF"/>
              </w:rPr>
              <w:t>(#)</w:t>
            </w:r>
          </w:p>
        </w:tc>
        <w:tc>
          <w:tcPr>
            <w:tcW w:w="740" w:type="dxa"/>
            <w:vAlign w:val="bottom"/>
            <w:tcBorders>
              <w:bottom w:val="single" w:sz="8" w:color="auto"/>
            </w:tcBorders>
            <w:shd w:val="clear" w:color="auto" w:fill="BF2115"/>
          </w:tcPr>
          <w:p>
            <w:pPr>
              <w:jc w:val="right"/>
              <w:ind w:right="246"/>
              <w:spacing w:after="0"/>
              <w:rPr>
                <w:sz w:val="20"/>
                <w:szCs w:val="20"/>
                <w:color w:val="auto"/>
              </w:rPr>
            </w:pPr>
            <w:r>
              <w:rPr>
                <w:rFonts w:ascii="Arial" w:cs="Arial" w:eastAsia="Arial" w:hAnsi="Arial"/>
                <w:sz w:val="11"/>
                <w:szCs w:val="11"/>
                <w:b w:val="1"/>
                <w:bCs w:val="1"/>
                <w:color w:val="FFFFFF"/>
              </w:rPr>
              <w:t>(#)</w:t>
            </w:r>
          </w:p>
        </w:tc>
        <w:tc>
          <w:tcPr>
            <w:tcW w:w="82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1"/>
                <w:szCs w:val="11"/>
                <w:b w:val="1"/>
                <w:bCs w:val="1"/>
                <w:color w:val="FFFFFF"/>
                <w:w w:val="88"/>
              </w:rPr>
              <w:t>(#)</w:t>
            </w:r>
            <w:r>
              <w:rPr>
                <w:rFonts w:ascii="Arial" w:cs="Arial" w:eastAsia="Arial" w:hAnsi="Arial"/>
                <w:sz w:val="14"/>
                <w:szCs w:val="14"/>
                <w:b w:val="1"/>
                <w:bCs w:val="1"/>
                <w:color w:val="FFFFFF"/>
                <w:w w:val="88"/>
                <w:vertAlign w:val="superscript"/>
              </w:rPr>
              <w:t>(3)</w:t>
            </w:r>
          </w:p>
        </w:tc>
        <w:tc>
          <w:tcPr>
            <w:tcW w:w="92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1"/>
                <w:szCs w:val="11"/>
                <w:b w:val="1"/>
                <w:bCs w:val="1"/>
                <w:color w:val="FFFFFF"/>
                <w:w w:val="88"/>
              </w:rPr>
              <w:t>(#)</w:t>
            </w:r>
          </w:p>
        </w:tc>
        <w:tc>
          <w:tcPr>
            <w:tcW w:w="78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($/Sh)</w:t>
            </w:r>
          </w:p>
        </w:tc>
        <w:tc>
          <w:tcPr>
            <w:tcW w:w="90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1"/>
                <w:szCs w:val="11"/>
                <w:b w:val="1"/>
                <w:bCs w:val="1"/>
                <w:color w:val="FFFFFF"/>
              </w:rPr>
              <w:t>($)</w:t>
            </w:r>
          </w:p>
        </w:tc>
      </w:tr>
      <w:tr>
        <w:trPr>
          <w:trHeight w:val="244"/>
        </w:trPr>
        <w:tc>
          <w:tcPr>
            <w:tcW w:w="10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1"/>
                <w:szCs w:val="11"/>
                <w:color w:val="auto"/>
              </w:rPr>
              <w:t>Michael J. Happe</w:t>
            </w:r>
          </w:p>
        </w:tc>
        <w:tc>
          <w:tcPr>
            <w:tcW w:w="1100" w:type="dxa"/>
            <w:vAlign w:val="bottom"/>
            <w:tcBorders>
              <w:bottom w:val="single" w:sz="8" w:color="ACACAC"/>
            </w:tcBorders>
            <w:gridSpan w:val="2"/>
            <w:shd w:val="clear" w:color="auto" w:fill="ACACAC"/>
          </w:tcPr>
          <w:p>
            <w:pPr>
              <w:ind w:left="140"/>
              <w:spacing w:after="0"/>
              <w:rPr>
                <w:sz w:val="20"/>
                <w:szCs w:val="20"/>
                <w:color w:val="auto"/>
              </w:rPr>
            </w:pPr>
            <w:r>
              <w:rPr>
                <w:rFonts w:ascii="Arial" w:cs="Arial" w:eastAsia="Arial" w:hAnsi="Arial"/>
                <w:sz w:val="11"/>
                <w:szCs w:val="11"/>
                <w:color w:val="auto"/>
              </w:rPr>
              <w:t>2014 Plan</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1"/>
                <w:szCs w:val="11"/>
                <w:color w:val="auto"/>
              </w:rPr>
              <w:t>10/15/18</w:t>
            </w:r>
          </w:p>
        </w:tc>
        <w:tc>
          <w:tcPr>
            <w:tcW w:w="980" w:type="dxa"/>
            <w:vAlign w:val="bottom"/>
            <w:tcBorders>
              <w:bottom w:val="single" w:sz="8" w:color="ACACAC"/>
            </w:tcBorders>
            <w:shd w:val="clear" w:color="auto" w:fill="ACACAC"/>
          </w:tcPr>
          <w:p>
            <w:pPr>
              <w:spacing w:after="0"/>
              <w:rPr>
                <w:sz w:val="21"/>
                <w:szCs w:val="21"/>
                <w:color w:val="auto"/>
              </w:rPr>
            </w:pPr>
          </w:p>
        </w:tc>
        <w:tc>
          <w:tcPr>
            <w:tcW w:w="900" w:type="dxa"/>
            <w:vAlign w:val="bottom"/>
            <w:tcBorders>
              <w:bottom w:val="single" w:sz="8" w:color="ACACAC"/>
            </w:tcBorders>
            <w:shd w:val="clear" w:color="auto" w:fill="ACACAC"/>
          </w:tcPr>
          <w:p>
            <w:pPr>
              <w:spacing w:after="0"/>
              <w:rPr>
                <w:sz w:val="21"/>
                <w:szCs w:val="21"/>
                <w:color w:val="auto"/>
              </w:rPr>
            </w:pPr>
          </w:p>
        </w:tc>
        <w:tc>
          <w:tcPr>
            <w:tcW w:w="880" w:type="dxa"/>
            <w:vAlign w:val="bottom"/>
            <w:tcBorders>
              <w:bottom w:val="single" w:sz="8" w:color="ACACAC"/>
            </w:tcBorders>
            <w:shd w:val="clear" w:color="auto" w:fill="ACACAC"/>
          </w:tcPr>
          <w:p>
            <w:pPr>
              <w:spacing w:after="0"/>
              <w:rPr>
                <w:sz w:val="21"/>
                <w:szCs w:val="21"/>
                <w:color w:val="auto"/>
              </w:rPr>
            </w:pPr>
          </w:p>
        </w:tc>
        <w:tc>
          <w:tcPr>
            <w:tcW w:w="840" w:type="dxa"/>
            <w:vAlign w:val="bottom"/>
            <w:tcBorders>
              <w:bottom w:val="single" w:sz="8" w:color="ACACAC"/>
            </w:tcBorders>
            <w:shd w:val="clear" w:color="auto" w:fill="ACACAC"/>
          </w:tcPr>
          <w:p>
            <w:pPr>
              <w:spacing w:after="0"/>
              <w:rPr>
                <w:sz w:val="21"/>
                <w:szCs w:val="21"/>
                <w:color w:val="auto"/>
              </w:rPr>
            </w:pPr>
          </w:p>
        </w:tc>
        <w:tc>
          <w:tcPr>
            <w:tcW w:w="740" w:type="dxa"/>
            <w:vAlign w:val="bottom"/>
            <w:tcBorders>
              <w:bottom w:val="single" w:sz="8" w:color="ACACAC"/>
            </w:tcBorders>
            <w:shd w:val="clear" w:color="auto" w:fill="ACACAC"/>
          </w:tcPr>
          <w:p>
            <w:pPr>
              <w:spacing w:after="0"/>
              <w:rPr>
                <w:sz w:val="21"/>
                <w:szCs w:val="21"/>
                <w:color w:val="auto"/>
              </w:rPr>
            </w:pPr>
          </w:p>
        </w:tc>
        <w:tc>
          <w:tcPr>
            <w:tcW w:w="740" w:type="dxa"/>
            <w:vAlign w:val="bottom"/>
            <w:tcBorders>
              <w:bottom w:val="single" w:sz="8" w:color="ACACAC"/>
            </w:tcBorders>
            <w:shd w:val="clear" w:color="auto" w:fill="ACACAC"/>
          </w:tcPr>
          <w:p>
            <w:pPr>
              <w:spacing w:after="0"/>
              <w:rPr>
                <w:sz w:val="21"/>
                <w:szCs w:val="21"/>
                <w:color w:val="auto"/>
              </w:rPr>
            </w:pPr>
          </w:p>
        </w:tc>
        <w:tc>
          <w:tcPr>
            <w:tcW w:w="820" w:type="dxa"/>
            <w:vAlign w:val="bottom"/>
            <w:tcBorders>
              <w:bottom w:val="single" w:sz="8" w:color="ACACAC"/>
            </w:tcBorders>
            <w:shd w:val="clear" w:color="auto" w:fill="ACACAC"/>
          </w:tcPr>
          <w:p>
            <w:pPr>
              <w:spacing w:after="0"/>
              <w:rPr>
                <w:sz w:val="21"/>
                <w:szCs w:val="21"/>
                <w:color w:val="auto"/>
              </w:rPr>
            </w:pPr>
          </w:p>
        </w:tc>
        <w:tc>
          <w:tcPr>
            <w:tcW w:w="920" w:type="dxa"/>
            <w:vAlign w:val="bottom"/>
            <w:tcBorders>
              <w:bottom w:val="single" w:sz="8" w:color="ACACAC"/>
            </w:tcBorders>
            <w:shd w:val="clear" w:color="auto" w:fill="ACACAC"/>
          </w:tcPr>
          <w:p>
            <w:pPr>
              <w:jc w:val="right"/>
              <w:ind w:right="66"/>
              <w:spacing w:after="0"/>
              <w:rPr>
                <w:sz w:val="20"/>
                <w:szCs w:val="20"/>
                <w:color w:val="auto"/>
              </w:rPr>
            </w:pPr>
            <w:r>
              <w:rPr>
                <w:rFonts w:ascii="Arial" w:cs="Arial" w:eastAsia="Arial" w:hAnsi="Arial"/>
                <w:sz w:val="11"/>
                <w:szCs w:val="11"/>
                <w:color w:val="auto"/>
              </w:rPr>
              <w:t>42,831</w:t>
            </w:r>
          </w:p>
        </w:tc>
        <w:tc>
          <w:tcPr>
            <w:tcW w:w="780" w:type="dxa"/>
            <w:vAlign w:val="bottom"/>
            <w:tcBorders>
              <w:bottom w:val="single" w:sz="8" w:color="ACACAC"/>
            </w:tcBorders>
            <w:shd w:val="clear" w:color="auto" w:fill="ACACAC"/>
          </w:tcPr>
          <w:p>
            <w:pPr>
              <w:jc w:val="right"/>
              <w:ind w:right="66"/>
              <w:spacing w:after="0"/>
              <w:rPr>
                <w:sz w:val="20"/>
                <w:szCs w:val="20"/>
                <w:color w:val="auto"/>
              </w:rPr>
            </w:pPr>
            <w:r>
              <w:rPr>
                <w:rFonts w:ascii="Arial" w:cs="Arial" w:eastAsia="Arial" w:hAnsi="Arial"/>
                <w:sz w:val="11"/>
                <w:szCs w:val="11"/>
                <w:color w:val="auto"/>
              </w:rPr>
              <w:t>31.70</w:t>
            </w:r>
          </w:p>
        </w:tc>
        <w:tc>
          <w:tcPr>
            <w:tcW w:w="900" w:type="dxa"/>
            <w:vAlign w:val="bottom"/>
            <w:tcBorders>
              <w:bottom w:val="single" w:sz="8" w:color="ACACAC"/>
            </w:tcBorders>
            <w:shd w:val="clear" w:color="auto" w:fill="ACACAC"/>
          </w:tcPr>
          <w:p>
            <w:pPr>
              <w:jc w:val="right"/>
              <w:ind w:right="46"/>
              <w:spacing w:after="0"/>
              <w:rPr>
                <w:sz w:val="20"/>
                <w:szCs w:val="20"/>
                <w:color w:val="auto"/>
              </w:rPr>
            </w:pPr>
            <w:r>
              <w:rPr>
                <w:rFonts w:ascii="Arial" w:cs="Arial" w:eastAsia="Arial" w:hAnsi="Arial"/>
                <w:sz w:val="11"/>
                <w:szCs w:val="11"/>
                <w:color w:val="auto"/>
              </w:rPr>
              <w:t>474,996</w:t>
            </w:r>
          </w:p>
        </w:tc>
      </w:tr>
      <w:tr>
        <w:trPr>
          <w:trHeight w:val="248"/>
        </w:trPr>
        <w:tc>
          <w:tcPr>
            <w:tcW w:w="1040" w:type="dxa"/>
            <w:vAlign w:val="bottom"/>
          </w:tcPr>
          <w:p>
            <w:pPr>
              <w:spacing w:after="0"/>
              <w:rPr>
                <w:sz w:val="21"/>
                <w:szCs w:val="21"/>
                <w:color w:val="auto"/>
              </w:rPr>
            </w:pPr>
          </w:p>
        </w:tc>
        <w:tc>
          <w:tcPr>
            <w:tcW w:w="400" w:type="dxa"/>
            <w:vAlign w:val="bottom"/>
          </w:tcPr>
          <w:p>
            <w:pPr>
              <w:ind w:left="140"/>
              <w:spacing w:after="0"/>
              <w:rPr>
                <w:sz w:val="20"/>
                <w:szCs w:val="20"/>
                <w:color w:val="auto"/>
              </w:rPr>
            </w:pPr>
            <w:r>
              <w:rPr>
                <w:rFonts w:ascii="Arial" w:cs="Arial" w:eastAsia="Arial" w:hAnsi="Arial"/>
                <w:sz w:val="11"/>
                <w:szCs w:val="11"/>
                <w:color w:val="auto"/>
                <w:w w:val="97"/>
              </w:rPr>
              <w:t>2014</w:t>
            </w:r>
          </w:p>
        </w:tc>
        <w:tc>
          <w:tcPr>
            <w:tcW w:w="700" w:type="dxa"/>
            <w:vAlign w:val="bottom"/>
          </w:tcPr>
          <w:p>
            <w:pPr>
              <w:ind w:left="20"/>
              <w:spacing w:after="0"/>
              <w:rPr>
                <w:sz w:val="20"/>
                <w:szCs w:val="20"/>
                <w:color w:val="auto"/>
              </w:rPr>
            </w:pPr>
            <w:r>
              <w:rPr>
                <w:rFonts w:ascii="Arial" w:cs="Arial" w:eastAsia="Arial" w:hAnsi="Arial"/>
                <w:sz w:val="11"/>
                <w:szCs w:val="11"/>
                <w:color w:val="auto"/>
              </w:rPr>
              <w:t>Plan</w:t>
            </w:r>
          </w:p>
        </w:tc>
        <w:tc>
          <w:tcPr>
            <w:tcW w:w="780" w:type="dxa"/>
            <w:vAlign w:val="bottom"/>
          </w:tcPr>
          <w:p>
            <w:pPr>
              <w:jc w:val="center"/>
              <w:spacing w:after="0"/>
              <w:rPr>
                <w:sz w:val="20"/>
                <w:szCs w:val="20"/>
                <w:color w:val="auto"/>
              </w:rPr>
            </w:pPr>
            <w:r>
              <w:rPr>
                <w:rFonts w:ascii="Arial" w:cs="Arial" w:eastAsia="Arial" w:hAnsi="Arial"/>
                <w:sz w:val="11"/>
                <w:szCs w:val="11"/>
                <w:color w:val="auto"/>
              </w:rPr>
              <w:t>10/15/18</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rPr>
              <w:t>14,984</w:t>
            </w:r>
          </w:p>
        </w:tc>
        <w:tc>
          <w:tcPr>
            <w:tcW w:w="92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31.70</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474,993</w:t>
            </w:r>
          </w:p>
        </w:tc>
      </w:tr>
      <w:tr>
        <w:trPr>
          <w:trHeight w:val="22"/>
        </w:trPr>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040" w:type="dxa"/>
            <w:vAlign w:val="bottom"/>
            <w:tcBorders>
              <w:bottom w:val="single" w:sz="8" w:color="ACACAC"/>
            </w:tcBorders>
            <w:shd w:val="clear" w:color="auto" w:fill="ACACAC"/>
          </w:tcPr>
          <w:p>
            <w:pPr>
              <w:spacing w:after="0"/>
              <w:rPr>
                <w:sz w:val="21"/>
                <w:szCs w:val="21"/>
                <w:color w:val="auto"/>
              </w:rPr>
            </w:pPr>
          </w:p>
        </w:tc>
        <w:tc>
          <w:tcPr>
            <w:tcW w:w="400" w:type="dxa"/>
            <w:vAlign w:val="bottom"/>
            <w:tcBorders>
              <w:bottom w:val="single" w:sz="8" w:color="ACACAC"/>
            </w:tcBorders>
            <w:shd w:val="clear" w:color="auto" w:fill="ACACAC"/>
          </w:tcPr>
          <w:p>
            <w:pPr>
              <w:ind w:left="140"/>
              <w:spacing w:after="0"/>
              <w:rPr>
                <w:sz w:val="20"/>
                <w:szCs w:val="20"/>
                <w:color w:val="auto"/>
              </w:rPr>
            </w:pPr>
            <w:r>
              <w:rPr>
                <w:rFonts w:ascii="Arial" w:cs="Arial" w:eastAsia="Arial" w:hAnsi="Arial"/>
                <w:sz w:val="11"/>
                <w:szCs w:val="11"/>
                <w:color w:val="auto"/>
                <w:w w:val="97"/>
              </w:rPr>
              <w:t>2019</w:t>
            </w:r>
          </w:p>
        </w:tc>
        <w:tc>
          <w:tcPr>
            <w:tcW w:w="700" w:type="dxa"/>
            <w:vAlign w:val="bottom"/>
            <w:tcBorders>
              <w:bottom w:val="single" w:sz="8" w:color="ACACAC"/>
            </w:tcBorders>
            <w:shd w:val="clear" w:color="auto" w:fill="ACACAC"/>
          </w:tcPr>
          <w:p>
            <w:pPr>
              <w:ind w:left="20"/>
              <w:spacing w:after="0"/>
              <w:rPr>
                <w:sz w:val="20"/>
                <w:szCs w:val="20"/>
                <w:color w:val="auto"/>
              </w:rPr>
            </w:pPr>
            <w:r>
              <w:rPr>
                <w:rFonts w:ascii="Arial" w:cs="Arial" w:eastAsia="Arial" w:hAnsi="Arial"/>
                <w:sz w:val="11"/>
                <w:szCs w:val="11"/>
                <w:color w:val="auto"/>
              </w:rPr>
              <w:t>OICP</w:t>
            </w:r>
          </w:p>
        </w:tc>
        <w:tc>
          <w:tcPr>
            <w:tcW w:w="780" w:type="dxa"/>
            <w:vAlign w:val="bottom"/>
            <w:tcBorders>
              <w:bottom w:val="single" w:sz="8" w:color="ACACAC"/>
            </w:tcBorders>
            <w:shd w:val="clear" w:color="auto" w:fill="ACACAC"/>
          </w:tcPr>
          <w:p>
            <w:pPr>
              <w:spacing w:after="0"/>
              <w:rPr>
                <w:sz w:val="21"/>
                <w:szCs w:val="21"/>
                <w:color w:val="auto"/>
              </w:rPr>
            </w:pPr>
          </w:p>
        </w:tc>
        <w:tc>
          <w:tcPr>
            <w:tcW w:w="980" w:type="dxa"/>
            <w:vAlign w:val="bottom"/>
            <w:tcBorders>
              <w:bottom w:val="single" w:sz="8" w:color="ACACAC"/>
            </w:tcBorders>
            <w:shd w:val="clear" w:color="auto" w:fill="ACACAC"/>
          </w:tcPr>
          <w:p>
            <w:pPr>
              <w:jc w:val="right"/>
              <w:ind w:right="146"/>
              <w:spacing w:after="0"/>
              <w:rPr>
                <w:sz w:val="20"/>
                <w:szCs w:val="20"/>
                <w:color w:val="auto"/>
              </w:rPr>
            </w:pPr>
            <w:r>
              <w:rPr>
                <w:rFonts w:ascii="Arial" w:cs="Arial" w:eastAsia="Arial" w:hAnsi="Arial"/>
                <w:sz w:val="11"/>
                <w:szCs w:val="11"/>
                <w:color w:val="auto"/>
              </w:rPr>
              <w:t>172,836.5</w:t>
            </w:r>
          </w:p>
        </w:tc>
        <w:tc>
          <w:tcPr>
            <w:tcW w:w="900" w:type="dxa"/>
            <w:vAlign w:val="bottom"/>
            <w:tcBorders>
              <w:bottom w:val="single" w:sz="8" w:color="ACACAC"/>
            </w:tcBorders>
            <w:shd w:val="clear" w:color="auto" w:fill="ACACAC"/>
          </w:tcPr>
          <w:p>
            <w:pPr>
              <w:jc w:val="right"/>
              <w:ind w:right="126"/>
              <w:spacing w:after="0"/>
              <w:rPr>
                <w:sz w:val="20"/>
                <w:szCs w:val="20"/>
                <w:color w:val="auto"/>
              </w:rPr>
            </w:pPr>
            <w:r>
              <w:rPr>
                <w:rFonts w:ascii="Arial" w:cs="Arial" w:eastAsia="Arial" w:hAnsi="Arial"/>
                <w:sz w:val="11"/>
                <w:szCs w:val="11"/>
                <w:color w:val="auto"/>
              </w:rPr>
              <w:t>691,346</w:t>
            </w:r>
          </w:p>
        </w:tc>
        <w:tc>
          <w:tcPr>
            <w:tcW w:w="880" w:type="dxa"/>
            <w:vAlign w:val="bottom"/>
            <w:tcBorders>
              <w:bottom w:val="single" w:sz="8" w:color="ACACAC"/>
            </w:tcBorders>
            <w:shd w:val="clear" w:color="auto" w:fill="ACACAC"/>
          </w:tcPr>
          <w:p>
            <w:pPr>
              <w:jc w:val="right"/>
              <w:ind w:right="66"/>
              <w:spacing w:after="0"/>
              <w:rPr>
                <w:sz w:val="20"/>
                <w:szCs w:val="20"/>
                <w:color w:val="auto"/>
              </w:rPr>
            </w:pPr>
            <w:r>
              <w:rPr>
                <w:rFonts w:ascii="Arial" w:cs="Arial" w:eastAsia="Arial" w:hAnsi="Arial"/>
                <w:sz w:val="11"/>
                <w:szCs w:val="11"/>
                <w:color w:val="auto"/>
              </w:rPr>
              <w:t>1,382,692</w:t>
            </w:r>
          </w:p>
        </w:tc>
        <w:tc>
          <w:tcPr>
            <w:tcW w:w="840" w:type="dxa"/>
            <w:vAlign w:val="bottom"/>
            <w:tcBorders>
              <w:bottom w:val="single" w:sz="8" w:color="ACACAC"/>
            </w:tcBorders>
            <w:shd w:val="clear" w:color="auto" w:fill="ACACAC"/>
          </w:tcPr>
          <w:p>
            <w:pPr>
              <w:spacing w:after="0"/>
              <w:rPr>
                <w:sz w:val="21"/>
                <w:szCs w:val="21"/>
                <w:color w:val="auto"/>
              </w:rPr>
            </w:pPr>
          </w:p>
        </w:tc>
        <w:tc>
          <w:tcPr>
            <w:tcW w:w="740" w:type="dxa"/>
            <w:vAlign w:val="bottom"/>
            <w:tcBorders>
              <w:bottom w:val="single" w:sz="8" w:color="ACACAC"/>
            </w:tcBorders>
            <w:shd w:val="clear" w:color="auto" w:fill="ACACAC"/>
          </w:tcPr>
          <w:p>
            <w:pPr>
              <w:spacing w:after="0"/>
              <w:rPr>
                <w:sz w:val="21"/>
                <w:szCs w:val="21"/>
                <w:color w:val="auto"/>
              </w:rPr>
            </w:pPr>
          </w:p>
        </w:tc>
        <w:tc>
          <w:tcPr>
            <w:tcW w:w="740" w:type="dxa"/>
            <w:vAlign w:val="bottom"/>
            <w:tcBorders>
              <w:bottom w:val="single" w:sz="8" w:color="ACACAC"/>
            </w:tcBorders>
            <w:shd w:val="clear" w:color="auto" w:fill="ACACAC"/>
          </w:tcPr>
          <w:p>
            <w:pPr>
              <w:spacing w:after="0"/>
              <w:rPr>
                <w:sz w:val="21"/>
                <w:szCs w:val="21"/>
                <w:color w:val="auto"/>
              </w:rPr>
            </w:pPr>
          </w:p>
        </w:tc>
        <w:tc>
          <w:tcPr>
            <w:tcW w:w="820" w:type="dxa"/>
            <w:vAlign w:val="bottom"/>
            <w:tcBorders>
              <w:bottom w:val="single" w:sz="8" w:color="ACACAC"/>
            </w:tcBorders>
            <w:shd w:val="clear" w:color="auto" w:fill="ACACAC"/>
          </w:tcPr>
          <w:p>
            <w:pPr>
              <w:spacing w:after="0"/>
              <w:rPr>
                <w:sz w:val="21"/>
                <w:szCs w:val="21"/>
                <w:color w:val="auto"/>
              </w:rPr>
            </w:pPr>
          </w:p>
        </w:tc>
        <w:tc>
          <w:tcPr>
            <w:tcW w:w="920" w:type="dxa"/>
            <w:vAlign w:val="bottom"/>
            <w:tcBorders>
              <w:bottom w:val="single" w:sz="8" w:color="ACACAC"/>
            </w:tcBorders>
            <w:shd w:val="clear" w:color="auto" w:fill="ACACAC"/>
          </w:tcPr>
          <w:p>
            <w:pPr>
              <w:spacing w:after="0"/>
              <w:rPr>
                <w:sz w:val="21"/>
                <w:szCs w:val="21"/>
                <w:color w:val="auto"/>
              </w:rPr>
            </w:pPr>
          </w:p>
        </w:tc>
        <w:tc>
          <w:tcPr>
            <w:tcW w:w="780" w:type="dxa"/>
            <w:vAlign w:val="bottom"/>
            <w:tcBorders>
              <w:bottom w:val="single" w:sz="8" w:color="ACACAC"/>
            </w:tcBorders>
            <w:shd w:val="clear" w:color="auto" w:fill="ACACAC"/>
          </w:tcPr>
          <w:p>
            <w:pPr>
              <w:spacing w:after="0"/>
              <w:rPr>
                <w:sz w:val="21"/>
                <w:szCs w:val="21"/>
                <w:color w:val="auto"/>
              </w:rPr>
            </w:pPr>
          </w:p>
        </w:tc>
        <w:tc>
          <w:tcPr>
            <w:tcW w:w="900" w:type="dxa"/>
            <w:vAlign w:val="bottom"/>
            <w:tcBorders>
              <w:bottom w:val="single" w:sz="8" w:color="ACACAC"/>
            </w:tcBorders>
            <w:shd w:val="clear" w:color="auto" w:fill="ACACAC"/>
          </w:tcPr>
          <w:p>
            <w:pPr>
              <w:spacing w:after="0"/>
              <w:rPr>
                <w:sz w:val="21"/>
                <w:szCs w:val="21"/>
                <w:color w:val="auto"/>
              </w:rPr>
            </w:pPr>
          </w:p>
        </w:tc>
      </w:tr>
      <w:tr>
        <w:trPr>
          <w:trHeight w:val="248"/>
        </w:trPr>
        <w:tc>
          <w:tcPr>
            <w:tcW w:w="1040" w:type="dxa"/>
            <w:vAlign w:val="bottom"/>
          </w:tcPr>
          <w:p>
            <w:pPr>
              <w:spacing w:after="0"/>
              <w:rPr>
                <w:sz w:val="21"/>
                <w:szCs w:val="21"/>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color w:val="auto"/>
              </w:rPr>
              <w:t>2019-2021 LTIP</w:t>
            </w:r>
          </w:p>
        </w:tc>
        <w:tc>
          <w:tcPr>
            <w:tcW w:w="780" w:type="dxa"/>
            <w:vAlign w:val="bottom"/>
          </w:tcPr>
          <w:p>
            <w:pPr>
              <w:jc w:val="center"/>
              <w:spacing w:after="0"/>
              <w:rPr>
                <w:sz w:val="20"/>
                <w:szCs w:val="20"/>
                <w:color w:val="auto"/>
              </w:rPr>
            </w:pPr>
            <w:r>
              <w:rPr>
                <w:rFonts w:ascii="Arial" w:cs="Arial" w:eastAsia="Arial" w:hAnsi="Arial"/>
                <w:sz w:val="11"/>
                <w:szCs w:val="11"/>
                <w:color w:val="auto"/>
              </w:rPr>
              <w:t>10/15/18</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2,997</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29,968</w:t>
            </w: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59,936</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10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1"/>
                <w:szCs w:val="11"/>
                <w:color w:val="auto"/>
              </w:rPr>
              <w:t>Bryan L. Hughes</w:t>
            </w:r>
          </w:p>
        </w:tc>
        <w:tc>
          <w:tcPr>
            <w:tcW w:w="1100" w:type="dxa"/>
            <w:vAlign w:val="bottom"/>
            <w:tcBorders>
              <w:bottom w:val="single" w:sz="8" w:color="ACACAC"/>
            </w:tcBorders>
            <w:gridSpan w:val="2"/>
            <w:shd w:val="clear" w:color="auto" w:fill="ACACAC"/>
          </w:tcPr>
          <w:p>
            <w:pPr>
              <w:ind w:left="140"/>
              <w:spacing w:after="0"/>
              <w:rPr>
                <w:sz w:val="20"/>
                <w:szCs w:val="20"/>
                <w:color w:val="auto"/>
              </w:rPr>
            </w:pPr>
            <w:r>
              <w:rPr>
                <w:rFonts w:ascii="Arial" w:cs="Arial" w:eastAsia="Arial" w:hAnsi="Arial"/>
                <w:sz w:val="11"/>
                <w:szCs w:val="11"/>
                <w:color w:val="auto"/>
              </w:rPr>
              <w:t>2014 Plan</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1"/>
                <w:szCs w:val="11"/>
                <w:color w:val="auto"/>
              </w:rPr>
              <w:t>10/15/18</w:t>
            </w:r>
          </w:p>
        </w:tc>
        <w:tc>
          <w:tcPr>
            <w:tcW w:w="980" w:type="dxa"/>
            <w:vAlign w:val="bottom"/>
            <w:tcBorders>
              <w:bottom w:val="single" w:sz="8" w:color="ACACAC"/>
            </w:tcBorders>
            <w:shd w:val="clear" w:color="auto" w:fill="ACACAC"/>
          </w:tcPr>
          <w:p>
            <w:pPr>
              <w:spacing w:after="0"/>
              <w:rPr>
                <w:sz w:val="21"/>
                <w:szCs w:val="21"/>
                <w:color w:val="auto"/>
              </w:rPr>
            </w:pPr>
          </w:p>
        </w:tc>
        <w:tc>
          <w:tcPr>
            <w:tcW w:w="900" w:type="dxa"/>
            <w:vAlign w:val="bottom"/>
            <w:tcBorders>
              <w:bottom w:val="single" w:sz="8" w:color="ACACAC"/>
            </w:tcBorders>
            <w:shd w:val="clear" w:color="auto" w:fill="ACACAC"/>
          </w:tcPr>
          <w:p>
            <w:pPr>
              <w:spacing w:after="0"/>
              <w:rPr>
                <w:sz w:val="21"/>
                <w:szCs w:val="21"/>
                <w:color w:val="auto"/>
              </w:rPr>
            </w:pPr>
          </w:p>
        </w:tc>
        <w:tc>
          <w:tcPr>
            <w:tcW w:w="880" w:type="dxa"/>
            <w:vAlign w:val="bottom"/>
            <w:tcBorders>
              <w:bottom w:val="single" w:sz="8" w:color="ACACAC"/>
            </w:tcBorders>
            <w:shd w:val="clear" w:color="auto" w:fill="ACACAC"/>
          </w:tcPr>
          <w:p>
            <w:pPr>
              <w:spacing w:after="0"/>
              <w:rPr>
                <w:sz w:val="21"/>
                <w:szCs w:val="21"/>
                <w:color w:val="auto"/>
              </w:rPr>
            </w:pPr>
          </w:p>
        </w:tc>
        <w:tc>
          <w:tcPr>
            <w:tcW w:w="840" w:type="dxa"/>
            <w:vAlign w:val="bottom"/>
            <w:tcBorders>
              <w:bottom w:val="single" w:sz="8" w:color="ACACAC"/>
            </w:tcBorders>
            <w:shd w:val="clear" w:color="auto" w:fill="ACACAC"/>
          </w:tcPr>
          <w:p>
            <w:pPr>
              <w:spacing w:after="0"/>
              <w:rPr>
                <w:sz w:val="21"/>
                <w:szCs w:val="21"/>
                <w:color w:val="auto"/>
              </w:rPr>
            </w:pPr>
          </w:p>
        </w:tc>
        <w:tc>
          <w:tcPr>
            <w:tcW w:w="740" w:type="dxa"/>
            <w:vAlign w:val="bottom"/>
            <w:tcBorders>
              <w:bottom w:val="single" w:sz="8" w:color="ACACAC"/>
            </w:tcBorders>
            <w:shd w:val="clear" w:color="auto" w:fill="ACACAC"/>
          </w:tcPr>
          <w:p>
            <w:pPr>
              <w:spacing w:after="0"/>
              <w:rPr>
                <w:sz w:val="21"/>
                <w:szCs w:val="21"/>
                <w:color w:val="auto"/>
              </w:rPr>
            </w:pPr>
          </w:p>
        </w:tc>
        <w:tc>
          <w:tcPr>
            <w:tcW w:w="740" w:type="dxa"/>
            <w:vAlign w:val="bottom"/>
            <w:tcBorders>
              <w:bottom w:val="single" w:sz="8" w:color="ACACAC"/>
            </w:tcBorders>
            <w:shd w:val="clear" w:color="auto" w:fill="ACACAC"/>
          </w:tcPr>
          <w:p>
            <w:pPr>
              <w:spacing w:after="0"/>
              <w:rPr>
                <w:sz w:val="21"/>
                <w:szCs w:val="21"/>
                <w:color w:val="auto"/>
              </w:rPr>
            </w:pPr>
          </w:p>
        </w:tc>
        <w:tc>
          <w:tcPr>
            <w:tcW w:w="820" w:type="dxa"/>
            <w:vAlign w:val="bottom"/>
            <w:tcBorders>
              <w:bottom w:val="single" w:sz="8" w:color="ACACAC"/>
            </w:tcBorders>
            <w:shd w:val="clear" w:color="auto" w:fill="ACACAC"/>
          </w:tcPr>
          <w:p>
            <w:pPr>
              <w:spacing w:after="0"/>
              <w:rPr>
                <w:sz w:val="21"/>
                <w:szCs w:val="21"/>
                <w:color w:val="auto"/>
              </w:rPr>
            </w:pPr>
          </w:p>
        </w:tc>
        <w:tc>
          <w:tcPr>
            <w:tcW w:w="920" w:type="dxa"/>
            <w:vAlign w:val="bottom"/>
            <w:tcBorders>
              <w:bottom w:val="single" w:sz="8" w:color="ACACAC"/>
            </w:tcBorders>
            <w:shd w:val="clear" w:color="auto" w:fill="ACACAC"/>
          </w:tcPr>
          <w:p>
            <w:pPr>
              <w:jc w:val="right"/>
              <w:ind w:right="66"/>
              <w:spacing w:after="0"/>
              <w:rPr>
                <w:sz w:val="20"/>
                <w:szCs w:val="20"/>
                <w:color w:val="auto"/>
              </w:rPr>
            </w:pPr>
            <w:r>
              <w:rPr>
                <w:rFonts w:ascii="Arial" w:cs="Arial" w:eastAsia="Arial" w:hAnsi="Arial"/>
                <w:sz w:val="11"/>
                <w:szCs w:val="11"/>
                <w:color w:val="auto"/>
              </w:rPr>
              <w:t>11,438</w:t>
            </w:r>
          </w:p>
        </w:tc>
        <w:tc>
          <w:tcPr>
            <w:tcW w:w="780" w:type="dxa"/>
            <w:vAlign w:val="bottom"/>
            <w:tcBorders>
              <w:bottom w:val="single" w:sz="8" w:color="ACACAC"/>
            </w:tcBorders>
            <w:shd w:val="clear" w:color="auto" w:fill="ACACAC"/>
          </w:tcPr>
          <w:p>
            <w:pPr>
              <w:jc w:val="right"/>
              <w:ind w:right="66"/>
              <w:spacing w:after="0"/>
              <w:rPr>
                <w:sz w:val="20"/>
                <w:szCs w:val="20"/>
                <w:color w:val="auto"/>
              </w:rPr>
            </w:pPr>
            <w:r>
              <w:rPr>
                <w:rFonts w:ascii="Arial" w:cs="Arial" w:eastAsia="Arial" w:hAnsi="Arial"/>
                <w:sz w:val="11"/>
                <w:szCs w:val="11"/>
                <w:color w:val="auto"/>
              </w:rPr>
              <w:t>31.70</w:t>
            </w:r>
          </w:p>
        </w:tc>
        <w:tc>
          <w:tcPr>
            <w:tcW w:w="900" w:type="dxa"/>
            <w:vAlign w:val="bottom"/>
            <w:tcBorders>
              <w:bottom w:val="single" w:sz="8" w:color="ACACAC"/>
            </w:tcBorders>
            <w:shd w:val="clear" w:color="auto" w:fill="ACACAC"/>
          </w:tcPr>
          <w:p>
            <w:pPr>
              <w:jc w:val="right"/>
              <w:ind w:right="46"/>
              <w:spacing w:after="0"/>
              <w:rPr>
                <w:sz w:val="20"/>
                <w:szCs w:val="20"/>
                <w:color w:val="auto"/>
              </w:rPr>
            </w:pPr>
            <w:r>
              <w:rPr>
                <w:rFonts w:ascii="Arial" w:cs="Arial" w:eastAsia="Arial" w:hAnsi="Arial"/>
                <w:sz w:val="11"/>
                <w:szCs w:val="11"/>
                <w:color w:val="auto"/>
              </w:rPr>
              <w:t>126,847</w:t>
            </w:r>
          </w:p>
        </w:tc>
      </w:tr>
      <w:tr>
        <w:trPr>
          <w:trHeight w:val="248"/>
        </w:trPr>
        <w:tc>
          <w:tcPr>
            <w:tcW w:w="1040" w:type="dxa"/>
            <w:vAlign w:val="bottom"/>
          </w:tcPr>
          <w:p>
            <w:pPr>
              <w:spacing w:after="0"/>
              <w:rPr>
                <w:sz w:val="21"/>
                <w:szCs w:val="21"/>
                <w:color w:val="auto"/>
              </w:rPr>
            </w:pPr>
          </w:p>
        </w:tc>
        <w:tc>
          <w:tcPr>
            <w:tcW w:w="400" w:type="dxa"/>
            <w:vAlign w:val="bottom"/>
          </w:tcPr>
          <w:p>
            <w:pPr>
              <w:ind w:left="140"/>
              <w:spacing w:after="0"/>
              <w:rPr>
                <w:sz w:val="20"/>
                <w:szCs w:val="20"/>
                <w:color w:val="auto"/>
              </w:rPr>
            </w:pPr>
            <w:r>
              <w:rPr>
                <w:rFonts w:ascii="Arial" w:cs="Arial" w:eastAsia="Arial" w:hAnsi="Arial"/>
                <w:sz w:val="11"/>
                <w:szCs w:val="11"/>
                <w:color w:val="auto"/>
                <w:w w:val="97"/>
              </w:rPr>
              <w:t>2014</w:t>
            </w:r>
          </w:p>
        </w:tc>
        <w:tc>
          <w:tcPr>
            <w:tcW w:w="700" w:type="dxa"/>
            <w:vAlign w:val="bottom"/>
          </w:tcPr>
          <w:p>
            <w:pPr>
              <w:ind w:left="20"/>
              <w:spacing w:after="0"/>
              <w:rPr>
                <w:sz w:val="20"/>
                <w:szCs w:val="20"/>
                <w:color w:val="auto"/>
              </w:rPr>
            </w:pPr>
            <w:r>
              <w:rPr>
                <w:rFonts w:ascii="Arial" w:cs="Arial" w:eastAsia="Arial" w:hAnsi="Arial"/>
                <w:sz w:val="11"/>
                <w:szCs w:val="11"/>
                <w:color w:val="auto"/>
              </w:rPr>
              <w:t>Plan</w:t>
            </w:r>
          </w:p>
        </w:tc>
        <w:tc>
          <w:tcPr>
            <w:tcW w:w="780" w:type="dxa"/>
            <w:vAlign w:val="bottom"/>
          </w:tcPr>
          <w:p>
            <w:pPr>
              <w:jc w:val="center"/>
              <w:spacing w:after="0"/>
              <w:rPr>
                <w:sz w:val="20"/>
                <w:szCs w:val="20"/>
                <w:color w:val="auto"/>
              </w:rPr>
            </w:pPr>
            <w:r>
              <w:rPr>
                <w:rFonts w:ascii="Arial" w:cs="Arial" w:eastAsia="Arial" w:hAnsi="Arial"/>
                <w:sz w:val="11"/>
                <w:szCs w:val="11"/>
                <w:color w:val="auto"/>
              </w:rPr>
              <w:t>10/15/18</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4"/>
              </w:rPr>
              <w:t>4,001</w:t>
            </w:r>
          </w:p>
        </w:tc>
        <w:tc>
          <w:tcPr>
            <w:tcW w:w="92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31.70</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126,832</w:t>
            </w:r>
          </w:p>
        </w:tc>
      </w:tr>
      <w:tr>
        <w:trPr>
          <w:trHeight w:val="22"/>
        </w:trPr>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040" w:type="dxa"/>
            <w:vAlign w:val="bottom"/>
            <w:tcBorders>
              <w:bottom w:val="single" w:sz="8" w:color="ACACAC"/>
            </w:tcBorders>
            <w:shd w:val="clear" w:color="auto" w:fill="ACACAC"/>
          </w:tcPr>
          <w:p>
            <w:pPr>
              <w:spacing w:after="0"/>
              <w:rPr>
                <w:sz w:val="21"/>
                <w:szCs w:val="21"/>
                <w:color w:val="auto"/>
              </w:rPr>
            </w:pPr>
          </w:p>
        </w:tc>
        <w:tc>
          <w:tcPr>
            <w:tcW w:w="400" w:type="dxa"/>
            <w:vAlign w:val="bottom"/>
            <w:tcBorders>
              <w:bottom w:val="single" w:sz="8" w:color="ACACAC"/>
            </w:tcBorders>
            <w:shd w:val="clear" w:color="auto" w:fill="ACACAC"/>
          </w:tcPr>
          <w:p>
            <w:pPr>
              <w:ind w:left="140"/>
              <w:spacing w:after="0"/>
              <w:rPr>
                <w:sz w:val="20"/>
                <w:szCs w:val="20"/>
                <w:color w:val="auto"/>
              </w:rPr>
            </w:pPr>
            <w:r>
              <w:rPr>
                <w:rFonts w:ascii="Arial" w:cs="Arial" w:eastAsia="Arial" w:hAnsi="Arial"/>
                <w:sz w:val="11"/>
                <w:szCs w:val="11"/>
                <w:color w:val="auto"/>
                <w:w w:val="97"/>
              </w:rPr>
              <w:t>2019</w:t>
            </w:r>
          </w:p>
        </w:tc>
        <w:tc>
          <w:tcPr>
            <w:tcW w:w="700" w:type="dxa"/>
            <w:vAlign w:val="bottom"/>
            <w:tcBorders>
              <w:bottom w:val="single" w:sz="8" w:color="ACACAC"/>
            </w:tcBorders>
            <w:shd w:val="clear" w:color="auto" w:fill="ACACAC"/>
          </w:tcPr>
          <w:p>
            <w:pPr>
              <w:ind w:left="20"/>
              <w:spacing w:after="0"/>
              <w:rPr>
                <w:sz w:val="20"/>
                <w:szCs w:val="20"/>
                <w:color w:val="auto"/>
              </w:rPr>
            </w:pPr>
            <w:r>
              <w:rPr>
                <w:rFonts w:ascii="Arial" w:cs="Arial" w:eastAsia="Arial" w:hAnsi="Arial"/>
                <w:sz w:val="11"/>
                <w:szCs w:val="11"/>
                <w:color w:val="auto"/>
              </w:rPr>
              <w:t>OICP</w:t>
            </w:r>
          </w:p>
        </w:tc>
        <w:tc>
          <w:tcPr>
            <w:tcW w:w="780" w:type="dxa"/>
            <w:vAlign w:val="bottom"/>
            <w:tcBorders>
              <w:bottom w:val="single" w:sz="8" w:color="ACACAC"/>
            </w:tcBorders>
            <w:shd w:val="clear" w:color="auto" w:fill="ACACAC"/>
          </w:tcPr>
          <w:p>
            <w:pPr>
              <w:spacing w:after="0"/>
              <w:rPr>
                <w:sz w:val="21"/>
                <w:szCs w:val="21"/>
                <w:color w:val="auto"/>
              </w:rPr>
            </w:pPr>
          </w:p>
        </w:tc>
        <w:tc>
          <w:tcPr>
            <w:tcW w:w="980" w:type="dxa"/>
            <w:vAlign w:val="bottom"/>
            <w:tcBorders>
              <w:bottom w:val="single" w:sz="8" w:color="ACACAC"/>
            </w:tcBorders>
            <w:shd w:val="clear" w:color="auto" w:fill="ACACAC"/>
          </w:tcPr>
          <w:p>
            <w:pPr>
              <w:jc w:val="right"/>
              <w:ind w:right="146"/>
              <w:spacing w:after="0"/>
              <w:rPr>
                <w:sz w:val="20"/>
                <w:szCs w:val="20"/>
                <w:color w:val="auto"/>
              </w:rPr>
            </w:pPr>
            <w:r>
              <w:rPr>
                <w:rFonts w:ascii="Arial" w:cs="Arial" w:eastAsia="Arial" w:hAnsi="Arial"/>
                <w:sz w:val="11"/>
                <w:szCs w:val="11"/>
                <w:color w:val="auto"/>
              </w:rPr>
              <w:t>88,721.75</w:t>
            </w:r>
          </w:p>
        </w:tc>
        <w:tc>
          <w:tcPr>
            <w:tcW w:w="900" w:type="dxa"/>
            <w:vAlign w:val="bottom"/>
            <w:tcBorders>
              <w:bottom w:val="single" w:sz="8" w:color="ACACAC"/>
            </w:tcBorders>
            <w:shd w:val="clear" w:color="auto" w:fill="ACACAC"/>
          </w:tcPr>
          <w:p>
            <w:pPr>
              <w:jc w:val="right"/>
              <w:ind w:right="126"/>
              <w:spacing w:after="0"/>
              <w:rPr>
                <w:sz w:val="20"/>
                <w:szCs w:val="20"/>
                <w:color w:val="auto"/>
              </w:rPr>
            </w:pPr>
            <w:r>
              <w:rPr>
                <w:rFonts w:ascii="Arial" w:cs="Arial" w:eastAsia="Arial" w:hAnsi="Arial"/>
                <w:sz w:val="11"/>
                <w:szCs w:val="11"/>
                <w:color w:val="auto"/>
              </w:rPr>
              <w:t>354,887</w:t>
            </w:r>
          </w:p>
        </w:tc>
        <w:tc>
          <w:tcPr>
            <w:tcW w:w="880" w:type="dxa"/>
            <w:vAlign w:val="bottom"/>
            <w:tcBorders>
              <w:bottom w:val="single" w:sz="8" w:color="ACACAC"/>
            </w:tcBorders>
            <w:shd w:val="clear" w:color="auto" w:fill="ACACAC"/>
          </w:tcPr>
          <w:p>
            <w:pPr>
              <w:jc w:val="right"/>
              <w:ind w:right="66"/>
              <w:spacing w:after="0"/>
              <w:rPr>
                <w:sz w:val="20"/>
                <w:szCs w:val="20"/>
                <w:color w:val="auto"/>
              </w:rPr>
            </w:pPr>
            <w:r>
              <w:rPr>
                <w:rFonts w:ascii="Arial" w:cs="Arial" w:eastAsia="Arial" w:hAnsi="Arial"/>
                <w:sz w:val="11"/>
                <w:szCs w:val="11"/>
                <w:color w:val="auto"/>
              </w:rPr>
              <w:t>709,774</w:t>
            </w:r>
          </w:p>
        </w:tc>
        <w:tc>
          <w:tcPr>
            <w:tcW w:w="840" w:type="dxa"/>
            <w:vAlign w:val="bottom"/>
            <w:tcBorders>
              <w:bottom w:val="single" w:sz="8" w:color="ACACAC"/>
            </w:tcBorders>
            <w:shd w:val="clear" w:color="auto" w:fill="ACACAC"/>
          </w:tcPr>
          <w:p>
            <w:pPr>
              <w:spacing w:after="0"/>
              <w:rPr>
                <w:sz w:val="21"/>
                <w:szCs w:val="21"/>
                <w:color w:val="auto"/>
              </w:rPr>
            </w:pPr>
          </w:p>
        </w:tc>
        <w:tc>
          <w:tcPr>
            <w:tcW w:w="740" w:type="dxa"/>
            <w:vAlign w:val="bottom"/>
            <w:tcBorders>
              <w:bottom w:val="single" w:sz="8" w:color="ACACAC"/>
            </w:tcBorders>
            <w:shd w:val="clear" w:color="auto" w:fill="ACACAC"/>
          </w:tcPr>
          <w:p>
            <w:pPr>
              <w:spacing w:after="0"/>
              <w:rPr>
                <w:sz w:val="21"/>
                <w:szCs w:val="21"/>
                <w:color w:val="auto"/>
              </w:rPr>
            </w:pPr>
          </w:p>
        </w:tc>
        <w:tc>
          <w:tcPr>
            <w:tcW w:w="740" w:type="dxa"/>
            <w:vAlign w:val="bottom"/>
            <w:tcBorders>
              <w:bottom w:val="single" w:sz="8" w:color="ACACAC"/>
            </w:tcBorders>
            <w:shd w:val="clear" w:color="auto" w:fill="ACACAC"/>
          </w:tcPr>
          <w:p>
            <w:pPr>
              <w:spacing w:after="0"/>
              <w:rPr>
                <w:sz w:val="21"/>
                <w:szCs w:val="21"/>
                <w:color w:val="auto"/>
              </w:rPr>
            </w:pPr>
          </w:p>
        </w:tc>
        <w:tc>
          <w:tcPr>
            <w:tcW w:w="820" w:type="dxa"/>
            <w:vAlign w:val="bottom"/>
            <w:tcBorders>
              <w:bottom w:val="single" w:sz="8" w:color="ACACAC"/>
            </w:tcBorders>
            <w:shd w:val="clear" w:color="auto" w:fill="ACACAC"/>
          </w:tcPr>
          <w:p>
            <w:pPr>
              <w:spacing w:after="0"/>
              <w:rPr>
                <w:sz w:val="21"/>
                <w:szCs w:val="21"/>
                <w:color w:val="auto"/>
              </w:rPr>
            </w:pPr>
          </w:p>
        </w:tc>
        <w:tc>
          <w:tcPr>
            <w:tcW w:w="920" w:type="dxa"/>
            <w:vAlign w:val="bottom"/>
            <w:tcBorders>
              <w:bottom w:val="single" w:sz="8" w:color="ACACAC"/>
            </w:tcBorders>
            <w:shd w:val="clear" w:color="auto" w:fill="ACACAC"/>
          </w:tcPr>
          <w:p>
            <w:pPr>
              <w:spacing w:after="0"/>
              <w:rPr>
                <w:sz w:val="21"/>
                <w:szCs w:val="21"/>
                <w:color w:val="auto"/>
              </w:rPr>
            </w:pPr>
          </w:p>
        </w:tc>
        <w:tc>
          <w:tcPr>
            <w:tcW w:w="780" w:type="dxa"/>
            <w:vAlign w:val="bottom"/>
            <w:tcBorders>
              <w:bottom w:val="single" w:sz="8" w:color="ACACAC"/>
            </w:tcBorders>
            <w:shd w:val="clear" w:color="auto" w:fill="ACACAC"/>
          </w:tcPr>
          <w:p>
            <w:pPr>
              <w:spacing w:after="0"/>
              <w:rPr>
                <w:sz w:val="21"/>
                <w:szCs w:val="21"/>
                <w:color w:val="auto"/>
              </w:rPr>
            </w:pPr>
          </w:p>
        </w:tc>
        <w:tc>
          <w:tcPr>
            <w:tcW w:w="900" w:type="dxa"/>
            <w:vAlign w:val="bottom"/>
            <w:tcBorders>
              <w:bottom w:val="single" w:sz="8" w:color="ACACAC"/>
            </w:tcBorders>
            <w:shd w:val="clear" w:color="auto" w:fill="ACACAC"/>
          </w:tcPr>
          <w:p>
            <w:pPr>
              <w:spacing w:after="0"/>
              <w:rPr>
                <w:sz w:val="21"/>
                <w:szCs w:val="21"/>
                <w:color w:val="auto"/>
              </w:rPr>
            </w:pPr>
          </w:p>
        </w:tc>
      </w:tr>
      <w:tr>
        <w:trPr>
          <w:trHeight w:val="248"/>
        </w:trPr>
        <w:tc>
          <w:tcPr>
            <w:tcW w:w="1040" w:type="dxa"/>
            <w:vAlign w:val="bottom"/>
          </w:tcPr>
          <w:p>
            <w:pPr>
              <w:spacing w:after="0"/>
              <w:rPr>
                <w:sz w:val="21"/>
                <w:szCs w:val="21"/>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color w:val="auto"/>
              </w:rPr>
              <w:t>2019-2021 LTIP</w:t>
            </w:r>
          </w:p>
        </w:tc>
        <w:tc>
          <w:tcPr>
            <w:tcW w:w="780" w:type="dxa"/>
            <w:vAlign w:val="bottom"/>
          </w:tcPr>
          <w:p>
            <w:pPr>
              <w:jc w:val="center"/>
              <w:spacing w:after="0"/>
              <w:rPr>
                <w:sz w:val="20"/>
                <w:szCs w:val="20"/>
                <w:color w:val="auto"/>
              </w:rPr>
            </w:pPr>
            <w:r>
              <w:rPr>
                <w:rFonts w:ascii="Arial" w:cs="Arial" w:eastAsia="Arial" w:hAnsi="Arial"/>
                <w:sz w:val="11"/>
                <w:szCs w:val="11"/>
                <w:color w:val="auto"/>
              </w:rPr>
              <w:t>10/15/18</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800</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8,003</w:t>
            </w: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16,006</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10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1"/>
                <w:szCs w:val="11"/>
                <w:color w:val="auto"/>
              </w:rPr>
              <w:t>Stacy L. Bogart</w:t>
            </w:r>
          </w:p>
        </w:tc>
        <w:tc>
          <w:tcPr>
            <w:tcW w:w="1100" w:type="dxa"/>
            <w:vAlign w:val="bottom"/>
            <w:tcBorders>
              <w:bottom w:val="single" w:sz="8" w:color="ACACAC"/>
            </w:tcBorders>
            <w:gridSpan w:val="2"/>
            <w:shd w:val="clear" w:color="auto" w:fill="ACACAC"/>
          </w:tcPr>
          <w:p>
            <w:pPr>
              <w:ind w:left="140"/>
              <w:spacing w:after="0"/>
              <w:rPr>
                <w:sz w:val="20"/>
                <w:szCs w:val="20"/>
                <w:color w:val="auto"/>
              </w:rPr>
            </w:pPr>
            <w:r>
              <w:rPr>
                <w:rFonts w:ascii="Arial" w:cs="Arial" w:eastAsia="Arial" w:hAnsi="Arial"/>
                <w:sz w:val="11"/>
                <w:szCs w:val="11"/>
                <w:color w:val="auto"/>
              </w:rPr>
              <w:t>2014 Plan</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1"/>
                <w:szCs w:val="11"/>
                <w:color w:val="auto"/>
              </w:rPr>
              <w:t>10/15/18</w:t>
            </w:r>
          </w:p>
        </w:tc>
        <w:tc>
          <w:tcPr>
            <w:tcW w:w="980" w:type="dxa"/>
            <w:vAlign w:val="bottom"/>
            <w:tcBorders>
              <w:bottom w:val="single" w:sz="8" w:color="ACACAC"/>
            </w:tcBorders>
            <w:shd w:val="clear" w:color="auto" w:fill="ACACAC"/>
          </w:tcPr>
          <w:p>
            <w:pPr>
              <w:spacing w:after="0"/>
              <w:rPr>
                <w:sz w:val="21"/>
                <w:szCs w:val="21"/>
                <w:color w:val="auto"/>
              </w:rPr>
            </w:pPr>
          </w:p>
        </w:tc>
        <w:tc>
          <w:tcPr>
            <w:tcW w:w="900" w:type="dxa"/>
            <w:vAlign w:val="bottom"/>
            <w:tcBorders>
              <w:bottom w:val="single" w:sz="8" w:color="ACACAC"/>
            </w:tcBorders>
            <w:shd w:val="clear" w:color="auto" w:fill="ACACAC"/>
          </w:tcPr>
          <w:p>
            <w:pPr>
              <w:spacing w:after="0"/>
              <w:rPr>
                <w:sz w:val="21"/>
                <w:szCs w:val="21"/>
                <w:color w:val="auto"/>
              </w:rPr>
            </w:pPr>
          </w:p>
        </w:tc>
        <w:tc>
          <w:tcPr>
            <w:tcW w:w="880" w:type="dxa"/>
            <w:vAlign w:val="bottom"/>
            <w:tcBorders>
              <w:bottom w:val="single" w:sz="8" w:color="ACACAC"/>
            </w:tcBorders>
            <w:shd w:val="clear" w:color="auto" w:fill="ACACAC"/>
          </w:tcPr>
          <w:p>
            <w:pPr>
              <w:spacing w:after="0"/>
              <w:rPr>
                <w:sz w:val="21"/>
                <w:szCs w:val="21"/>
                <w:color w:val="auto"/>
              </w:rPr>
            </w:pPr>
          </w:p>
        </w:tc>
        <w:tc>
          <w:tcPr>
            <w:tcW w:w="840" w:type="dxa"/>
            <w:vAlign w:val="bottom"/>
            <w:tcBorders>
              <w:bottom w:val="single" w:sz="8" w:color="ACACAC"/>
            </w:tcBorders>
            <w:shd w:val="clear" w:color="auto" w:fill="ACACAC"/>
          </w:tcPr>
          <w:p>
            <w:pPr>
              <w:spacing w:after="0"/>
              <w:rPr>
                <w:sz w:val="21"/>
                <w:szCs w:val="21"/>
                <w:color w:val="auto"/>
              </w:rPr>
            </w:pPr>
          </w:p>
        </w:tc>
        <w:tc>
          <w:tcPr>
            <w:tcW w:w="740" w:type="dxa"/>
            <w:vAlign w:val="bottom"/>
            <w:tcBorders>
              <w:bottom w:val="single" w:sz="8" w:color="ACACAC"/>
            </w:tcBorders>
            <w:shd w:val="clear" w:color="auto" w:fill="ACACAC"/>
          </w:tcPr>
          <w:p>
            <w:pPr>
              <w:spacing w:after="0"/>
              <w:rPr>
                <w:sz w:val="21"/>
                <w:szCs w:val="21"/>
                <w:color w:val="auto"/>
              </w:rPr>
            </w:pPr>
          </w:p>
        </w:tc>
        <w:tc>
          <w:tcPr>
            <w:tcW w:w="740" w:type="dxa"/>
            <w:vAlign w:val="bottom"/>
            <w:tcBorders>
              <w:bottom w:val="single" w:sz="8" w:color="ACACAC"/>
            </w:tcBorders>
            <w:shd w:val="clear" w:color="auto" w:fill="ACACAC"/>
          </w:tcPr>
          <w:p>
            <w:pPr>
              <w:spacing w:after="0"/>
              <w:rPr>
                <w:sz w:val="21"/>
                <w:szCs w:val="21"/>
                <w:color w:val="auto"/>
              </w:rPr>
            </w:pPr>
          </w:p>
        </w:tc>
        <w:tc>
          <w:tcPr>
            <w:tcW w:w="820" w:type="dxa"/>
            <w:vAlign w:val="bottom"/>
            <w:tcBorders>
              <w:bottom w:val="single" w:sz="8" w:color="ACACAC"/>
            </w:tcBorders>
            <w:shd w:val="clear" w:color="auto" w:fill="ACACAC"/>
          </w:tcPr>
          <w:p>
            <w:pPr>
              <w:spacing w:after="0"/>
              <w:rPr>
                <w:sz w:val="21"/>
                <w:szCs w:val="21"/>
                <w:color w:val="auto"/>
              </w:rPr>
            </w:pPr>
          </w:p>
        </w:tc>
        <w:tc>
          <w:tcPr>
            <w:tcW w:w="920" w:type="dxa"/>
            <w:vAlign w:val="bottom"/>
            <w:tcBorders>
              <w:bottom w:val="single" w:sz="8" w:color="ACACAC"/>
            </w:tcBorders>
            <w:shd w:val="clear" w:color="auto" w:fill="ACACAC"/>
          </w:tcPr>
          <w:p>
            <w:pPr>
              <w:jc w:val="right"/>
              <w:ind w:right="66"/>
              <w:spacing w:after="0"/>
              <w:rPr>
                <w:sz w:val="20"/>
                <w:szCs w:val="20"/>
                <w:color w:val="auto"/>
              </w:rPr>
            </w:pPr>
            <w:r>
              <w:rPr>
                <w:rFonts w:ascii="Arial" w:cs="Arial" w:eastAsia="Arial" w:hAnsi="Arial"/>
                <w:sz w:val="11"/>
                <w:szCs w:val="11"/>
                <w:color w:val="auto"/>
              </w:rPr>
              <w:t>9,823</w:t>
            </w:r>
          </w:p>
        </w:tc>
        <w:tc>
          <w:tcPr>
            <w:tcW w:w="780" w:type="dxa"/>
            <w:vAlign w:val="bottom"/>
            <w:tcBorders>
              <w:bottom w:val="single" w:sz="8" w:color="ACACAC"/>
            </w:tcBorders>
            <w:shd w:val="clear" w:color="auto" w:fill="ACACAC"/>
          </w:tcPr>
          <w:p>
            <w:pPr>
              <w:jc w:val="right"/>
              <w:ind w:right="66"/>
              <w:spacing w:after="0"/>
              <w:rPr>
                <w:sz w:val="20"/>
                <w:szCs w:val="20"/>
                <w:color w:val="auto"/>
              </w:rPr>
            </w:pPr>
            <w:r>
              <w:rPr>
                <w:rFonts w:ascii="Arial" w:cs="Arial" w:eastAsia="Arial" w:hAnsi="Arial"/>
                <w:sz w:val="11"/>
                <w:szCs w:val="11"/>
                <w:color w:val="auto"/>
              </w:rPr>
              <w:t>31.70</w:t>
            </w:r>
          </w:p>
        </w:tc>
        <w:tc>
          <w:tcPr>
            <w:tcW w:w="900" w:type="dxa"/>
            <w:vAlign w:val="bottom"/>
            <w:tcBorders>
              <w:bottom w:val="single" w:sz="8" w:color="ACACAC"/>
            </w:tcBorders>
            <w:shd w:val="clear" w:color="auto" w:fill="ACACAC"/>
          </w:tcPr>
          <w:p>
            <w:pPr>
              <w:jc w:val="right"/>
              <w:ind w:right="46"/>
              <w:spacing w:after="0"/>
              <w:rPr>
                <w:sz w:val="20"/>
                <w:szCs w:val="20"/>
                <w:color w:val="auto"/>
              </w:rPr>
            </w:pPr>
            <w:r>
              <w:rPr>
                <w:rFonts w:ascii="Arial" w:cs="Arial" w:eastAsia="Arial" w:hAnsi="Arial"/>
                <w:sz w:val="11"/>
                <w:szCs w:val="11"/>
                <w:color w:val="auto"/>
              </w:rPr>
              <w:t>108,937</w:t>
            </w:r>
          </w:p>
        </w:tc>
      </w:tr>
      <w:tr>
        <w:trPr>
          <w:trHeight w:val="248"/>
        </w:trPr>
        <w:tc>
          <w:tcPr>
            <w:tcW w:w="1040" w:type="dxa"/>
            <w:vAlign w:val="bottom"/>
          </w:tcPr>
          <w:p>
            <w:pPr>
              <w:spacing w:after="0"/>
              <w:rPr>
                <w:sz w:val="21"/>
                <w:szCs w:val="21"/>
                <w:color w:val="auto"/>
              </w:rPr>
            </w:pPr>
          </w:p>
        </w:tc>
        <w:tc>
          <w:tcPr>
            <w:tcW w:w="400" w:type="dxa"/>
            <w:vAlign w:val="bottom"/>
          </w:tcPr>
          <w:p>
            <w:pPr>
              <w:ind w:left="140"/>
              <w:spacing w:after="0"/>
              <w:rPr>
                <w:sz w:val="20"/>
                <w:szCs w:val="20"/>
                <w:color w:val="auto"/>
              </w:rPr>
            </w:pPr>
            <w:r>
              <w:rPr>
                <w:rFonts w:ascii="Arial" w:cs="Arial" w:eastAsia="Arial" w:hAnsi="Arial"/>
                <w:sz w:val="11"/>
                <w:szCs w:val="11"/>
                <w:color w:val="auto"/>
                <w:w w:val="97"/>
              </w:rPr>
              <w:t>2014</w:t>
            </w:r>
          </w:p>
        </w:tc>
        <w:tc>
          <w:tcPr>
            <w:tcW w:w="700" w:type="dxa"/>
            <w:vAlign w:val="bottom"/>
          </w:tcPr>
          <w:p>
            <w:pPr>
              <w:ind w:left="20"/>
              <w:spacing w:after="0"/>
              <w:rPr>
                <w:sz w:val="20"/>
                <w:szCs w:val="20"/>
                <w:color w:val="auto"/>
              </w:rPr>
            </w:pPr>
            <w:r>
              <w:rPr>
                <w:rFonts w:ascii="Arial" w:cs="Arial" w:eastAsia="Arial" w:hAnsi="Arial"/>
                <w:sz w:val="11"/>
                <w:szCs w:val="11"/>
                <w:color w:val="auto"/>
              </w:rPr>
              <w:t>Plan</w:t>
            </w:r>
          </w:p>
        </w:tc>
        <w:tc>
          <w:tcPr>
            <w:tcW w:w="780" w:type="dxa"/>
            <w:vAlign w:val="bottom"/>
          </w:tcPr>
          <w:p>
            <w:pPr>
              <w:jc w:val="center"/>
              <w:spacing w:after="0"/>
              <w:rPr>
                <w:sz w:val="20"/>
                <w:szCs w:val="20"/>
                <w:color w:val="auto"/>
              </w:rPr>
            </w:pPr>
            <w:r>
              <w:rPr>
                <w:rFonts w:ascii="Arial" w:cs="Arial" w:eastAsia="Arial" w:hAnsi="Arial"/>
                <w:sz w:val="11"/>
                <w:szCs w:val="11"/>
                <w:color w:val="auto"/>
              </w:rPr>
              <w:t>10/15/18</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4"/>
              </w:rPr>
              <w:t>3,437</w:t>
            </w:r>
          </w:p>
        </w:tc>
        <w:tc>
          <w:tcPr>
            <w:tcW w:w="92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31.70</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108,953</w:t>
            </w:r>
          </w:p>
        </w:tc>
      </w:tr>
      <w:tr>
        <w:trPr>
          <w:trHeight w:val="22"/>
        </w:trPr>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040" w:type="dxa"/>
            <w:vAlign w:val="bottom"/>
            <w:tcBorders>
              <w:bottom w:val="single" w:sz="8" w:color="ACACAC"/>
            </w:tcBorders>
            <w:shd w:val="clear" w:color="auto" w:fill="ACACAC"/>
          </w:tcPr>
          <w:p>
            <w:pPr>
              <w:spacing w:after="0"/>
              <w:rPr>
                <w:sz w:val="21"/>
                <w:szCs w:val="21"/>
                <w:color w:val="auto"/>
              </w:rPr>
            </w:pPr>
          </w:p>
        </w:tc>
        <w:tc>
          <w:tcPr>
            <w:tcW w:w="400" w:type="dxa"/>
            <w:vAlign w:val="bottom"/>
            <w:tcBorders>
              <w:bottom w:val="single" w:sz="8" w:color="ACACAC"/>
            </w:tcBorders>
            <w:shd w:val="clear" w:color="auto" w:fill="ACACAC"/>
          </w:tcPr>
          <w:p>
            <w:pPr>
              <w:ind w:left="140"/>
              <w:spacing w:after="0"/>
              <w:rPr>
                <w:sz w:val="20"/>
                <w:szCs w:val="20"/>
                <w:color w:val="auto"/>
              </w:rPr>
            </w:pPr>
            <w:r>
              <w:rPr>
                <w:rFonts w:ascii="Arial" w:cs="Arial" w:eastAsia="Arial" w:hAnsi="Arial"/>
                <w:sz w:val="11"/>
                <w:szCs w:val="11"/>
                <w:color w:val="auto"/>
                <w:w w:val="97"/>
              </w:rPr>
              <w:t>2019</w:t>
            </w:r>
          </w:p>
        </w:tc>
        <w:tc>
          <w:tcPr>
            <w:tcW w:w="700" w:type="dxa"/>
            <w:vAlign w:val="bottom"/>
            <w:tcBorders>
              <w:bottom w:val="single" w:sz="8" w:color="ACACAC"/>
            </w:tcBorders>
            <w:shd w:val="clear" w:color="auto" w:fill="ACACAC"/>
          </w:tcPr>
          <w:p>
            <w:pPr>
              <w:ind w:left="20"/>
              <w:spacing w:after="0"/>
              <w:rPr>
                <w:sz w:val="20"/>
                <w:szCs w:val="20"/>
                <w:color w:val="auto"/>
              </w:rPr>
            </w:pPr>
            <w:r>
              <w:rPr>
                <w:rFonts w:ascii="Arial" w:cs="Arial" w:eastAsia="Arial" w:hAnsi="Arial"/>
                <w:sz w:val="11"/>
                <w:szCs w:val="11"/>
                <w:color w:val="auto"/>
              </w:rPr>
              <w:t>OICP</w:t>
            </w:r>
          </w:p>
        </w:tc>
        <w:tc>
          <w:tcPr>
            <w:tcW w:w="780" w:type="dxa"/>
            <w:vAlign w:val="bottom"/>
            <w:tcBorders>
              <w:bottom w:val="single" w:sz="8" w:color="ACACAC"/>
            </w:tcBorders>
            <w:shd w:val="clear" w:color="auto" w:fill="ACACAC"/>
          </w:tcPr>
          <w:p>
            <w:pPr>
              <w:spacing w:after="0"/>
              <w:rPr>
                <w:sz w:val="21"/>
                <w:szCs w:val="21"/>
                <w:color w:val="auto"/>
              </w:rPr>
            </w:pPr>
          </w:p>
        </w:tc>
        <w:tc>
          <w:tcPr>
            <w:tcW w:w="980" w:type="dxa"/>
            <w:vAlign w:val="bottom"/>
            <w:tcBorders>
              <w:bottom w:val="single" w:sz="8" w:color="ACACAC"/>
            </w:tcBorders>
            <w:shd w:val="clear" w:color="auto" w:fill="ACACAC"/>
          </w:tcPr>
          <w:p>
            <w:pPr>
              <w:jc w:val="right"/>
              <w:ind w:right="146"/>
              <w:spacing w:after="0"/>
              <w:rPr>
                <w:sz w:val="20"/>
                <w:szCs w:val="20"/>
                <w:color w:val="auto"/>
              </w:rPr>
            </w:pPr>
            <w:r>
              <w:rPr>
                <w:rFonts w:ascii="Arial" w:cs="Arial" w:eastAsia="Arial" w:hAnsi="Arial"/>
                <w:sz w:val="11"/>
                <w:szCs w:val="11"/>
                <w:color w:val="auto"/>
              </w:rPr>
              <w:t>63,476</w:t>
            </w:r>
          </w:p>
        </w:tc>
        <w:tc>
          <w:tcPr>
            <w:tcW w:w="900" w:type="dxa"/>
            <w:vAlign w:val="bottom"/>
            <w:tcBorders>
              <w:bottom w:val="single" w:sz="8" w:color="ACACAC"/>
            </w:tcBorders>
            <w:shd w:val="clear" w:color="auto" w:fill="ACACAC"/>
          </w:tcPr>
          <w:p>
            <w:pPr>
              <w:jc w:val="right"/>
              <w:ind w:right="126"/>
              <w:spacing w:after="0"/>
              <w:rPr>
                <w:sz w:val="20"/>
                <w:szCs w:val="20"/>
                <w:color w:val="auto"/>
              </w:rPr>
            </w:pPr>
            <w:r>
              <w:rPr>
                <w:rFonts w:ascii="Arial" w:cs="Arial" w:eastAsia="Arial" w:hAnsi="Arial"/>
                <w:sz w:val="11"/>
                <w:szCs w:val="11"/>
                <w:color w:val="auto"/>
              </w:rPr>
              <w:t>253,904</w:t>
            </w:r>
          </w:p>
        </w:tc>
        <w:tc>
          <w:tcPr>
            <w:tcW w:w="880" w:type="dxa"/>
            <w:vAlign w:val="bottom"/>
            <w:tcBorders>
              <w:bottom w:val="single" w:sz="8" w:color="ACACAC"/>
            </w:tcBorders>
            <w:shd w:val="clear" w:color="auto" w:fill="ACACAC"/>
          </w:tcPr>
          <w:p>
            <w:pPr>
              <w:jc w:val="right"/>
              <w:ind w:right="66"/>
              <w:spacing w:after="0"/>
              <w:rPr>
                <w:sz w:val="20"/>
                <w:szCs w:val="20"/>
                <w:color w:val="auto"/>
              </w:rPr>
            </w:pPr>
            <w:r>
              <w:rPr>
                <w:rFonts w:ascii="Arial" w:cs="Arial" w:eastAsia="Arial" w:hAnsi="Arial"/>
                <w:sz w:val="11"/>
                <w:szCs w:val="11"/>
                <w:color w:val="auto"/>
              </w:rPr>
              <w:t>507,808</w:t>
            </w:r>
          </w:p>
        </w:tc>
        <w:tc>
          <w:tcPr>
            <w:tcW w:w="840" w:type="dxa"/>
            <w:vAlign w:val="bottom"/>
            <w:tcBorders>
              <w:bottom w:val="single" w:sz="8" w:color="ACACAC"/>
            </w:tcBorders>
            <w:shd w:val="clear" w:color="auto" w:fill="ACACAC"/>
          </w:tcPr>
          <w:p>
            <w:pPr>
              <w:spacing w:after="0"/>
              <w:rPr>
                <w:sz w:val="21"/>
                <w:szCs w:val="21"/>
                <w:color w:val="auto"/>
              </w:rPr>
            </w:pPr>
          </w:p>
        </w:tc>
        <w:tc>
          <w:tcPr>
            <w:tcW w:w="740" w:type="dxa"/>
            <w:vAlign w:val="bottom"/>
            <w:tcBorders>
              <w:bottom w:val="single" w:sz="8" w:color="ACACAC"/>
            </w:tcBorders>
            <w:shd w:val="clear" w:color="auto" w:fill="ACACAC"/>
          </w:tcPr>
          <w:p>
            <w:pPr>
              <w:spacing w:after="0"/>
              <w:rPr>
                <w:sz w:val="21"/>
                <w:szCs w:val="21"/>
                <w:color w:val="auto"/>
              </w:rPr>
            </w:pPr>
          </w:p>
        </w:tc>
        <w:tc>
          <w:tcPr>
            <w:tcW w:w="740" w:type="dxa"/>
            <w:vAlign w:val="bottom"/>
            <w:tcBorders>
              <w:bottom w:val="single" w:sz="8" w:color="ACACAC"/>
            </w:tcBorders>
            <w:shd w:val="clear" w:color="auto" w:fill="ACACAC"/>
          </w:tcPr>
          <w:p>
            <w:pPr>
              <w:spacing w:after="0"/>
              <w:rPr>
                <w:sz w:val="21"/>
                <w:szCs w:val="21"/>
                <w:color w:val="auto"/>
              </w:rPr>
            </w:pPr>
          </w:p>
        </w:tc>
        <w:tc>
          <w:tcPr>
            <w:tcW w:w="820" w:type="dxa"/>
            <w:vAlign w:val="bottom"/>
            <w:tcBorders>
              <w:bottom w:val="single" w:sz="8" w:color="ACACAC"/>
            </w:tcBorders>
            <w:shd w:val="clear" w:color="auto" w:fill="ACACAC"/>
          </w:tcPr>
          <w:p>
            <w:pPr>
              <w:spacing w:after="0"/>
              <w:rPr>
                <w:sz w:val="21"/>
                <w:szCs w:val="21"/>
                <w:color w:val="auto"/>
              </w:rPr>
            </w:pPr>
          </w:p>
        </w:tc>
        <w:tc>
          <w:tcPr>
            <w:tcW w:w="920" w:type="dxa"/>
            <w:vAlign w:val="bottom"/>
            <w:tcBorders>
              <w:bottom w:val="single" w:sz="8" w:color="ACACAC"/>
            </w:tcBorders>
            <w:shd w:val="clear" w:color="auto" w:fill="ACACAC"/>
          </w:tcPr>
          <w:p>
            <w:pPr>
              <w:spacing w:after="0"/>
              <w:rPr>
                <w:sz w:val="21"/>
                <w:szCs w:val="21"/>
                <w:color w:val="auto"/>
              </w:rPr>
            </w:pPr>
          </w:p>
        </w:tc>
        <w:tc>
          <w:tcPr>
            <w:tcW w:w="780" w:type="dxa"/>
            <w:vAlign w:val="bottom"/>
            <w:tcBorders>
              <w:bottom w:val="single" w:sz="8" w:color="ACACAC"/>
            </w:tcBorders>
            <w:shd w:val="clear" w:color="auto" w:fill="ACACAC"/>
          </w:tcPr>
          <w:p>
            <w:pPr>
              <w:spacing w:after="0"/>
              <w:rPr>
                <w:sz w:val="21"/>
                <w:szCs w:val="21"/>
                <w:color w:val="auto"/>
              </w:rPr>
            </w:pPr>
          </w:p>
        </w:tc>
        <w:tc>
          <w:tcPr>
            <w:tcW w:w="900" w:type="dxa"/>
            <w:vAlign w:val="bottom"/>
            <w:tcBorders>
              <w:bottom w:val="single" w:sz="8" w:color="ACACAC"/>
            </w:tcBorders>
            <w:shd w:val="clear" w:color="auto" w:fill="ACACAC"/>
          </w:tcPr>
          <w:p>
            <w:pPr>
              <w:spacing w:after="0"/>
              <w:rPr>
                <w:sz w:val="21"/>
                <w:szCs w:val="21"/>
                <w:color w:val="auto"/>
              </w:rPr>
            </w:pPr>
          </w:p>
        </w:tc>
      </w:tr>
      <w:tr>
        <w:trPr>
          <w:trHeight w:val="248"/>
        </w:trPr>
        <w:tc>
          <w:tcPr>
            <w:tcW w:w="1040" w:type="dxa"/>
            <w:vAlign w:val="bottom"/>
          </w:tcPr>
          <w:p>
            <w:pPr>
              <w:spacing w:after="0"/>
              <w:rPr>
                <w:sz w:val="21"/>
                <w:szCs w:val="21"/>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color w:val="auto"/>
              </w:rPr>
              <w:t>2019-2021 LTIP</w:t>
            </w:r>
          </w:p>
        </w:tc>
        <w:tc>
          <w:tcPr>
            <w:tcW w:w="780" w:type="dxa"/>
            <w:vAlign w:val="bottom"/>
          </w:tcPr>
          <w:p>
            <w:pPr>
              <w:jc w:val="center"/>
              <w:spacing w:after="0"/>
              <w:rPr>
                <w:sz w:val="20"/>
                <w:szCs w:val="20"/>
                <w:color w:val="auto"/>
              </w:rPr>
            </w:pPr>
            <w:r>
              <w:rPr>
                <w:rFonts w:ascii="Arial" w:cs="Arial" w:eastAsia="Arial" w:hAnsi="Arial"/>
                <w:sz w:val="11"/>
                <w:szCs w:val="11"/>
                <w:color w:val="auto"/>
              </w:rPr>
              <w:t>10/15/18</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687</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6,873</w:t>
            </w: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13,746</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69"/>
        </w:trPr>
        <w:tc>
          <w:tcPr>
            <w:tcW w:w="10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1"/>
                <w:szCs w:val="11"/>
                <w:color w:val="auto"/>
              </w:rPr>
              <w:t>Donald J. Clark</w:t>
            </w:r>
            <w:r>
              <w:rPr>
                <w:rFonts w:ascii="Arial" w:cs="Arial" w:eastAsia="Arial" w:hAnsi="Arial"/>
                <w:sz w:val="7"/>
                <w:szCs w:val="7"/>
                <w:color w:val="auto"/>
              </w:rPr>
              <w:t>(6)</w:t>
            </w:r>
          </w:p>
        </w:tc>
        <w:tc>
          <w:tcPr>
            <w:tcW w:w="400" w:type="dxa"/>
            <w:vAlign w:val="bottom"/>
            <w:tcBorders>
              <w:bottom w:val="single" w:sz="8" w:color="ACACAC"/>
            </w:tcBorders>
            <w:shd w:val="clear" w:color="auto" w:fill="ACACAC"/>
          </w:tcPr>
          <w:p>
            <w:pPr>
              <w:spacing w:after="0"/>
              <w:rPr>
                <w:sz w:val="22"/>
                <w:szCs w:val="22"/>
                <w:color w:val="auto"/>
              </w:rPr>
            </w:pPr>
          </w:p>
        </w:tc>
        <w:tc>
          <w:tcPr>
            <w:tcW w:w="700" w:type="dxa"/>
            <w:vAlign w:val="bottom"/>
            <w:tcBorders>
              <w:bottom w:val="single" w:sz="8" w:color="ACACAC"/>
            </w:tcBorders>
            <w:shd w:val="clear" w:color="auto" w:fill="ACACAC"/>
          </w:tcPr>
          <w:p>
            <w:pPr>
              <w:spacing w:after="0"/>
              <w:rPr>
                <w:sz w:val="22"/>
                <w:szCs w:val="22"/>
                <w:color w:val="auto"/>
              </w:rPr>
            </w:pPr>
          </w:p>
        </w:tc>
        <w:tc>
          <w:tcPr>
            <w:tcW w:w="780" w:type="dxa"/>
            <w:vAlign w:val="bottom"/>
            <w:tcBorders>
              <w:bottom w:val="single" w:sz="8" w:color="ACACAC"/>
            </w:tcBorders>
            <w:shd w:val="clear" w:color="auto" w:fill="ACACAC"/>
          </w:tcPr>
          <w:p>
            <w:pPr>
              <w:spacing w:after="0"/>
              <w:rPr>
                <w:sz w:val="22"/>
                <w:szCs w:val="22"/>
                <w:color w:val="auto"/>
              </w:rPr>
            </w:pPr>
          </w:p>
        </w:tc>
        <w:tc>
          <w:tcPr>
            <w:tcW w:w="980" w:type="dxa"/>
            <w:vAlign w:val="bottom"/>
            <w:tcBorders>
              <w:bottom w:val="single" w:sz="8" w:color="ACACAC"/>
            </w:tcBorders>
            <w:shd w:val="clear" w:color="auto" w:fill="ACACAC"/>
          </w:tcPr>
          <w:p>
            <w:pPr>
              <w:spacing w:after="0"/>
              <w:rPr>
                <w:sz w:val="22"/>
                <w:szCs w:val="22"/>
                <w:color w:val="auto"/>
              </w:rPr>
            </w:pPr>
          </w:p>
        </w:tc>
        <w:tc>
          <w:tcPr>
            <w:tcW w:w="900" w:type="dxa"/>
            <w:vAlign w:val="bottom"/>
            <w:tcBorders>
              <w:bottom w:val="single" w:sz="8" w:color="ACACAC"/>
            </w:tcBorders>
            <w:shd w:val="clear" w:color="auto" w:fill="ACACAC"/>
          </w:tcPr>
          <w:p>
            <w:pPr>
              <w:spacing w:after="0"/>
              <w:rPr>
                <w:sz w:val="22"/>
                <w:szCs w:val="22"/>
                <w:color w:val="auto"/>
              </w:rPr>
            </w:pPr>
          </w:p>
        </w:tc>
        <w:tc>
          <w:tcPr>
            <w:tcW w:w="880" w:type="dxa"/>
            <w:vAlign w:val="bottom"/>
            <w:tcBorders>
              <w:bottom w:val="single" w:sz="8" w:color="ACACAC"/>
            </w:tcBorders>
            <w:shd w:val="clear" w:color="auto" w:fill="ACACAC"/>
          </w:tcPr>
          <w:p>
            <w:pPr>
              <w:spacing w:after="0"/>
              <w:rPr>
                <w:sz w:val="22"/>
                <w:szCs w:val="22"/>
                <w:color w:val="auto"/>
              </w:rPr>
            </w:pPr>
          </w:p>
        </w:tc>
        <w:tc>
          <w:tcPr>
            <w:tcW w:w="840" w:type="dxa"/>
            <w:vAlign w:val="bottom"/>
            <w:tcBorders>
              <w:bottom w:val="single" w:sz="8" w:color="ACACAC"/>
            </w:tcBorders>
            <w:shd w:val="clear" w:color="auto" w:fill="ACACAC"/>
          </w:tcPr>
          <w:p>
            <w:pPr>
              <w:spacing w:after="0"/>
              <w:rPr>
                <w:sz w:val="22"/>
                <w:szCs w:val="22"/>
                <w:color w:val="auto"/>
              </w:rPr>
            </w:pPr>
          </w:p>
        </w:tc>
        <w:tc>
          <w:tcPr>
            <w:tcW w:w="740" w:type="dxa"/>
            <w:vAlign w:val="bottom"/>
            <w:tcBorders>
              <w:bottom w:val="single" w:sz="8" w:color="ACACAC"/>
            </w:tcBorders>
            <w:shd w:val="clear" w:color="auto" w:fill="ACACAC"/>
          </w:tcPr>
          <w:p>
            <w:pPr>
              <w:spacing w:after="0"/>
              <w:rPr>
                <w:sz w:val="22"/>
                <w:szCs w:val="22"/>
                <w:color w:val="auto"/>
              </w:rPr>
            </w:pPr>
          </w:p>
        </w:tc>
        <w:tc>
          <w:tcPr>
            <w:tcW w:w="740" w:type="dxa"/>
            <w:vAlign w:val="bottom"/>
            <w:tcBorders>
              <w:bottom w:val="single" w:sz="8" w:color="ACACAC"/>
            </w:tcBorders>
            <w:shd w:val="clear" w:color="auto" w:fill="ACACAC"/>
          </w:tcPr>
          <w:p>
            <w:pPr>
              <w:spacing w:after="0"/>
              <w:rPr>
                <w:sz w:val="22"/>
                <w:szCs w:val="22"/>
                <w:color w:val="auto"/>
              </w:rPr>
            </w:pPr>
          </w:p>
        </w:tc>
        <w:tc>
          <w:tcPr>
            <w:tcW w:w="820" w:type="dxa"/>
            <w:vAlign w:val="bottom"/>
            <w:tcBorders>
              <w:bottom w:val="single" w:sz="8" w:color="ACACAC"/>
            </w:tcBorders>
            <w:shd w:val="clear" w:color="auto" w:fill="ACACAC"/>
          </w:tcPr>
          <w:p>
            <w:pPr>
              <w:spacing w:after="0"/>
              <w:rPr>
                <w:sz w:val="22"/>
                <w:szCs w:val="22"/>
                <w:color w:val="auto"/>
              </w:rPr>
            </w:pPr>
          </w:p>
        </w:tc>
        <w:tc>
          <w:tcPr>
            <w:tcW w:w="920" w:type="dxa"/>
            <w:vAlign w:val="bottom"/>
            <w:tcBorders>
              <w:bottom w:val="single" w:sz="8" w:color="ACACAC"/>
            </w:tcBorders>
            <w:shd w:val="clear" w:color="auto" w:fill="ACACAC"/>
          </w:tcPr>
          <w:p>
            <w:pPr>
              <w:spacing w:after="0"/>
              <w:rPr>
                <w:sz w:val="22"/>
                <w:szCs w:val="22"/>
                <w:color w:val="auto"/>
              </w:rPr>
            </w:pPr>
          </w:p>
        </w:tc>
        <w:tc>
          <w:tcPr>
            <w:tcW w:w="780" w:type="dxa"/>
            <w:vAlign w:val="bottom"/>
            <w:tcBorders>
              <w:bottom w:val="single" w:sz="8" w:color="ACACAC"/>
            </w:tcBorders>
            <w:shd w:val="clear" w:color="auto" w:fill="ACACAC"/>
          </w:tcPr>
          <w:p>
            <w:pPr>
              <w:spacing w:after="0"/>
              <w:rPr>
                <w:sz w:val="22"/>
                <w:szCs w:val="22"/>
                <w:color w:val="auto"/>
              </w:rPr>
            </w:pPr>
          </w:p>
        </w:tc>
        <w:tc>
          <w:tcPr>
            <w:tcW w:w="900" w:type="dxa"/>
            <w:vAlign w:val="bottom"/>
            <w:tcBorders>
              <w:bottom w:val="single" w:sz="8" w:color="ACACAC"/>
            </w:tcBorders>
            <w:shd w:val="clear" w:color="auto" w:fill="ACACAC"/>
          </w:tcPr>
          <w:p>
            <w:pPr>
              <w:spacing w:after="0"/>
              <w:rPr>
                <w:sz w:val="22"/>
                <w:szCs w:val="22"/>
                <w:color w:val="auto"/>
              </w:rPr>
            </w:pPr>
          </w:p>
        </w:tc>
      </w:tr>
      <w:tr>
        <w:trPr>
          <w:trHeight w:val="24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1"/>
                <w:szCs w:val="11"/>
                <w:color w:val="auto"/>
              </w:rPr>
              <w:t>Brian D. Hazelton</w:t>
            </w:r>
          </w:p>
        </w:tc>
        <w:tc>
          <w:tcPr>
            <w:tcW w:w="1100" w:type="dxa"/>
            <w:vAlign w:val="bottom"/>
            <w:tcBorders>
              <w:top w:val="single" w:sz="8" w:color="auto"/>
            </w:tcBorders>
            <w:gridSpan w:val="2"/>
          </w:tcPr>
          <w:p>
            <w:pPr>
              <w:ind w:left="140"/>
              <w:spacing w:after="0"/>
              <w:rPr>
                <w:sz w:val="20"/>
                <w:szCs w:val="20"/>
                <w:color w:val="auto"/>
              </w:rPr>
            </w:pPr>
            <w:r>
              <w:rPr>
                <w:rFonts w:ascii="Arial" w:cs="Arial" w:eastAsia="Arial" w:hAnsi="Arial"/>
                <w:sz w:val="11"/>
                <w:szCs w:val="11"/>
                <w:color w:val="auto"/>
              </w:rPr>
              <w:t>2014 Plan</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rPr>
              <w:t>10/15/18</w:t>
            </w:r>
          </w:p>
        </w:tc>
        <w:tc>
          <w:tcPr>
            <w:tcW w:w="9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11,838</w:t>
            </w:r>
          </w:p>
        </w:tc>
        <w:tc>
          <w:tcPr>
            <w:tcW w:w="7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31.70</w:t>
            </w:r>
          </w:p>
        </w:tc>
        <w:tc>
          <w:tcPr>
            <w:tcW w:w="9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131,283</w:t>
            </w:r>
          </w:p>
        </w:tc>
      </w:tr>
      <w:tr>
        <w:trPr>
          <w:trHeight w:val="22"/>
        </w:trPr>
        <w:tc>
          <w:tcPr>
            <w:tcW w:w="1040" w:type="dxa"/>
            <w:vAlign w:val="bottom"/>
            <w:tcBorders>
              <w:bottom w:val="single" w:sz="8" w:color="ACACAC"/>
            </w:tcBorders>
          </w:tcPr>
          <w:p>
            <w:pPr>
              <w:spacing w:after="0" w:line="20" w:lineRule="exact"/>
              <w:rPr>
                <w:sz w:val="1"/>
                <w:szCs w:val="1"/>
                <w:color w:val="auto"/>
              </w:rPr>
            </w:pPr>
          </w:p>
        </w:tc>
        <w:tc>
          <w:tcPr>
            <w:tcW w:w="400" w:type="dxa"/>
            <w:vAlign w:val="bottom"/>
            <w:tcBorders>
              <w:bottom w:val="single" w:sz="8" w:color="ACACAC"/>
            </w:tcBorders>
          </w:tcPr>
          <w:p>
            <w:pPr>
              <w:spacing w:after="0" w:line="20" w:lineRule="exact"/>
              <w:rPr>
                <w:sz w:val="1"/>
                <w:szCs w:val="1"/>
                <w:color w:val="auto"/>
              </w:rPr>
            </w:pPr>
          </w:p>
        </w:tc>
        <w:tc>
          <w:tcPr>
            <w:tcW w:w="700" w:type="dxa"/>
            <w:vAlign w:val="bottom"/>
            <w:tcBorders>
              <w:bottom w:val="single" w:sz="8" w:color="ACACAC"/>
            </w:tcBorders>
          </w:tcPr>
          <w:p>
            <w:pPr>
              <w:spacing w:after="0" w:line="20" w:lineRule="exact"/>
              <w:rPr>
                <w:sz w:val="1"/>
                <w:szCs w:val="1"/>
                <w:color w:val="auto"/>
              </w:rPr>
            </w:pPr>
          </w:p>
        </w:tc>
        <w:tc>
          <w:tcPr>
            <w:tcW w:w="780" w:type="dxa"/>
            <w:vAlign w:val="bottom"/>
            <w:tcBorders>
              <w:bottom w:val="single" w:sz="8" w:color="ACACAC"/>
            </w:tcBorders>
          </w:tcPr>
          <w:p>
            <w:pPr>
              <w:spacing w:after="0" w:line="20" w:lineRule="exact"/>
              <w:rPr>
                <w:sz w:val="1"/>
                <w:szCs w:val="1"/>
                <w:color w:val="auto"/>
              </w:rPr>
            </w:pPr>
          </w:p>
        </w:tc>
        <w:tc>
          <w:tcPr>
            <w:tcW w:w="980" w:type="dxa"/>
            <w:vAlign w:val="bottom"/>
            <w:tcBorders>
              <w:bottom w:val="single" w:sz="8" w:color="ACACAC"/>
            </w:tcBorders>
          </w:tcPr>
          <w:p>
            <w:pPr>
              <w:spacing w:after="0" w:line="20" w:lineRule="exact"/>
              <w:rPr>
                <w:sz w:val="1"/>
                <w:szCs w:val="1"/>
                <w:color w:val="auto"/>
              </w:rPr>
            </w:pPr>
          </w:p>
        </w:tc>
        <w:tc>
          <w:tcPr>
            <w:tcW w:w="900" w:type="dxa"/>
            <w:vAlign w:val="bottom"/>
            <w:tcBorders>
              <w:bottom w:val="single" w:sz="8" w:color="ACACAC"/>
            </w:tcBorders>
          </w:tcPr>
          <w:p>
            <w:pPr>
              <w:spacing w:after="0" w:line="20" w:lineRule="exact"/>
              <w:rPr>
                <w:sz w:val="1"/>
                <w:szCs w:val="1"/>
                <w:color w:val="auto"/>
              </w:rPr>
            </w:pPr>
          </w:p>
        </w:tc>
        <w:tc>
          <w:tcPr>
            <w:tcW w:w="880" w:type="dxa"/>
            <w:vAlign w:val="bottom"/>
            <w:tcBorders>
              <w:bottom w:val="single" w:sz="8" w:color="ACACAC"/>
            </w:tcBorders>
          </w:tcPr>
          <w:p>
            <w:pPr>
              <w:spacing w:after="0" w:line="20" w:lineRule="exact"/>
              <w:rPr>
                <w:sz w:val="1"/>
                <w:szCs w:val="1"/>
                <w:color w:val="auto"/>
              </w:rPr>
            </w:pPr>
          </w:p>
        </w:tc>
        <w:tc>
          <w:tcPr>
            <w:tcW w:w="840" w:type="dxa"/>
            <w:vAlign w:val="bottom"/>
            <w:tcBorders>
              <w:bottom w:val="single" w:sz="8" w:color="ACACAC"/>
            </w:tcBorders>
          </w:tcPr>
          <w:p>
            <w:pPr>
              <w:spacing w:after="0" w:line="20" w:lineRule="exact"/>
              <w:rPr>
                <w:sz w:val="1"/>
                <w:szCs w:val="1"/>
                <w:color w:val="auto"/>
              </w:rPr>
            </w:pPr>
          </w:p>
        </w:tc>
        <w:tc>
          <w:tcPr>
            <w:tcW w:w="740" w:type="dxa"/>
            <w:vAlign w:val="bottom"/>
            <w:tcBorders>
              <w:bottom w:val="single" w:sz="8" w:color="ACACAC"/>
            </w:tcBorders>
          </w:tcPr>
          <w:p>
            <w:pPr>
              <w:spacing w:after="0" w:line="20" w:lineRule="exact"/>
              <w:rPr>
                <w:sz w:val="1"/>
                <w:szCs w:val="1"/>
                <w:color w:val="auto"/>
              </w:rPr>
            </w:pPr>
          </w:p>
        </w:tc>
        <w:tc>
          <w:tcPr>
            <w:tcW w:w="740" w:type="dxa"/>
            <w:vAlign w:val="bottom"/>
            <w:tcBorders>
              <w:bottom w:val="single" w:sz="8" w:color="ACACAC"/>
            </w:tcBorders>
          </w:tcPr>
          <w:p>
            <w:pPr>
              <w:spacing w:after="0" w:line="20" w:lineRule="exact"/>
              <w:rPr>
                <w:sz w:val="1"/>
                <w:szCs w:val="1"/>
                <w:color w:val="auto"/>
              </w:rPr>
            </w:pPr>
          </w:p>
        </w:tc>
        <w:tc>
          <w:tcPr>
            <w:tcW w:w="820" w:type="dxa"/>
            <w:vAlign w:val="bottom"/>
            <w:tcBorders>
              <w:bottom w:val="single" w:sz="8" w:color="ACACAC"/>
            </w:tcBorders>
          </w:tcPr>
          <w:p>
            <w:pPr>
              <w:spacing w:after="0" w:line="20" w:lineRule="exact"/>
              <w:rPr>
                <w:sz w:val="1"/>
                <w:szCs w:val="1"/>
                <w:color w:val="auto"/>
              </w:rPr>
            </w:pPr>
          </w:p>
        </w:tc>
        <w:tc>
          <w:tcPr>
            <w:tcW w:w="920" w:type="dxa"/>
            <w:vAlign w:val="bottom"/>
            <w:tcBorders>
              <w:bottom w:val="single" w:sz="8" w:color="ACACAC"/>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CACAC"/>
            </w:tcBorders>
          </w:tcPr>
          <w:p>
            <w:pPr>
              <w:spacing w:after="0" w:line="20" w:lineRule="exact"/>
              <w:rPr>
                <w:sz w:val="1"/>
                <w:szCs w:val="1"/>
                <w:color w:val="auto"/>
              </w:rPr>
            </w:pPr>
          </w:p>
        </w:tc>
      </w:tr>
      <w:tr>
        <w:trPr>
          <w:trHeight w:val="230"/>
        </w:trPr>
        <w:tc>
          <w:tcPr>
            <w:tcW w:w="1040" w:type="dxa"/>
            <w:vAlign w:val="bottom"/>
            <w:tcBorders>
              <w:bottom w:val="single" w:sz="8" w:color="ACACAC"/>
            </w:tcBorders>
            <w:shd w:val="clear" w:color="auto" w:fill="ACACAC"/>
          </w:tcPr>
          <w:p>
            <w:pPr>
              <w:spacing w:after="0"/>
              <w:rPr>
                <w:sz w:val="20"/>
                <w:szCs w:val="20"/>
                <w:color w:val="auto"/>
              </w:rPr>
            </w:pPr>
          </w:p>
        </w:tc>
        <w:tc>
          <w:tcPr>
            <w:tcW w:w="400" w:type="dxa"/>
            <w:vAlign w:val="bottom"/>
            <w:tcBorders>
              <w:bottom w:val="single" w:sz="8" w:color="ACACAC"/>
            </w:tcBorders>
            <w:shd w:val="clear" w:color="auto" w:fill="ACACAC"/>
          </w:tcPr>
          <w:p>
            <w:pPr>
              <w:ind w:left="140"/>
              <w:spacing w:after="0"/>
              <w:rPr>
                <w:sz w:val="20"/>
                <w:szCs w:val="20"/>
                <w:color w:val="auto"/>
              </w:rPr>
            </w:pPr>
            <w:r>
              <w:rPr>
                <w:rFonts w:ascii="Arial" w:cs="Arial" w:eastAsia="Arial" w:hAnsi="Arial"/>
                <w:sz w:val="11"/>
                <w:szCs w:val="11"/>
                <w:color w:val="auto"/>
                <w:w w:val="97"/>
              </w:rPr>
              <w:t>2014</w:t>
            </w:r>
          </w:p>
        </w:tc>
        <w:tc>
          <w:tcPr>
            <w:tcW w:w="700" w:type="dxa"/>
            <w:vAlign w:val="bottom"/>
            <w:tcBorders>
              <w:bottom w:val="single" w:sz="8" w:color="ACACAC"/>
            </w:tcBorders>
            <w:shd w:val="clear" w:color="auto" w:fill="ACACAC"/>
          </w:tcPr>
          <w:p>
            <w:pPr>
              <w:ind w:left="20"/>
              <w:spacing w:after="0"/>
              <w:rPr>
                <w:sz w:val="20"/>
                <w:szCs w:val="20"/>
                <w:color w:val="auto"/>
              </w:rPr>
            </w:pPr>
            <w:r>
              <w:rPr>
                <w:rFonts w:ascii="Arial" w:cs="Arial" w:eastAsia="Arial" w:hAnsi="Arial"/>
                <w:sz w:val="11"/>
                <w:szCs w:val="11"/>
                <w:color w:val="auto"/>
              </w:rPr>
              <w:t>Plan</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1"/>
                <w:szCs w:val="11"/>
                <w:color w:val="auto"/>
              </w:rPr>
              <w:t>10/15/18</w:t>
            </w:r>
          </w:p>
        </w:tc>
        <w:tc>
          <w:tcPr>
            <w:tcW w:w="980" w:type="dxa"/>
            <w:vAlign w:val="bottom"/>
            <w:tcBorders>
              <w:bottom w:val="single" w:sz="8" w:color="ACACAC"/>
            </w:tcBorders>
            <w:shd w:val="clear" w:color="auto" w:fill="ACACAC"/>
          </w:tcPr>
          <w:p>
            <w:pPr>
              <w:spacing w:after="0"/>
              <w:rPr>
                <w:sz w:val="20"/>
                <w:szCs w:val="20"/>
                <w:color w:val="auto"/>
              </w:rPr>
            </w:pPr>
          </w:p>
        </w:tc>
        <w:tc>
          <w:tcPr>
            <w:tcW w:w="900" w:type="dxa"/>
            <w:vAlign w:val="bottom"/>
            <w:tcBorders>
              <w:bottom w:val="single" w:sz="8" w:color="ACACAC"/>
            </w:tcBorders>
            <w:shd w:val="clear" w:color="auto" w:fill="ACACAC"/>
          </w:tcPr>
          <w:p>
            <w:pPr>
              <w:spacing w:after="0"/>
              <w:rPr>
                <w:sz w:val="20"/>
                <w:szCs w:val="20"/>
                <w:color w:val="auto"/>
              </w:rPr>
            </w:pPr>
          </w:p>
        </w:tc>
        <w:tc>
          <w:tcPr>
            <w:tcW w:w="880" w:type="dxa"/>
            <w:vAlign w:val="bottom"/>
            <w:tcBorders>
              <w:bottom w:val="single" w:sz="8" w:color="ACACAC"/>
            </w:tcBorders>
            <w:shd w:val="clear" w:color="auto" w:fill="ACACAC"/>
          </w:tcPr>
          <w:p>
            <w:pPr>
              <w:spacing w:after="0"/>
              <w:rPr>
                <w:sz w:val="20"/>
                <w:szCs w:val="20"/>
                <w:color w:val="auto"/>
              </w:rPr>
            </w:pPr>
          </w:p>
        </w:tc>
        <w:tc>
          <w:tcPr>
            <w:tcW w:w="840" w:type="dxa"/>
            <w:vAlign w:val="bottom"/>
            <w:tcBorders>
              <w:bottom w:val="single" w:sz="8" w:color="ACACAC"/>
            </w:tcBorders>
            <w:shd w:val="clear" w:color="auto" w:fill="ACACAC"/>
          </w:tcPr>
          <w:p>
            <w:pPr>
              <w:spacing w:after="0"/>
              <w:rPr>
                <w:sz w:val="20"/>
                <w:szCs w:val="20"/>
                <w:color w:val="auto"/>
              </w:rPr>
            </w:pPr>
          </w:p>
        </w:tc>
        <w:tc>
          <w:tcPr>
            <w:tcW w:w="740" w:type="dxa"/>
            <w:vAlign w:val="bottom"/>
            <w:tcBorders>
              <w:bottom w:val="single" w:sz="8" w:color="ACACAC"/>
            </w:tcBorders>
            <w:shd w:val="clear" w:color="auto" w:fill="ACACAC"/>
          </w:tcPr>
          <w:p>
            <w:pPr>
              <w:spacing w:after="0"/>
              <w:rPr>
                <w:sz w:val="20"/>
                <w:szCs w:val="20"/>
                <w:color w:val="auto"/>
              </w:rPr>
            </w:pPr>
          </w:p>
        </w:tc>
        <w:tc>
          <w:tcPr>
            <w:tcW w:w="740" w:type="dxa"/>
            <w:vAlign w:val="bottom"/>
            <w:tcBorders>
              <w:bottom w:val="single" w:sz="8" w:color="ACACAC"/>
            </w:tcBorders>
            <w:shd w:val="clear" w:color="auto" w:fill="ACACAC"/>
          </w:tcPr>
          <w:p>
            <w:pPr>
              <w:spacing w:after="0"/>
              <w:rPr>
                <w:sz w:val="20"/>
                <w:szCs w:val="20"/>
                <w:color w:val="auto"/>
              </w:rPr>
            </w:pPr>
          </w:p>
        </w:tc>
        <w:tc>
          <w:tcPr>
            <w:tcW w:w="82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1"/>
                <w:szCs w:val="11"/>
                <w:color w:val="auto"/>
                <w:w w:val="94"/>
              </w:rPr>
              <w:t>4,141</w:t>
            </w:r>
          </w:p>
        </w:tc>
        <w:tc>
          <w:tcPr>
            <w:tcW w:w="920" w:type="dxa"/>
            <w:vAlign w:val="bottom"/>
            <w:tcBorders>
              <w:bottom w:val="single" w:sz="8" w:color="ACACAC"/>
            </w:tcBorders>
            <w:shd w:val="clear" w:color="auto" w:fill="ACACAC"/>
          </w:tcPr>
          <w:p>
            <w:pPr>
              <w:spacing w:after="0"/>
              <w:rPr>
                <w:sz w:val="20"/>
                <w:szCs w:val="20"/>
                <w:color w:val="auto"/>
              </w:rPr>
            </w:pPr>
          </w:p>
        </w:tc>
        <w:tc>
          <w:tcPr>
            <w:tcW w:w="780" w:type="dxa"/>
            <w:vAlign w:val="bottom"/>
            <w:tcBorders>
              <w:bottom w:val="single" w:sz="8" w:color="ACACAC"/>
            </w:tcBorders>
            <w:shd w:val="clear" w:color="auto" w:fill="ACACAC"/>
          </w:tcPr>
          <w:p>
            <w:pPr>
              <w:jc w:val="right"/>
              <w:ind w:right="66"/>
              <w:spacing w:after="0"/>
              <w:rPr>
                <w:sz w:val="20"/>
                <w:szCs w:val="20"/>
                <w:color w:val="auto"/>
              </w:rPr>
            </w:pPr>
            <w:r>
              <w:rPr>
                <w:rFonts w:ascii="Arial" w:cs="Arial" w:eastAsia="Arial" w:hAnsi="Arial"/>
                <w:sz w:val="11"/>
                <w:szCs w:val="11"/>
                <w:color w:val="auto"/>
              </w:rPr>
              <w:t>31.70</w:t>
            </w:r>
          </w:p>
        </w:tc>
        <w:tc>
          <w:tcPr>
            <w:tcW w:w="900" w:type="dxa"/>
            <w:vAlign w:val="bottom"/>
            <w:tcBorders>
              <w:bottom w:val="single" w:sz="8" w:color="ACACAC"/>
            </w:tcBorders>
            <w:shd w:val="clear" w:color="auto" w:fill="ACACAC"/>
          </w:tcPr>
          <w:p>
            <w:pPr>
              <w:jc w:val="right"/>
              <w:ind w:right="46"/>
              <w:spacing w:after="0"/>
              <w:rPr>
                <w:sz w:val="20"/>
                <w:szCs w:val="20"/>
                <w:color w:val="auto"/>
              </w:rPr>
            </w:pPr>
            <w:r>
              <w:rPr>
                <w:rFonts w:ascii="Arial" w:cs="Arial" w:eastAsia="Arial" w:hAnsi="Arial"/>
                <w:sz w:val="11"/>
                <w:szCs w:val="11"/>
                <w:color w:val="auto"/>
              </w:rPr>
              <w:t>131,270</w:t>
            </w:r>
          </w:p>
        </w:tc>
      </w:tr>
      <w:tr>
        <w:trPr>
          <w:trHeight w:val="248"/>
        </w:trPr>
        <w:tc>
          <w:tcPr>
            <w:tcW w:w="1040" w:type="dxa"/>
            <w:vAlign w:val="bottom"/>
          </w:tcPr>
          <w:p>
            <w:pPr>
              <w:spacing w:after="0"/>
              <w:rPr>
                <w:sz w:val="21"/>
                <w:szCs w:val="21"/>
                <w:color w:val="auto"/>
              </w:rPr>
            </w:pPr>
          </w:p>
        </w:tc>
        <w:tc>
          <w:tcPr>
            <w:tcW w:w="400" w:type="dxa"/>
            <w:vAlign w:val="bottom"/>
          </w:tcPr>
          <w:p>
            <w:pPr>
              <w:ind w:left="140"/>
              <w:spacing w:after="0"/>
              <w:rPr>
                <w:sz w:val="20"/>
                <w:szCs w:val="20"/>
                <w:color w:val="auto"/>
              </w:rPr>
            </w:pPr>
            <w:r>
              <w:rPr>
                <w:rFonts w:ascii="Arial" w:cs="Arial" w:eastAsia="Arial" w:hAnsi="Arial"/>
                <w:sz w:val="11"/>
                <w:szCs w:val="11"/>
                <w:color w:val="auto"/>
                <w:w w:val="97"/>
              </w:rPr>
              <w:t>2019</w:t>
            </w:r>
          </w:p>
        </w:tc>
        <w:tc>
          <w:tcPr>
            <w:tcW w:w="700" w:type="dxa"/>
            <w:vAlign w:val="bottom"/>
          </w:tcPr>
          <w:p>
            <w:pPr>
              <w:ind w:left="20"/>
              <w:spacing w:after="0"/>
              <w:rPr>
                <w:sz w:val="20"/>
                <w:szCs w:val="20"/>
                <w:color w:val="auto"/>
              </w:rPr>
            </w:pPr>
            <w:r>
              <w:rPr>
                <w:rFonts w:ascii="Arial" w:cs="Arial" w:eastAsia="Arial" w:hAnsi="Arial"/>
                <w:sz w:val="11"/>
                <w:szCs w:val="11"/>
                <w:color w:val="auto"/>
              </w:rPr>
              <w:t>OICP</w:t>
            </w:r>
          </w:p>
        </w:tc>
        <w:tc>
          <w:tcPr>
            <w:tcW w:w="780" w:type="dxa"/>
            <w:vAlign w:val="bottom"/>
          </w:tcPr>
          <w:p>
            <w:pPr>
              <w:spacing w:after="0"/>
              <w:rPr>
                <w:sz w:val="21"/>
                <w:szCs w:val="21"/>
                <w:color w:val="auto"/>
              </w:rPr>
            </w:pPr>
          </w:p>
        </w:tc>
        <w:tc>
          <w:tcPr>
            <w:tcW w:w="980" w:type="dxa"/>
            <w:vAlign w:val="bottom"/>
          </w:tcPr>
          <w:p>
            <w:pPr>
              <w:jc w:val="right"/>
              <w:ind w:right="146"/>
              <w:spacing w:after="0"/>
              <w:rPr>
                <w:sz w:val="20"/>
                <w:szCs w:val="20"/>
                <w:color w:val="auto"/>
              </w:rPr>
            </w:pPr>
            <w:r>
              <w:rPr>
                <w:rFonts w:ascii="Arial" w:cs="Arial" w:eastAsia="Arial" w:hAnsi="Arial"/>
                <w:sz w:val="11"/>
                <w:szCs w:val="11"/>
                <w:color w:val="auto"/>
              </w:rPr>
              <w:t>77,578</w:t>
            </w:r>
          </w:p>
        </w:tc>
        <w:tc>
          <w:tcPr>
            <w:tcW w:w="900" w:type="dxa"/>
            <w:vAlign w:val="bottom"/>
          </w:tcPr>
          <w:p>
            <w:pPr>
              <w:jc w:val="right"/>
              <w:ind w:right="126"/>
              <w:spacing w:after="0"/>
              <w:rPr>
                <w:sz w:val="20"/>
                <w:szCs w:val="20"/>
                <w:color w:val="auto"/>
              </w:rPr>
            </w:pPr>
            <w:r>
              <w:rPr>
                <w:rFonts w:ascii="Arial" w:cs="Arial" w:eastAsia="Arial" w:hAnsi="Arial"/>
                <w:sz w:val="11"/>
                <w:szCs w:val="11"/>
                <w:color w:val="auto"/>
              </w:rPr>
              <w:t>310,310</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620,620</w:t>
            </w: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
        </w:trPr>
        <w:tc>
          <w:tcPr>
            <w:tcW w:w="10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040" w:type="dxa"/>
            <w:vAlign w:val="bottom"/>
            <w:tcBorders>
              <w:bottom w:val="single" w:sz="8" w:color="ACACAC"/>
            </w:tcBorders>
            <w:shd w:val="clear" w:color="auto" w:fill="ACACAC"/>
          </w:tcPr>
          <w:p>
            <w:pPr>
              <w:spacing w:after="0"/>
              <w:rPr>
                <w:sz w:val="21"/>
                <w:szCs w:val="21"/>
                <w:color w:val="auto"/>
              </w:rPr>
            </w:pPr>
          </w:p>
        </w:tc>
        <w:tc>
          <w:tcPr>
            <w:tcW w:w="1100" w:type="dxa"/>
            <w:vAlign w:val="bottom"/>
            <w:tcBorders>
              <w:bottom w:val="single" w:sz="8" w:color="ACACAC"/>
            </w:tcBorders>
            <w:gridSpan w:val="2"/>
            <w:shd w:val="clear" w:color="auto" w:fill="ACACAC"/>
          </w:tcPr>
          <w:p>
            <w:pPr>
              <w:ind w:left="140"/>
              <w:spacing w:after="0"/>
              <w:rPr>
                <w:sz w:val="20"/>
                <w:szCs w:val="20"/>
                <w:color w:val="auto"/>
              </w:rPr>
            </w:pPr>
            <w:r>
              <w:rPr>
                <w:rFonts w:ascii="Arial" w:cs="Arial" w:eastAsia="Arial" w:hAnsi="Arial"/>
                <w:sz w:val="11"/>
                <w:szCs w:val="11"/>
                <w:color w:val="auto"/>
              </w:rPr>
              <w:t>2019-2021 LTIP</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1"/>
                <w:szCs w:val="11"/>
                <w:color w:val="auto"/>
              </w:rPr>
              <w:t>10/15/18</w:t>
            </w:r>
          </w:p>
        </w:tc>
        <w:tc>
          <w:tcPr>
            <w:tcW w:w="980" w:type="dxa"/>
            <w:vAlign w:val="bottom"/>
            <w:tcBorders>
              <w:bottom w:val="single" w:sz="8" w:color="ACACAC"/>
            </w:tcBorders>
            <w:shd w:val="clear" w:color="auto" w:fill="ACACAC"/>
          </w:tcPr>
          <w:p>
            <w:pPr>
              <w:spacing w:after="0"/>
              <w:rPr>
                <w:sz w:val="21"/>
                <w:szCs w:val="21"/>
                <w:color w:val="auto"/>
              </w:rPr>
            </w:pPr>
          </w:p>
        </w:tc>
        <w:tc>
          <w:tcPr>
            <w:tcW w:w="900" w:type="dxa"/>
            <w:vAlign w:val="bottom"/>
            <w:tcBorders>
              <w:bottom w:val="single" w:sz="8" w:color="ACACAC"/>
            </w:tcBorders>
            <w:shd w:val="clear" w:color="auto" w:fill="ACACAC"/>
          </w:tcPr>
          <w:p>
            <w:pPr>
              <w:spacing w:after="0"/>
              <w:rPr>
                <w:sz w:val="21"/>
                <w:szCs w:val="21"/>
                <w:color w:val="auto"/>
              </w:rPr>
            </w:pPr>
          </w:p>
        </w:tc>
        <w:tc>
          <w:tcPr>
            <w:tcW w:w="880" w:type="dxa"/>
            <w:vAlign w:val="bottom"/>
            <w:tcBorders>
              <w:bottom w:val="single" w:sz="8" w:color="ACACAC"/>
            </w:tcBorders>
            <w:shd w:val="clear" w:color="auto" w:fill="ACACAC"/>
          </w:tcPr>
          <w:p>
            <w:pPr>
              <w:spacing w:after="0"/>
              <w:rPr>
                <w:sz w:val="21"/>
                <w:szCs w:val="21"/>
                <w:color w:val="auto"/>
              </w:rPr>
            </w:pPr>
          </w:p>
        </w:tc>
        <w:tc>
          <w:tcPr>
            <w:tcW w:w="840" w:type="dxa"/>
            <w:vAlign w:val="bottom"/>
            <w:tcBorders>
              <w:bottom w:val="single" w:sz="8" w:color="ACACAC"/>
            </w:tcBorders>
            <w:shd w:val="clear" w:color="auto" w:fill="ACACAC"/>
          </w:tcPr>
          <w:p>
            <w:pPr>
              <w:jc w:val="right"/>
              <w:ind w:right="106"/>
              <w:spacing w:after="0"/>
              <w:rPr>
                <w:sz w:val="20"/>
                <w:szCs w:val="20"/>
                <w:color w:val="auto"/>
              </w:rPr>
            </w:pPr>
            <w:r>
              <w:rPr>
                <w:rFonts w:ascii="Arial" w:cs="Arial" w:eastAsia="Arial" w:hAnsi="Arial"/>
                <w:sz w:val="11"/>
                <w:szCs w:val="11"/>
                <w:color w:val="auto"/>
              </w:rPr>
              <w:t>828</w:t>
            </w:r>
          </w:p>
        </w:tc>
        <w:tc>
          <w:tcPr>
            <w:tcW w:w="740" w:type="dxa"/>
            <w:vAlign w:val="bottom"/>
            <w:tcBorders>
              <w:bottom w:val="single" w:sz="8" w:color="ACACAC"/>
            </w:tcBorders>
            <w:shd w:val="clear" w:color="auto" w:fill="ACACAC"/>
          </w:tcPr>
          <w:p>
            <w:pPr>
              <w:jc w:val="right"/>
              <w:ind w:right="66"/>
              <w:spacing w:after="0"/>
              <w:rPr>
                <w:sz w:val="20"/>
                <w:szCs w:val="20"/>
                <w:color w:val="auto"/>
              </w:rPr>
            </w:pPr>
            <w:r>
              <w:rPr>
                <w:rFonts w:ascii="Arial" w:cs="Arial" w:eastAsia="Arial" w:hAnsi="Arial"/>
                <w:sz w:val="11"/>
                <w:szCs w:val="11"/>
                <w:color w:val="auto"/>
              </w:rPr>
              <w:t>8,283</w:t>
            </w:r>
          </w:p>
        </w:tc>
        <w:tc>
          <w:tcPr>
            <w:tcW w:w="740" w:type="dxa"/>
            <w:vAlign w:val="bottom"/>
            <w:tcBorders>
              <w:bottom w:val="single" w:sz="8" w:color="ACACAC"/>
            </w:tcBorders>
            <w:shd w:val="clear" w:color="auto" w:fill="ACACAC"/>
          </w:tcPr>
          <w:p>
            <w:pPr>
              <w:jc w:val="right"/>
              <w:ind w:right="26"/>
              <w:spacing w:after="0"/>
              <w:rPr>
                <w:sz w:val="20"/>
                <w:szCs w:val="20"/>
                <w:color w:val="auto"/>
              </w:rPr>
            </w:pPr>
            <w:r>
              <w:rPr>
                <w:rFonts w:ascii="Arial" w:cs="Arial" w:eastAsia="Arial" w:hAnsi="Arial"/>
                <w:sz w:val="11"/>
                <w:szCs w:val="11"/>
                <w:color w:val="auto"/>
              </w:rPr>
              <w:t>16,566</w:t>
            </w:r>
          </w:p>
        </w:tc>
        <w:tc>
          <w:tcPr>
            <w:tcW w:w="820" w:type="dxa"/>
            <w:vAlign w:val="bottom"/>
            <w:tcBorders>
              <w:bottom w:val="single" w:sz="8" w:color="ACACAC"/>
            </w:tcBorders>
            <w:shd w:val="clear" w:color="auto" w:fill="ACACAC"/>
          </w:tcPr>
          <w:p>
            <w:pPr>
              <w:spacing w:after="0"/>
              <w:rPr>
                <w:sz w:val="21"/>
                <w:szCs w:val="21"/>
                <w:color w:val="auto"/>
              </w:rPr>
            </w:pPr>
          </w:p>
        </w:tc>
        <w:tc>
          <w:tcPr>
            <w:tcW w:w="920" w:type="dxa"/>
            <w:vAlign w:val="bottom"/>
            <w:tcBorders>
              <w:bottom w:val="single" w:sz="8" w:color="ACACAC"/>
            </w:tcBorders>
            <w:shd w:val="clear" w:color="auto" w:fill="ACACAC"/>
          </w:tcPr>
          <w:p>
            <w:pPr>
              <w:spacing w:after="0"/>
              <w:rPr>
                <w:sz w:val="21"/>
                <w:szCs w:val="21"/>
                <w:color w:val="auto"/>
              </w:rPr>
            </w:pPr>
          </w:p>
        </w:tc>
        <w:tc>
          <w:tcPr>
            <w:tcW w:w="780" w:type="dxa"/>
            <w:vAlign w:val="bottom"/>
            <w:tcBorders>
              <w:bottom w:val="single" w:sz="8" w:color="ACACAC"/>
            </w:tcBorders>
            <w:shd w:val="clear" w:color="auto" w:fill="ACACAC"/>
          </w:tcPr>
          <w:p>
            <w:pPr>
              <w:spacing w:after="0"/>
              <w:rPr>
                <w:sz w:val="21"/>
                <w:szCs w:val="21"/>
                <w:color w:val="auto"/>
              </w:rPr>
            </w:pPr>
          </w:p>
        </w:tc>
        <w:tc>
          <w:tcPr>
            <w:tcW w:w="900" w:type="dxa"/>
            <w:vAlign w:val="bottom"/>
            <w:tcBorders>
              <w:bottom w:val="single" w:sz="8" w:color="ACACAC"/>
            </w:tcBorders>
            <w:shd w:val="clear" w:color="auto" w:fill="ACACAC"/>
          </w:tcPr>
          <w:p>
            <w:pPr>
              <w:spacing w:after="0"/>
              <w:rPr>
                <w:sz w:val="21"/>
                <w:szCs w:val="2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-3266440</wp:posOffset>
            </wp:positionV>
            <wp:extent cx="32670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9" w:lineRule="exact"/>
        <w:rPr>
          <w:sz w:val="20"/>
          <w:szCs w:val="20"/>
          <w:color w:val="auto"/>
        </w:rPr>
      </w:pPr>
    </w:p>
    <w:p>
      <w:pPr>
        <w:ind w:left="340" w:right="20" w:hanging="332"/>
        <w:spacing w:after="0" w:line="24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Fiscal 2019 OICP targets annual performance against goals established by the Committee. Awards under the Fiscal 2019 OICP are payable in cash. The Threshold, Target and Maximum amounts presented above represent amounts that could have been earned by our NEOs for Fiscal 2019 under the Fiscal 2019 OICP.</w:t>
      </w:r>
    </w:p>
    <w:p>
      <w:pPr>
        <w:ind w:left="340" w:right="20" w:hanging="332"/>
        <w:spacing w:after="0" w:line="24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Fiscal 2019-2021 LTIP refers to our performance shares. For each of the NEOs except for Mr. Clark, the Threshold, Target and Maximum amounts under the Fiscal 2019-2021 LTIP represent potential performance share amounts that are measured over a three-year performance period from August 26, 2018 through August 28, 2021.</w:t>
      </w: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restricted stock units that vest one-third each year on the anniversary of the grant date.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grant date fair value per share of the restricted stock was $31.70. The Black-Scholes grant date fair value per option award was $11.09.</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03" w:right="239" w:bottom="1440" w:gutter="0" w:footer="0" w:header="0"/>
        </w:sectPr>
      </w:pPr>
    </w:p>
    <w:bookmarkStart w:id="33" w:name="page34"/>
    <w:bookmarkEnd w:id="33"/>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20" w:hanging="332"/>
        <w:spacing w:after="0" w:line="24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Human Resource Committee approved the Fiscal 2019 OICP and Fiscal 2019-2021 LTIP performance share award on October 15, 2018, effective as of the beginning of Fiscal 2019.</w:t>
      </w:r>
    </w:p>
    <w:p>
      <w:pPr>
        <w:ind w:left="340" w:hanging="332"/>
        <w:spacing w:after="0" w:line="258"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Clark is not eligible to participate in the Fiscal 2019 OICP or Fiscal 2019-2021 LTIP performance share award, however he remains eligible to participate in the pre-existing Grand Design Management Incentive Plan.</w:t>
      </w:r>
    </w:p>
    <w:p>
      <w:pPr>
        <w:sectPr>
          <w:pgSz w:w="11900" w:h="16838" w:orient="portrait"/>
          <w:cols w:equalWidth="0" w:num="1">
            <w:col w:w="11420"/>
          </w:cols>
          <w:pgMar w:left="240" w:top="303" w:right="239" w:bottom="1440" w:gutter="0" w:footer="0" w:header="0"/>
        </w:sectPr>
      </w:pPr>
    </w:p>
    <w:p>
      <w:pPr>
        <w:spacing w:after="0" w:line="13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828282"/>
        </w:rPr>
        <w:t>Narrative Disclosure to Summary Compensation Table and Grants of Plan-Based Awards Table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Executive Employment Arrangements</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None of the current NEOs has an employment agreement except for Mr. Happe and Mr. Clark as previously discussed. However, all NEOs are party to an Executive Change of Control Agreement that provides the executive with two-year (or three-year, in the case of Mr. Happe) severance benefits in the event he or she ceased to be employed by the Company within two years of a “Change of Control,” as defined in the agreement. Discussion of the payouts provided for under various termination situations as well as the December 2018 revisions to these agreements is set forth in the section “Potential Payments upon Termination or Change of Control” below.</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Base Salary</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general, the Committee annually reviews and adjusts base pay, in keeping with the overall objectives, pay philosophy and relative position with comparable companies, as discussed in more detail in the “Compensation Discussion and Analysis-Base Salary” above.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Stock Awards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Grants of restricted stock units and stock options, the ASC 718 grant date fair value of which is disclosed in the Summary Compensation Table, begin vesting annually in increments of</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one-third beginning one year from the date of grant for restricted stock unit and stock option grants. Restricted stock unit grants and stock option awards are subject to earlier vesting in the event of a Change of Control or certain termination of employment scenarios, as set forth in the section “Potential Payments upon Termination or Change of Control” below.</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Annual Incentive Plan</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to base salary, each NEO (other than Mr. Clark, who is eligible for a bonus as described in the "Compensation Discussion and Analysis - Elements of Compensation") is eligible to receive, subject to the Company's achievement of certain financial performance metrics and the NEO's achievement of certain individual goals, a target annual incentive cash award equal to a percentage of his or her annual base salary, which is discussed in the “Compensation Discussion and Analysis - Annual Incentive Plan” above.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Long-Term Incentive Plans</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element of compensation, including payouts made in Fiscal 2017, 2018, and 2019, is described in the “Compensation Discussion and Analysis - Fiscal 2019 Equity Awards" above. See “Compensation Discussion and Analysis” for further information regarding the terms of awards reported in the Summary Compensation Table and the Grants of Plan-Based Awards Table and for discussions regarding officer stock ownership guidelines, incentive compensation awards, and allocations between short-term and long-term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220980</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476"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03" w:right="239" w:bottom="1440" w:gutter="0" w:footer="0" w:header="0"/>
          <w:type w:val="continuous"/>
        </w:sectPr>
      </w:pPr>
    </w:p>
    <w:bookmarkStart w:id="34" w:name="page35"/>
    <w:bookmarkEnd w:id="34"/>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828282"/>
        </w:rPr>
        <w:t>Outstanding Equity Awards at Fiscal Year-End Table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the outstanding equity awards held by each of the NEOs as of August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87630</wp:posOffset>
            </wp:positionV>
            <wp:extent cx="6371590"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71590" cy="12890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60" w:type="dxa"/>
            <w:vAlign w:val="bottom"/>
            <w:shd w:val="clear" w:color="auto" w:fill="BF2115"/>
          </w:tcPr>
          <w:p>
            <w:pPr>
              <w:spacing w:after="0"/>
              <w:rPr>
                <w:sz w:val="16"/>
                <w:szCs w:val="16"/>
                <w:color w:val="auto"/>
              </w:rPr>
            </w:pPr>
          </w:p>
        </w:tc>
        <w:tc>
          <w:tcPr>
            <w:tcW w:w="1220" w:type="dxa"/>
            <w:vAlign w:val="bottom"/>
            <w:shd w:val="clear" w:color="auto" w:fill="BF2115"/>
          </w:tcPr>
          <w:p>
            <w:pPr>
              <w:spacing w:after="0"/>
              <w:rPr>
                <w:sz w:val="16"/>
                <w:szCs w:val="16"/>
                <w:color w:val="auto"/>
              </w:rPr>
            </w:pPr>
          </w:p>
        </w:tc>
        <w:tc>
          <w:tcPr>
            <w:tcW w:w="2040" w:type="dxa"/>
            <w:vAlign w:val="bottom"/>
            <w:gridSpan w:val="2"/>
            <w:shd w:val="clear" w:color="auto" w:fill="BF2115"/>
          </w:tcPr>
          <w:p>
            <w:pPr>
              <w:jc w:val="right"/>
              <w:ind w:right="597"/>
              <w:spacing w:after="0"/>
              <w:rPr>
                <w:sz w:val="20"/>
                <w:szCs w:val="20"/>
                <w:color w:val="auto"/>
              </w:rPr>
            </w:pPr>
            <w:r>
              <w:rPr>
                <w:rFonts w:ascii="Arial" w:cs="Arial" w:eastAsia="Arial" w:hAnsi="Arial"/>
                <w:sz w:val="13"/>
                <w:szCs w:val="13"/>
                <w:b w:val="1"/>
                <w:bCs w:val="1"/>
                <w:color w:val="FFFFFF"/>
              </w:rPr>
              <w:t>Option Awards</w:t>
            </w:r>
          </w:p>
        </w:tc>
        <w:tc>
          <w:tcPr>
            <w:tcW w:w="960" w:type="dxa"/>
            <w:vAlign w:val="bottom"/>
            <w:shd w:val="clear" w:color="auto" w:fill="BF2115"/>
          </w:tcPr>
          <w:p>
            <w:pPr>
              <w:spacing w:after="0"/>
              <w:rPr>
                <w:sz w:val="16"/>
                <w:szCs w:val="16"/>
                <w:color w:val="auto"/>
              </w:rPr>
            </w:pPr>
          </w:p>
        </w:tc>
        <w:tc>
          <w:tcPr>
            <w:tcW w:w="2600" w:type="dxa"/>
            <w:vAlign w:val="bottom"/>
            <w:gridSpan w:val="2"/>
            <w:shd w:val="clear" w:color="auto" w:fill="BF2115"/>
          </w:tcPr>
          <w:p>
            <w:pPr>
              <w:ind w:left="900"/>
              <w:spacing w:after="0"/>
              <w:rPr>
                <w:sz w:val="20"/>
                <w:szCs w:val="20"/>
                <w:color w:val="auto"/>
              </w:rPr>
            </w:pPr>
            <w:r>
              <w:rPr>
                <w:rFonts w:ascii="Arial" w:cs="Arial" w:eastAsia="Arial" w:hAnsi="Arial"/>
                <w:sz w:val="13"/>
                <w:szCs w:val="13"/>
                <w:b w:val="1"/>
                <w:bCs w:val="1"/>
                <w:color w:val="FFFFFF"/>
              </w:rPr>
              <w:t>Stock Awards</w:t>
            </w:r>
          </w:p>
        </w:tc>
        <w:tc>
          <w:tcPr>
            <w:tcW w:w="3340" w:type="dxa"/>
            <w:vAlign w:val="bottom"/>
            <w:gridSpan w:val="2"/>
            <w:shd w:val="clear" w:color="auto" w:fill="BF2115"/>
          </w:tcPr>
          <w:p>
            <w:pPr>
              <w:ind w:left="920"/>
              <w:spacing w:after="0"/>
              <w:rPr>
                <w:sz w:val="20"/>
                <w:szCs w:val="20"/>
                <w:color w:val="auto"/>
              </w:rPr>
            </w:pPr>
            <w:r>
              <w:rPr>
                <w:rFonts w:ascii="Arial" w:cs="Arial" w:eastAsia="Arial" w:hAnsi="Arial"/>
                <w:sz w:val="13"/>
                <w:szCs w:val="13"/>
                <w:b w:val="1"/>
                <w:bCs w:val="1"/>
                <w:color w:val="FFFFFF"/>
              </w:rPr>
              <w:t>LTIP / Performance Shares</w:t>
            </w:r>
          </w:p>
        </w:tc>
      </w:tr>
      <w:tr>
        <w:trPr>
          <w:trHeight w:val="155"/>
        </w:trPr>
        <w:tc>
          <w:tcPr>
            <w:tcW w:w="1260" w:type="dxa"/>
            <w:vAlign w:val="bottom"/>
            <w:shd w:val="clear" w:color="auto" w:fill="BF2115"/>
          </w:tcPr>
          <w:p>
            <w:pPr>
              <w:spacing w:after="0"/>
              <w:rPr>
                <w:sz w:val="13"/>
                <w:szCs w:val="13"/>
                <w:color w:val="auto"/>
              </w:rPr>
            </w:pPr>
          </w:p>
        </w:tc>
        <w:tc>
          <w:tcPr>
            <w:tcW w:w="1220" w:type="dxa"/>
            <w:vAlign w:val="bottom"/>
            <w:shd w:val="clear" w:color="auto" w:fill="BF2115"/>
          </w:tcPr>
          <w:p>
            <w:pPr>
              <w:spacing w:after="0"/>
              <w:rPr>
                <w:sz w:val="13"/>
                <w:szCs w:val="13"/>
                <w:color w:val="auto"/>
              </w:rPr>
            </w:pPr>
          </w:p>
        </w:tc>
        <w:tc>
          <w:tcPr>
            <w:tcW w:w="1240" w:type="dxa"/>
            <w:vAlign w:val="bottom"/>
            <w:shd w:val="clear" w:color="auto" w:fill="BF2115"/>
          </w:tcPr>
          <w:p>
            <w:pPr>
              <w:spacing w:after="0"/>
              <w:rPr>
                <w:sz w:val="13"/>
                <w:szCs w:val="13"/>
                <w:color w:val="auto"/>
              </w:rPr>
            </w:pPr>
          </w:p>
        </w:tc>
        <w:tc>
          <w:tcPr>
            <w:tcW w:w="800" w:type="dxa"/>
            <w:vAlign w:val="bottom"/>
            <w:shd w:val="clear" w:color="auto" w:fill="BF2115"/>
          </w:tcPr>
          <w:p>
            <w:pPr>
              <w:spacing w:after="0"/>
              <w:rPr>
                <w:sz w:val="13"/>
                <w:szCs w:val="13"/>
                <w:color w:val="auto"/>
              </w:rPr>
            </w:pPr>
          </w:p>
        </w:tc>
        <w:tc>
          <w:tcPr>
            <w:tcW w:w="960" w:type="dxa"/>
            <w:vAlign w:val="bottom"/>
            <w:shd w:val="clear" w:color="auto" w:fill="BF2115"/>
          </w:tcPr>
          <w:p>
            <w:pPr>
              <w:spacing w:after="0"/>
              <w:rPr>
                <w:sz w:val="13"/>
                <w:szCs w:val="13"/>
                <w:color w:val="auto"/>
              </w:rPr>
            </w:pPr>
          </w:p>
        </w:tc>
        <w:tc>
          <w:tcPr>
            <w:tcW w:w="1400" w:type="dxa"/>
            <w:vAlign w:val="bottom"/>
            <w:shd w:val="clear" w:color="auto" w:fill="BF2115"/>
          </w:tcPr>
          <w:p>
            <w:pPr>
              <w:spacing w:after="0"/>
              <w:rPr>
                <w:sz w:val="13"/>
                <w:szCs w:val="13"/>
                <w:color w:val="auto"/>
              </w:rPr>
            </w:pPr>
          </w:p>
        </w:tc>
        <w:tc>
          <w:tcPr>
            <w:tcW w:w="1200" w:type="dxa"/>
            <w:vAlign w:val="bottom"/>
            <w:shd w:val="clear" w:color="auto" w:fill="BF2115"/>
          </w:tcPr>
          <w:p>
            <w:pPr>
              <w:spacing w:after="0"/>
              <w:rPr>
                <w:sz w:val="13"/>
                <w:szCs w:val="13"/>
                <w:color w:val="auto"/>
              </w:rPr>
            </w:pPr>
          </w:p>
        </w:tc>
        <w:tc>
          <w:tcPr>
            <w:tcW w:w="1920" w:type="dxa"/>
            <w:vAlign w:val="bottom"/>
            <w:shd w:val="clear" w:color="auto" w:fill="BF2115"/>
          </w:tcPr>
          <w:p>
            <w:pPr>
              <w:spacing w:after="0"/>
              <w:rPr>
                <w:sz w:val="13"/>
                <w:szCs w:val="13"/>
                <w:color w:val="auto"/>
              </w:rPr>
            </w:pPr>
          </w:p>
        </w:tc>
        <w:tc>
          <w:tcPr>
            <w:tcW w:w="142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w w:val="96"/>
              </w:rPr>
              <w:t>Equity Incentive Plan</w:t>
            </w:r>
          </w:p>
        </w:tc>
      </w:tr>
      <w:tr>
        <w:trPr>
          <w:trHeight w:val="135"/>
        </w:trPr>
        <w:tc>
          <w:tcPr>
            <w:tcW w:w="1260" w:type="dxa"/>
            <w:vAlign w:val="bottom"/>
            <w:shd w:val="clear" w:color="auto" w:fill="BF2115"/>
          </w:tcPr>
          <w:p>
            <w:pPr>
              <w:spacing w:after="0"/>
              <w:rPr>
                <w:sz w:val="11"/>
                <w:szCs w:val="11"/>
                <w:color w:val="auto"/>
              </w:rPr>
            </w:pPr>
          </w:p>
        </w:tc>
        <w:tc>
          <w:tcPr>
            <w:tcW w:w="1220" w:type="dxa"/>
            <w:vAlign w:val="bottom"/>
            <w:shd w:val="clear" w:color="auto" w:fill="BF2115"/>
          </w:tcPr>
          <w:p>
            <w:pPr>
              <w:jc w:val="center"/>
              <w:ind w:left="17"/>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2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800" w:type="dxa"/>
            <w:vAlign w:val="bottom"/>
            <w:shd w:val="clear" w:color="auto" w:fill="BF2115"/>
          </w:tcPr>
          <w:p>
            <w:pPr>
              <w:spacing w:after="0"/>
              <w:rPr>
                <w:sz w:val="11"/>
                <w:szCs w:val="11"/>
                <w:color w:val="auto"/>
              </w:rPr>
            </w:pPr>
          </w:p>
        </w:tc>
        <w:tc>
          <w:tcPr>
            <w:tcW w:w="960" w:type="dxa"/>
            <w:vAlign w:val="bottom"/>
            <w:shd w:val="clear" w:color="auto" w:fill="BF2115"/>
          </w:tcPr>
          <w:p>
            <w:pPr>
              <w:spacing w:after="0"/>
              <w:rPr>
                <w:sz w:val="11"/>
                <w:szCs w:val="11"/>
                <w:color w:val="auto"/>
              </w:rPr>
            </w:pPr>
          </w:p>
        </w:tc>
        <w:tc>
          <w:tcPr>
            <w:tcW w:w="1400" w:type="dxa"/>
            <w:vAlign w:val="bottom"/>
            <w:shd w:val="clear" w:color="auto" w:fill="BF2115"/>
          </w:tcPr>
          <w:p>
            <w:pPr>
              <w:spacing w:after="0"/>
              <w:rPr>
                <w:sz w:val="11"/>
                <w:szCs w:val="11"/>
                <w:color w:val="auto"/>
              </w:rPr>
            </w:pPr>
          </w:p>
        </w:tc>
        <w:tc>
          <w:tcPr>
            <w:tcW w:w="1200" w:type="dxa"/>
            <w:vAlign w:val="bottom"/>
            <w:shd w:val="clear" w:color="auto" w:fill="BF2115"/>
          </w:tcPr>
          <w:p>
            <w:pPr>
              <w:spacing w:after="0"/>
              <w:rPr>
                <w:sz w:val="11"/>
                <w:szCs w:val="11"/>
                <w:color w:val="auto"/>
              </w:rPr>
            </w:pPr>
          </w:p>
        </w:tc>
        <w:tc>
          <w:tcPr>
            <w:tcW w:w="1920" w:type="dxa"/>
            <w:vAlign w:val="bottom"/>
            <w:shd w:val="clear" w:color="auto" w:fill="BF2115"/>
          </w:tcPr>
          <w:p>
            <w:pPr>
              <w:spacing w:after="0"/>
              <w:rPr>
                <w:sz w:val="11"/>
                <w:szCs w:val="11"/>
                <w:color w:val="auto"/>
              </w:rPr>
            </w:pPr>
          </w:p>
        </w:tc>
        <w:tc>
          <w:tcPr>
            <w:tcW w:w="14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6"/>
              </w:rPr>
              <w:t>Awards: Market or</w:t>
            </w:r>
          </w:p>
        </w:tc>
      </w:tr>
      <w:tr>
        <w:trPr>
          <w:trHeight w:val="135"/>
        </w:trPr>
        <w:tc>
          <w:tcPr>
            <w:tcW w:w="1260" w:type="dxa"/>
            <w:vAlign w:val="bottom"/>
            <w:shd w:val="clear" w:color="auto" w:fill="BF2115"/>
          </w:tcPr>
          <w:p>
            <w:pPr>
              <w:spacing w:after="0"/>
              <w:rPr>
                <w:sz w:val="11"/>
                <w:szCs w:val="11"/>
                <w:color w:val="auto"/>
              </w:rPr>
            </w:pPr>
          </w:p>
        </w:tc>
        <w:tc>
          <w:tcPr>
            <w:tcW w:w="12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12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800" w:type="dxa"/>
            <w:vAlign w:val="bottom"/>
            <w:shd w:val="clear" w:color="auto" w:fill="BF2115"/>
          </w:tcPr>
          <w:p>
            <w:pPr>
              <w:spacing w:after="0"/>
              <w:rPr>
                <w:sz w:val="11"/>
                <w:szCs w:val="11"/>
                <w:color w:val="auto"/>
              </w:rPr>
            </w:pPr>
          </w:p>
        </w:tc>
        <w:tc>
          <w:tcPr>
            <w:tcW w:w="960" w:type="dxa"/>
            <w:vAlign w:val="bottom"/>
            <w:shd w:val="clear" w:color="auto" w:fill="BF2115"/>
          </w:tcPr>
          <w:p>
            <w:pPr>
              <w:spacing w:after="0"/>
              <w:rPr>
                <w:sz w:val="11"/>
                <w:szCs w:val="11"/>
                <w:color w:val="auto"/>
              </w:rPr>
            </w:pPr>
          </w:p>
        </w:tc>
        <w:tc>
          <w:tcPr>
            <w:tcW w:w="1400" w:type="dxa"/>
            <w:vAlign w:val="bottom"/>
            <w:shd w:val="clear" w:color="auto" w:fill="BF2115"/>
          </w:tcPr>
          <w:p>
            <w:pPr>
              <w:spacing w:after="0"/>
              <w:rPr>
                <w:sz w:val="11"/>
                <w:szCs w:val="11"/>
                <w:color w:val="auto"/>
              </w:rPr>
            </w:pPr>
          </w:p>
        </w:tc>
        <w:tc>
          <w:tcPr>
            <w:tcW w:w="1200" w:type="dxa"/>
            <w:vAlign w:val="bottom"/>
            <w:shd w:val="clear" w:color="auto" w:fill="BF2115"/>
          </w:tcPr>
          <w:p>
            <w:pPr>
              <w:jc w:val="center"/>
              <w:ind w:left="17"/>
              <w:spacing w:after="0" w:line="135" w:lineRule="exact"/>
              <w:rPr>
                <w:sz w:val="20"/>
                <w:szCs w:val="20"/>
                <w:color w:val="auto"/>
              </w:rPr>
            </w:pPr>
            <w:r>
              <w:rPr>
                <w:rFonts w:ascii="Arial" w:cs="Arial" w:eastAsia="Arial" w:hAnsi="Arial"/>
                <w:sz w:val="13"/>
                <w:szCs w:val="13"/>
                <w:b w:val="1"/>
                <w:bCs w:val="1"/>
                <w:color w:val="FFFFFF"/>
                <w:w w:val="95"/>
              </w:rPr>
              <w:t>Market Value of</w:t>
            </w:r>
          </w:p>
        </w:tc>
        <w:tc>
          <w:tcPr>
            <w:tcW w:w="1920" w:type="dxa"/>
            <w:vAlign w:val="bottom"/>
            <w:shd w:val="clear" w:color="auto" w:fill="BF2115"/>
          </w:tcPr>
          <w:p>
            <w:pPr>
              <w:spacing w:after="0"/>
              <w:rPr>
                <w:sz w:val="11"/>
                <w:szCs w:val="11"/>
                <w:color w:val="auto"/>
              </w:rPr>
            </w:pPr>
          </w:p>
        </w:tc>
        <w:tc>
          <w:tcPr>
            <w:tcW w:w="14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6"/>
              </w:rPr>
              <w:t>Payout Value of</w:t>
            </w:r>
          </w:p>
        </w:tc>
      </w:tr>
      <w:tr>
        <w:trPr>
          <w:trHeight w:val="135"/>
        </w:trPr>
        <w:tc>
          <w:tcPr>
            <w:tcW w:w="1260" w:type="dxa"/>
            <w:vAlign w:val="bottom"/>
            <w:shd w:val="clear" w:color="auto" w:fill="BF2115"/>
          </w:tcPr>
          <w:p>
            <w:pPr>
              <w:spacing w:after="0"/>
              <w:rPr>
                <w:sz w:val="11"/>
                <w:szCs w:val="11"/>
                <w:color w:val="auto"/>
              </w:rPr>
            </w:pPr>
          </w:p>
        </w:tc>
        <w:tc>
          <w:tcPr>
            <w:tcW w:w="1220" w:type="dxa"/>
            <w:vAlign w:val="bottom"/>
            <w:shd w:val="clear" w:color="auto" w:fill="BF2115"/>
          </w:tcPr>
          <w:p>
            <w:pPr>
              <w:jc w:val="center"/>
              <w:ind w:left="17"/>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12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800" w:type="dxa"/>
            <w:vAlign w:val="bottom"/>
            <w:shd w:val="clear" w:color="auto" w:fill="BF2115"/>
          </w:tcPr>
          <w:p>
            <w:pPr>
              <w:spacing w:after="0"/>
              <w:rPr>
                <w:sz w:val="11"/>
                <w:szCs w:val="11"/>
                <w:color w:val="auto"/>
              </w:rPr>
            </w:pPr>
          </w:p>
        </w:tc>
        <w:tc>
          <w:tcPr>
            <w:tcW w:w="960" w:type="dxa"/>
            <w:vAlign w:val="bottom"/>
            <w:shd w:val="clear" w:color="auto" w:fill="BF2115"/>
          </w:tcPr>
          <w:p>
            <w:pPr>
              <w:spacing w:after="0"/>
              <w:rPr>
                <w:sz w:val="11"/>
                <w:szCs w:val="11"/>
                <w:color w:val="auto"/>
              </w:rPr>
            </w:pPr>
          </w:p>
        </w:tc>
        <w:tc>
          <w:tcPr>
            <w:tcW w:w="140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6"/>
              </w:rPr>
              <w:t>Number of Shares</w:t>
            </w:r>
          </w:p>
        </w:tc>
        <w:tc>
          <w:tcPr>
            <w:tcW w:w="1200" w:type="dxa"/>
            <w:vAlign w:val="bottom"/>
            <w:shd w:val="clear" w:color="auto" w:fill="BF2115"/>
          </w:tcPr>
          <w:p>
            <w:pPr>
              <w:jc w:val="center"/>
              <w:ind w:left="17"/>
              <w:spacing w:after="0" w:line="135" w:lineRule="exact"/>
              <w:rPr>
                <w:sz w:val="20"/>
                <w:szCs w:val="20"/>
                <w:color w:val="auto"/>
              </w:rPr>
            </w:pPr>
            <w:r>
              <w:rPr>
                <w:rFonts w:ascii="Arial" w:cs="Arial" w:eastAsia="Arial" w:hAnsi="Arial"/>
                <w:sz w:val="13"/>
                <w:szCs w:val="13"/>
                <w:b w:val="1"/>
                <w:bCs w:val="1"/>
                <w:color w:val="FFFFFF"/>
                <w:w w:val="95"/>
              </w:rPr>
              <w:t>Shares or Units</w:t>
            </w:r>
          </w:p>
        </w:tc>
        <w:tc>
          <w:tcPr>
            <w:tcW w:w="19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Equity Incentive Plan</w:t>
            </w:r>
          </w:p>
        </w:tc>
        <w:tc>
          <w:tcPr>
            <w:tcW w:w="14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Unearned Shares,</w:t>
            </w:r>
          </w:p>
        </w:tc>
      </w:tr>
      <w:tr>
        <w:trPr>
          <w:trHeight w:val="135"/>
        </w:trPr>
        <w:tc>
          <w:tcPr>
            <w:tcW w:w="1260" w:type="dxa"/>
            <w:vAlign w:val="bottom"/>
            <w:shd w:val="clear" w:color="auto" w:fill="BF2115"/>
          </w:tcPr>
          <w:p>
            <w:pPr>
              <w:spacing w:after="0"/>
              <w:rPr>
                <w:sz w:val="11"/>
                <w:szCs w:val="11"/>
                <w:color w:val="auto"/>
              </w:rPr>
            </w:pPr>
          </w:p>
        </w:tc>
        <w:tc>
          <w:tcPr>
            <w:tcW w:w="1220" w:type="dxa"/>
            <w:vAlign w:val="bottom"/>
            <w:shd w:val="clear" w:color="auto" w:fill="BF2115"/>
          </w:tcPr>
          <w:p>
            <w:pPr>
              <w:jc w:val="center"/>
              <w:ind w:left="17"/>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12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80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960" w:type="dxa"/>
            <w:vAlign w:val="bottom"/>
            <w:shd w:val="clear" w:color="auto" w:fill="BF2115"/>
          </w:tcPr>
          <w:p>
            <w:pPr>
              <w:spacing w:after="0"/>
              <w:rPr>
                <w:sz w:val="11"/>
                <w:szCs w:val="11"/>
                <w:color w:val="auto"/>
              </w:rPr>
            </w:pPr>
          </w:p>
        </w:tc>
        <w:tc>
          <w:tcPr>
            <w:tcW w:w="140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8"/>
              </w:rPr>
              <w:t>or Units of Stock</w:t>
            </w:r>
          </w:p>
        </w:tc>
        <w:tc>
          <w:tcPr>
            <w:tcW w:w="1200" w:type="dxa"/>
            <w:vAlign w:val="bottom"/>
            <w:shd w:val="clear" w:color="auto" w:fill="BF2115"/>
          </w:tcPr>
          <w:p>
            <w:pPr>
              <w:jc w:val="center"/>
              <w:ind w:left="17"/>
              <w:spacing w:after="0" w:line="135" w:lineRule="exact"/>
              <w:rPr>
                <w:sz w:val="20"/>
                <w:szCs w:val="20"/>
                <w:color w:val="auto"/>
              </w:rPr>
            </w:pPr>
            <w:r>
              <w:rPr>
                <w:rFonts w:ascii="Arial" w:cs="Arial" w:eastAsia="Arial" w:hAnsi="Arial"/>
                <w:sz w:val="13"/>
                <w:szCs w:val="13"/>
                <w:b w:val="1"/>
                <w:bCs w:val="1"/>
                <w:color w:val="FFFFFF"/>
                <w:w w:val="97"/>
              </w:rPr>
              <w:t>of Stock That</w:t>
            </w:r>
          </w:p>
        </w:tc>
        <w:tc>
          <w:tcPr>
            <w:tcW w:w="19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6"/>
              </w:rPr>
              <w:t>Awards: Number of Unearned</w:t>
            </w:r>
          </w:p>
        </w:tc>
        <w:tc>
          <w:tcPr>
            <w:tcW w:w="14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Units or Other Rights</w:t>
            </w:r>
          </w:p>
        </w:tc>
      </w:tr>
      <w:tr>
        <w:trPr>
          <w:trHeight w:val="135"/>
        </w:trPr>
        <w:tc>
          <w:tcPr>
            <w:tcW w:w="1260" w:type="dxa"/>
            <w:vAlign w:val="bottom"/>
            <w:shd w:val="clear" w:color="auto" w:fill="BF2115"/>
          </w:tcPr>
          <w:p>
            <w:pPr>
              <w:spacing w:after="0"/>
              <w:rPr>
                <w:sz w:val="11"/>
                <w:szCs w:val="11"/>
                <w:color w:val="auto"/>
              </w:rPr>
            </w:pPr>
          </w:p>
        </w:tc>
        <w:tc>
          <w:tcPr>
            <w:tcW w:w="12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Options</w:t>
            </w:r>
          </w:p>
        </w:tc>
        <w:tc>
          <w:tcPr>
            <w:tcW w:w="12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Options</w:t>
            </w:r>
          </w:p>
        </w:tc>
        <w:tc>
          <w:tcPr>
            <w:tcW w:w="80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Exercise</w:t>
            </w:r>
          </w:p>
        </w:tc>
        <w:tc>
          <w:tcPr>
            <w:tcW w:w="960" w:type="dxa"/>
            <w:vAlign w:val="bottom"/>
            <w:shd w:val="clear" w:color="auto" w:fill="BF2115"/>
          </w:tcPr>
          <w:p>
            <w:pPr>
              <w:jc w:val="center"/>
              <w:ind w:right="17"/>
              <w:spacing w:after="0" w:line="135" w:lineRule="exact"/>
              <w:rPr>
                <w:sz w:val="20"/>
                <w:szCs w:val="20"/>
                <w:color w:val="auto"/>
              </w:rPr>
            </w:pPr>
            <w:r>
              <w:rPr>
                <w:rFonts w:ascii="Arial" w:cs="Arial" w:eastAsia="Arial" w:hAnsi="Arial"/>
                <w:sz w:val="13"/>
                <w:szCs w:val="13"/>
                <w:b w:val="1"/>
                <w:bCs w:val="1"/>
                <w:color w:val="FFFFFF"/>
                <w:w w:val="95"/>
              </w:rPr>
              <w:t>Option</w:t>
            </w:r>
          </w:p>
        </w:tc>
        <w:tc>
          <w:tcPr>
            <w:tcW w:w="140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8"/>
              </w:rPr>
              <w:t>That Have Not</w:t>
            </w:r>
          </w:p>
        </w:tc>
        <w:tc>
          <w:tcPr>
            <w:tcW w:w="1200" w:type="dxa"/>
            <w:vAlign w:val="bottom"/>
            <w:shd w:val="clear" w:color="auto" w:fill="BF2115"/>
          </w:tcPr>
          <w:p>
            <w:pPr>
              <w:jc w:val="center"/>
              <w:ind w:left="17"/>
              <w:spacing w:after="0" w:line="135" w:lineRule="exact"/>
              <w:rPr>
                <w:sz w:val="20"/>
                <w:szCs w:val="20"/>
                <w:color w:val="auto"/>
              </w:rPr>
            </w:pPr>
            <w:r>
              <w:rPr>
                <w:rFonts w:ascii="Arial" w:cs="Arial" w:eastAsia="Arial" w:hAnsi="Arial"/>
                <w:sz w:val="13"/>
                <w:szCs w:val="13"/>
                <w:b w:val="1"/>
                <w:bCs w:val="1"/>
                <w:color w:val="FFFFFF"/>
                <w:w w:val="99"/>
              </w:rPr>
              <w:t>Have Not</w:t>
            </w:r>
          </w:p>
        </w:tc>
        <w:tc>
          <w:tcPr>
            <w:tcW w:w="19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6"/>
              </w:rPr>
              <w:t>Shares, Units or Other Rights</w:t>
            </w:r>
          </w:p>
        </w:tc>
        <w:tc>
          <w:tcPr>
            <w:tcW w:w="14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4"/>
              </w:rPr>
              <w:t>That</w:t>
            </w:r>
          </w:p>
        </w:tc>
      </w:tr>
      <w:tr>
        <w:trPr>
          <w:trHeight w:val="135"/>
        </w:trPr>
        <w:tc>
          <w:tcPr>
            <w:tcW w:w="1260" w:type="dxa"/>
            <w:vAlign w:val="bottom"/>
            <w:shd w:val="clear" w:color="auto" w:fill="BF2115"/>
          </w:tcPr>
          <w:p>
            <w:pPr>
              <w:spacing w:after="0"/>
              <w:rPr>
                <w:sz w:val="11"/>
                <w:szCs w:val="11"/>
                <w:color w:val="auto"/>
              </w:rPr>
            </w:pPr>
          </w:p>
        </w:tc>
        <w:tc>
          <w:tcPr>
            <w:tcW w:w="12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rPr>
              <w:t>(#)</w:t>
            </w:r>
          </w:p>
        </w:tc>
        <w:tc>
          <w:tcPr>
            <w:tcW w:w="12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rPr>
              <w:t>Price</w:t>
            </w:r>
          </w:p>
        </w:tc>
        <w:tc>
          <w:tcPr>
            <w:tcW w:w="96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Expiration</w:t>
            </w:r>
          </w:p>
        </w:tc>
        <w:tc>
          <w:tcPr>
            <w:tcW w:w="140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3"/>
              </w:rPr>
              <w:t>Vested</w:t>
            </w:r>
          </w:p>
        </w:tc>
        <w:tc>
          <w:tcPr>
            <w:tcW w:w="1200" w:type="dxa"/>
            <w:vAlign w:val="bottom"/>
            <w:shd w:val="clear" w:color="auto" w:fill="BF2115"/>
          </w:tcPr>
          <w:p>
            <w:pPr>
              <w:jc w:val="center"/>
              <w:ind w:left="17"/>
              <w:spacing w:after="0" w:line="135" w:lineRule="exact"/>
              <w:rPr>
                <w:sz w:val="20"/>
                <w:szCs w:val="20"/>
                <w:color w:val="auto"/>
              </w:rPr>
            </w:pPr>
            <w:r>
              <w:rPr>
                <w:rFonts w:ascii="Arial" w:cs="Arial" w:eastAsia="Arial" w:hAnsi="Arial"/>
                <w:sz w:val="13"/>
                <w:szCs w:val="13"/>
                <w:b w:val="1"/>
                <w:bCs w:val="1"/>
                <w:color w:val="FFFFFF"/>
                <w:w w:val="98"/>
              </w:rPr>
              <w:t>Vested</w:t>
            </w:r>
            <w:r>
              <w:rPr>
                <w:rFonts w:ascii="Arial" w:cs="Arial" w:eastAsia="Arial" w:hAnsi="Arial"/>
                <w:sz w:val="8"/>
                <w:szCs w:val="8"/>
                <w:b w:val="1"/>
                <w:bCs w:val="1"/>
                <w:color w:val="FFFFFF"/>
                <w:w w:val="98"/>
              </w:rPr>
              <w:t>(11)</w:t>
            </w:r>
          </w:p>
        </w:tc>
        <w:tc>
          <w:tcPr>
            <w:tcW w:w="19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6"/>
              </w:rPr>
              <w:t>That Have Not Yet Vested</w:t>
            </w:r>
          </w:p>
        </w:tc>
        <w:tc>
          <w:tcPr>
            <w:tcW w:w="14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9"/>
              </w:rPr>
              <w:t>Have Not Vested</w:t>
            </w:r>
            <w:r>
              <w:rPr>
                <w:rFonts w:ascii="Arial" w:cs="Arial" w:eastAsia="Arial" w:hAnsi="Arial"/>
                <w:sz w:val="8"/>
                <w:szCs w:val="8"/>
                <w:b w:val="1"/>
                <w:bCs w:val="1"/>
                <w:color w:val="FFFFFF"/>
                <w:w w:val="99"/>
              </w:rPr>
              <w:t>(12)</w:t>
            </w:r>
          </w:p>
        </w:tc>
      </w:tr>
      <w:tr>
        <w:trPr>
          <w:trHeight w:val="184"/>
        </w:trPr>
        <w:tc>
          <w:tcPr>
            <w:tcW w:w="1260" w:type="dxa"/>
            <w:vAlign w:val="bottom"/>
            <w:shd w:val="clear" w:color="auto" w:fill="BF2115"/>
          </w:tcPr>
          <w:p>
            <w:pPr>
              <w:ind w:left="40"/>
              <w:spacing w:after="0"/>
              <w:rPr>
                <w:sz w:val="20"/>
                <w:szCs w:val="20"/>
                <w:color w:val="auto"/>
              </w:rPr>
            </w:pPr>
            <w:r>
              <w:rPr>
                <w:rFonts w:ascii="Arial" w:cs="Arial" w:eastAsia="Arial" w:hAnsi="Arial"/>
                <w:sz w:val="13"/>
                <w:szCs w:val="13"/>
                <w:b w:val="1"/>
                <w:bCs w:val="1"/>
                <w:color w:val="FFFFFF"/>
              </w:rPr>
              <w:t>Name</w:t>
            </w:r>
          </w:p>
        </w:tc>
        <w:tc>
          <w:tcPr>
            <w:tcW w:w="1220" w:type="dxa"/>
            <w:vAlign w:val="bottom"/>
            <w:shd w:val="clear" w:color="auto" w:fill="BF2115"/>
          </w:tcPr>
          <w:p>
            <w:pPr>
              <w:jc w:val="center"/>
              <w:ind w:left="17"/>
              <w:spacing w:after="0"/>
              <w:rPr>
                <w:sz w:val="20"/>
                <w:szCs w:val="20"/>
                <w:color w:val="auto"/>
              </w:rPr>
            </w:pPr>
            <w:r>
              <w:rPr>
                <w:rFonts w:ascii="Arial" w:cs="Arial" w:eastAsia="Arial" w:hAnsi="Arial"/>
                <w:sz w:val="13"/>
                <w:szCs w:val="13"/>
                <w:b w:val="1"/>
                <w:bCs w:val="1"/>
                <w:color w:val="FFFFFF"/>
                <w:w w:val="96"/>
              </w:rPr>
              <w:t>Exercisable</w:t>
            </w:r>
          </w:p>
        </w:tc>
        <w:tc>
          <w:tcPr>
            <w:tcW w:w="124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w w:val="97"/>
              </w:rPr>
              <w:t>Unexercisable</w:t>
            </w:r>
          </w:p>
        </w:tc>
        <w:tc>
          <w:tcPr>
            <w:tcW w:w="80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BF2115"/>
          </w:tcPr>
          <w:p>
            <w:pPr>
              <w:jc w:val="center"/>
              <w:ind w:right="17"/>
              <w:spacing w:after="0"/>
              <w:rPr>
                <w:sz w:val="20"/>
                <w:szCs w:val="20"/>
                <w:color w:val="auto"/>
              </w:rPr>
            </w:pPr>
            <w:r>
              <w:rPr>
                <w:rFonts w:ascii="Arial" w:cs="Arial" w:eastAsia="Arial" w:hAnsi="Arial"/>
                <w:sz w:val="13"/>
                <w:szCs w:val="13"/>
                <w:b w:val="1"/>
                <w:bCs w:val="1"/>
                <w:color w:val="FFFFFF"/>
                <w:w w:val="99"/>
              </w:rPr>
              <w:t>Date</w:t>
            </w:r>
          </w:p>
        </w:tc>
        <w:tc>
          <w:tcPr>
            <w:tcW w:w="140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rPr>
              <w:t>(#)</w:t>
            </w:r>
          </w:p>
        </w:tc>
        <w:tc>
          <w:tcPr>
            <w:tcW w:w="1200" w:type="dxa"/>
            <w:vAlign w:val="bottom"/>
            <w:shd w:val="clear" w:color="auto" w:fill="BF2115"/>
          </w:tcPr>
          <w:p>
            <w:pPr>
              <w:jc w:val="center"/>
              <w:ind w:left="17"/>
              <w:spacing w:after="0"/>
              <w:rPr>
                <w:sz w:val="20"/>
                <w:szCs w:val="20"/>
                <w:color w:val="auto"/>
              </w:rPr>
            </w:pPr>
            <w:r>
              <w:rPr>
                <w:rFonts w:ascii="Arial" w:cs="Arial" w:eastAsia="Arial" w:hAnsi="Arial"/>
                <w:sz w:val="13"/>
                <w:szCs w:val="13"/>
                <w:b w:val="1"/>
                <w:bCs w:val="1"/>
                <w:color w:val="FFFFFF"/>
              </w:rPr>
              <w:t>($)</w:t>
            </w:r>
          </w:p>
        </w:tc>
        <w:tc>
          <w:tcPr>
            <w:tcW w:w="192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rPr>
              <w:t>(#)</w:t>
            </w:r>
          </w:p>
        </w:tc>
        <w:tc>
          <w:tcPr>
            <w:tcW w:w="142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rPr>
              <w:t>($)</w:t>
            </w:r>
          </w:p>
        </w:tc>
      </w:tr>
      <w:tr>
        <w:trPr>
          <w:trHeight w:val="270"/>
        </w:trPr>
        <w:tc>
          <w:tcPr>
            <w:tcW w:w="1260" w:type="dxa"/>
            <w:vAlign w:val="bottom"/>
            <w:shd w:val="clear" w:color="auto" w:fill="ACACAC"/>
          </w:tcPr>
          <w:p>
            <w:pPr>
              <w:ind w:left="40"/>
              <w:spacing w:after="0"/>
              <w:rPr>
                <w:sz w:val="20"/>
                <w:szCs w:val="20"/>
                <w:color w:val="auto"/>
              </w:rPr>
            </w:pPr>
            <w:r>
              <w:rPr>
                <w:rFonts w:ascii="Arial" w:cs="Arial" w:eastAsia="Arial" w:hAnsi="Arial"/>
                <w:sz w:val="13"/>
                <w:szCs w:val="13"/>
                <w:color w:val="auto"/>
              </w:rPr>
              <w:t>Michael J. Happe</w:t>
            </w:r>
          </w:p>
        </w:tc>
        <w:tc>
          <w:tcPr>
            <w:tcW w:w="1220" w:type="dxa"/>
            <w:vAlign w:val="bottom"/>
            <w:shd w:val="clear" w:color="auto" w:fill="ACACAC"/>
          </w:tcPr>
          <w:p>
            <w:pPr>
              <w:jc w:val="right"/>
              <w:ind w:right="117"/>
              <w:spacing w:after="0"/>
              <w:rPr>
                <w:sz w:val="20"/>
                <w:szCs w:val="20"/>
                <w:color w:val="auto"/>
              </w:rPr>
            </w:pPr>
            <w:r>
              <w:rPr>
                <w:rFonts w:ascii="Arial" w:cs="Arial" w:eastAsia="Arial" w:hAnsi="Arial"/>
                <w:sz w:val="13"/>
                <w:szCs w:val="13"/>
                <w:color w:val="auto"/>
              </w:rPr>
              <w:t>8,866</w:t>
            </w:r>
          </w:p>
        </w:tc>
        <w:tc>
          <w:tcPr>
            <w:tcW w:w="1240" w:type="dxa"/>
            <w:vAlign w:val="bottom"/>
            <w:shd w:val="clear" w:color="auto" w:fill="ACACAC"/>
          </w:tcPr>
          <w:p>
            <w:pPr>
              <w:jc w:val="right"/>
              <w:ind w:right="57"/>
              <w:spacing w:after="0"/>
              <w:rPr>
                <w:sz w:val="20"/>
                <w:szCs w:val="20"/>
                <w:color w:val="auto"/>
              </w:rPr>
            </w:pPr>
            <w:r>
              <w:rPr>
                <w:rFonts w:ascii="Arial" w:cs="Arial" w:eastAsia="Arial" w:hAnsi="Arial"/>
                <w:sz w:val="13"/>
                <w:szCs w:val="13"/>
                <w:color w:val="auto"/>
              </w:rPr>
              <w:t xml:space="preserve">4,434  </w:t>
            </w:r>
            <w:r>
              <w:rPr>
                <w:rFonts w:ascii="Arial" w:cs="Arial" w:eastAsia="Arial" w:hAnsi="Arial"/>
                <w:sz w:val="8"/>
                <w:szCs w:val="8"/>
                <w:color w:val="auto"/>
              </w:rPr>
              <w:t>(1)</w:t>
            </w:r>
          </w:p>
        </w:tc>
        <w:tc>
          <w:tcPr>
            <w:tcW w:w="800" w:type="dxa"/>
            <w:vAlign w:val="bottom"/>
            <w:shd w:val="clear" w:color="auto" w:fill="ACACAC"/>
          </w:tcPr>
          <w:p>
            <w:pPr>
              <w:jc w:val="right"/>
              <w:ind w:right="77"/>
              <w:spacing w:after="0"/>
              <w:rPr>
                <w:sz w:val="20"/>
                <w:szCs w:val="20"/>
                <w:color w:val="auto"/>
              </w:rPr>
            </w:pPr>
            <w:r>
              <w:rPr>
                <w:rFonts w:ascii="Arial" w:cs="Arial" w:eastAsia="Arial" w:hAnsi="Arial"/>
                <w:sz w:val="13"/>
                <w:szCs w:val="13"/>
                <w:color w:val="auto"/>
              </w:rPr>
              <w:t>27.89</w:t>
            </w:r>
          </w:p>
        </w:tc>
        <w:tc>
          <w:tcPr>
            <w:tcW w:w="960" w:type="dxa"/>
            <w:vAlign w:val="bottom"/>
            <w:shd w:val="clear" w:color="auto" w:fill="ACACAC"/>
          </w:tcPr>
          <w:p>
            <w:pPr>
              <w:jc w:val="right"/>
              <w:ind w:right="97"/>
              <w:spacing w:after="0"/>
              <w:rPr>
                <w:sz w:val="20"/>
                <w:szCs w:val="20"/>
                <w:color w:val="auto"/>
              </w:rPr>
            </w:pPr>
            <w:r>
              <w:rPr>
                <w:rFonts w:ascii="Arial" w:cs="Arial" w:eastAsia="Arial" w:hAnsi="Arial"/>
                <w:sz w:val="13"/>
                <w:szCs w:val="13"/>
                <w:color w:val="auto"/>
              </w:rPr>
              <w:t>10/11/26</w:t>
            </w:r>
          </w:p>
        </w:tc>
        <w:tc>
          <w:tcPr>
            <w:tcW w:w="1400" w:type="dxa"/>
            <w:vAlign w:val="bottom"/>
            <w:shd w:val="clear" w:color="auto" w:fill="ACACAC"/>
          </w:tcPr>
          <w:p>
            <w:pPr>
              <w:spacing w:after="0"/>
              <w:rPr>
                <w:sz w:val="23"/>
                <w:szCs w:val="23"/>
                <w:color w:val="auto"/>
              </w:rPr>
            </w:pPr>
          </w:p>
        </w:tc>
        <w:tc>
          <w:tcPr>
            <w:tcW w:w="1200" w:type="dxa"/>
            <w:vAlign w:val="bottom"/>
            <w:shd w:val="clear" w:color="auto" w:fill="ACACAC"/>
          </w:tcPr>
          <w:p>
            <w:pPr>
              <w:spacing w:after="0"/>
              <w:rPr>
                <w:sz w:val="23"/>
                <w:szCs w:val="23"/>
                <w:color w:val="auto"/>
              </w:rPr>
            </w:pPr>
          </w:p>
        </w:tc>
        <w:tc>
          <w:tcPr>
            <w:tcW w:w="1920" w:type="dxa"/>
            <w:vAlign w:val="bottom"/>
            <w:shd w:val="clear" w:color="auto" w:fill="ACACAC"/>
          </w:tcPr>
          <w:p>
            <w:pPr>
              <w:spacing w:after="0"/>
              <w:rPr>
                <w:sz w:val="23"/>
                <w:szCs w:val="23"/>
                <w:color w:val="auto"/>
              </w:rPr>
            </w:pPr>
          </w:p>
        </w:tc>
        <w:tc>
          <w:tcPr>
            <w:tcW w:w="1420" w:type="dxa"/>
            <w:vAlign w:val="bottom"/>
            <w:shd w:val="clear" w:color="auto" w:fill="ACACAC"/>
          </w:tcPr>
          <w:p>
            <w:pPr>
              <w:spacing w:after="0"/>
              <w:rPr>
                <w:sz w:val="23"/>
                <w:szCs w:val="23"/>
                <w:color w:val="auto"/>
              </w:rPr>
            </w:pPr>
          </w:p>
        </w:tc>
      </w:tr>
    </w:tbl>
    <w:p>
      <w:pPr>
        <w:spacing w:after="0" w:line="102" w:lineRule="exact"/>
        <w:rPr>
          <w:sz w:val="20"/>
          <w:szCs w:val="20"/>
          <w:color w:val="auto"/>
        </w:rPr>
      </w:pPr>
    </w:p>
    <w:p>
      <w:pPr>
        <w:sectPr>
          <w:pgSz w:w="11900" w:h="16838" w:orient="portrait"/>
          <w:cols w:equalWidth="0" w:num="1">
            <w:col w:w="11420"/>
          </w:cols>
          <w:pgMar w:left="240" w:top="303" w:right="239" w:bottom="1440" w:gutter="0" w:footer="0" w:header="0"/>
        </w:sectPr>
      </w:pPr>
    </w:p>
    <w:tbl>
      <w:tblPr>
        <w:tblLayout w:type="fixed"/>
        <w:tblInd w:w="40" w:type="dxa"/>
        <w:tblCellMar>
          <w:top w:w="0" w:type="dxa"/>
          <w:left w:w="0" w:type="dxa"/>
          <w:bottom w:w="0" w:type="dxa"/>
          <w:right w:w="0" w:type="dxa"/>
        </w:tblCellMar>
      </w:tblPr>
      <w:tr>
        <w:trPr>
          <w:trHeight w:val="152"/>
        </w:trPr>
        <w:tc>
          <w:tcPr>
            <w:tcW w:w="1440" w:type="dxa"/>
            <w:vAlign w:val="bottom"/>
          </w:tcPr>
          <w:p>
            <w:pPr>
              <w:spacing w:after="0"/>
              <w:rPr>
                <w:sz w:val="13"/>
                <w:szCs w:val="13"/>
                <w:color w:val="auto"/>
              </w:rPr>
            </w:pPr>
          </w:p>
        </w:tc>
        <w:tc>
          <w:tcPr>
            <w:tcW w:w="1160" w:type="dxa"/>
            <w:vAlign w:val="bottom"/>
          </w:tcPr>
          <w:p>
            <w:pPr>
              <w:jc w:val="right"/>
              <w:ind w:right="277"/>
              <w:spacing w:after="0"/>
              <w:rPr>
                <w:sz w:val="20"/>
                <w:szCs w:val="20"/>
                <w:color w:val="auto"/>
              </w:rPr>
            </w:pPr>
            <w:r>
              <w:rPr>
                <w:rFonts w:ascii="Arial" w:cs="Arial" w:eastAsia="Arial" w:hAnsi="Arial"/>
                <w:sz w:val="13"/>
                <w:szCs w:val="13"/>
                <w:color w:val="auto"/>
              </w:rPr>
              <w:t>10,000</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95"/>
              <w:spacing w:after="0"/>
              <w:rPr>
                <w:sz w:val="20"/>
                <w:szCs w:val="20"/>
                <w:color w:val="auto"/>
              </w:rPr>
            </w:pPr>
            <w:r>
              <w:rPr>
                <w:rFonts w:ascii="Arial" w:cs="Arial" w:eastAsia="Arial" w:hAnsi="Arial"/>
                <w:sz w:val="9"/>
                <w:szCs w:val="9"/>
                <w:color w:val="auto"/>
              </w:rPr>
              <w:t>(2)</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16.67</w:t>
            </w:r>
          </w:p>
        </w:tc>
        <w:tc>
          <w:tcPr>
            <w:tcW w:w="1100" w:type="dxa"/>
            <w:vAlign w:val="bottom"/>
          </w:tcPr>
          <w:p>
            <w:pPr>
              <w:jc w:val="right"/>
              <w:ind w:right="317"/>
              <w:spacing w:after="0"/>
              <w:rPr>
                <w:sz w:val="20"/>
                <w:szCs w:val="20"/>
                <w:color w:val="auto"/>
              </w:rPr>
            </w:pPr>
            <w:r>
              <w:rPr>
                <w:rFonts w:ascii="Arial" w:cs="Arial" w:eastAsia="Arial" w:hAnsi="Arial"/>
                <w:sz w:val="13"/>
                <w:szCs w:val="13"/>
                <w:color w:val="auto"/>
              </w:rPr>
              <w:t>01/18/26</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0"/>
        </w:trPr>
        <w:tc>
          <w:tcPr>
            <w:tcW w:w="1440" w:type="dxa"/>
            <w:vAlign w:val="bottom"/>
          </w:tcPr>
          <w:p>
            <w:pPr>
              <w:spacing w:after="0"/>
              <w:rPr>
                <w:sz w:val="23"/>
                <w:szCs w:val="23"/>
                <w:color w:val="auto"/>
              </w:rPr>
            </w:pPr>
          </w:p>
        </w:tc>
        <w:tc>
          <w:tcPr>
            <w:tcW w:w="1160" w:type="dxa"/>
            <w:vAlign w:val="bottom"/>
          </w:tcPr>
          <w:p>
            <w:pPr>
              <w:jc w:val="right"/>
              <w:ind w:right="277"/>
              <w:spacing w:after="0"/>
              <w:rPr>
                <w:sz w:val="20"/>
                <w:szCs w:val="20"/>
                <w:color w:val="auto"/>
              </w:rPr>
            </w:pPr>
            <w:r>
              <w:rPr>
                <w:rFonts w:ascii="Arial" w:cs="Arial" w:eastAsia="Arial" w:hAnsi="Arial"/>
                <w:sz w:val="13"/>
                <w:szCs w:val="13"/>
                <w:color w:val="auto"/>
              </w:rPr>
              <w:t>11,333</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5,667</w:t>
            </w:r>
          </w:p>
        </w:tc>
        <w:tc>
          <w:tcPr>
            <w:tcW w:w="420" w:type="dxa"/>
            <w:vAlign w:val="bottom"/>
          </w:tcPr>
          <w:p>
            <w:pPr>
              <w:jc w:val="right"/>
              <w:ind w:right="195"/>
              <w:spacing w:after="0"/>
              <w:rPr>
                <w:sz w:val="20"/>
                <w:szCs w:val="20"/>
                <w:color w:val="auto"/>
              </w:rPr>
            </w:pPr>
            <w:r>
              <w:rPr>
                <w:rFonts w:ascii="Arial" w:cs="Arial" w:eastAsia="Arial" w:hAnsi="Arial"/>
                <w:sz w:val="9"/>
                <w:szCs w:val="9"/>
                <w:color w:val="auto"/>
              </w:rPr>
              <w:t>(3)</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35.50</w:t>
            </w:r>
          </w:p>
        </w:tc>
        <w:tc>
          <w:tcPr>
            <w:tcW w:w="1100" w:type="dxa"/>
            <w:vAlign w:val="bottom"/>
          </w:tcPr>
          <w:p>
            <w:pPr>
              <w:jc w:val="right"/>
              <w:ind w:right="317"/>
              <w:spacing w:after="0"/>
              <w:rPr>
                <w:sz w:val="20"/>
                <w:szCs w:val="20"/>
                <w:color w:val="auto"/>
              </w:rPr>
            </w:pPr>
            <w:r>
              <w:rPr>
                <w:rFonts w:ascii="Arial" w:cs="Arial" w:eastAsia="Arial" w:hAnsi="Arial"/>
                <w:sz w:val="13"/>
                <w:szCs w:val="13"/>
                <w:color w:val="auto"/>
              </w:rPr>
              <w:t>12/13/26</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1440" w:type="dxa"/>
            <w:vAlign w:val="bottom"/>
          </w:tcPr>
          <w:p>
            <w:pPr>
              <w:spacing w:after="0"/>
              <w:rPr>
                <w:sz w:val="23"/>
                <w:szCs w:val="23"/>
                <w:color w:val="auto"/>
              </w:rPr>
            </w:pPr>
          </w:p>
        </w:tc>
        <w:tc>
          <w:tcPr>
            <w:tcW w:w="1160" w:type="dxa"/>
            <w:vAlign w:val="bottom"/>
          </w:tcPr>
          <w:p>
            <w:pPr>
              <w:jc w:val="right"/>
              <w:ind w:right="277"/>
              <w:spacing w:after="0"/>
              <w:rPr>
                <w:sz w:val="20"/>
                <w:szCs w:val="20"/>
                <w:color w:val="auto"/>
              </w:rPr>
            </w:pPr>
            <w:r>
              <w:rPr>
                <w:rFonts w:ascii="Arial" w:cs="Arial" w:eastAsia="Arial" w:hAnsi="Arial"/>
                <w:sz w:val="13"/>
                <w:szCs w:val="13"/>
                <w:color w:val="auto"/>
              </w:rPr>
              <w:t>9,338</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18,677</w:t>
            </w:r>
          </w:p>
        </w:tc>
        <w:tc>
          <w:tcPr>
            <w:tcW w:w="420" w:type="dxa"/>
            <w:vAlign w:val="bottom"/>
          </w:tcPr>
          <w:p>
            <w:pPr>
              <w:jc w:val="right"/>
              <w:ind w:right="195"/>
              <w:spacing w:after="0"/>
              <w:rPr>
                <w:sz w:val="20"/>
                <w:szCs w:val="20"/>
                <w:color w:val="auto"/>
              </w:rPr>
            </w:pPr>
            <w:r>
              <w:rPr>
                <w:rFonts w:ascii="Arial" w:cs="Arial" w:eastAsia="Arial" w:hAnsi="Arial"/>
                <w:sz w:val="9"/>
                <w:szCs w:val="9"/>
                <w:color w:val="auto"/>
              </w:rPr>
              <w:t>(4)</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44.40</w:t>
            </w:r>
          </w:p>
        </w:tc>
        <w:tc>
          <w:tcPr>
            <w:tcW w:w="1100" w:type="dxa"/>
            <w:vAlign w:val="bottom"/>
          </w:tcPr>
          <w:p>
            <w:pPr>
              <w:jc w:val="right"/>
              <w:ind w:right="317"/>
              <w:spacing w:after="0"/>
              <w:rPr>
                <w:sz w:val="20"/>
                <w:szCs w:val="20"/>
                <w:color w:val="auto"/>
              </w:rPr>
            </w:pPr>
            <w:r>
              <w:rPr>
                <w:rFonts w:ascii="Arial" w:cs="Arial" w:eastAsia="Arial" w:hAnsi="Arial"/>
                <w:sz w:val="13"/>
                <w:szCs w:val="13"/>
                <w:color w:val="auto"/>
              </w:rPr>
              <w:t>10/18/27</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1440" w:type="dxa"/>
            <w:vAlign w:val="bottom"/>
          </w:tcPr>
          <w:p>
            <w:pPr>
              <w:spacing w:after="0"/>
              <w:rPr>
                <w:sz w:val="23"/>
                <w:szCs w:val="23"/>
                <w:color w:val="auto"/>
              </w:rPr>
            </w:pPr>
          </w:p>
        </w:tc>
        <w:tc>
          <w:tcPr>
            <w:tcW w:w="116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42,831</w:t>
            </w:r>
          </w:p>
        </w:tc>
        <w:tc>
          <w:tcPr>
            <w:tcW w:w="420" w:type="dxa"/>
            <w:vAlign w:val="bottom"/>
          </w:tcPr>
          <w:p>
            <w:pPr>
              <w:jc w:val="right"/>
              <w:ind w:right="195"/>
              <w:spacing w:after="0"/>
              <w:rPr>
                <w:sz w:val="20"/>
                <w:szCs w:val="20"/>
                <w:color w:val="auto"/>
              </w:rPr>
            </w:pPr>
            <w:r>
              <w:rPr>
                <w:rFonts w:ascii="Arial" w:cs="Arial" w:eastAsia="Arial" w:hAnsi="Arial"/>
                <w:sz w:val="9"/>
                <w:szCs w:val="9"/>
                <w:color w:val="auto"/>
              </w:rPr>
              <w:t>(5)</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31.70</w:t>
            </w:r>
          </w:p>
        </w:tc>
        <w:tc>
          <w:tcPr>
            <w:tcW w:w="1100" w:type="dxa"/>
            <w:vAlign w:val="bottom"/>
          </w:tcPr>
          <w:p>
            <w:pPr>
              <w:jc w:val="right"/>
              <w:ind w:right="317"/>
              <w:spacing w:after="0"/>
              <w:rPr>
                <w:sz w:val="20"/>
                <w:szCs w:val="20"/>
                <w:color w:val="auto"/>
              </w:rPr>
            </w:pPr>
            <w:r>
              <w:rPr>
                <w:rFonts w:ascii="Arial" w:cs="Arial" w:eastAsia="Arial" w:hAnsi="Arial"/>
                <w:sz w:val="13"/>
                <w:szCs w:val="13"/>
                <w:color w:val="auto"/>
              </w:rPr>
              <w:t>10/15/28</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080"/>
        </w:trPr>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4,434</w:t>
            </w:r>
          </w:p>
        </w:tc>
        <w:tc>
          <w:tcPr>
            <w:tcW w:w="180" w:type="dxa"/>
            <w:vAlign w:val="bottom"/>
          </w:tcPr>
          <w:p>
            <w:pPr>
              <w:jc w:val="right"/>
              <w:spacing w:after="0"/>
              <w:rPr>
                <w:sz w:val="20"/>
                <w:szCs w:val="20"/>
                <w:color w:val="auto"/>
              </w:rPr>
            </w:pPr>
            <w:r>
              <w:rPr>
                <w:rFonts w:ascii="Arial" w:cs="Arial" w:eastAsia="Arial" w:hAnsi="Arial"/>
                <w:sz w:val="9"/>
                <w:szCs w:val="9"/>
                <w:color w:val="auto"/>
              </w:rPr>
              <w:t>(1)</w:t>
            </w:r>
          </w:p>
        </w:tc>
      </w:tr>
      <w:tr>
        <w:trPr>
          <w:trHeight w:val="270"/>
        </w:trPr>
        <w:tc>
          <w:tcPr>
            <w:tcW w:w="1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6,218</w:t>
            </w:r>
          </w:p>
        </w:tc>
        <w:tc>
          <w:tcPr>
            <w:tcW w:w="180" w:type="dxa"/>
            <w:vAlign w:val="bottom"/>
          </w:tcPr>
          <w:p>
            <w:pPr>
              <w:jc w:val="right"/>
              <w:spacing w:after="0"/>
              <w:rPr>
                <w:sz w:val="20"/>
                <w:szCs w:val="20"/>
                <w:color w:val="auto"/>
              </w:rPr>
            </w:pPr>
            <w:r>
              <w:rPr>
                <w:rFonts w:ascii="Arial" w:cs="Arial" w:eastAsia="Arial" w:hAnsi="Arial"/>
                <w:sz w:val="9"/>
                <w:szCs w:val="9"/>
                <w:color w:val="auto"/>
              </w:rPr>
              <w:t>(4)</w:t>
            </w:r>
          </w:p>
        </w:tc>
      </w:tr>
      <w:tr>
        <w:trPr>
          <w:trHeight w:val="270"/>
        </w:trPr>
        <w:tc>
          <w:tcPr>
            <w:tcW w:w="1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14,984</w:t>
            </w:r>
          </w:p>
        </w:tc>
        <w:tc>
          <w:tcPr>
            <w:tcW w:w="180" w:type="dxa"/>
            <w:vAlign w:val="bottom"/>
          </w:tcPr>
          <w:p>
            <w:pPr>
              <w:jc w:val="right"/>
              <w:spacing w:after="0"/>
              <w:rPr>
                <w:sz w:val="20"/>
                <w:szCs w:val="20"/>
                <w:color w:val="auto"/>
              </w:rPr>
            </w:pPr>
            <w:r>
              <w:rPr>
                <w:rFonts w:ascii="Arial" w:cs="Arial" w:eastAsia="Arial" w:hAnsi="Arial"/>
                <w:sz w:val="9"/>
                <w:szCs w:val="9"/>
                <w:color w:val="auto"/>
              </w:rPr>
              <w:t>(5)</w:t>
            </w:r>
          </w:p>
        </w:tc>
      </w:tr>
      <w:tr>
        <w:trPr>
          <w:trHeight w:val="270"/>
        </w:trPr>
        <w:tc>
          <w:tcPr>
            <w:tcW w:w="1440" w:type="dxa"/>
            <w:vAlign w:val="bottom"/>
          </w:tcPr>
          <w:p>
            <w:pPr>
              <w:spacing w:after="0"/>
              <w:rPr>
                <w:sz w:val="20"/>
                <w:szCs w:val="20"/>
                <w:color w:val="auto"/>
              </w:rPr>
            </w:pPr>
            <w:r>
              <w:rPr>
                <w:rFonts w:ascii="Arial" w:cs="Arial" w:eastAsia="Arial" w:hAnsi="Arial"/>
                <w:sz w:val="13"/>
                <w:szCs w:val="13"/>
                <w:color w:val="auto"/>
              </w:rPr>
              <w:t>Bryan L. Hughes</w:t>
            </w:r>
          </w:p>
        </w:tc>
        <w:tc>
          <w:tcPr>
            <w:tcW w:w="1160" w:type="dxa"/>
            <w:vAlign w:val="bottom"/>
          </w:tcPr>
          <w:p>
            <w:pPr>
              <w:jc w:val="right"/>
              <w:ind w:right="277"/>
              <w:spacing w:after="0"/>
              <w:rPr>
                <w:sz w:val="20"/>
                <w:szCs w:val="20"/>
                <w:color w:val="auto"/>
              </w:rPr>
            </w:pPr>
            <w:r>
              <w:rPr>
                <w:rFonts w:ascii="Arial" w:cs="Arial" w:eastAsia="Arial" w:hAnsi="Arial"/>
                <w:sz w:val="13"/>
                <w:szCs w:val="13"/>
                <w:color w:val="auto"/>
              </w:rPr>
              <w:t>2,790</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5,583</w:t>
            </w:r>
          </w:p>
        </w:tc>
        <w:tc>
          <w:tcPr>
            <w:tcW w:w="420" w:type="dxa"/>
            <w:vAlign w:val="bottom"/>
          </w:tcPr>
          <w:p>
            <w:pPr>
              <w:jc w:val="right"/>
              <w:ind w:right="195"/>
              <w:spacing w:after="0"/>
              <w:rPr>
                <w:sz w:val="20"/>
                <w:szCs w:val="20"/>
                <w:color w:val="auto"/>
              </w:rPr>
            </w:pPr>
            <w:r>
              <w:rPr>
                <w:rFonts w:ascii="Arial" w:cs="Arial" w:eastAsia="Arial" w:hAnsi="Arial"/>
                <w:sz w:val="9"/>
                <w:szCs w:val="9"/>
                <w:color w:val="auto"/>
              </w:rPr>
              <w:t>(4)</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44.40</w:t>
            </w:r>
          </w:p>
        </w:tc>
        <w:tc>
          <w:tcPr>
            <w:tcW w:w="1100" w:type="dxa"/>
            <w:vAlign w:val="bottom"/>
          </w:tcPr>
          <w:p>
            <w:pPr>
              <w:jc w:val="right"/>
              <w:ind w:right="317"/>
              <w:spacing w:after="0"/>
              <w:rPr>
                <w:sz w:val="20"/>
                <w:szCs w:val="20"/>
                <w:color w:val="auto"/>
              </w:rPr>
            </w:pPr>
            <w:r>
              <w:rPr>
                <w:rFonts w:ascii="Arial" w:cs="Arial" w:eastAsia="Arial" w:hAnsi="Arial"/>
                <w:sz w:val="13"/>
                <w:szCs w:val="13"/>
                <w:color w:val="auto"/>
              </w:rPr>
              <w:t>10/18/27</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1440" w:type="dxa"/>
            <w:vAlign w:val="bottom"/>
          </w:tcPr>
          <w:p>
            <w:pPr>
              <w:spacing w:after="0"/>
              <w:rPr>
                <w:sz w:val="23"/>
                <w:szCs w:val="23"/>
                <w:color w:val="auto"/>
              </w:rPr>
            </w:pPr>
          </w:p>
        </w:tc>
        <w:tc>
          <w:tcPr>
            <w:tcW w:w="116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11,438</w:t>
            </w:r>
          </w:p>
        </w:tc>
        <w:tc>
          <w:tcPr>
            <w:tcW w:w="420" w:type="dxa"/>
            <w:vAlign w:val="bottom"/>
          </w:tcPr>
          <w:p>
            <w:pPr>
              <w:jc w:val="right"/>
              <w:ind w:right="195"/>
              <w:spacing w:after="0"/>
              <w:rPr>
                <w:sz w:val="20"/>
                <w:szCs w:val="20"/>
                <w:color w:val="auto"/>
              </w:rPr>
            </w:pPr>
            <w:r>
              <w:rPr>
                <w:rFonts w:ascii="Arial" w:cs="Arial" w:eastAsia="Arial" w:hAnsi="Arial"/>
                <w:sz w:val="9"/>
                <w:szCs w:val="9"/>
                <w:color w:val="auto"/>
              </w:rPr>
              <w:t>(5)</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31.70</w:t>
            </w:r>
          </w:p>
        </w:tc>
        <w:tc>
          <w:tcPr>
            <w:tcW w:w="1100" w:type="dxa"/>
            <w:vAlign w:val="bottom"/>
          </w:tcPr>
          <w:p>
            <w:pPr>
              <w:jc w:val="right"/>
              <w:ind w:right="317"/>
              <w:spacing w:after="0"/>
              <w:rPr>
                <w:sz w:val="20"/>
                <w:szCs w:val="20"/>
                <w:color w:val="auto"/>
              </w:rPr>
            </w:pPr>
            <w:r>
              <w:rPr>
                <w:rFonts w:ascii="Arial" w:cs="Arial" w:eastAsia="Arial" w:hAnsi="Arial"/>
                <w:sz w:val="13"/>
                <w:szCs w:val="13"/>
                <w:color w:val="auto"/>
              </w:rPr>
              <w:t>10/15/28</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080"/>
        </w:trPr>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3,334</w:t>
            </w:r>
          </w:p>
        </w:tc>
        <w:tc>
          <w:tcPr>
            <w:tcW w:w="180" w:type="dxa"/>
            <w:vAlign w:val="bottom"/>
          </w:tcPr>
          <w:p>
            <w:pPr>
              <w:jc w:val="right"/>
              <w:spacing w:after="0"/>
              <w:rPr>
                <w:sz w:val="20"/>
                <w:szCs w:val="20"/>
                <w:color w:val="auto"/>
              </w:rPr>
            </w:pPr>
            <w:r>
              <w:rPr>
                <w:rFonts w:ascii="Arial" w:cs="Arial" w:eastAsia="Arial" w:hAnsi="Arial"/>
                <w:sz w:val="9"/>
                <w:szCs w:val="9"/>
                <w:color w:val="auto"/>
              </w:rPr>
              <w:t>(6)</w:t>
            </w:r>
          </w:p>
        </w:tc>
      </w:tr>
      <w:tr>
        <w:trPr>
          <w:trHeight w:val="270"/>
        </w:trPr>
        <w:tc>
          <w:tcPr>
            <w:tcW w:w="1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1,859</w:t>
            </w:r>
          </w:p>
        </w:tc>
        <w:tc>
          <w:tcPr>
            <w:tcW w:w="180" w:type="dxa"/>
            <w:vAlign w:val="bottom"/>
          </w:tcPr>
          <w:p>
            <w:pPr>
              <w:jc w:val="right"/>
              <w:spacing w:after="0"/>
              <w:rPr>
                <w:sz w:val="20"/>
                <w:szCs w:val="20"/>
                <w:color w:val="auto"/>
              </w:rPr>
            </w:pPr>
            <w:r>
              <w:rPr>
                <w:rFonts w:ascii="Arial" w:cs="Arial" w:eastAsia="Arial" w:hAnsi="Arial"/>
                <w:sz w:val="9"/>
                <w:szCs w:val="9"/>
                <w:color w:val="auto"/>
              </w:rPr>
              <w:t>(4)</w:t>
            </w:r>
          </w:p>
        </w:tc>
      </w:tr>
      <w:tr>
        <w:trPr>
          <w:trHeight w:val="270"/>
        </w:trPr>
        <w:tc>
          <w:tcPr>
            <w:tcW w:w="1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4,001</w:t>
            </w:r>
          </w:p>
        </w:tc>
        <w:tc>
          <w:tcPr>
            <w:tcW w:w="180" w:type="dxa"/>
            <w:vAlign w:val="bottom"/>
          </w:tcPr>
          <w:p>
            <w:pPr>
              <w:jc w:val="right"/>
              <w:spacing w:after="0"/>
              <w:rPr>
                <w:sz w:val="20"/>
                <w:szCs w:val="20"/>
                <w:color w:val="auto"/>
              </w:rPr>
            </w:pPr>
            <w:r>
              <w:rPr>
                <w:rFonts w:ascii="Arial" w:cs="Arial" w:eastAsia="Arial" w:hAnsi="Arial"/>
                <w:sz w:val="9"/>
                <w:szCs w:val="9"/>
                <w:color w:val="auto"/>
              </w:rPr>
              <w:t>(5)</w:t>
            </w:r>
          </w:p>
        </w:tc>
      </w:tr>
      <w:tr>
        <w:trPr>
          <w:trHeight w:val="270"/>
        </w:trPr>
        <w:tc>
          <w:tcPr>
            <w:tcW w:w="1440" w:type="dxa"/>
            <w:vAlign w:val="bottom"/>
          </w:tcPr>
          <w:p>
            <w:pPr>
              <w:spacing w:after="0"/>
              <w:rPr>
                <w:sz w:val="20"/>
                <w:szCs w:val="20"/>
                <w:color w:val="auto"/>
              </w:rPr>
            </w:pPr>
            <w:r>
              <w:rPr>
                <w:rFonts w:ascii="Arial" w:cs="Arial" w:eastAsia="Arial" w:hAnsi="Arial"/>
                <w:sz w:val="13"/>
                <w:szCs w:val="13"/>
                <w:color w:val="auto"/>
              </w:rPr>
              <w:t>Stacy L. Bogart</w:t>
            </w:r>
          </w:p>
        </w:tc>
        <w:tc>
          <w:tcPr>
            <w:tcW w:w="116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9,823</w:t>
            </w:r>
          </w:p>
        </w:tc>
        <w:tc>
          <w:tcPr>
            <w:tcW w:w="420" w:type="dxa"/>
            <w:vAlign w:val="bottom"/>
          </w:tcPr>
          <w:p>
            <w:pPr>
              <w:jc w:val="right"/>
              <w:ind w:right="195"/>
              <w:spacing w:after="0"/>
              <w:rPr>
                <w:sz w:val="20"/>
                <w:szCs w:val="20"/>
                <w:color w:val="auto"/>
              </w:rPr>
            </w:pPr>
            <w:r>
              <w:rPr>
                <w:rFonts w:ascii="Arial" w:cs="Arial" w:eastAsia="Arial" w:hAnsi="Arial"/>
                <w:sz w:val="9"/>
                <w:szCs w:val="9"/>
                <w:color w:val="auto"/>
              </w:rPr>
              <w:t>(5)</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31.70</w:t>
            </w:r>
          </w:p>
        </w:tc>
        <w:tc>
          <w:tcPr>
            <w:tcW w:w="1100" w:type="dxa"/>
            <w:vAlign w:val="bottom"/>
          </w:tcPr>
          <w:p>
            <w:pPr>
              <w:jc w:val="right"/>
              <w:ind w:right="317"/>
              <w:spacing w:after="0"/>
              <w:rPr>
                <w:sz w:val="20"/>
                <w:szCs w:val="20"/>
                <w:color w:val="auto"/>
              </w:rPr>
            </w:pPr>
            <w:r>
              <w:rPr>
                <w:rFonts w:ascii="Arial" w:cs="Arial" w:eastAsia="Arial" w:hAnsi="Arial"/>
                <w:sz w:val="13"/>
                <w:szCs w:val="13"/>
                <w:color w:val="auto"/>
              </w:rPr>
              <w:t>10/15/28</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810"/>
        </w:trPr>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6,667</w:t>
            </w:r>
          </w:p>
        </w:tc>
        <w:tc>
          <w:tcPr>
            <w:tcW w:w="180" w:type="dxa"/>
            <w:vAlign w:val="bottom"/>
          </w:tcPr>
          <w:p>
            <w:pPr>
              <w:jc w:val="right"/>
              <w:spacing w:after="0"/>
              <w:rPr>
                <w:sz w:val="20"/>
                <w:szCs w:val="20"/>
                <w:color w:val="auto"/>
              </w:rPr>
            </w:pPr>
            <w:r>
              <w:rPr>
                <w:rFonts w:ascii="Arial" w:cs="Arial" w:eastAsia="Arial" w:hAnsi="Arial"/>
                <w:sz w:val="9"/>
                <w:szCs w:val="9"/>
                <w:color w:val="auto"/>
              </w:rPr>
              <w:t>(7)</w:t>
            </w:r>
          </w:p>
        </w:tc>
      </w:tr>
      <w:tr>
        <w:trPr>
          <w:trHeight w:val="270"/>
        </w:trPr>
        <w:tc>
          <w:tcPr>
            <w:tcW w:w="1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3,437</w:t>
            </w:r>
          </w:p>
        </w:tc>
        <w:tc>
          <w:tcPr>
            <w:tcW w:w="180" w:type="dxa"/>
            <w:vAlign w:val="bottom"/>
          </w:tcPr>
          <w:p>
            <w:pPr>
              <w:jc w:val="right"/>
              <w:spacing w:after="0"/>
              <w:rPr>
                <w:sz w:val="20"/>
                <w:szCs w:val="20"/>
                <w:color w:val="auto"/>
              </w:rPr>
            </w:pPr>
            <w:r>
              <w:rPr>
                <w:rFonts w:ascii="Arial" w:cs="Arial" w:eastAsia="Arial" w:hAnsi="Arial"/>
                <w:sz w:val="9"/>
                <w:szCs w:val="9"/>
                <w:color w:val="auto"/>
              </w:rPr>
              <w:t>(5)</w:t>
            </w:r>
          </w:p>
        </w:tc>
      </w:tr>
      <w:tr>
        <w:trPr>
          <w:trHeight w:val="270"/>
        </w:trPr>
        <w:tc>
          <w:tcPr>
            <w:tcW w:w="1440" w:type="dxa"/>
            <w:vAlign w:val="bottom"/>
          </w:tcPr>
          <w:p>
            <w:pPr>
              <w:spacing w:after="0"/>
              <w:rPr>
                <w:sz w:val="20"/>
                <w:szCs w:val="20"/>
                <w:color w:val="auto"/>
              </w:rPr>
            </w:pPr>
            <w:r>
              <w:rPr>
                <w:rFonts w:ascii="Arial" w:cs="Arial" w:eastAsia="Arial" w:hAnsi="Arial"/>
                <w:sz w:val="13"/>
                <w:szCs w:val="13"/>
                <w:color w:val="auto"/>
              </w:rPr>
              <w:t>Donald J. Clark</w:t>
            </w:r>
          </w:p>
        </w:tc>
        <w:tc>
          <w:tcPr>
            <w:tcW w:w="116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3"/>
                <w:szCs w:val="23"/>
                <w:color w:val="auto"/>
              </w:rPr>
            </w:pP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r>
      <w:tr>
        <w:trPr>
          <w:trHeight w:val="270"/>
        </w:trPr>
        <w:tc>
          <w:tcPr>
            <w:tcW w:w="1440" w:type="dxa"/>
            <w:vAlign w:val="bottom"/>
          </w:tcPr>
          <w:p>
            <w:pPr>
              <w:spacing w:after="0"/>
              <w:rPr>
                <w:sz w:val="20"/>
                <w:szCs w:val="20"/>
                <w:color w:val="auto"/>
              </w:rPr>
            </w:pPr>
            <w:r>
              <w:rPr>
                <w:rFonts w:ascii="Arial" w:cs="Arial" w:eastAsia="Arial" w:hAnsi="Arial"/>
                <w:sz w:val="13"/>
                <w:szCs w:val="13"/>
                <w:color w:val="auto"/>
              </w:rPr>
              <w:t>Brian D. Hazelton</w:t>
            </w:r>
          </w:p>
        </w:tc>
        <w:tc>
          <w:tcPr>
            <w:tcW w:w="1160" w:type="dxa"/>
            <w:vAlign w:val="bottom"/>
          </w:tcPr>
          <w:p>
            <w:pPr>
              <w:jc w:val="right"/>
              <w:ind w:right="277"/>
              <w:spacing w:after="0"/>
              <w:rPr>
                <w:sz w:val="20"/>
                <w:szCs w:val="20"/>
                <w:color w:val="auto"/>
              </w:rPr>
            </w:pPr>
            <w:r>
              <w:rPr>
                <w:rFonts w:ascii="Arial" w:cs="Arial" w:eastAsia="Arial" w:hAnsi="Arial"/>
                <w:sz w:val="13"/>
                <w:szCs w:val="13"/>
                <w:color w:val="auto"/>
              </w:rPr>
              <w:t>4,666</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2,334</w:t>
            </w:r>
          </w:p>
        </w:tc>
        <w:tc>
          <w:tcPr>
            <w:tcW w:w="420" w:type="dxa"/>
            <w:vAlign w:val="bottom"/>
          </w:tcPr>
          <w:p>
            <w:pPr>
              <w:jc w:val="right"/>
              <w:ind w:right="195"/>
              <w:spacing w:after="0"/>
              <w:rPr>
                <w:sz w:val="20"/>
                <w:szCs w:val="20"/>
                <w:color w:val="auto"/>
              </w:rPr>
            </w:pPr>
            <w:r>
              <w:rPr>
                <w:rFonts w:ascii="Arial" w:cs="Arial" w:eastAsia="Arial" w:hAnsi="Arial"/>
                <w:sz w:val="9"/>
                <w:szCs w:val="9"/>
                <w:color w:val="auto"/>
              </w:rPr>
              <w:t>(1)</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27.89</w:t>
            </w:r>
          </w:p>
        </w:tc>
        <w:tc>
          <w:tcPr>
            <w:tcW w:w="1100" w:type="dxa"/>
            <w:vAlign w:val="bottom"/>
          </w:tcPr>
          <w:p>
            <w:pPr>
              <w:jc w:val="right"/>
              <w:ind w:right="317"/>
              <w:spacing w:after="0"/>
              <w:rPr>
                <w:sz w:val="20"/>
                <w:szCs w:val="20"/>
                <w:color w:val="auto"/>
              </w:rPr>
            </w:pPr>
            <w:r>
              <w:rPr>
                <w:rFonts w:ascii="Arial" w:cs="Arial" w:eastAsia="Arial" w:hAnsi="Arial"/>
                <w:sz w:val="13"/>
                <w:szCs w:val="13"/>
                <w:color w:val="auto"/>
              </w:rPr>
              <w:t>10/11/26</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1440" w:type="dxa"/>
            <w:vAlign w:val="bottom"/>
          </w:tcPr>
          <w:p>
            <w:pPr>
              <w:spacing w:after="0"/>
              <w:rPr>
                <w:sz w:val="23"/>
                <w:szCs w:val="23"/>
                <w:color w:val="auto"/>
              </w:rPr>
            </w:pPr>
          </w:p>
        </w:tc>
        <w:tc>
          <w:tcPr>
            <w:tcW w:w="1160" w:type="dxa"/>
            <w:vAlign w:val="bottom"/>
          </w:tcPr>
          <w:p>
            <w:pPr>
              <w:jc w:val="right"/>
              <w:ind w:right="277"/>
              <w:spacing w:after="0"/>
              <w:rPr>
                <w:sz w:val="20"/>
                <w:szCs w:val="20"/>
                <w:color w:val="auto"/>
              </w:rPr>
            </w:pPr>
            <w:r>
              <w:rPr>
                <w:rFonts w:ascii="Arial" w:cs="Arial" w:eastAsia="Arial" w:hAnsi="Arial"/>
                <w:sz w:val="13"/>
                <w:szCs w:val="13"/>
                <w:color w:val="auto"/>
              </w:rPr>
              <w:t>2,746</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5,493</w:t>
            </w:r>
          </w:p>
        </w:tc>
        <w:tc>
          <w:tcPr>
            <w:tcW w:w="420" w:type="dxa"/>
            <w:vAlign w:val="bottom"/>
          </w:tcPr>
          <w:p>
            <w:pPr>
              <w:jc w:val="right"/>
              <w:ind w:right="195"/>
              <w:spacing w:after="0"/>
              <w:rPr>
                <w:sz w:val="20"/>
                <w:szCs w:val="20"/>
                <w:color w:val="auto"/>
              </w:rPr>
            </w:pPr>
            <w:r>
              <w:rPr>
                <w:rFonts w:ascii="Arial" w:cs="Arial" w:eastAsia="Arial" w:hAnsi="Arial"/>
                <w:sz w:val="9"/>
                <w:szCs w:val="9"/>
                <w:color w:val="auto"/>
              </w:rPr>
              <w:t>(4)</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44.40</w:t>
            </w:r>
          </w:p>
        </w:tc>
        <w:tc>
          <w:tcPr>
            <w:tcW w:w="1100" w:type="dxa"/>
            <w:vAlign w:val="bottom"/>
          </w:tcPr>
          <w:p>
            <w:pPr>
              <w:jc w:val="right"/>
              <w:ind w:right="317"/>
              <w:spacing w:after="0"/>
              <w:rPr>
                <w:sz w:val="20"/>
                <w:szCs w:val="20"/>
                <w:color w:val="auto"/>
              </w:rPr>
            </w:pPr>
            <w:r>
              <w:rPr>
                <w:rFonts w:ascii="Arial" w:cs="Arial" w:eastAsia="Arial" w:hAnsi="Arial"/>
                <w:sz w:val="13"/>
                <w:szCs w:val="13"/>
                <w:color w:val="auto"/>
              </w:rPr>
              <w:t>10/18/27</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1440" w:type="dxa"/>
            <w:vAlign w:val="bottom"/>
          </w:tcPr>
          <w:p>
            <w:pPr>
              <w:spacing w:after="0"/>
              <w:rPr>
                <w:sz w:val="23"/>
                <w:szCs w:val="23"/>
                <w:color w:val="auto"/>
              </w:rPr>
            </w:pPr>
          </w:p>
        </w:tc>
        <w:tc>
          <w:tcPr>
            <w:tcW w:w="116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11,838</w:t>
            </w:r>
          </w:p>
        </w:tc>
        <w:tc>
          <w:tcPr>
            <w:tcW w:w="420" w:type="dxa"/>
            <w:vAlign w:val="bottom"/>
          </w:tcPr>
          <w:p>
            <w:pPr>
              <w:jc w:val="right"/>
              <w:ind w:right="195"/>
              <w:spacing w:after="0"/>
              <w:rPr>
                <w:sz w:val="20"/>
                <w:szCs w:val="20"/>
                <w:color w:val="auto"/>
              </w:rPr>
            </w:pPr>
            <w:r>
              <w:rPr>
                <w:rFonts w:ascii="Arial" w:cs="Arial" w:eastAsia="Arial" w:hAnsi="Arial"/>
                <w:sz w:val="9"/>
                <w:szCs w:val="9"/>
                <w:color w:val="auto"/>
              </w:rPr>
              <w:t>(5)</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31.70</w:t>
            </w:r>
          </w:p>
        </w:tc>
        <w:tc>
          <w:tcPr>
            <w:tcW w:w="1100" w:type="dxa"/>
            <w:vAlign w:val="bottom"/>
          </w:tcPr>
          <w:p>
            <w:pPr>
              <w:jc w:val="right"/>
              <w:ind w:right="317"/>
              <w:spacing w:after="0"/>
              <w:rPr>
                <w:sz w:val="20"/>
                <w:szCs w:val="20"/>
                <w:color w:val="auto"/>
              </w:rPr>
            </w:pPr>
            <w:r>
              <w:rPr>
                <w:rFonts w:ascii="Arial" w:cs="Arial" w:eastAsia="Arial" w:hAnsi="Arial"/>
                <w:sz w:val="13"/>
                <w:szCs w:val="13"/>
                <w:color w:val="auto"/>
              </w:rPr>
              <w:t>10/15/28</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080"/>
        </w:trPr>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2,334</w:t>
            </w:r>
          </w:p>
        </w:tc>
        <w:tc>
          <w:tcPr>
            <w:tcW w:w="180" w:type="dxa"/>
            <w:vAlign w:val="bottom"/>
          </w:tcPr>
          <w:p>
            <w:pPr>
              <w:jc w:val="right"/>
              <w:spacing w:after="0"/>
              <w:rPr>
                <w:sz w:val="20"/>
                <w:szCs w:val="20"/>
                <w:color w:val="auto"/>
              </w:rPr>
            </w:pPr>
            <w:r>
              <w:rPr>
                <w:rFonts w:ascii="Arial" w:cs="Arial" w:eastAsia="Arial" w:hAnsi="Arial"/>
                <w:sz w:val="9"/>
                <w:szCs w:val="9"/>
                <w:color w:val="auto"/>
              </w:rPr>
              <w:t>(1)</w:t>
            </w:r>
          </w:p>
        </w:tc>
      </w:tr>
      <w:tr>
        <w:trPr>
          <w:trHeight w:val="270"/>
        </w:trPr>
        <w:tc>
          <w:tcPr>
            <w:tcW w:w="1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1,829</w:t>
            </w:r>
          </w:p>
        </w:tc>
        <w:tc>
          <w:tcPr>
            <w:tcW w:w="180" w:type="dxa"/>
            <w:vAlign w:val="bottom"/>
          </w:tcPr>
          <w:p>
            <w:pPr>
              <w:jc w:val="right"/>
              <w:spacing w:after="0"/>
              <w:rPr>
                <w:sz w:val="20"/>
                <w:szCs w:val="20"/>
                <w:color w:val="auto"/>
              </w:rPr>
            </w:pPr>
            <w:r>
              <w:rPr>
                <w:rFonts w:ascii="Arial" w:cs="Arial" w:eastAsia="Arial" w:hAnsi="Arial"/>
                <w:sz w:val="9"/>
                <w:szCs w:val="9"/>
                <w:color w:val="auto"/>
              </w:rPr>
              <w:t>(4)</w:t>
            </w:r>
          </w:p>
        </w:tc>
      </w:tr>
      <w:tr>
        <w:trPr>
          <w:trHeight w:val="270"/>
        </w:trPr>
        <w:tc>
          <w:tcPr>
            <w:tcW w:w="1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4,141</w:t>
            </w:r>
          </w:p>
        </w:tc>
        <w:tc>
          <w:tcPr>
            <w:tcW w:w="180" w:type="dxa"/>
            <w:vAlign w:val="bottom"/>
          </w:tcPr>
          <w:p>
            <w:pPr>
              <w:jc w:val="right"/>
              <w:spacing w:after="0"/>
              <w:rPr>
                <w:sz w:val="20"/>
                <w:szCs w:val="20"/>
                <w:color w:val="auto"/>
              </w:rPr>
            </w:pPr>
            <w:r>
              <w:rPr>
                <w:rFonts w:ascii="Arial" w:cs="Arial" w:eastAsia="Arial" w:hAnsi="Arial"/>
                <w:sz w:val="9"/>
                <w:szCs w:val="9"/>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-5477510</wp:posOffset>
            </wp:positionV>
            <wp:extent cx="724662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-5134610</wp:posOffset>
            </wp:positionV>
            <wp:extent cx="724662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-4791710</wp:posOffset>
            </wp:positionV>
            <wp:extent cx="724662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-4448810</wp:posOffset>
            </wp:positionV>
            <wp:extent cx="724662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-4105275</wp:posOffset>
            </wp:positionV>
            <wp:extent cx="724662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-3762375</wp:posOffset>
            </wp:positionV>
            <wp:extent cx="724662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-3419475</wp:posOffset>
            </wp:positionV>
            <wp:extent cx="724662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-3076575</wp:posOffset>
            </wp:positionV>
            <wp:extent cx="724662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-2733675</wp:posOffset>
            </wp:positionV>
            <wp:extent cx="72466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-2390140</wp:posOffset>
            </wp:positionV>
            <wp:extent cx="72466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-2047240</wp:posOffset>
            </wp:positionV>
            <wp:extent cx="724662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-1704340</wp:posOffset>
            </wp:positionV>
            <wp:extent cx="724662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-1361440</wp:posOffset>
            </wp:positionV>
            <wp:extent cx="724662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-1018540</wp:posOffset>
            </wp:positionV>
            <wp:extent cx="72466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540"/>
        <w:spacing w:after="0"/>
        <w:tabs>
          <w:tab w:leader="none" w:pos="2040" w:val="left"/>
        </w:tabs>
        <w:rPr>
          <w:sz w:val="20"/>
          <w:szCs w:val="20"/>
          <w:color w:val="auto"/>
        </w:rPr>
      </w:pPr>
      <w:r>
        <w:rPr>
          <w:rFonts w:ascii="Arial" w:cs="Arial" w:eastAsia="Arial" w:hAnsi="Arial"/>
          <w:sz w:val="13"/>
          <w:szCs w:val="13"/>
          <w:color w:val="auto"/>
        </w:rPr>
        <w:t>22,709</w:t>
      </w:r>
      <w:r>
        <w:rPr>
          <w:sz w:val="20"/>
          <w:szCs w:val="20"/>
          <w:color w:val="auto"/>
        </w:rPr>
        <w:tab/>
      </w:r>
      <w:r>
        <w:rPr>
          <w:rFonts w:ascii="Arial" w:cs="Arial" w:eastAsia="Arial" w:hAnsi="Arial"/>
          <w:sz w:val="8"/>
          <w:szCs w:val="8"/>
          <w:color w:val="auto"/>
        </w:rPr>
        <w:t>(8)</w:t>
      </w:r>
    </w:p>
    <w:p>
      <w:pPr>
        <w:spacing w:after="0" w:line="121" w:lineRule="exact"/>
        <w:rPr>
          <w:sz w:val="20"/>
          <w:szCs w:val="20"/>
          <w:color w:val="auto"/>
        </w:rPr>
      </w:pPr>
    </w:p>
    <w:p>
      <w:pPr>
        <w:ind w:left="1540"/>
        <w:spacing w:after="0"/>
        <w:tabs>
          <w:tab w:leader="none" w:pos="2040" w:val="left"/>
        </w:tabs>
        <w:rPr>
          <w:sz w:val="20"/>
          <w:szCs w:val="20"/>
          <w:color w:val="auto"/>
        </w:rPr>
      </w:pPr>
      <w:r>
        <w:rPr>
          <w:rFonts w:ascii="Arial" w:cs="Arial" w:eastAsia="Arial" w:hAnsi="Arial"/>
          <w:sz w:val="13"/>
          <w:szCs w:val="13"/>
          <w:color w:val="auto"/>
        </w:rPr>
        <w:t>18,651</w:t>
      </w:r>
      <w:r>
        <w:rPr>
          <w:sz w:val="20"/>
          <w:szCs w:val="20"/>
          <w:color w:val="auto"/>
        </w:rPr>
        <w:tab/>
      </w:r>
      <w:r>
        <w:rPr>
          <w:rFonts w:ascii="Arial" w:cs="Arial" w:eastAsia="Arial" w:hAnsi="Arial"/>
          <w:sz w:val="8"/>
          <w:szCs w:val="8"/>
          <w:color w:val="auto"/>
        </w:rPr>
        <w:t>(9)</w:t>
      </w:r>
    </w:p>
    <w:p>
      <w:pPr>
        <w:spacing w:after="0" w:line="121" w:lineRule="exact"/>
        <w:rPr>
          <w:sz w:val="20"/>
          <w:szCs w:val="20"/>
          <w:color w:val="auto"/>
        </w:rPr>
      </w:pPr>
    </w:p>
    <w:p>
      <w:pPr>
        <w:jc w:val="right"/>
        <w:ind w:right="340"/>
        <w:spacing w:after="0"/>
        <w:tabs>
          <w:tab w:leader="none" w:pos="480" w:val="left"/>
        </w:tabs>
        <w:rPr>
          <w:sz w:val="20"/>
          <w:szCs w:val="20"/>
          <w:color w:val="auto"/>
        </w:rPr>
      </w:pPr>
      <w:r>
        <w:rPr>
          <w:rFonts w:ascii="Arial" w:cs="Arial" w:eastAsia="Arial" w:hAnsi="Arial"/>
          <w:sz w:val="13"/>
          <w:szCs w:val="13"/>
          <w:color w:val="auto"/>
        </w:rPr>
        <w:t>29,968</w:t>
      </w:r>
      <w:r>
        <w:rPr>
          <w:sz w:val="20"/>
          <w:szCs w:val="20"/>
          <w:color w:val="auto"/>
        </w:rPr>
        <w:tab/>
      </w:r>
      <w:r>
        <w:rPr>
          <w:rFonts w:ascii="Arial" w:cs="Arial" w:eastAsia="Arial" w:hAnsi="Arial"/>
          <w:sz w:val="8"/>
          <w:szCs w:val="8"/>
          <w:color w:val="auto"/>
        </w:rPr>
        <w:t>(10)</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141,977</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199,100</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479,788</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0"/>
        <w:spacing w:after="0"/>
        <w:tabs>
          <w:tab w:leader="none" w:pos="2040" w:val="left"/>
        </w:tabs>
        <w:rPr>
          <w:sz w:val="20"/>
          <w:szCs w:val="20"/>
          <w:color w:val="auto"/>
        </w:rPr>
      </w:pPr>
      <w:r>
        <w:rPr>
          <w:rFonts w:ascii="Arial" w:cs="Arial" w:eastAsia="Arial" w:hAnsi="Arial"/>
          <w:sz w:val="13"/>
          <w:szCs w:val="13"/>
          <w:color w:val="auto"/>
        </w:rPr>
        <w:t>6,110</w:t>
      </w:r>
      <w:r>
        <w:rPr>
          <w:sz w:val="20"/>
          <w:szCs w:val="20"/>
          <w:color w:val="auto"/>
        </w:rPr>
        <w:tab/>
      </w:r>
      <w:r>
        <w:rPr>
          <w:rFonts w:ascii="Arial" w:cs="Arial" w:eastAsia="Arial" w:hAnsi="Arial"/>
          <w:sz w:val="8"/>
          <w:szCs w:val="8"/>
          <w:color w:val="auto"/>
        </w:rPr>
        <w:t>(8)</w:t>
      </w:r>
    </w:p>
    <w:p>
      <w:pPr>
        <w:spacing w:after="0" w:line="121" w:lineRule="exact"/>
        <w:rPr>
          <w:sz w:val="20"/>
          <w:szCs w:val="20"/>
          <w:color w:val="auto"/>
        </w:rPr>
      </w:pPr>
    </w:p>
    <w:p>
      <w:pPr>
        <w:ind w:left="1600"/>
        <w:spacing w:after="0"/>
        <w:tabs>
          <w:tab w:leader="none" w:pos="2040" w:val="left"/>
        </w:tabs>
        <w:rPr>
          <w:sz w:val="20"/>
          <w:szCs w:val="20"/>
          <w:color w:val="auto"/>
        </w:rPr>
      </w:pPr>
      <w:r>
        <w:rPr>
          <w:rFonts w:ascii="Arial" w:cs="Arial" w:eastAsia="Arial" w:hAnsi="Arial"/>
          <w:sz w:val="13"/>
          <w:szCs w:val="13"/>
          <w:color w:val="auto"/>
        </w:rPr>
        <w:t>5,574</w:t>
      </w:r>
      <w:r>
        <w:rPr>
          <w:sz w:val="20"/>
          <w:szCs w:val="20"/>
          <w:color w:val="auto"/>
        </w:rPr>
        <w:tab/>
      </w:r>
      <w:r>
        <w:rPr>
          <w:rFonts w:ascii="Arial" w:cs="Arial" w:eastAsia="Arial" w:hAnsi="Arial"/>
          <w:sz w:val="8"/>
          <w:szCs w:val="8"/>
          <w:color w:val="auto"/>
        </w:rPr>
        <w:t>(9)</w:t>
      </w:r>
    </w:p>
    <w:p>
      <w:pPr>
        <w:spacing w:after="0" w:line="121" w:lineRule="exact"/>
        <w:rPr>
          <w:sz w:val="20"/>
          <w:szCs w:val="20"/>
          <w:color w:val="auto"/>
        </w:rPr>
      </w:pPr>
    </w:p>
    <w:p>
      <w:pPr>
        <w:jc w:val="right"/>
        <w:ind w:right="340"/>
        <w:spacing w:after="0"/>
        <w:tabs>
          <w:tab w:leader="none" w:pos="480" w:val="left"/>
        </w:tabs>
        <w:rPr>
          <w:sz w:val="20"/>
          <w:szCs w:val="20"/>
          <w:color w:val="auto"/>
        </w:rPr>
      </w:pPr>
      <w:r>
        <w:rPr>
          <w:rFonts w:ascii="Arial" w:cs="Arial" w:eastAsia="Arial" w:hAnsi="Arial"/>
          <w:sz w:val="13"/>
          <w:szCs w:val="13"/>
          <w:color w:val="auto"/>
        </w:rPr>
        <w:t>8,003</w:t>
      </w:r>
      <w:r>
        <w:rPr>
          <w:sz w:val="20"/>
          <w:szCs w:val="20"/>
          <w:color w:val="auto"/>
        </w:rPr>
        <w:tab/>
      </w:r>
      <w:r>
        <w:rPr>
          <w:rFonts w:ascii="Arial" w:cs="Arial" w:eastAsia="Arial" w:hAnsi="Arial"/>
          <w:sz w:val="8"/>
          <w:szCs w:val="8"/>
          <w:color w:val="auto"/>
        </w:rPr>
        <w:t>(10)</w:t>
      </w:r>
    </w:p>
    <w:p>
      <w:pPr>
        <w:spacing w:after="0" w:line="121" w:lineRule="exact"/>
        <w:rPr>
          <w:sz w:val="20"/>
          <w:szCs w:val="20"/>
          <w:color w:val="auto"/>
        </w:rPr>
      </w:pPr>
    </w:p>
    <w:p>
      <w:pPr>
        <w:jc w:val="right"/>
        <w:ind w:right="2100"/>
        <w:spacing w:after="0"/>
        <w:rPr>
          <w:sz w:val="20"/>
          <w:szCs w:val="20"/>
          <w:color w:val="auto"/>
        </w:rPr>
      </w:pPr>
      <w:r>
        <w:rPr>
          <w:rFonts w:ascii="Arial" w:cs="Arial" w:eastAsia="Arial" w:hAnsi="Arial"/>
          <w:sz w:val="12"/>
          <w:szCs w:val="12"/>
          <w:color w:val="auto"/>
        </w:rPr>
        <w:t>106,755</w:t>
      </w:r>
    </w:p>
    <w:p>
      <w:pPr>
        <w:spacing w:after="0" w:line="132" w:lineRule="exact"/>
        <w:rPr>
          <w:sz w:val="20"/>
          <w:szCs w:val="20"/>
          <w:color w:val="auto"/>
        </w:rPr>
      </w:pPr>
    </w:p>
    <w:p>
      <w:pPr>
        <w:jc w:val="right"/>
        <w:ind w:right="2100"/>
        <w:spacing w:after="0"/>
        <w:rPr>
          <w:sz w:val="20"/>
          <w:szCs w:val="20"/>
          <w:color w:val="auto"/>
        </w:rPr>
      </w:pPr>
      <w:r>
        <w:rPr>
          <w:rFonts w:ascii="Arial" w:cs="Arial" w:eastAsia="Arial" w:hAnsi="Arial"/>
          <w:sz w:val="13"/>
          <w:szCs w:val="13"/>
          <w:color w:val="auto"/>
        </w:rPr>
        <w:t>59,525</w:t>
      </w:r>
    </w:p>
    <w:p>
      <w:pPr>
        <w:spacing w:after="0" w:line="121" w:lineRule="exact"/>
        <w:rPr>
          <w:sz w:val="20"/>
          <w:szCs w:val="20"/>
          <w:color w:val="auto"/>
        </w:rPr>
      </w:pPr>
    </w:p>
    <w:p>
      <w:pPr>
        <w:jc w:val="right"/>
        <w:ind w:right="2100"/>
        <w:spacing w:after="0"/>
        <w:rPr>
          <w:sz w:val="20"/>
          <w:szCs w:val="20"/>
          <w:color w:val="auto"/>
        </w:rPr>
      </w:pPr>
      <w:r>
        <w:rPr>
          <w:rFonts w:ascii="Arial" w:cs="Arial" w:eastAsia="Arial" w:hAnsi="Arial"/>
          <w:sz w:val="12"/>
          <w:szCs w:val="12"/>
          <w:color w:val="auto"/>
        </w:rPr>
        <w:t>128,112</w:t>
      </w:r>
    </w:p>
    <w:p>
      <w:pPr>
        <w:spacing w:after="0" w:line="200" w:lineRule="exact"/>
        <w:rPr>
          <w:sz w:val="20"/>
          <w:szCs w:val="20"/>
          <w:color w:val="auto"/>
        </w:rPr>
      </w:pPr>
    </w:p>
    <w:p>
      <w:pPr>
        <w:spacing w:after="0" w:line="202" w:lineRule="exact"/>
        <w:rPr>
          <w:sz w:val="20"/>
          <w:szCs w:val="20"/>
          <w:color w:val="auto"/>
        </w:rPr>
      </w:pPr>
    </w:p>
    <w:p>
      <w:pPr>
        <w:ind w:left="1600"/>
        <w:spacing w:after="0"/>
        <w:tabs>
          <w:tab w:leader="none" w:pos="2040" w:val="left"/>
        </w:tabs>
        <w:rPr>
          <w:sz w:val="20"/>
          <w:szCs w:val="20"/>
          <w:color w:val="auto"/>
        </w:rPr>
      </w:pPr>
      <w:r>
        <w:rPr>
          <w:rFonts w:ascii="Arial" w:cs="Arial" w:eastAsia="Arial" w:hAnsi="Arial"/>
          <w:sz w:val="13"/>
          <w:szCs w:val="13"/>
          <w:color w:val="auto"/>
        </w:rPr>
        <w:t>3,303</w:t>
      </w:r>
      <w:r>
        <w:rPr>
          <w:sz w:val="20"/>
          <w:szCs w:val="20"/>
          <w:color w:val="auto"/>
        </w:rPr>
        <w:tab/>
      </w:r>
      <w:r>
        <w:rPr>
          <w:rFonts w:ascii="Arial" w:cs="Arial" w:eastAsia="Arial" w:hAnsi="Arial"/>
          <w:sz w:val="8"/>
          <w:szCs w:val="8"/>
          <w:color w:val="auto"/>
        </w:rPr>
        <w:t>(9)</w:t>
      </w:r>
    </w:p>
    <w:p>
      <w:pPr>
        <w:spacing w:after="0" w:line="121" w:lineRule="exact"/>
        <w:rPr>
          <w:sz w:val="20"/>
          <w:szCs w:val="20"/>
          <w:color w:val="auto"/>
        </w:rPr>
      </w:pPr>
    </w:p>
    <w:p>
      <w:pPr>
        <w:ind w:left="1600"/>
        <w:spacing w:after="0"/>
        <w:tabs>
          <w:tab w:leader="none" w:pos="2040" w:val="left"/>
        </w:tabs>
        <w:rPr>
          <w:sz w:val="20"/>
          <w:szCs w:val="20"/>
          <w:color w:val="auto"/>
        </w:rPr>
      </w:pPr>
      <w:r>
        <w:rPr>
          <w:rFonts w:ascii="Arial" w:cs="Arial" w:eastAsia="Arial" w:hAnsi="Arial"/>
          <w:sz w:val="13"/>
          <w:szCs w:val="13"/>
          <w:color w:val="auto"/>
        </w:rPr>
        <w:t>6,873</w:t>
      </w:r>
      <w:r>
        <w:rPr>
          <w:sz w:val="20"/>
          <w:szCs w:val="20"/>
          <w:color w:val="auto"/>
        </w:rPr>
        <w:tab/>
      </w:r>
      <w:r>
        <w:rPr>
          <w:rFonts w:ascii="Arial" w:cs="Arial" w:eastAsia="Arial" w:hAnsi="Arial"/>
          <w:sz w:val="8"/>
          <w:szCs w:val="8"/>
          <w:color w:val="auto"/>
        </w:rPr>
        <w:t>(10)</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213,477</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110,053</w:t>
      </w:r>
    </w:p>
    <w:p>
      <w:pPr>
        <w:spacing w:after="0" w:line="121" w:lineRule="exact"/>
        <w:rPr>
          <w:sz w:val="20"/>
          <w:szCs w:val="20"/>
          <w:color w:val="auto"/>
        </w:rPr>
      </w:pPr>
    </w:p>
    <w:p>
      <w:pPr>
        <w:ind w:left="320"/>
        <w:spacing w:after="0"/>
        <w:tabs>
          <w:tab w:leader="none" w:pos="17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600"/>
        <w:spacing w:after="0"/>
        <w:tabs>
          <w:tab w:leader="none" w:pos="2040" w:val="left"/>
        </w:tabs>
        <w:rPr>
          <w:sz w:val="20"/>
          <w:szCs w:val="20"/>
          <w:color w:val="auto"/>
        </w:rPr>
      </w:pPr>
      <w:r>
        <w:rPr>
          <w:rFonts w:ascii="Arial" w:cs="Arial" w:eastAsia="Arial" w:hAnsi="Arial"/>
          <w:sz w:val="13"/>
          <w:szCs w:val="13"/>
          <w:color w:val="auto"/>
        </w:rPr>
        <w:t>9,290</w:t>
      </w:r>
      <w:r>
        <w:rPr>
          <w:sz w:val="20"/>
          <w:szCs w:val="20"/>
          <w:color w:val="auto"/>
        </w:rPr>
        <w:tab/>
      </w:r>
      <w:r>
        <w:rPr>
          <w:rFonts w:ascii="Arial" w:cs="Arial" w:eastAsia="Arial" w:hAnsi="Arial"/>
          <w:sz w:val="8"/>
          <w:szCs w:val="8"/>
          <w:color w:val="auto"/>
        </w:rPr>
        <w:t>(8)</w:t>
      </w:r>
    </w:p>
    <w:p>
      <w:pPr>
        <w:spacing w:after="0" w:line="121" w:lineRule="exact"/>
        <w:rPr>
          <w:sz w:val="20"/>
          <w:szCs w:val="20"/>
          <w:color w:val="auto"/>
        </w:rPr>
      </w:pPr>
    </w:p>
    <w:p>
      <w:pPr>
        <w:ind w:left="1600"/>
        <w:spacing w:after="0"/>
        <w:tabs>
          <w:tab w:leader="none" w:pos="2040" w:val="left"/>
        </w:tabs>
        <w:rPr>
          <w:sz w:val="20"/>
          <w:szCs w:val="20"/>
          <w:color w:val="auto"/>
        </w:rPr>
      </w:pPr>
      <w:r>
        <w:rPr>
          <w:rFonts w:ascii="Arial" w:cs="Arial" w:eastAsia="Arial" w:hAnsi="Arial"/>
          <w:sz w:val="13"/>
          <w:szCs w:val="13"/>
          <w:color w:val="auto"/>
        </w:rPr>
        <w:t>5,486</w:t>
      </w:r>
      <w:r>
        <w:rPr>
          <w:sz w:val="20"/>
          <w:szCs w:val="20"/>
          <w:color w:val="auto"/>
        </w:rPr>
        <w:tab/>
      </w:r>
      <w:r>
        <w:rPr>
          <w:rFonts w:ascii="Arial" w:cs="Arial" w:eastAsia="Arial" w:hAnsi="Arial"/>
          <w:sz w:val="8"/>
          <w:szCs w:val="8"/>
          <w:color w:val="auto"/>
        </w:rPr>
        <w:t>(9)</w:t>
      </w:r>
    </w:p>
    <w:p>
      <w:pPr>
        <w:spacing w:after="0" w:line="121" w:lineRule="exact"/>
        <w:rPr>
          <w:sz w:val="20"/>
          <w:szCs w:val="20"/>
          <w:color w:val="auto"/>
        </w:rPr>
      </w:pPr>
    </w:p>
    <w:p>
      <w:pPr>
        <w:jc w:val="right"/>
        <w:ind w:right="340"/>
        <w:spacing w:after="0"/>
        <w:tabs>
          <w:tab w:leader="none" w:pos="480" w:val="left"/>
        </w:tabs>
        <w:rPr>
          <w:sz w:val="20"/>
          <w:szCs w:val="20"/>
          <w:color w:val="auto"/>
        </w:rPr>
      </w:pPr>
      <w:r>
        <w:rPr>
          <w:rFonts w:ascii="Arial" w:cs="Arial" w:eastAsia="Arial" w:hAnsi="Arial"/>
          <w:sz w:val="13"/>
          <w:szCs w:val="13"/>
          <w:color w:val="auto"/>
        </w:rPr>
        <w:t>8,283</w:t>
      </w:r>
      <w:r>
        <w:rPr>
          <w:sz w:val="20"/>
          <w:szCs w:val="20"/>
          <w:color w:val="auto"/>
        </w:rPr>
        <w:tab/>
      </w:r>
      <w:r>
        <w:rPr>
          <w:rFonts w:ascii="Arial" w:cs="Arial" w:eastAsia="Arial" w:hAnsi="Arial"/>
          <w:sz w:val="8"/>
          <w:szCs w:val="8"/>
          <w:color w:val="auto"/>
        </w:rPr>
        <w:t>(10)</w:t>
      </w:r>
    </w:p>
    <w:p>
      <w:pPr>
        <w:spacing w:after="0" w:line="121" w:lineRule="exact"/>
        <w:rPr>
          <w:sz w:val="20"/>
          <w:szCs w:val="20"/>
          <w:color w:val="auto"/>
        </w:rPr>
      </w:pPr>
    </w:p>
    <w:p>
      <w:pPr>
        <w:jc w:val="right"/>
        <w:ind w:right="2100"/>
        <w:spacing w:after="0"/>
        <w:rPr>
          <w:sz w:val="20"/>
          <w:szCs w:val="20"/>
          <w:color w:val="auto"/>
        </w:rPr>
      </w:pPr>
      <w:r>
        <w:rPr>
          <w:rFonts w:ascii="Arial" w:cs="Arial" w:eastAsia="Arial" w:hAnsi="Arial"/>
          <w:sz w:val="13"/>
          <w:szCs w:val="13"/>
          <w:color w:val="auto"/>
        </w:rPr>
        <w:t>74,735</w:t>
      </w:r>
    </w:p>
    <w:p>
      <w:pPr>
        <w:spacing w:after="0" w:line="121" w:lineRule="exact"/>
        <w:rPr>
          <w:sz w:val="20"/>
          <w:szCs w:val="20"/>
          <w:color w:val="auto"/>
        </w:rPr>
      </w:pPr>
    </w:p>
    <w:p>
      <w:pPr>
        <w:jc w:val="right"/>
        <w:ind w:right="2100"/>
        <w:spacing w:after="0"/>
        <w:rPr>
          <w:sz w:val="20"/>
          <w:szCs w:val="20"/>
          <w:color w:val="auto"/>
        </w:rPr>
      </w:pPr>
      <w:r>
        <w:rPr>
          <w:rFonts w:ascii="Arial" w:cs="Arial" w:eastAsia="Arial" w:hAnsi="Arial"/>
          <w:sz w:val="13"/>
          <w:szCs w:val="13"/>
          <w:color w:val="auto"/>
        </w:rPr>
        <w:t>58,565</w:t>
      </w:r>
    </w:p>
    <w:p>
      <w:pPr>
        <w:spacing w:after="0" w:line="121" w:lineRule="exact"/>
        <w:rPr>
          <w:sz w:val="20"/>
          <w:szCs w:val="20"/>
          <w:color w:val="auto"/>
        </w:rPr>
      </w:pPr>
    </w:p>
    <w:p>
      <w:pPr>
        <w:jc w:val="right"/>
        <w:ind w:right="2100"/>
        <w:spacing w:after="0"/>
        <w:rPr>
          <w:sz w:val="20"/>
          <w:szCs w:val="20"/>
          <w:color w:val="auto"/>
        </w:rPr>
      </w:pPr>
      <w:r>
        <w:rPr>
          <w:rFonts w:ascii="Arial" w:cs="Arial" w:eastAsia="Arial" w:hAnsi="Arial"/>
          <w:sz w:val="12"/>
          <w:szCs w:val="12"/>
          <w:color w:val="auto"/>
        </w:rPr>
        <w:t>132,595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color w:val="auto"/>
        </w:rPr>
        <w:t>727,142</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597,205</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959,575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195,642</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178,479</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256,256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105,762</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220,073</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2"/>
          <w:szCs w:val="12"/>
          <w:color w:val="auto"/>
        </w:rPr>
        <w:t>297,466</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175,662</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265,222</w:t>
      </w:r>
    </w:p>
    <w:p>
      <w:pPr>
        <w:spacing w:after="0" w:line="1024" w:lineRule="exact"/>
        <w:rPr>
          <w:sz w:val="20"/>
          <w:szCs w:val="20"/>
          <w:color w:val="auto"/>
        </w:rPr>
      </w:pPr>
    </w:p>
    <w:p>
      <w:pPr>
        <w:sectPr>
          <w:pgSz w:w="11900" w:h="16838" w:orient="portrait"/>
          <w:cols w:equalWidth="0" w:num="3">
            <w:col w:w="6860" w:space="720"/>
            <w:col w:w="2560" w:space="720"/>
            <w:col w:w="560"/>
          </w:cols>
          <w:pgMar w:left="240" w:top="303" w:right="239" w:bottom="1440" w:gutter="0" w:footer="0" w:header="0"/>
          <w:type w:val="continuous"/>
        </w:sectPr>
      </w:pPr>
    </w:p>
    <w:p>
      <w:pPr>
        <w:spacing w:after="0" w:line="23" w:lineRule="exact"/>
        <w:rPr>
          <w:sz w:val="20"/>
          <w:szCs w:val="20"/>
          <w:color w:val="auto"/>
        </w:rPr>
      </w:pPr>
    </w:p>
    <w:p>
      <w:pPr>
        <w:ind w:left="340" w:hanging="332"/>
        <w:spacing w:after="0" w:line="24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award granted on October 11, 2016 as an annual stock grant under the 2014 Plan, which vests with respect to 33% of the shares covered by the award on each of the first three anniversaries of the grant date.</w:t>
      </w:r>
    </w:p>
    <w:p>
      <w:pPr>
        <w:ind w:left="340" w:hanging="332"/>
        <w:spacing w:after="0" w:line="24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stock option granted on January 18, 2016 as a new hire grant under the 2014 Plan, which vested with respect to 33% of the shares covered by the option on each of the first three anniversaries of the grant date.</w:t>
      </w:r>
    </w:p>
    <w:p>
      <w:pPr>
        <w:ind w:left="340" w:hanging="332"/>
        <w:spacing w:after="0" w:line="24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award granted on December 13, 2016 as a grant for the purchase of Grand Design RV, LLC under the 2014 Plan, which will vest with respect to 33% of the shares covered by the option on each of the first three anniversaries of the grant date.</w:t>
      </w:r>
    </w:p>
    <w:p>
      <w:pPr>
        <w:ind w:left="340" w:hanging="332"/>
        <w:spacing w:after="0" w:line="24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award granted on October 18, 2017 as an annual stock grant under the 2014 Plan, which will vest with respect to 33% of the shares covered by the option on each of the first three anniversaries of the grant date.</w:t>
      </w:r>
    </w:p>
    <w:p>
      <w:pPr>
        <w:ind w:left="340" w:hanging="332"/>
        <w:spacing w:after="0" w:line="24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award granted on October 15, 2018 as an annual stock grant under the 2014 Plan, which will vest with respect to 33% of the shares covered by the option on each of the first three anniversaries of the grant date.</w:t>
      </w:r>
    </w:p>
    <w:p>
      <w:pPr>
        <w:ind w:left="340" w:hanging="332"/>
        <w:spacing w:after="0" w:line="258"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award granted on May 15, 2017 as a new hire grant under the 2014 Plan, which vests with respect to 33% of the shares on the first three anniversaries of the grant date.</w:t>
      </w:r>
    </w:p>
    <w:p>
      <w:pPr>
        <w:sectPr>
          <w:pgSz w:w="11900" w:h="16838" w:orient="portrait"/>
          <w:cols w:equalWidth="0" w:num="1">
            <w:col w:w="11420"/>
          </w:cols>
          <w:pgMar w:left="240" w:top="303"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03" w:right="239" w:bottom="1440" w:gutter="0" w:footer="0" w:header="0"/>
          <w:type w:val="continuous"/>
        </w:sectPr>
      </w:pPr>
    </w:p>
    <w:bookmarkStart w:id="35" w:name="page36"/>
    <w:bookmarkEnd w:id="35"/>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20" w:hanging="332"/>
        <w:spacing w:after="0" w:line="24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stock granted on January 2, 2018 as a new hire grant under the 2014 Plan, which will vest with respect to 33% of the shares on the first anniversary of the date of grant.</w:t>
      </w:r>
    </w:p>
    <w:p>
      <w:pPr>
        <w:ind w:left="340" w:hanging="332"/>
        <w:spacing w:after="0" w:line="24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FY17-19 LTIP at target, under the 2014 Plan for the three-year performance period beginning August 28, 2016 ending August 31 2019. Settled shares subject to one year holding period.</w:t>
      </w:r>
    </w:p>
    <w:p>
      <w:pPr>
        <w:ind w:left="340" w:hanging="332"/>
        <w:spacing w:after="0" w:line="24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FY18-20 LTIP at target, under the 2014 Plan for the three-year performance period beginning August 27, 2017 ending August 30 2020. Settled shares subject to one year holding period.</w:t>
      </w:r>
    </w:p>
    <w:p>
      <w:pPr>
        <w:ind w:left="340" w:hanging="332"/>
        <w:spacing w:after="0" w:line="24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FY19-21 LTIP at target, under the 2014 Plan for the three-year performance period beginning August 26, 2018 ending August 28 2021. Settled shares subject to one year holding period.</w:t>
      </w: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the value of unvested stock as of August 31, 2019 based on a closing stock price of $32.02</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the value of unearned LTIP awards at target as of August 31, 2019 based on a stock price of $32.02.</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828282"/>
        </w:rPr>
        <w:t>Option Exercises and Stock Vested Table</w:t>
      </w:r>
    </w:p>
    <w:p>
      <w:pPr>
        <w:spacing w:after="0" w:line="10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provides the amounts received before payroll withholding taxes upon the exercise of options or similar instruments or the vesting of stock or similar instruments during Fiscal 2019.</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60" w:type="dxa"/>
            <w:vAlign w:val="bottom"/>
            <w:shd w:val="clear" w:color="auto" w:fill="BF2115"/>
          </w:tcPr>
          <w:p>
            <w:pPr>
              <w:spacing w:after="0"/>
              <w:rPr>
                <w:sz w:val="20"/>
                <w:szCs w:val="20"/>
                <w:color w:val="auto"/>
              </w:rPr>
            </w:pPr>
          </w:p>
        </w:tc>
        <w:tc>
          <w:tcPr>
            <w:tcW w:w="3160" w:type="dxa"/>
            <w:vAlign w:val="bottom"/>
            <w:gridSpan w:val="3"/>
            <w:shd w:val="clear" w:color="auto" w:fill="BF2115"/>
          </w:tcPr>
          <w:p>
            <w:pPr>
              <w:ind w:left="1160"/>
              <w:spacing w:after="0"/>
              <w:rPr>
                <w:sz w:val="20"/>
                <w:szCs w:val="20"/>
                <w:color w:val="auto"/>
              </w:rPr>
            </w:pPr>
            <w:r>
              <w:rPr>
                <w:rFonts w:ascii="Arial" w:cs="Arial" w:eastAsia="Arial" w:hAnsi="Arial"/>
                <w:sz w:val="16"/>
                <w:szCs w:val="16"/>
                <w:b w:val="1"/>
                <w:bCs w:val="1"/>
                <w:color w:val="FFFFFF"/>
              </w:rPr>
              <w:t>Option Awards</w:t>
            </w:r>
          </w:p>
        </w:tc>
        <w:tc>
          <w:tcPr>
            <w:tcW w:w="400" w:type="dxa"/>
            <w:vAlign w:val="bottom"/>
            <w:shd w:val="clear" w:color="auto" w:fill="BF2115"/>
          </w:tcPr>
          <w:p>
            <w:pPr>
              <w:spacing w:after="0"/>
              <w:rPr>
                <w:sz w:val="20"/>
                <w:szCs w:val="20"/>
                <w:color w:val="auto"/>
              </w:rPr>
            </w:pPr>
          </w:p>
        </w:tc>
        <w:tc>
          <w:tcPr>
            <w:tcW w:w="3400" w:type="dxa"/>
            <w:vAlign w:val="bottom"/>
            <w:gridSpan w:val="2"/>
            <w:shd w:val="clear" w:color="auto" w:fill="BF2115"/>
          </w:tcPr>
          <w:p>
            <w:pPr>
              <w:jc w:val="right"/>
              <w:ind w:right="1079"/>
              <w:spacing w:after="0"/>
              <w:rPr>
                <w:sz w:val="20"/>
                <w:szCs w:val="20"/>
                <w:color w:val="auto"/>
              </w:rPr>
            </w:pPr>
            <w:r>
              <w:rPr>
                <w:rFonts w:ascii="Arial" w:cs="Arial" w:eastAsia="Arial" w:hAnsi="Arial"/>
                <w:sz w:val="16"/>
                <w:szCs w:val="16"/>
                <w:b w:val="1"/>
                <w:bCs w:val="1"/>
                <w:color w:val="FFFFFF"/>
              </w:rPr>
              <w:t>Stock Awards</w:t>
            </w:r>
          </w:p>
        </w:tc>
      </w:tr>
      <w:tr>
        <w:trPr>
          <w:trHeight w:val="220"/>
        </w:trPr>
        <w:tc>
          <w:tcPr>
            <w:tcW w:w="4460" w:type="dxa"/>
            <w:vAlign w:val="bottom"/>
            <w:shd w:val="clear" w:color="auto" w:fill="BF2115"/>
          </w:tcPr>
          <w:p>
            <w:pPr>
              <w:spacing w:after="0"/>
              <w:rPr>
                <w:sz w:val="19"/>
                <w:szCs w:val="19"/>
                <w:color w:val="auto"/>
              </w:rPr>
            </w:pPr>
          </w:p>
        </w:tc>
        <w:tc>
          <w:tcPr>
            <w:tcW w:w="1380" w:type="dxa"/>
            <w:vAlign w:val="bottom"/>
            <w:shd w:val="clear" w:color="auto" w:fill="BF2115"/>
          </w:tcPr>
          <w:p>
            <w:pPr>
              <w:jc w:val="center"/>
              <w:ind w:left="279"/>
              <w:spacing w:after="0"/>
              <w:rPr>
                <w:sz w:val="20"/>
                <w:szCs w:val="20"/>
                <w:color w:val="auto"/>
              </w:rPr>
            </w:pPr>
            <w:r>
              <w:rPr>
                <w:rFonts w:ascii="Arial" w:cs="Arial" w:eastAsia="Arial" w:hAnsi="Arial"/>
                <w:sz w:val="16"/>
                <w:szCs w:val="16"/>
                <w:b w:val="1"/>
                <w:bCs w:val="1"/>
                <w:color w:val="FFFFFF"/>
              </w:rPr>
              <w:t>Number of</w:t>
            </w:r>
          </w:p>
        </w:tc>
        <w:tc>
          <w:tcPr>
            <w:tcW w:w="440" w:type="dxa"/>
            <w:vAlign w:val="bottom"/>
            <w:shd w:val="clear" w:color="auto" w:fill="BF2115"/>
          </w:tcPr>
          <w:p>
            <w:pPr>
              <w:spacing w:after="0"/>
              <w:rPr>
                <w:sz w:val="19"/>
                <w:szCs w:val="19"/>
                <w:color w:val="auto"/>
              </w:rPr>
            </w:pPr>
          </w:p>
        </w:tc>
        <w:tc>
          <w:tcPr>
            <w:tcW w:w="1340" w:type="dxa"/>
            <w:vAlign w:val="bottom"/>
            <w:shd w:val="clear" w:color="auto" w:fill="BF2115"/>
          </w:tcPr>
          <w:p>
            <w:pPr>
              <w:spacing w:after="0"/>
              <w:rPr>
                <w:sz w:val="19"/>
                <w:szCs w:val="19"/>
                <w:color w:val="auto"/>
              </w:rPr>
            </w:pPr>
          </w:p>
        </w:tc>
        <w:tc>
          <w:tcPr>
            <w:tcW w:w="400" w:type="dxa"/>
            <w:vAlign w:val="bottom"/>
            <w:shd w:val="clear" w:color="auto" w:fill="BF2115"/>
          </w:tcPr>
          <w:p>
            <w:pPr>
              <w:spacing w:after="0"/>
              <w:rPr>
                <w:sz w:val="19"/>
                <w:szCs w:val="19"/>
                <w:color w:val="auto"/>
              </w:rPr>
            </w:pPr>
          </w:p>
        </w:tc>
        <w:tc>
          <w:tcPr>
            <w:tcW w:w="17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Number of</w:t>
            </w:r>
          </w:p>
        </w:tc>
        <w:tc>
          <w:tcPr>
            <w:tcW w:w="1620" w:type="dxa"/>
            <w:vAlign w:val="bottom"/>
            <w:shd w:val="clear" w:color="auto" w:fill="BF2115"/>
          </w:tcPr>
          <w:p>
            <w:pPr>
              <w:spacing w:after="0"/>
              <w:rPr>
                <w:sz w:val="19"/>
                <w:szCs w:val="19"/>
                <w:color w:val="auto"/>
              </w:rPr>
            </w:pPr>
          </w:p>
        </w:tc>
      </w:tr>
      <w:tr>
        <w:trPr>
          <w:trHeight w:val="189"/>
        </w:trPr>
        <w:tc>
          <w:tcPr>
            <w:tcW w:w="4460" w:type="dxa"/>
            <w:vAlign w:val="bottom"/>
            <w:shd w:val="clear" w:color="auto" w:fill="BF2115"/>
          </w:tcPr>
          <w:p>
            <w:pPr>
              <w:spacing w:after="0"/>
              <w:rPr>
                <w:sz w:val="16"/>
                <w:szCs w:val="16"/>
                <w:color w:val="auto"/>
              </w:rPr>
            </w:pPr>
          </w:p>
        </w:tc>
        <w:tc>
          <w:tcPr>
            <w:tcW w:w="1820" w:type="dxa"/>
            <w:vAlign w:val="bottom"/>
            <w:gridSpan w:val="2"/>
            <w:shd w:val="clear" w:color="auto" w:fill="BF2115"/>
          </w:tcPr>
          <w:p>
            <w:pPr>
              <w:jc w:val="center"/>
              <w:spacing w:after="0"/>
              <w:rPr>
                <w:sz w:val="20"/>
                <w:szCs w:val="20"/>
                <w:color w:val="auto"/>
              </w:rPr>
            </w:pPr>
            <w:r>
              <w:rPr>
                <w:rFonts w:ascii="Arial" w:cs="Arial" w:eastAsia="Arial" w:hAnsi="Arial"/>
                <w:sz w:val="16"/>
                <w:szCs w:val="16"/>
                <w:b w:val="1"/>
                <w:bCs w:val="1"/>
                <w:color w:val="FFFFFF"/>
              </w:rPr>
              <w:t>Shares Acquired</w:t>
            </w:r>
          </w:p>
        </w:tc>
        <w:tc>
          <w:tcPr>
            <w:tcW w:w="1340" w:type="dxa"/>
            <w:vAlign w:val="bottom"/>
            <w:shd w:val="clear" w:color="auto" w:fill="BF2115"/>
          </w:tcPr>
          <w:p>
            <w:pPr>
              <w:jc w:val="center"/>
              <w:ind w:left="119"/>
              <w:spacing w:after="0"/>
              <w:rPr>
                <w:sz w:val="20"/>
                <w:szCs w:val="20"/>
                <w:color w:val="auto"/>
              </w:rPr>
            </w:pPr>
            <w:r>
              <w:rPr>
                <w:rFonts w:ascii="Arial" w:cs="Arial" w:eastAsia="Arial" w:hAnsi="Arial"/>
                <w:sz w:val="16"/>
                <w:szCs w:val="16"/>
                <w:b w:val="1"/>
                <w:bCs w:val="1"/>
                <w:color w:val="FFFFFF"/>
              </w:rPr>
              <w:t>Value Realized</w:t>
            </w:r>
          </w:p>
        </w:tc>
        <w:tc>
          <w:tcPr>
            <w:tcW w:w="400" w:type="dxa"/>
            <w:vAlign w:val="bottom"/>
            <w:shd w:val="clear" w:color="auto" w:fill="BF2115"/>
          </w:tcPr>
          <w:p>
            <w:pPr>
              <w:spacing w:after="0"/>
              <w:rPr>
                <w:sz w:val="16"/>
                <w:szCs w:val="16"/>
                <w:color w:val="auto"/>
              </w:rPr>
            </w:pPr>
          </w:p>
        </w:tc>
        <w:tc>
          <w:tcPr>
            <w:tcW w:w="17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Shares Acquired</w:t>
            </w:r>
          </w:p>
        </w:tc>
        <w:tc>
          <w:tcPr>
            <w:tcW w:w="16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Value Realized</w:t>
            </w:r>
          </w:p>
        </w:tc>
      </w:tr>
      <w:tr>
        <w:trPr>
          <w:trHeight w:val="189"/>
        </w:trPr>
        <w:tc>
          <w:tcPr>
            <w:tcW w:w="4460" w:type="dxa"/>
            <w:vAlign w:val="bottom"/>
            <w:shd w:val="clear" w:color="auto" w:fill="BF2115"/>
          </w:tcPr>
          <w:p>
            <w:pPr>
              <w:spacing w:after="0"/>
              <w:rPr>
                <w:sz w:val="16"/>
                <w:szCs w:val="16"/>
                <w:color w:val="auto"/>
              </w:rPr>
            </w:pPr>
          </w:p>
        </w:tc>
        <w:tc>
          <w:tcPr>
            <w:tcW w:w="1380" w:type="dxa"/>
            <w:vAlign w:val="bottom"/>
            <w:shd w:val="clear" w:color="auto" w:fill="BF2115"/>
          </w:tcPr>
          <w:p>
            <w:pPr>
              <w:jc w:val="center"/>
              <w:ind w:left="279"/>
              <w:spacing w:after="0"/>
              <w:rPr>
                <w:sz w:val="20"/>
                <w:szCs w:val="20"/>
                <w:color w:val="auto"/>
              </w:rPr>
            </w:pPr>
            <w:r>
              <w:rPr>
                <w:rFonts w:ascii="Arial" w:cs="Arial" w:eastAsia="Arial" w:hAnsi="Arial"/>
                <w:sz w:val="16"/>
                <w:szCs w:val="16"/>
                <w:b w:val="1"/>
                <w:bCs w:val="1"/>
                <w:color w:val="FFFFFF"/>
              </w:rPr>
              <w:t>on Exercise</w:t>
            </w:r>
          </w:p>
        </w:tc>
        <w:tc>
          <w:tcPr>
            <w:tcW w:w="440" w:type="dxa"/>
            <w:vAlign w:val="bottom"/>
            <w:shd w:val="clear" w:color="auto" w:fill="BF2115"/>
          </w:tcPr>
          <w:p>
            <w:pPr>
              <w:spacing w:after="0"/>
              <w:rPr>
                <w:sz w:val="16"/>
                <w:szCs w:val="16"/>
                <w:color w:val="auto"/>
              </w:rPr>
            </w:pPr>
          </w:p>
        </w:tc>
        <w:tc>
          <w:tcPr>
            <w:tcW w:w="1340" w:type="dxa"/>
            <w:vAlign w:val="bottom"/>
            <w:shd w:val="clear" w:color="auto" w:fill="BF2115"/>
          </w:tcPr>
          <w:p>
            <w:pPr>
              <w:jc w:val="center"/>
              <w:ind w:left="119"/>
              <w:spacing w:after="0"/>
              <w:rPr>
                <w:sz w:val="20"/>
                <w:szCs w:val="20"/>
                <w:color w:val="auto"/>
              </w:rPr>
            </w:pPr>
            <w:r>
              <w:rPr>
                <w:rFonts w:ascii="Arial" w:cs="Arial" w:eastAsia="Arial" w:hAnsi="Arial"/>
                <w:sz w:val="16"/>
                <w:szCs w:val="16"/>
                <w:b w:val="1"/>
                <w:bCs w:val="1"/>
                <w:color w:val="FFFFFF"/>
              </w:rPr>
              <w:t>on Exercise</w:t>
            </w:r>
          </w:p>
        </w:tc>
        <w:tc>
          <w:tcPr>
            <w:tcW w:w="400" w:type="dxa"/>
            <w:vAlign w:val="bottom"/>
            <w:shd w:val="clear" w:color="auto" w:fill="BF2115"/>
          </w:tcPr>
          <w:p>
            <w:pPr>
              <w:spacing w:after="0"/>
              <w:rPr>
                <w:sz w:val="16"/>
                <w:szCs w:val="16"/>
                <w:color w:val="auto"/>
              </w:rPr>
            </w:pPr>
          </w:p>
        </w:tc>
        <w:tc>
          <w:tcPr>
            <w:tcW w:w="17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on Vesting</w:t>
            </w:r>
          </w:p>
        </w:tc>
        <w:tc>
          <w:tcPr>
            <w:tcW w:w="16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on Vesting</w:t>
            </w:r>
          </w:p>
        </w:tc>
      </w:tr>
      <w:tr>
        <w:trPr>
          <w:trHeight w:val="234"/>
        </w:trPr>
        <w:tc>
          <w:tcPr>
            <w:tcW w:w="4460" w:type="dxa"/>
            <w:vAlign w:val="bottom"/>
            <w:shd w:val="clear" w:color="auto" w:fill="BF2115"/>
          </w:tcPr>
          <w:p>
            <w:pPr>
              <w:ind w:left="40"/>
              <w:spacing w:after="0"/>
              <w:rPr>
                <w:sz w:val="20"/>
                <w:szCs w:val="20"/>
                <w:color w:val="auto"/>
              </w:rPr>
            </w:pPr>
            <w:r>
              <w:rPr>
                <w:rFonts w:ascii="Arial" w:cs="Arial" w:eastAsia="Arial" w:hAnsi="Arial"/>
                <w:sz w:val="16"/>
                <w:szCs w:val="16"/>
                <w:b w:val="1"/>
                <w:bCs w:val="1"/>
                <w:color w:val="FFFFFF"/>
              </w:rPr>
              <w:t>Name</w:t>
            </w:r>
          </w:p>
        </w:tc>
        <w:tc>
          <w:tcPr>
            <w:tcW w:w="1380" w:type="dxa"/>
            <w:vAlign w:val="bottom"/>
            <w:shd w:val="clear" w:color="auto" w:fill="BF2115"/>
          </w:tcPr>
          <w:p>
            <w:pPr>
              <w:jc w:val="center"/>
              <w:ind w:left="279"/>
              <w:spacing w:after="0"/>
              <w:rPr>
                <w:sz w:val="20"/>
                <w:szCs w:val="20"/>
                <w:color w:val="auto"/>
              </w:rPr>
            </w:pPr>
            <w:r>
              <w:rPr>
                <w:rFonts w:ascii="Arial" w:cs="Arial" w:eastAsia="Arial" w:hAnsi="Arial"/>
                <w:sz w:val="16"/>
                <w:szCs w:val="16"/>
                <w:b w:val="1"/>
                <w:bCs w:val="1"/>
                <w:color w:val="FFFFFF"/>
                <w:w w:val="91"/>
              </w:rPr>
              <w:t>(#)</w:t>
            </w:r>
          </w:p>
        </w:tc>
        <w:tc>
          <w:tcPr>
            <w:tcW w:w="440" w:type="dxa"/>
            <w:vAlign w:val="bottom"/>
            <w:shd w:val="clear" w:color="auto" w:fill="BF2115"/>
          </w:tcPr>
          <w:p>
            <w:pPr>
              <w:spacing w:after="0"/>
              <w:rPr>
                <w:sz w:val="20"/>
                <w:szCs w:val="20"/>
                <w:color w:val="auto"/>
              </w:rPr>
            </w:pPr>
          </w:p>
        </w:tc>
        <w:tc>
          <w:tcPr>
            <w:tcW w:w="1340" w:type="dxa"/>
            <w:vAlign w:val="bottom"/>
            <w:shd w:val="clear" w:color="auto" w:fill="BF2115"/>
          </w:tcPr>
          <w:p>
            <w:pPr>
              <w:jc w:val="center"/>
              <w:ind w:left="139"/>
              <w:spacing w:after="0"/>
              <w:rPr>
                <w:sz w:val="20"/>
                <w:szCs w:val="20"/>
                <w:color w:val="auto"/>
              </w:rPr>
            </w:pPr>
            <w:r>
              <w:rPr>
                <w:rFonts w:ascii="Arial" w:cs="Arial" w:eastAsia="Arial" w:hAnsi="Arial"/>
                <w:sz w:val="16"/>
                <w:szCs w:val="16"/>
                <w:b w:val="1"/>
                <w:bCs w:val="1"/>
                <w:color w:val="FFFFFF"/>
              </w:rPr>
              <w:t>($)</w:t>
            </w:r>
          </w:p>
        </w:tc>
        <w:tc>
          <w:tcPr>
            <w:tcW w:w="400" w:type="dxa"/>
            <w:vAlign w:val="bottom"/>
            <w:shd w:val="clear" w:color="auto" w:fill="BF2115"/>
          </w:tcPr>
          <w:p>
            <w:pPr>
              <w:spacing w:after="0"/>
              <w:rPr>
                <w:sz w:val="20"/>
                <w:szCs w:val="20"/>
                <w:color w:val="auto"/>
              </w:rPr>
            </w:pPr>
          </w:p>
        </w:tc>
        <w:tc>
          <w:tcPr>
            <w:tcW w:w="1780" w:type="dxa"/>
            <w:vAlign w:val="bottom"/>
            <w:shd w:val="clear" w:color="auto" w:fill="BF2115"/>
          </w:tcPr>
          <w:p>
            <w:pPr>
              <w:jc w:val="center"/>
              <w:ind w:right="19"/>
              <w:spacing w:after="0"/>
              <w:rPr>
                <w:sz w:val="20"/>
                <w:szCs w:val="20"/>
                <w:color w:val="auto"/>
              </w:rPr>
            </w:pPr>
            <w:r>
              <w:rPr>
                <w:rFonts w:ascii="Arial" w:cs="Arial" w:eastAsia="Arial" w:hAnsi="Arial"/>
                <w:sz w:val="16"/>
                <w:szCs w:val="16"/>
                <w:b w:val="1"/>
                <w:bCs w:val="1"/>
                <w:color w:val="FFFFFF"/>
              </w:rPr>
              <w:t>(#)</w:t>
            </w:r>
          </w:p>
        </w:tc>
        <w:tc>
          <w:tcPr>
            <w:tcW w:w="1620" w:type="dxa"/>
            <w:vAlign w:val="bottom"/>
            <w:shd w:val="clear" w:color="auto" w:fill="BF2115"/>
          </w:tcPr>
          <w:p>
            <w:pPr>
              <w:jc w:val="center"/>
              <w:spacing w:after="0" w:line="234" w:lineRule="exact"/>
              <w:rPr>
                <w:sz w:val="20"/>
                <w:szCs w:val="20"/>
                <w:color w:val="auto"/>
              </w:rPr>
            </w:pPr>
            <w:r>
              <w:rPr>
                <w:rFonts w:ascii="Arial" w:cs="Arial" w:eastAsia="Arial" w:hAnsi="Arial"/>
                <w:sz w:val="16"/>
                <w:szCs w:val="16"/>
                <w:b w:val="1"/>
                <w:bCs w:val="1"/>
                <w:color w:val="FFFFFF"/>
                <w:w w:val="92"/>
              </w:rPr>
              <w:t>($)</w:t>
            </w:r>
            <w:r>
              <w:rPr>
                <w:rFonts w:ascii="Arial" w:cs="Arial" w:eastAsia="Arial" w:hAnsi="Arial"/>
                <w:sz w:val="21"/>
                <w:szCs w:val="21"/>
                <w:b w:val="1"/>
                <w:bCs w:val="1"/>
                <w:color w:val="FFFFFF"/>
                <w:w w:val="92"/>
                <w:vertAlign w:val="superscript"/>
              </w:rPr>
              <w:t>(1)</w:t>
            </w:r>
          </w:p>
        </w:tc>
      </w:tr>
      <w:tr>
        <w:trPr>
          <w:trHeight w:val="243"/>
        </w:trPr>
        <w:tc>
          <w:tcPr>
            <w:tcW w:w="4460" w:type="dxa"/>
            <w:vAlign w:val="bottom"/>
            <w:shd w:val="clear" w:color="auto" w:fill="ACACAC"/>
          </w:tcPr>
          <w:p>
            <w:pPr>
              <w:ind w:left="40"/>
              <w:spacing w:after="0"/>
              <w:rPr>
                <w:sz w:val="20"/>
                <w:szCs w:val="20"/>
                <w:color w:val="auto"/>
              </w:rPr>
            </w:pPr>
            <w:r>
              <w:rPr>
                <w:rFonts w:ascii="Arial" w:cs="Arial" w:eastAsia="Arial" w:hAnsi="Arial"/>
                <w:sz w:val="16"/>
                <w:szCs w:val="16"/>
                <w:color w:val="auto"/>
              </w:rPr>
              <w:t>Michael J. Happe</w:t>
            </w:r>
          </w:p>
        </w:tc>
        <w:tc>
          <w:tcPr>
            <w:tcW w:w="1380" w:type="dxa"/>
            <w:vAlign w:val="bottom"/>
            <w:shd w:val="clear" w:color="auto" w:fill="ACACAC"/>
          </w:tcPr>
          <w:p>
            <w:pPr>
              <w:spacing w:after="0"/>
              <w:rPr>
                <w:sz w:val="21"/>
                <w:szCs w:val="21"/>
                <w:color w:val="auto"/>
              </w:rPr>
            </w:pPr>
          </w:p>
        </w:tc>
        <w:tc>
          <w:tcPr>
            <w:tcW w:w="440" w:type="dxa"/>
            <w:vAlign w:val="bottom"/>
            <w:shd w:val="clear" w:color="auto" w:fill="ACACAC"/>
          </w:tcPr>
          <w:p>
            <w:pPr>
              <w:ind w:lef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ACACAC"/>
          </w:tcPr>
          <w:p>
            <w:pPr>
              <w:spacing w:after="0"/>
              <w:rPr>
                <w:sz w:val="21"/>
                <w:szCs w:val="21"/>
                <w:color w:val="auto"/>
              </w:rPr>
            </w:pPr>
          </w:p>
        </w:tc>
        <w:tc>
          <w:tcPr>
            <w:tcW w:w="400" w:type="dxa"/>
            <w:vAlign w:val="bottom"/>
            <w:shd w:val="clear" w:color="auto" w:fill="ACACAC"/>
          </w:tcPr>
          <w:p>
            <w:pPr>
              <w:ind w:left="20"/>
              <w:spacing w:after="0"/>
              <w:rPr>
                <w:sz w:val="20"/>
                <w:szCs w:val="20"/>
                <w:color w:val="auto"/>
              </w:rPr>
            </w:pPr>
            <w:r>
              <w:rPr>
                <w:rFonts w:ascii="Arial" w:cs="Arial" w:eastAsia="Arial" w:hAnsi="Arial"/>
                <w:sz w:val="16"/>
                <w:szCs w:val="16"/>
                <w:color w:val="auto"/>
              </w:rPr>
              <w:t>—</w:t>
            </w:r>
          </w:p>
        </w:tc>
        <w:tc>
          <w:tcPr>
            <w:tcW w:w="1780" w:type="dxa"/>
            <w:vAlign w:val="bottom"/>
            <w:shd w:val="clear" w:color="auto" w:fill="ACACAC"/>
          </w:tcPr>
          <w:p>
            <w:pPr>
              <w:jc w:val="right"/>
              <w:ind w:right="99"/>
              <w:spacing w:after="0"/>
              <w:rPr>
                <w:sz w:val="20"/>
                <w:szCs w:val="20"/>
                <w:color w:val="auto"/>
              </w:rPr>
            </w:pPr>
            <w:r>
              <w:rPr>
                <w:rFonts w:ascii="Arial" w:cs="Arial" w:eastAsia="Arial" w:hAnsi="Arial"/>
                <w:sz w:val="16"/>
                <w:szCs w:val="16"/>
                <w:color w:val="auto"/>
              </w:rPr>
              <w:t>33,564</w:t>
            </w:r>
          </w:p>
        </w:tc>
        <w:tc>
          <w:tcPr>
            <w:tcW w:w="162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1,047,373</w:t>
            </w:r>
          </w:p>
        </w:tc>
      </w:tr>
      <w:tr>
        <w:trPr>
          <w:trHeight w:val="260"/>
        </w:trPr>
        <w:tc>
          <w:tcPr>
            <w:tcW w:w="4460" w:type="dxa"/>
            <w:vAlign w:val="bottom"/>
          </w:tcPr>
          <w:p>
            <w:pPr>
              <w:ind w:left="40"/>
              <w:spacing w:after="0"/>
              <w:rPr>
                <w:sz w:val="20"/>
                <w:szCs w:val="20"/>
                <w:color w:val="auto"/>
              </w:rPr>
            </w:pPr>
            <w:r>
              <w:rPr>
                <w:rFonts w:ascii="Arial" w:cs="Arial" w:eastAsia="Arial" w:hAnsi="Arial"/>
                <w:sz w:val="16"/>
                <w:szCs w:val="16"/>
                <w:color w:val="auto"/>
              </w:rPr>
              <w:t>Bryan L. Hughes</w:t>
            </w:r>
          </w:p>
        </w:tc>
        <w:tc>
          <w:tcPr>
            <w:tcW w:w="1380" w:type="dxa"/>
            <w:vAlign w:val="bottom"/>
          </w:tcPr>
          <w:p>
            <w:pPr>
              <w:spacing w:after="0"/>
              <w:rPr>
                <w:sz w:val="22"/>
                <w:szCs w:val="22"/>
                <w:color w:val="auto"/>
              </w:rPr>
            </w:pPr>
          </w:p>
        </w:tc>
        <w:tc>
          <w:tcPr>
            <w:tcW w:w="440" w:type="dxa"/>
            <w:vAlign w:val="bottom"/>
          </w:tcPr>
          <w:p>
            <w:pPr>
              <w:ind w:left="6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99"/>
              <w:spacing w:after="0"/>
              <w:rPr>
                <w:sz w:val="20"/>
                <w:szCs w:val="20"/>
                <w:color w:val="auto"/>
              </w:rPr>
            </w:pPr>
            <w:r>
              <w:rPr>
                <w:rFonts w:ascii="Arial" w:cs="Arial" w:eastAsia="Arial" w:hAnsi="Arial"/>
                <w:sz w:val="16"/>
                <w:szCs w:val="16"/>
                <w:color w:val="auto"/>
              </w:rPr>
              <w:t>4,261</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142,612</w:t>
            </w:r>
          </w:p>
        </w:tc>
      </w:tr>
      <w:tr>
        <w:trPr>
          <w:trHeight w:val="280"/>
        </w:trPr>
        <w:tc>
          <w:tcPr>
            <w:tcW w:w="4460" w:type="dxa"/>
            <w:vAlign w:val="bottom"/>
            <w:shd w:val="clear" w:color="auto" w:fill="ACACAC"/>
          </w:tcPr>
          <w:p>
            <w:pPr>
              <w:ind w:left="40"/>
              <w:spacing w:after="0"/>
              <w:rPr>
                <w:sz w:val="20"/>
                <w:szCs w:val="20"/>
                <w:color w:val="auto"/>
              </w:rPr>
            </w:pPr>
            <w:r>
              <w:rPr>
                <w:rFonts w:ascii="Arial" w:cs="Arial" w:eastAsia="Arial" w:hAnsi="Arial"/>
                <w:sz w:val="16"/>
                <w:szCs w:val="16"/>
                <w:color w:val="auto"/>
              </w:rPr>
              <w:t>Stacy L. Bogart</w:t>
            </w:r>
          </w:p>
        </w:tc>
        <w:tc>
          <w:tcPr>
            <w:tcW w:w="1380" w:type="dxa"/>
            <w:vAlign w:val="bottom"/>
            <w:shd w:val="clear" w:color="auto" w:fill="ACACAC"/>
          </w:tcPr>
          <w:p>
            <w:pPr>
              <w:spacing w:after="0"/>
              <w:rPr>
                <w:sz w:val="24"/>
                <w:szCs w:val="24"/>
                <w:color w:val="auto"/>
              </w:rPr>
            </w:pPr>
          </w:p>
        </w:tc>
        <w:tc>
          <w:tcPr>
            <w:tcW w:w="440" w:type="dxa"/>
            <w:vAlign w:val="bottom"/>
            <w:shd w:val="clear" w:color="auto" w:fill="ACACAC"/>
          </w:tcPr>
          <w:p>
            <w:pPr>
              <w:ind w:lef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ACACAC"/>
          </w:tcPr>
          <w:p>
            <w:pPr>
              <w:spacing w:after="0"/>
              <w:rPr>
                <w:sz w:val="24"/>
                <w:szCs w:val="24"/>
                <w:color w:val="auto"/>
              </w:rPr>
            </w:pPr>
          </w:p>
        </w:tc>
        <w:tc>
          <w:tcPr>
            <w:tcW w:w="400" w:type="dxa"/>
            <w:vAlign w:val="bottom"/>
            <w:shd w:val="clear" w:color="auto" w:fill="ACACAC"/>
          </w:tcPr>
          <w:p>
            <w:pPr>
              <w:ind w:left="20"/>
              <w:spacing w:after="0"/>
              <w:rPr>
                <w:sz w:val="20"/>
                <w:szCs w:val="20"/>
                <w:color w:val="auto"/>
              </w:rPr>
            </w:pPr>
            <w:r>
              <w:rPr>
                <w:rFonts w:ascii="Arial" w:cs="Arial" w:eastAsia="Arial" w:hAnsi="Arial"/>
                <w:sz w:val="16"/>
                <w:szCs w:val="16"/>
                <w:color w:val="auto"/>
              </w:rPr>
              <w:t>—</w:t>
            </w:r>
          </w:p>
        </w:tc>
        <w:tc>
          <w:tcPr>
            <w:tcW w:w="1780" w:type="dxa"/>
            <w:vAlign w:val="bottom"/>
            <w:shd w:val="clear" w:color="auto" w:fill="ACACAC"/>
          </w:tcPr>
          <w:p>
            <w:pPr>
              <w:jc w:val="right"/>
              <w:ind w:right="99"/>
              <w:spacing w:after="0"/>
              <w:rPr>
                <w:sz w:val="20"/>
                <w:szCs w:val="20"/>
                <w:color w:val="auto"/>
              </w:rPr>
            </w:pPr>
            <w:r>
              <w:rPr>
                <w:rFonts w:ascii="Arial" w:cs="Arial" w:eastAsia="Arial" w:hAnsi="Arial"/>
                <w:sz w:val="16"/>
                <w:szCs w:val="16"/>
                <w:color w:val="auto"/>
              </w:rPr>
              <w:t>3,333</w:t>
            </w:r>
          </w:p>
        </w:tc>
        <w:tc>
          <w:tcPr>
            <w:tcW w:w="162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83,125</w:t>
            </w:r>
          </w:p>
        </w:tc>
      </w:tr>
      <w:tr>
        <w:trPr>
          <w:trHeight w:val="260"/>
        </w:trPr>
        <w:tc>
          <w:tcPr>
            <w:tcW w:w="4460" w:type="dxa"/>
            <w:vAlign w:val="bottom"/>
          </w:tcPr>
          <w:p>
            <w:pPr>
              <w:ind w:left="40"/>
              <w:spacing w:after="0"/>
              <w:rPr>
                <w:sz w:val="20"/>
                <w:szCs w:val="20"/>
                <w:color w:val="auto"/>
              </w:rPr>
            </w:pPr>
            <w:r>
              <w:rPr>
                <w:rFonts w:ascii="Arial" w:cs="Arial" w:eastAsia="Arial" w:hAnsi="Arial"/>
                <w:sz w:val="16"/>
                <w:szCs w:val="16"/>
                <w:color w:val="auto"/>
              </w:rPr>
              <w:t>Donald J. Clark</w:t>
            </w:r>
          </w:p>
        </w:tc>
        <w:tc>
          <w:tcPr>
            <w:tcW w:w="1380" w:type="dxa"/>
            <w:vAlign w:val="bottom"/>
          </w:tcPr>
          <w:p>
            <w:pPr>
              <w:spacing w:after="0"/>
              <w:rPr>
                <w:sz w:val="22"/>
                <w:szCs w:val="22"/>
                <w:color w:val="auto"/>
              </w:rPr>
            </w:pPr>
          </w:p>
        </w:tc>
        <w:tc>
          <w:tcPr>
            <w:tcW w:w="440" w:type="dxa"/>
            <w:vAlign w:val="bottom"/>
          </w:tcPr>
          <w:p>
            <w:pPr>
              <w:ind w:left="6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460" w:type="dxa"/>
            <w:vAlign w:val="bottom"/>
            <w:shd w:val="clear" w:color="auto" w:fill="ACACAC"/>
          </w:tcPr>
          <w:p>
            <w:pPr>
              <w:ind w:left="40"/>
              <w:spacing w:after="0"/>
              <w:rPr>
                <w:sz w:val="20"/>
                <w:szCs w:val="20"/>
                <w:color w:val="auto"/>
              </w:rPr>
            </w:pPr>
            <w:r>
              <w:rPr>
                <w:rFonts w:ascii="Arial" w:cs="Arial" w:eastAsia="Arial" w:hAnsi="Arial"/>
                <w:sz w:val="16"/>
                <w:szCs w:val="16"/>
                <w:color w:val="auto"/>
              </w:rPr>
              <w:t>Brian D. Hazelton</w:t>
            </w:r>
          </w:p>
        </w:tc>
        <w:tc>
          <w:tcPr>
            <w:tcW w:w="1380" w:type="dxa"/>
            <w:vAlign w:val="bottom"/>
            <w:shd w:val="clear" w:color="auto" w:fill="ACACAC"/>
          </w:tcPr>
          <w:p>
            <w:pPr>
              <w:spacing w:after="0"/>
              <w:rPr>
                <w:sz w:val="24"/>
                <w:szCs w:val="24"/>
                <w:color w:val="auto"/>
              </w:rPr>
            </w:pPr>
          </w:p>
        </w:tc>
        <w:tc>
          <w:tcPr>
            <w:tcW w:w="440" w:type="dxa"/>
            <w:vAlign w:val="bottom"/>
            <w:shd w:val="clear" w:color="auto" w:fill="ACACAC"/>
          </w:tcPr>
          <w:p>
            <w:pPr>
              <w:ind w:lef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ACACAC"/>
          </w:tcPr>
          <w:p>
            <w:pPr>
              <w:spacing w:after="0"/>
              <w:rPr>
                <w:sz w:val="24"/>
                <w:szCs w:val="24"/>
                <w:color w:val="auto"/>
              </w:rPr>
            </w:pPr>
          </w:p>
        </w:tc>
        <w:tc>
          <w:tcPr>
            <w:tcW w:w="400" w:type="dxa"/>
            <w:vAlign w:val="bottom"/>
            <w:shd w:val="clear" w:color="auto" w:fill="ACACAC"/>
          </w:tcPr>
          <w:p>
            <w:pPr>
              <w:ind w:left="20"/>
              <w:spacing w:after="0"/>
              <w:rPr>
                <w:sz w:val="20"/>
                <w:szCs w:val="20"/>
                <w:color w:val="auto"/>
              </w:rPr>
            </w:pPr>
            <w:r>
              <w:rPr>
                <w:rFonts w:ascii="Arial" w:cs="Arial" w:eastAsia="Arial" w:hAnsi="Arial"/>
                <w:sz w:val="16"/>
                <w:szCs w:val="16"/>
                <w:color w:val="auto"/>
              </w:rPr>
              <w:t>—</w:t>
            </w:r>
          </w:p>
        </w:tc>
        <w:tc>
          <w:tcPr>
            <w:tcW w:w="1780" w:type="dxa"/>
            <w:vAlign w:val="bottom"/>
            <w:shd w:val="clear" w:color="auto" w:fill="ACACAC"/>
          </w:tcPr>
          <w:p>
            <w:pPr>
              <w:jc w:val="right"/>
              <w:ind w:right="99"/>
              <w:spacing w:after="0"/>
              <w:rPr>
                <w:sz w:val="20"/>
                <w:szCs w:val="20"/>
                <w:color w:val="auto"/>
              </w:rPr>
            </w:pPr>
            <w:r>
              <w:rPr>
                <w:rFonts w:ascii="Arial" w:cs="Arial" w:eastAsia="Arial" w:hAnsi="Arial"/>
                <w:sz w:val="16"/>
                <w:szCs w:val="16"/>
                <w:color w:val="auto"/>
              </w:rPr>
              <w:t>4,581</w:t>
            </w:r>
          </w:p>
        </w:tc>
        <w:tc>
          <w:tcPr>
            <w:tcW w:w="162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140,934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-1362710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p>
      <w:pPr>
        <w:ind w:left="260" w:hanging="252"/>
        <w:spacing w:after="0" w:line="258" w:lineRule="auto"/>
        <w:tabs>
          <w:tab w:leader="none" w:pos="260" w:val="left"/>
        </w:tabs>
        <w:numPr>
          <w:ilvl w:val="0"/>
          <w:numId w:val="49"/>
        </w:numPr>
        <w:rPr>
          <w:rFonts w:ascii="Arial" w:cs="Arial" w:eastAsia="Arial" w:hAnsi="Arial"/>
          <w:sz w:val="13"/>
          <w:szCs w:val="13"/>
          <w:color w:val="auto"/>
        </w:rPr>
      </w:pPr>
      <w:r>
        <w:rPr>
          <w:rFonts w:ascii="Arial" w:cs="Arial" w:eastAsia="Arial" w:hAnsi="Arial"/>
          <w:sz w:val="14"/>
          <w:szCs w:val="14"/>
          <w:color w:val="auto"/>
        </w:rPr>
        <w:t>Valued at the closing market price of the Company's Common Stock of $30.56 (October 11, 2018), $31.70 (October 15, 2018), $29.12 (October 18, 2018), $24.94 (January 1, 2019), $30.68 (January 18, 2019), $34.68 (May 15, 2019), $32.25 (August 29, 2019) as quoted on the NYSE on the vesting dates respectively.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828282"/>
        </w:rPr>
        <w:t>Nonqualified Defined Contribution and Other Nonqualified Deferred Compensation Plans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non-qualified deferred compensation by NEO's during Fiscal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shd w:val="clear" w:color="auto" w:fill="BF2115"/>
          </w:tcPr>
          <w:p>
            <w:pPr>
              <w:spacing w:after="0"/>
              <w:rPr>
                <w:sz w:val="18"/>
                <w:szCs w:val="18"/>
                <w:color w:val="auto"/>
              </w:rPr>
            </w:pPr>
          </w:p>
        </w:tc>
        <w:tc>
          <w:tcPr>
            <w:tcW w:w="440" w:type="dxa"/>
            <w:vAlign w:val="bottom"/>
            <w:shd w:val="clear" w:color="auto" w:fill="BF2115"/>
          </w:tcPr>
          <w:p>
            <w:pPr>
              <w:spacing w:after="0"/>
              <w:rPr>
                <w:sz w:val="18"/>
                <w:szCs w:val="18"/>
                <w:color w:val="auto"/>
              </w:rPr>
            </w:pPr>
          </w:p>
        </w:tc>
        <w:tc>
          <w:tcPr>
            <w:tcW w:w="2360" w:type="dxa"/>
            <w:vAlign w:val="bottom"/>
            <w:shd w:val="clear" w:color="auto" w:fill="BF2115"/>
          </w:tcPr>
          <w:p>
            <w:pPr>
              <w:spacing w:after="0"/>
              <w:rPr>
                <w:sz w:val="18"/>
                <w:szCs w:val="18"/>
                <w:color w:val="auto"/>
              </w:rPr>
            </w:pPr>
          </w:p>
        </w:tc>
        <w:tc>
          <w:tcPr>
            <w:tcW w:w="420" w:type="dxa"/>
            <w:vAlign w:val="bottom"/>
            <w:shd w:val="clear" w:color="auto" w:fill="BF2115"/>
          </w:tcPr>
          <w:p>
            <w:pPr>
              <w:spacing w:after="0"/>
              <w:rPr>
                <w:sz w:val="18"/>
                <w:szCs w:val="18"/>
                <w:color w:val="auto"/>
              </w:rPr>
            </w:pPr>
          </w:p>
        </w:tc>
        <w:tc>
          <w:tcPr>
            <w:tcW w:w="1020" w:type="dxa"/>
            <w:vAlign w:val="bottom"/>
            <w:shd w:val="clear" w:color="auto" w:fill="BF2115"/>
          </w:tcPr>
          <w:p>
            <w:pPr>
              <w:spacing w:after="0"/>
              <w:rPr>
                <w:sz w:val="18"/>
                <w:szCs w:val="18"/>
                <w:color w:val="auto"/>
              </w:rPr>
            </w:pPr>
          </w:p>
        </w:tc>
        <w:tc>
          <w:tcPr>
            <w:tcW w:w="840" w:type="dxa"/>
            <w:vAlign w:val="bottom"/>
            <w:shd w:val="clear" w:color="auto" w:fill="BF2115"/>
          </w:tcPr>
          <w:p>
            <w:pPr>
              <w:spacing w:after="0"/>
              <w:rPr>
                <w:sz w:val="18"/>
                <w:szCs w:val="18"/>
                <w:color w:val="auto"/>
              </w:rPr>
            </w:pPr>
          </w:p>
        </w:tc>
        <w:tc>
          <w:tcPr>
            <w:tcW w:w="820" w:type="dxa"/>
            <w:vAlign w:val="bottom"/>
            <w:shd w:val="clear" w:color="auto" w:fill="BF2115"/>
          </w:tcPr>
          <w:p>
            <w:pPr>
              <w:spacing w:after="0"/>
              <w:rPr>
                <w:sz w:val="20"/>
                <w:szCs w:val="20"/>
                <w:color w:val="auto"/>
              </w:rPr>
            </w:pPr>
            <w:r>
              <w:rPr>
                <w:rFonts w:ascii="Arial" w:cs="Arial" w:eastAsia="Arial" w:hAnsi="Arial"/>
                <w:sz w:val="16"/>
                <w:szCs w:val="16"/>
                <w:b w:val="1"/>
                <w:bCs w:val="1"/>
                <w:color w:val="FFFFFF"/>
                <w:shd w:val="clear" w:color="auto" w:fill="BF2115"/>
              </w:rPr>
              <w:t>Registrant</w:t>
            </w:r>
          </w:p>
        </w:tc>
        <w:tc>
          <w:tcPr>
            <w:tcW w:w="500" w:type="dxa"/>
            <w:vAlign w:val="bottom"/>
            <w:shd w:val="clear" w:color="auto" w:fill="BF2115"/>
          </w:tcPr>
          <w:p>
            <w:pPr>
              <w:spacing w:after="0"/>
              <w:rPr>
                <w:sz w:val="18"/>
                <w:szCs w:val="18"/>
                <w:color w:val="auto"/>
              </w:rPr>
            </w:pPr>
          </w:p>
        </w:tc>
        <w:tc>
          <w:tcPr>
            <w:tcW w:w="1390" w:type="dxa"/>
            <w:vAlign w:val="bottom"/>
            <w:gridSpan w:val="3"/>
            <w:shd w:val="clear" w:color="auto" w:fill="BF2115"/>
          </w:tcPr>
          <w:p>
            <w:pPr>
              <w:jc w:val="center"/>
              <w:ind w:right="110"/>
              <w:spacing w:after="0"/>
              <w:rPr>
                <w:sz w:val="20"/>
                <w:szCs w:val="20"/>
                <w:color w:val="auto"/>
              </w:rPr>
            </w:pPr>
            <w:r>
              <w:rPr>
                <w:rFonts w:ascii="Arial" w:cs="Arial" w:eastAsia="Arial" w:hAnsi="Arial"/>
                <w:sz w:val="16"/>
                <w:szCs w:val="16"/>
                <w:b w:val="1"/>
                <w:bCs w:val="1"/>
                <w:color w:val="FFFFFF"/>
                <w:shd w:val="clear" w:color="auto" w:fill="BF2115"/>
              </w:rPr>
              <w:t>Aggregate</w:t>
            </w:r>
          </w:p>
        </w:tc>
        <w:tc>
          <w:tcPr>
            <w:tcW w:w="1430" w:type="dxa"/>
            <w:vAlign w:val="bottom"/>
            <w:gridSpan w:val="3"/>
            <w:shd w:val="clear" w:color="auto" w:fill="BF2115"/>
          </w:tcPr>
          <w:p>
            <w:pPr>
              <w:jc w:val="center"/>
              <w:ind w:left="549"/>
              <w:spacing w:after="0"/>
              <w:rPr>
                <w:sz w:val="20"/>
                <w:szCs w:val="20"/>
                <w:color w:val="auto"/>
              </w:rPr>
            </w:pPr>
            <w:r>
              <w:rPr>
                <w:rFonts w:ascii="Arial" w:cs="Arial" w:eastAsia="Arial" w:hAnsi="Arial"/>
                <w:sz w:val="16"/>
                <w:szCs w:val="16"/>
                <w:b w:val="1"/>
                <w:bCs w:val="1"/>
                <w:color w:val="FFFFFF"/>
                <w:shd w:val="clear" w:color="auto" w:fill="BF2115"/>
              </w:rPr>
              <w:t>Aggregate</w:t>
            </w:r>
          </w:p>
        </w:tc>
        <w:tc>
          <w:tcPr>
            <w:tcW w:w="600" w:type="dxa"/>
            <w:vAlign w:val="bottom"/>
            <w:shd w:val="clear" w:color="auto" w:fill="BF2115"/>
          </w:tcPr>
          <w:p>
            <w:pPr>
              <w:spacing w:after="0"/>
              <w:rPr>
                <w:sz w:val="18"/>
                <w:szCs w:val="18"/>
                <w:color w:val="auto"/>
              </w:rPr>
            </w:pPr>
          </w:p>
        </w:tc>
        <w:tc>
          <w:tcPr>
            <w:tcW w:w="140" w:type="dxa"/>
            <w:vAlign w:val="bottom"/>
            <w:shd w:val="clear" w:color="auto" w:fill="BF2115"/>
          </w:tcPr>
          <w:p>
            <w:pPr>
              <w:spacing w:after="0"/>
              <w:rPr>
                <w:sz w:val="18"/>
                <w:szCs w:val="18"/>
                <w:color w:val="auto"/>
              </w:rPr>
            </w:pPr>
          </w:p>
        </w:tc>
        <w:tc>
          <w:tcPr>
            <w:tcW w:w="1160" w:type="dxa"/>
            <w:vAlign w:val="bottom"/>
            <w:shd w:val="clear" w:color="auto" w:fill="BF2115"/>
          </w:tcPr>
          <w:p>
            <w:pPr>
              <w:spacing w:after="0"/>
              <w:rPr>
                <w:sz w:val="18"/>
                <w:szCs w:val="18"/>
                <w:color w:val="auto"/>
              </w:rPr>
            </w:pPr>
          </w:p>
        </w:tc>
        <w:tc>
          <w:tcPr>
            <w:tcW w:w="260" w:type="dxa"/>
            <w:vAlign w:val="bottom"/>
            <w:shd w:val="clear" w:color="auto" w:fill="BF2115"/>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BF2115"/>
          </w:tcPr>
          <w:p>
            <w:pPr>
              <w:spacing w:after="0"/>
              <w:rPr>
                <w:sz w:val="14"/>
                <w:szCs w:val="14"/>
                <w:color w:val="auto"/>
              </w:rPr>
            </w:pPr>
          </w:p>
        </w:tc>
        <w:tc>
          <w:tcPr>
            <w:tcW w:w="440" w:type="dxa"/>
            <w:vAlign w:val="bottom"/>
            <w:shd w:val="clear" w:color="auto" w:fill="BF2115"/>
          </w:tcPr>
          <w:p>
            <w:pPr>
              <w:spacing w:after="0"/>
              <w:rPr>
                <w:sz w:val="14"/>
                <w:szCs w:val="14"/>
                <w:color w:val="auto"/>
              </w:rPr>
            </w:pPr>
          </w:p>
        </w:tc>
        <w:tc>
          <w:tcPr>
            <w:tcW w:w="2360" w:type="dxa"/>
            <w:vAlign w:val="bottom"/>
            <w:shd w:val="clear" w:color="auto" w:fill="BF2115"/>
          </w:tcPr>
          <w:p>
            <w:pPr>
              <w:spacing w:after="0"/>
              <w:rPr>
                <w:sz w:val="14"/>
                <w:szCs w:val="14"/>
                <w:color w:val="auto"/>
              </w:rPr>
            </w:pPr>
          </w:p>
        </w:tc>
        <w:tc>
          <w:tcPr>
            <w:tcW w:w="2280" w:type="dxa"/>
            <w:vAlign w:val="bottom"/>
            <w:gridSpan w:val="3"/>
            <w:shd w:val="clear" w:color="auto" w:fill="BF2115"/>
          </w:tcPr>
          <w:p>
            <w:pPr>
              <w:jc w:val="center"/>
              <w:ind w:right="420"/>
              <w:spacing w:after="0" w:line="171" w:lineRule="exact"/>
              <w:rPr>
                <w:sz w:val="20"/>
                <w:szCs w:val="20"/>
                <w:color w:val="auto"/>
              </w:rPr>
            </w:pPr>
            <w:r>
              <w:rPr>
                <w:rFonts w:ascii="Arial" w:cs="Arial" w:eastAsia="Arial" w:hAnsi="Arial"/>
                <w:sz w:val="16"/>
                <w:szCs w:val="16"/>
                <w:b w:val="1"/>
                <w:bCs w:val="1"/>
                <w:color w:val="FFFFFF"/>
                <w:shd w:val="clear" w:color="auto" w:fill="BF2115"/>
              </w:rPr>
              <w:t>Executive Contributions</w:t>
            </w:r>
          </w:p>
        </w:tc>
        <w:tc>
          <w:tcPr>
            <w:tcW w:w="820" w:type="dxa"/>
            <w:vAlign w:val="bottom"/>
            <w:shd w:val="clear" w:color="auto" w:fill="BF2115"/>
          </w:tcPr>
          <w:p>
            <w:pPr>
              <w:spacing w:after="0" w:line="171" w:lineRule="exact"/>
              <w:rPr>
                <w:sz w:val="20"/>
                <w:szCs w:val="20"/>
                <w:color w:val="auto"/>
              </w:rPr>
            </w:pPr>
            <w:r>
              <w:rPr>
                <w:rFonts w:ascii="Arial" w:cs="Arial" w:eastAsia="Arial" w:hAnsi="Arial"/>
                <w:sz w:val="16"/>
                <w:szCs w:val="16"/>
                <w:b w:val="1"/>
                <w:bCs w:val="1"/>
                <w:color w:val="FFFFFF"/>
                <w:w w:val="76"/>
                <w:shd w:val="clear" w:color="auto" w:fill="BF2115"/>
              </w:rPr>
              <w:t>Contributions</w:t>
            </w:r>
          </w:p>
        </w:tc>
        <w:tc>
          <w:tcPr>
            <w:tcW w:w="500" w:type="dxa"/>
            <w:vAlign w:val="bottom"/>
            <w:shd w:val="clear" w:color="auto" w:fill="BF2115"/>
          </w:tcPr>
          <w:p>
            <w:pPr>
              <w:ind w:left="60"/>
              <w:spacing w:after="0" w:line="171" w:lineRule="exact"/>
              <w:rPr>
                <w:sz w:val="20"/>
                <w:szCs w:val="20"/>
                <w:color w:val="auto"/>
              </w:rPr>
            </w:pPr>
            <w:r>
              <w:rPr>
                <w:rFonts w:ascii="Arial" w:cs="Arial" w:eastAsia="Arial" w:hAnsi="Arial"/>
                <w:sz w:val="16"/>
                <w:szCs w:val="16"/>
                <w:b w:val="1"/>
                <w:bCs w:val="1"/>
                <w:color w:val="FFFFFF"/>
                <w:shd w:val="clear" w:color="auto" w:fill="BF2115"/>
              </w:rPr>
              <w:t>in</w:t>
            </w:r>
          </w:p>
        </w:tc>
        <w:tc>
          <w:tcPr>
            <w:tcW w:w="1390" w:type="dxa"/>
            <w:vAlign w:val="bottom"/>
            <w:gridSpan w:val="3"/>
            <w:shd w:val="clear" w:color="auto" w:fill="BF2115"/>
          </w:tcPr>
          <w:p>
            <w:pPr>
              <w:jc w:val="center"/>
              <w:ind w:right="130"/>
              <w:spacing w:after="0" w:line="171" w:lineRule="exact"/>
              <w:rPr>
                <w:sz w:val="20"/>
                <w:szCs w:val="20"/>
                <w:color w:val="auto"/>
              </w:rPr>
            </w:pPr>
            <w:r>
              <w:rPr>
                <w:rFonts w:ascii="Arial" w:cs="Arial" w:eastAsia="Arial" w:hAnsi="Arial"/>
                <w:sz w:val="16"/>
                <w:szCs w:val="16"/>
                <w:b w:val="1"/>
                <w:bCs w:val="1"/>
                <w:color w:val="FFFFFF"/>
                <w:shd w:val="clear" w:color="auto" w:fill="BF2115"/>
              </w:rPr>
              <w:t>Earnings in Last</w:t>
            </w:r>
          </w:p>
        </w:tc>
        <w:tc>
          <w:tcPr>
            <w:tcW w:w="2030" w:type="dxa"/>
            <w:vAlign w:val="bottom"/>
            <w:gridSpan w:val="4"/>
            <w:shd w:val="clear" w:color="auto" w:fill="BF2115"/>
          </w:tcPr>
          <w:p>
            <w:pPr>
              <w:jc w:val="center"/>
              <w:spacing w:after="0" w:line="171" w:lineRule="exact"/>
              <w:rPr>
                <w:sz w:val="20"/>
                <w:szCs w:val="20"/>
                <w:color w:val="auto"/>
              </w:rPr>
            </w:pPr>
            <w:r>
              <w:rPr>
                <w:rFonts w:ascii="Arial" w:cs="Arial" w:eastAsia="Arial" w:hAnsi="Arial"/>
                <w:sz w:val="16"/>
                <w:szCs w:val="16"/>
                <w:b w:val="1"/>
                <w:bCs w:val="1"/>
                <w:color w:val="FFFFFF"/>
                <w:shd w:val="clear" w:color="auto" w:fill="BF2115"/>
              </w:rPr>
              <w:t>Withdrawals/Distributions</w:t>
            </w:r>
          </w:p>
        </w:tc>
        <w:tc>
          <w:tcPr>
            <w:tcW w:w="1560" w:type="dxa"/>
            <w:vAlign w:val="bottom"/>
            <w:gridSpan w:val="3"/>
            <w:shd w:val="clear" w:color="auto" w:fill="BF2115"/>
          </w:tcPr>
          <w:p>
            <w:pPr>
              <w:jc w:val="right"/>
              <w:spacing w:after="0" w:line="171" w:lineRule="exact"/>
              <w:rPr>
                <w:sz w:val="20"/>
                <w:szCs w:val="20"/>
                <w:color w:val="auto"/>
              </w:rPr>
            </w:pPr>
            <w:r>
              <w:rPr>
                <w:rFonts w:ascii="Arial" w:cs="Arial" w:eastAsia="Arial" w:hAnsi="Arial"/>
                <w:sz w:val="16"/>
                <w:szCs w:val="16"/>
                <w:b w:val="1"/>
                <w:bCs w:val="1"/>
                <w:color w:val="FFFFFF"/>
                <w:shd w:val="clear" w:color="auto" w:fill="BF2115"/>
              </w:rPr>
              <w:t>Aggregate Balance</w:t>
            </w:r>
          </w:p>
        </w:tc>
        <w:tc>
          <w:tcPr>
            <w:tcW w:w="0" w:type="dxa"/>
            <w:vAlign w:val="bottom"/>
          </w:tcPr>
          <w:p>
            <w:pPr>
              <w:spacing w:after="0"/>
              <w:rPr>
                <w:sz w:val="1"/>
                <w:szCs w:val="1"/>
                <w:color w:val="auto"/>
              </w:rPr>
            </w:pPr>
          </w:p>
        </w:tc>
      </w:tr>
      <w:tr>
        <w:trPr>
          <w:trHeight w:val="145"/>
        </w:trPr>
        <w:tc>
          <w:tcPr>
            <w:tcW w:w="40" w:type="dxa"/>
            <w:vAlign w:val="bottom"/>
            <w:shd w:val="clear" w:color="auto" w:fill="BF2115"/>
          </w:tcPr>
          <w:p>
            <w:pPr>
              <w:spacing w:after="0"/>
              <w:rPr>
                <w:sz w:val="12"/>
                <w:szCs w:val="12"/>
                <w:color w:val="auto"/>
              </w:rPr>
            </w:pPr>
          </w:p>
        </w:tc>
        <w:tc>
          <w:tcPr>
            <w:tcW w:w="440" w:type="dxa"/>
            <w:vAlign w:val="bottom"/>
            <w:vMerge w:val="restart"/>
            <w:shd w:val="clear" w:color="auto" w:fill="BF2115"/>
          </w:tcPr>
          <w:p>
            <w:pPr>
              <w:spacing w:after="0"/>
              <w:rPr>
                <w:sz w:val="20"/>
                <w:szCs w:val="20"/>
                <w:color w:val="auto"/>
              </w:rPr>
            </w:pPr>
            <w:r>
              <w:rPr>
                <w:rFonts w:ascii="Arial" w:cs="Arial" w:eastAsia="Arial" w:hAnsi="Arial"/>
                <w:sz w:val="16"/>
                <w:szCs w:val="16"/>
                <w:b w:val="1"/>
                <w:bCs w:val="1"/>
                <w:color w:val="FFFFFF"/>
                <w:w w:val="96"/>
                <w:shd w:val="clear" w:color="auto" w:fill="BF2115"/>
              </w:rPr>
              <w:t>Name</w:t>
            </w:r>
          </w:p>
        </w:tc>
        <w:tc>
          <w:tcPr>
            <w:tcW w:w="2360" w:type="dxa"/>
            <w:vAlign w:val="bottom"/>
            <w:shd w:val="clear" w:color="auto" w:fill="BF2115"/>
          </w:tcPr>
          <w:p>
            <w:pPr>
              <w:spacing w:after="0"/>
              <w:rPr>
                <w:sz w:val="12"/>
                <w:szCs w:val="12"/>
                <w:color w:val="auto"/>
              </w:rPr>
            </w:pPr>
          </w:p>
        </w:tc>
        <w:tc>
          <w:tcPr>
            <w:tcW w:w="420" w:type="dxa"/>
            <w:vAlign w:val="bottom"/>
            <w:shd w:val="clear" w:color="auto" w:fill="BF2115"/>
          </w:tcPr>
          <w:p>
            <w:pPr>
              <w:spacing w:after="0"/>
              <w:rPr>
                <w:sz w:val="12"/>
                <w:szCs w:val="12"/>
                <w:color w:val="auto"/>
              </w:rPr>
            </w:pPr>
          </w:p>
        </w:tc>
        <w:tc>
          <w:tcPr>
            <w:tcW w:w="102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shd w:val="clear" w:color="auto" w:fill="BF2115"/>
              </w:rPr>
              <w:t>in Last FY ($)</w:t>
            </w:r>
          </w:p>
        </w:tc>
        <w:tc>
          <w:tcPr>
            <w:tcW w:w="840" w:type="dxa"/>
            <w:vAlign w:val="bottom"/>
            <w:shd w:val="clear" w:color="auto" w:fill="BF2115"/>
          </w:tcPr>
          <w:p>
            <w:pPr>
              <w:spacing w:after="0"/>
              <w:rPr>
                <w:sz w:val="12"/>
                <w:szCs w:val="12"/>
                <w:color w:val="auto"/>
              </w:rPr>
            </w:pPr>
          </w:p>
        </w:tc>
        <w:tc>
          <w:tcPr>
            <w:tcW w:w="820" w:type="dxa"/>
            <w:vAlign w:val="bottom"/>
            <w:vMerge w:val="restart"/>
            <w:shd w:val="clear" w:color="auto" w:fill="BF2115"/>
          </w:tcPr>
          <w:p>
            <w:pPr>
              <w:spacing w:after="0"/>
              <w:rPr>
                <w:sz w:val="20"/>
                <w:szCs w:val="20"/>
                <w:color w:val="auto"/>
              </w:rPr>
            </w:pPr>
            <w:r>
              <w:rPr>
                <w:rFonts w:ascii="Arial" w:cs="Arial" w:eastAsia="Arial" w:hAnsi="Arial"/>
                <w:sz w:val="16"/>
                <w:szCs w:val="16"/>
                <w:b w:val="1"/>
                <w:bCs w:val="1"/>
                <w:color w:val="FFFFFF"/>
                <w:w w:val="97"/>
                <w:shd w:val="clear" w:color="auto" w:fill="BF2115"/>
              </w:rPr>
              <w:t>Last FY ($)</w:t>
            </w:r>
          </w:p>
        </w:tc>
        <w:tc>
          <w:tcPr>
            <w:tcW w:w="500" w:type="dxa"/>
            <w:vAlign w:val="bottom"/>
            <w:shd w:val="clear" w:color="auto" w:fill="BF2115"/>
          </w:tcPr>
          <w:p>
            <w:pPr>
              <w:spacing w:after="0"/>
              <w:rPr>
                <w:sz w:val="12"/>
                <w:szCs w:val="12"/>
                <w:color w:val="auto"/>
              </w:rPr>
            </w:pPr>
          </w:p>
        </w:tc>
        <w:tc>
          <w:tcPr>
            <w:tcW w:w="400" w:type="dxa"/>
            <w:vAlign w:val="bottom"/>
            <w:shd w:val="clear" w:color="auto" w:fill="BF2115"/>
          </w:tcPr>
          <w:p>
            <w:pPr>
              <w:spacing w:after="0"/>
              <w:rPr>
                <w:sz w:val="12"/>
                <w:szCs w:val="12"/>
                <w:color w:val="auto"/>
              </w:rPr>
            </w:pPr>
          </w:p>
        </w:tc>
        <w:tc>
          <w:tcPr>
            <w:tcW w:w="46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shd w:val="clear" w:color="auto" w:fill="BF2115"/>
              </w:rPr>
              <w:t>FY ($)</w:t>
            </w:r>
          </w:p>
        </w:tc>
        <w:tc>
          <w:tcPr>
            <w:tcW w:w="530" w:type="dxa"/>
            <w:vAlign w:val="bottom"/>
            <w:shd w:val="clear" w:color="auto" w:fill="BF2115"/>
          </w:tcPr>
          <w:p>
            <w:pPr>
              <w:spacing w:after="0"/>
              <w:rPr>
                <w:sz w:val="12"/>
                <w:szCs w:val="12"/>
                <w:color w:val="auto"/>
              </w:rPr>
            </w:pPr>
          </w:p>
        </w:tc>
        <w:tc>
          <w:tcPr>
            <w:tcW w:w="930" w:type="dxa"/>
            <w:vAlign w:val="bottom"/>
            <w:shd w:val="clear" w:color="auto" w:fill="BF2115"/>
          </w:tcPr>
          <w:p>
            <w:pPr>
              <w:spacing w:after="0"/>
              <w:rPr>
                <w:sz w:val="12"/>
                <w:szCs w:val="12"/>
                <w:color w:val="auto"/>
              </w:rPr>
            </w:pPr>
          </w:p>
        </w:tc>
        <w:tc>
          <w:tcPr>
            <w:tcW w:w="20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shd w:val="clear" w:color="auto" w:fill="BF2115"/>
              </w:rPr>
              <w:t>($)</w:t>
            </w:r>
          </w:p>
        </w:tc>
        <w:tc>
          <w:tcPr>
            <w:tcW w:w="300" w:type="dxa"/>
            <w:vAlign w:val="bottom"/>
            <w:shd w:val="clear" w:color="auto" w:fill="BF2115"/>
          </w:tcPr>
          <w:p>
            <w:pPr>
              <w:spacing w:after="0"/>
              <w:rPr>
                <w:sz w:val="12"/>
                <w:szCs w:val="12"/>
                <w:color w:val="auto"/>
              </w:rPr>
            </w:pPr>
          </w:p>
        </w:tc>
        <w:tc>
          <w:tcPr>
            <w:tcW w:w="600" w:type="dxa"/>
            <w:vAlign w:val="bottom"/>
            <w:shd w:val="clear" w:color="auto" w:fill="BF2115"/>
          </w:tcPr>
          <w:p>
            <w:pPr>
              <w:spacing w:after="0"/>
              <w:rPr>
                <w:sz w:val="12"/>
                <w:szCs w:val="12"/>
                <w:color w:val="auto"/>
              </w:rPr>
            </w:pPr>
          </w:p>
        </w:tc>
        <w:tc>
          <w:tcPr>
            <w:tcW w:w="140" w:type="dxa"/>
            <w:vAlign w:val="bottom"/>
            <w:shd w:val="clear" w:color="auto" w:fill="BF2115"/>
          </w:tcPr>
          <w:p>
            <w:pPr>
              <w:spacing w:after="0"/>
              <w:rPr>
                <w:sz w:val="12"/>
                <w:szCs w:val="12"/>
                <w:color w:val="auto"/>
              </w:rPr>
            </w:pPr>
          </w:p>
        </w:tc>
        <w:tc>
          <w:tcPr>
            <w:tcW w:w="1160" w:type="dxa"/>
            <w:vAlign w:val="bottom"/>
            <w:vMerge w:val="restart"/>
            <w:shd w:val="clear" w:color="auto" w:fill="BF2115"/>
          </w:tcPr>
          <w:p>
            <w:pPr>
              <w:spacing w:after="0"/>
              <w:rPr>
                <w:sz w:val="20"/>
                <w:szCs w:val="20"/>
                <w:color w:val="auto"/>
              </w:rPr>
            </w:pPr>
            <w:r>
              <w:rPr>
                <w:rFonts w:ascii="Arial" w:cs="Arial" w:eastAsia="Arial" w:hAnsi="Arial"/>
                <w:sz w:val="16"/>
                <w:szCs w:val="16"/>
                <w:b w:val="1"/>
                <w:bCs w:val="1"/>
                <w:color w:val="FFFFFF"/>
                <w:shd w:val="clear" w:color="auto" w:fill="BF2115"/>
              </w:rPr>
              <w:t>in Last FYE ($)</w:t>
            </w:r>
          </w:p>
        </w:tc>
        <w:tc>
          <w:tcPr>
            <w:tcW w:w="260" w:type="dxa"/>
            <w:vAlign w:val="bottom"/>
            <w:shd w:val="clear" w:color="auto" w:fill="BF2115"/>
          </w:tcPr>
          <w:p>
            <w:pPr>
              <w:jc w:val="right"/>
              <w:ind w:right="66"/>
              <w:spacing w:after="0"/>
              <w:rPr>
                <w:sz w:val="20"/>
                <w:szCs w:val="20"/>
                <w:color w:val="auto"/>
              </w:rPr>
            </w:pPr>
            <w:r>
              <w:rPr>
                <w:rFonts w:ascii="Arial" w:cs="Arial" w:eastAsia="Arial" w:hAnsi="Arial"/>
                <w:sz w:val="11"/>
                <w:szCs w:val="11"/>
                <w:b w:val="1"/>
                <w:bCs w:val="1"/>
                <w:color w:val="FFFFFF"/>
                <w:w w:val="88"/>
                <w:shd w:val="clear" w:color="auto" w:fill="BF2115"/>
              </w:rPr>
              <w:t>(1)</w:t>
            </w:r>
          </w:p>
        </w:tc>
        <w:tc>
          <w:tcPr>
            <w:tcW w:w="0" w:type="dxa"/>
            <w:vAlign w:val="bottom"/>
          </w:tcPr>
          <w:p>
            <w:pPr>
              <w:spacing w:after="0"/>
              <w:rPr>
                <w:sz w:val="1"/>
                <w:szCs w:val="1"/>
                <w:color w:val="auto"/>
              </w:rPr>
            </w:pPr>
          </w:p>
        </w:tc>
      </w:tr>
      <w:tr>
        <w:trPr>
          <w:trHeight w:val="70"/>
        </w:trPr>
        <w:tc>
          <w:tcPr>
            <w:tcW w:w="40" w:type="dxa"/>
            <w:vAlign w:val="bottom"/>
            <w:tcBorders>
              <w:bottom w:val="single" w:sz="8" w:color="BF2115"/>
            </w:tcBorders>
            <w:shd w:val="clear" w:color="auto" w:fill="BF2115"/>
          </w:tcPr>
          <w:p>
            <w:pPr>
              <w:spacing w:after="0"/>
              <w:rPr>
                <w:sz w:val="6"/>
                <w:szCs w:val="6"/>
                <w:color w:val="auto"/>
              </w:rPr>
            </w:pPr>
          </w:p>
        </w:tc>
        <w:tc>
          <w:tcPr>
            <w:tcW w:w="440" w:type="dxa"/>
            <w:vAlign w:val="bottom"/>
            <w:tcBorders>
              <w:bottom w:val="single" w:sz="8" w:color="BF2115"/>
            </w:tcBorders>
            <w:vMerge w:val="continue"/>
            <w:shd w:val="clear" w:color="auto" w:fill="BF2115"/>
          </w:tcPr>
          <w:p>
            <w:pPr>
              <w:spacing w:after="0"/>
              <w:rPr>
                <w:sz w:val="6"/>
                <w:szCs w:val="6"/>
                <w:color w:val="auto"/>
              </w:rPr>
            </w:pPr>
          </w:p>
        </w:tc>
        <w:tc>
          <w:tcPr>
            <w:tcW w:w="2360" w:type="dxa"/>
            <w:vAlign w:val="bottom"/>
            <w:tcBorders>
              <w:bottom w:val="single" w:sz="8" w:color="BF2115"/>
            </w:tcBorders>
            <w:shd w:val="clear" w:color="auto" w:fill="BF2115"/>
          </w:tcPr>
          <w:p>
            <w:pPr>
              <w:spacing w:after="0"/>
              <w:rPr>
                <w:sz w:val="6"/>
                <w:szCs w:val="6"/>
                <w:color w:val="auto"/>
              </w:rPr>
            </w:pPr>
          </w:p>
        </w:tc>
        <w:tc>
          <w:tcPr>
            <w:tcW w:w="420" w:type="dxa"/>
            <w:vAlign w:val="bottom"/>
            <w:tcBorders>
              <w:bottom w:val="single" w:sz="8" w:color="BF2115"/>
            </w:tcBorders>
            <w:shd w:val="clear" w:color="auto" w:fill="BF2115"/>
          </w:tcPr>
          <w:p>
            <w:pPr>
              <w:spacing w:after="0"/>
              <w:rPr>
                <w:sz w:val="6"/>
                <w:szCs w:val="6"/>
                <w:color w:val="auto"/>
              </w:rPr>
            </w:pPr>
          </w:p>
        </w:tc>
        <w:tc>
          <w:tcPr>
            <w:tcW w:w="1020" w:type="dxa"/>
            <w:vAlign w:val="bottom"/>
            <w:tcBorders>
              <w:bottom w:val="single" w:sz="8" w:color="BF2115"/>
            </w:tcBorders>
            <w:vMerge w:val="continue"/>
            <w:shd w:val="clear" w:color="auto" w:fill="BF2115"/>
          </w:tcPr>
          <w:p>
            <w:pPr>
              <w:spacing w:after="0"/>
              <w:rPr>
                <w:sz w:val="6"/>
                <w:szCs w:val="6"/>
                <w:color w:val="auto"/>
              </w:rPr>
            </w:pPr>
          </w:p>
        </w:tc>
        <w:tc>
          <w:tcPr>
            <w:tcW w:w="840" w:type="dxa"/>
            <w:vAlign w:val="bottom"/>
            <w:tcBorders>
              <w:bottom w:val="single" w:sz="8" w:color="BF2115"/>
            </w:tcBorders>
            <w:shd w:val="clear" w:color="auto" w:fill="BF2115"/>
          </w:tcPr>
          <w:p>
            <w:pPr>
              <w:spacing w:after="0"/>
              <w:rPr>
                <w:sz w:val="6"/>
                <w:szCs w:val="6"/>
                <w:color w:val="auto"/>
              </w:rPr>
            </w:pPr>
          </w:p>
        </w:tc>
        <w:tc>
          <w:tcPr>
            <w:tcW w:w="820" w:type="dxa"/>
            <w:vAlign w:val="bottom"/>
            <w:tcBorders>
              <w:bottom w:val="single" w:sz="8" w:color="BF2115"/>
            </w:tcBorders>
            <w:vMerge w:val="continue"/>
            <w:shd w:val="clear" w:color="auto" w:fill="BF2115"/>
          </w:tcPr>
          <w:p>
            <w:pPr>
              <w:spacing w:after="0"/>
              <w:rPr>
                <w:sz w:val="6"/>
                <w:szCs w:val="6"/>
                <w:color w:val="auto"/>
              </w:rPr>
            </w:pPr>
          </w:p>
        </w:tc>
        <w:tc>
          <w:tcPr>
            <w:tcW w:w="500" w:type="dxa"/>
            <w:vAlign w:val="bottom"/>
            <w:tcBorders>
              <w:bottom w:val="single" w:sz="8" w:color="BF2115"/>
            </w:tcBorders>
            <w:shd w:val="clear" w:color="auto" w:fill="BF2115"/>
          </w:tcPr>
          <w:p>
            <w:pPr>
              <w:spacing w:after="0"/>
              <w:rPr>
                <w:sz w:val="6"/>
                <w:szCs w:val="6"/>
                <w:color w:val="auto"/>
              </w:rPr>
            </w:pPr>
          </w:p>
        </w:tc>
        <w:tc>
          <w:tcPr>
            <w:tcW w:w="400" w:type="dxa"/>
            <w:vAlign w:val="bottom"/>
            <w:tcBorders>
              <w:bottom w:val="single" w:sz="8" w:color="BF2115"/>
            </w:tcBorders>
            <w:shd w:val="clear" w:color="auto" w:fill="BF2115"/>
          </w:tcPr>
          <w:p>
            <w:pPr>
              <w:spacing w:after="0"/>
              <w:rPr>
                <w:sz w:val="6"/>
                <w:szCs w:val="6"/>
                <w:color w:val="auto"/>
              </w:rPr>
            </w:pPr>
          </w:p>
        </w:tc>
        <w:tc>
          <w:tcPr>
            <w:tcW w:w="460" w:type="dxa"/>
            <w:vAlign w:val="bottom"/>
            <w:tcBorders>
              <w:bottom w:val="single" w:sz="8" w:color="BF2115"/>
            </w:tcBorders>
            <w:vMerge w:val="continue"/>
            <w:shd w:val="clear" w:color="auto" w:fill="BF2115"/>
          </w:tcPr>
          <w:p>
            <w:pPr>
              <w:spacing w:after="0"/>
              <w:rPr>
                <w:sz w:val="6"/>
                <w:szCs w:val="6"/>
                <w:color w:val="auto"/>
              </w:rPr>
            </w:pPr>
          </w:p>
        </w:tc>
        <w:tc>
          <w:tcPr>
            <w:tcW w:w="530" w:type="dxa"/>
            <w:vAlign w:val="bottom"/>
            <w:tcBorders>
              <w:bottom w:val="single" w:sz="8" w:color="BF2115"/>
            </w:tcBorders>
            <w:shd w:val="clear" w:color="auto" w:fill="BF2115"/>
          </w:tcPr>
          <w:p>
            <w:pPr>
              <w:spacing w:after="0"/>
              <w:rPr>
                <w:sz w:val="6"/>
                <w:szCs w:val="6"/>
                <w:color w:val="auto"/>
              </w:rPr>
            </w:pPr>
          </w:p>
        </w:tc>
        <w:tc>
          <w:tcPr>
            <w:tcW w:w="930" w:type="dxa"/>
            <w:vAlign w:val="bottom"/>
            <w:tcBorders>
              <w:bottom w:val="single" w:sz="8" w:color="BF2115"/>
            </w:tcBorders>
            <w:shd w:val="clear" w:color="auto" w:fill="BF2115"/>
          </w:tcPr>
          <w:p>
            <w:pPr>
              <w:spacing w:after="0"/>
              <w:rPr>
                <w:sz w:val="6"/>
                <w:szCs w:val="6"/>
                <w:color w:val="auto"/>
              </w:rPr>
            </w:pPr>
          </w:p>
        </w:tc>
        <w:tc>
          <w:tcPr>
            <w:tcW w:w="200" w:type="dxa"/>
            <w:vAlign w:val="bottom"/>
            <w:tcBorders>
              <w:bottom w:val="single" w:sz="8" w:color="BF2115"/>
            </w:tcBorders>
            <w:vMerge w:val="continue"/>
            <w:shd w:val="clear" w:color="auto" w:fill="BF2115"/>
          </w:tcPr>
          <w:p>
            <w:pPr>
              <w:spacing w:after="0"/>
              <w:rPr>
                <w:sz w:val="6"/>
                <w:szCs w:val="6"/>
                <w:color w:val="auto"/>
              </w:rPr>
            </w:pPr>
          </w:p>
        </w:tc>
        <w:tc>
          <w:tcPr>
            <w:tcW w:w="300" w:type="dxa"/>
            <w:vAlign w:val="bottom"/>
            <w:tcBorders>
              <w:bottom w:val="single" w:sz="8" w:color="BF2115"/>
            </w:tcBorders>
            <w:shd w:val="clear" w:color="auto" w:fill="BF2115"/>
          </w:tcPr>
          <w:p>
            <w:pPr>
              <w:spacing w:after="0"/>
              <w:rPr>
                <w:sz w:val="6"/>
                <w:szCs w:val="6"/>
                <w:color w:val="auto"/>
              </w:rPr>
            </w:pPr>
          </w:p>
        </w:tc>
        <w:tc>
          <w:tcPr>
            <w:tcW w:w="600" w:type="dxa"/>
            <w:vAlign w:val="bottom"/>
            <w:tcBorders>
              <w:bottom w:val="single" w:sz="8" w:color="BF2115"/>
            </w:tcBorders>
            <w:shd w:val="clear" w:color="auto" w:fill="BF2115"/>
          </w:tcPr>
          <w:p>
            <w:pPr>
              <w:spacing w:after="0"/>
              <w:rPr>
                <w:sz w:val="6"/>
                <w:szCs w:val="6"/>
                <w:color w:val="auto"/>
              </w:rPr>
            </w:pPr>
          </w:p>
        </w:tc>
        <w:tc>
          <w:tcPr>
            <w:tcW w:w="140" w:type="dxa"/>
            <w:vAlign w:val="bottom"/>
            <w:tcBorders>
              <w:bottom w:val="single" w:sz="8" w:color="BF2115"/>
            </w:tcBorders>
            <w:shd w:val="clear" w:color="auto" w:fill="BF2115"/>
          </w:tcPr>
          <w:p>
            <w:pPr>
              <w:spacing w:after="0"/>
              <w:rPr>
                <w:sz w:val="6"/>
                <w:szCs w:val="6"/>
                <w:color w:val="auto"/>
              </w:rPr>
            </w:pPr>
          </w:p>
        </w:tc>
        <w:tc>
          <w:tcPr>
            <w:tcW w:w="1160" w:type="dxa"/>
            <w:vAlign w:val="bottom"/>
            <w:tcBorders>
              <w:bottom w:val="single" w:sz="8" w:color="BF2115"/>
            </w:tcBorders>
            <w:vMerge w:val="continue"/>
            <w:shd w:val="clear" w:color="auto" w:fill="BF2115"/>
          </w:tcPr>
          <w:p>
            <w:pPr>
              <w:spacing w:after="0"/>
              <w:rPr>
                <w:sz w:val="6"/>
                <w:szCs w:val="6"/>
                <w:color w:val="auto"/>
              </w:rPr>
            </w:pPr>
          </w:p>
        </w:tc>
        <w:tc>
          <w:tcPr>
            <w:tcW w:w="260" w:type="dxa"/>
            <w:vAlign w:val="bottom"/>
            <w:tcBorders>
              <w:bottom w:val="single" w:sz="8" w:color="BF2115"/>
            </w:tcBorders>
            <w:shd w:val="clear" w:color="auto" w:fill="BF2115"/>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840" w:type="dxa"/>
            <w:vAlign w:val="bottom"/>
            <w:gridSpan w:val="3"/>
            <w:shd w:val="clear" w:color="auto" w:fill="ACACAC"/>
          </w:tcPr>
          <w:p>
            <w:pPr>
              <w:ind w:left="40"/>
              <w:spacing w:after="0"/>
              <w:rPr>
                <w:sz w:val="20"/>
                <w:szCs w:val="20"/>
                <w:color w:val="auto"/>
              </w:rPr>
            </w:pPr>
            <w:r>
              <w:rPr>
                <w:rFonts w:ascii="Arial" w:cs="Arial" w:eastAsia="Arial" w:hAnsi="Arial"/>
                <w:sz w:val="16"/>
                <w:szCs w:val="16"/>
                <w:color w:val="auto"/>
              </w:rPr>
              <w:t>Bryan L. Hughes</w:t>
            </w:r>
          </w:p>
        </w:tc>
        <w:tc>
          <w:tcPr>
            <w:tcW w:w="2280" w:type="dxa"/>
            <w:vAlign w:val="bottom"/>
            <w:gridSpan w:val="3"/>
            <w:shd w:val="clear" w:color="auto" w:fill="ACACAC"/>
          </w:tcPr>
          <w:p>
            <w:pPr>
              <w:jc w:val="right"/>
              <w:ind w:right="560"/>
              <w:spacing w:after="0"/>
              <w:rPr>
                <w:sz w:val="20"/>
                <w:szCs w:val="20"/>
                <w:color w:val="auto"/>
              </w:rPr>
            </w:pPr>
            <w:r>
              <w:rPr>
                <w:rFonts w:ascii="Arial" w:cs="Arial" w:eastAsia="Arial" w:hAnsi="Arial"/>
                <w:sz w:val="16"/>
                <w:szCs w:val="16"/>
                <w:color w:val="auto"/>
              </w:rPr>
              <w:t xml:space="preserve">24,680  </w:t>
            </w:r>
            <w:r>
              <w:rPr>
                <w:rFonts w:ascii="Arial" w:cs="Arial" w:eastAsia="Arial" w:hAnsi="Arial"/>
                <w:sz w:val="21"/>
                <w:szCs w:val="21"/>
                <w:color w:val="auto"/>
                <w:vertAlign w:val="superscript"/>
              </w:rPr>
              <w:t>(2)</w:t>
            </w:r>
          </w:p>
        </w:tc>
        <w:tc>
          <w:tcPr>
            <w:tcW w:w="820" w:type="dxa"/>
            <w:vAlign w:val="bottom"/>
            <w:shd w:val="clear" w:color="auto" w:fill="ACACAC"/>
          </w:tcPr>
          <w:p>
            <w:pPr>
              <w:spacing w:after="0"/>
              <w:rPr>
                <w:sz w:val="21"/>
                <w:szCs w:val="21"/>
                <w:color w:val="auto"/>
              </w:rPr>
            </w:pPr>
          </w:p>
        </w:tc>
        <w:tc>
          <w:tcPr>
            <w:tcW w:w="500" w:type="dxa"/>
            <w:vAlign w:val="bottom"/>
            <w:shd w:val="clear" w:color="auto" w:fill="ACACAC"/>
          </w:tcPr>
          <w:p>
            <w:pPr>
              <w:ind w:left="100"/>
              <w:spacing w:after="0"/>
              <w:rPr>
                <w:sz w:val="20"/>
                <w:szCs w:val="20"/>
                <w:color w:val="auto"/>
              </w:rPr>
            </w:pPr>
            <w:r>
              <w:rPr>
                <w:rFonts w:ascii="Arial" w:cs="Arial" w:eastAsia="Arial" w:hAnsi="Arial"/>
                <w:sz w:val="16"/>
                <w:szCs w:val="16"/>
                <w:color w:val="auto"/>
              </w:rPr>
              <w:t>—</w:t>
            </w:r>
          </w:p>
        </w:tc>
        <w:tc>
          <w:tcPr>
            <w:tcW w:w="1390" w:type="dxa"/>
            <w:vAlign w:val="bottom"/>
            <w:gridSpan w:val="3"/>
            <w:shd w:val="clear" w:color="auto" w:fill="ACACAC"/>
          </w:tcPr>
          <w:p>
            <w:pPr>
              <w:jc w:val="right"/>
              <w:ind w:right="90"/>
              <w:spacing w:after="0"/>
              <w:rPr>
                <w:sz w:val="20"/>
                <w:szCs w:val="20"/>
                <w:color w:val="auto"/>
              </w:rPr>
            </w:pPr>
            <w:r>
              <w:rPr>
                <w:rFonts w:ascii="Arial" w:cs="Arial" w:eastAsia="Arial" w:hAnsi="Arial"/>
                <w:sz w:val="16"/>
                <w:szCs w:val="16"/>
                <w:color w:val="auto"/>
              </w:rPr>
              <w:t>5,304</w:t>
            </w:r>
          </w:p>
        </w:tc>
        <w:tc>
          <w:tcPr>
            <w:tcW w:w="930" w:type="dxa"/>
            <w:vAlign w:val="bottom"/>
            <w:shd w:val="clear" w:color="auto" w:fill="ACACAC"/>
          </w:tcPr>
          <w:p>
            <w:pPr>
              <w:spacing w:after="0"/>
              <w:rPr>
                <w:sz w:val="21"/>
                <w:szCs w:val="21"/>
                <w:color w:val="auto"/>
              </w:rPr>
            </w:pPr>
          </w:p>
        </w:tc>
        <w:tc>
          <w:tcPr>
            <w:tcW w:w="200" w:type="dxa"/>
            <w:vAlign w:val="bottom"/>
            <w:shd w:val="clear" w:color="auto" w:fill="ACACAC"/>
          </w:tcPr>
          <w:p>
            <w:pPr>
              <w:spacing w:after="0"/>
              <w:rPr>
                <w:sz w:val="21"/>
                <w:szCs w:val="21"/>
                <w:color w:val="auto"/>
              </w:rPr>
            </w:pPr>
          </w:p>
        </w:tc>
        <w:tc>
          <w:tcPr>
            <w:tcW w:w="300" w:type="dxa"/>
            <w:vAlign w:val="bottom"/>
            <w:shd w:val="clear" w:color="auto" w:fill="ACACAC"/>
          </w:tcPr>
          <w:p>
            <w:pPr>
              <w:spacing w:after="0"/>
              <w:rPr>
                <w:sz w:val="21"/>
                <w:szCs w:val="21"/>
                <w:color w:val="auto"/>
              </w:rPr>
            </w:pPr>
          </w:p>
        </w:tc>
        <w:tc>
          <w:tcPr>
            <w:tcW w:w="600" w:type="dxa"/>
            <w:vAlign w:val="bottom"/>
            <w:shd w:val="clear" w:color="auto" w:fill="ACACAC"/>
          </w:tcPr>
          <w:p>
            <w:pPr>
              <w:ind w:left="320"/>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ACACAC"/>
          </w:tcPr>
          <w:p>
            <w:pPr>
              <w:jc w:val="right"/>
              <w:ind w:right="46"/>
              <w:spacing w:after="0"/>
              <w:rPr>
                <w:sz w:val="20"/>
                <w:szCs w:val="20"/>
                <w:color w:val="auto"/>
              </w:rPr>
            </w:pPr>
            <w:r>
              <w:rPr>
                <w:rFonts w:ascii="Arial" w:cs="Arial" w:eastAsia="Arial" w:hAnsi="Arial"/>
                <w:sz w:val="16"/>
                <w:szCs w:val="16"/>
                <w:color w:val="auto"/>
              </w:rPr>
              <w:t>90,776</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60" w:hanging="252"/>
        <w:spacing w:after="0" w:line="258" w:lineRule="auto"/>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Mr. Hughes deferred 15% of his Fiscal 2018 annual incentive plan payout into his deferred compensation account, totaling $60,792, which was previously reported as compensation to Mr. Hughes in the Summary Compensation Table for Fiscal 2018.</w:t>
      </w:r>
    </w:p>
    <w:p>
      <w:pPr>
        <w:spacing w:after="0" w:line="86" w:lineRule="exact"/>
        <w:rPr>
          <w:rFonts w:ascii="Arial" w:cs="Arial" w:eastAsia="Arial" w:hAnsi="Arial"/>
          <w:sz w:val="14"/>
          <w:szCs w:val="14"/>
          <w:color w:val="auto"/>
        </w:rPr>
      </w:pPr>
    </w:p>
    <w:p>
      <w:pPr>
        <w:ind w:left="260" w:right="20" w:hanging="252"/>
        <w:spacing w:after="0" w:line="258" w:lineRule="auto"/>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25% of Mr. Hughes' annual incentive plan payout for Fiscal 2019, which amount is included in the Non-Equity Incentive Plan Compensation column of the Summary Compensation Table.</w:t>
      </w:r>
    </w:p>
    <w:p>
      <w:pPr>
        <w:spacing w:after="0" w:line="38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Pursuant to the Company's Executive Deferred Compensation Plan (the "Deferred Compensation Plan"), certain senior management and highly compensated employees may elect to defer up to 50% of their base salary and up to 100% of their annual cash bonus on a pre-tax basis. Each participant's account is credited with earnings (or, in the case of losses, deducted) on a tax-deferred basis. This deferral is separate, and in addition to, any contributions made into the Company's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03" w:right="239" w:bottom="1440" w:gutter="0" w:footer="0" w:header="0"/>
        </w:sectPr>
      </w:pPr>
    </w:p>
    <w:bookmarkStart w:id="36" w:name="page37"/>
    <w:bookmarkEnd w:id="36"/>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828282"/>
        </w:rPr>
        <w:t>Potential Payments upon Termination or Change in Control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Executive Change in Control Agreements</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October 15, 2018, the Committee approved new executive change in control agreements for certain executive officers including our NEOs (excluding Mr. Clark), in order to align the Company's practices with market standard practices among the Company's peers. These agreements became effective in November and December of 2018. Due to the unique nature of Mr. Clark's employment and compensation arrangements with the Company initially entered into in connection with the Grand Design acquisition, Mr. Clark's executive change in control agreement was entered into effective as of September 1, 2019 in connection with his amended and restated employment agreement. We collectively refer to these executive change in control agreements herein as the "Agreements”.</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purpose of the Agreements is to reinforce and encourage executives to remain with the Company, to maintain objectivity and a high level of attention to their duties without distraction from the possibility of a change in control of the Company. The Agreements provide that in the event of a “Change in Control” of the Company, as that term is defined in the Agreements, each such executive (provided such Change in Control occurs when the executive is in the employ of the Company) would receive, in the event he or she ceases to be employed by the Company within two years following a Change in Control of the Company (for a reason other than death, disability, termination for cause or, under certain circumstances, a voluntary termination of employment by the executive), a lump-sum equal to two (or three, in the case of Mr. Happe) times the annual salary and target annual incentives (as well as annual COBRA premium cost). In the case of Mr. Clark, the total severance benefit would be capped at $3,000,000. This multiple was arrived at by the Committee after an analysis of certain Compensation Peers' change in control agreements at the time these agreements were initially developed.</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the Agreements, a “Change in Control” generally refers to the acquisition by a person or group of beneficial ownership of 30% or more of the combined voting power of the Company's voting securities, the Company's continuing directors ceasing to constitute a majority of its Board of Directors, or the consummation of a corporate transaction as defined below (unless immediately following such corporate transaction all or substantially all of the Company's previous holders of voting securities beneficially own 50% or more of the combined voting power of the resulting entity in substantially the same proportions). A "corporate transaction" generally means (i) a sale or other disposition of all or substantially all of the assets of the Company, or (ii) a merger, consolidation, share exchange or similar transaction involving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Annual Incentive Plan Payments</w:t>
      </w: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event of a “Change in Control” (as defined in the applicable Officers Incentive Compensation Plan), participants are entitled to receive awards within 15 days of the effective date of the Change in Control. For Fiscal 2019, the amount to be paid upon the occurrence of a Change in Control shall be the target amount or, in the Committee's discretion, the actual level of performance (if determinable), or in the case of awards beginning in Fiscal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2020, the greater of the actual level of performance (if determinable) and target. Prior to Fiscal 2019, such payment upon a Change in Control was not dependent upon termination of employment, and beginning in Fiscal 2019, payment is dependent upon termination of employment if the award is not assumed by the successor or is otherwise discontinued. A participant must be employed by the Company at the end of the fiscal year, or in the case of awards made beginning in Fiscal 2020, as of the bonus payment date, to be eligible for annual incentive payments, except for a Change in Control as described above or as otherwise determined by the Committee in its discretion upon retirement, disability and death.</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828282"/>
        </w:rPr>
        <w:t>2014 and 2019 Incentive Compensation Plan Payments</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6"/>
          <w:szCs w:val="16"/>
          <w:color w:val="828282"/>
        </w:rPr>
        <w:t>Long-Term Incentive Plan Payments</w:t>
      </w:r>
    </w:p>
    <w:p>
      <w:pPr>
        <w:spacing w:after="0" w:line="194" w:lineRule="exact"/>
        <w:rPr>
          <w:sz w:val="20"/>
          <w:szCs w:val="20"/>
          <w:color w:val="auto"/>
        </w:rPr>
      </w:pPr>
    </w:p>
    <w:p>
      <w:pPr>
        <w:jc w:val="both"/>
        <w:ind w:left="200"/>
        <w:spacing w:after="0" w:line="247" w:lineRule="auto"/>
        <w:rPr>
          <w:sz w:val="20"/>
          <w:szCs w:val="20"/>
          <w:color w:val="auto"/>
        </w:rPr>
      </w:pPr>
      <w:r>
        <w:rPr>
          <w:rFonts w:ascii="Arial" w:cs="Arial" w:eastAsia="Arial" w:hAnsi="Arial"/>
          <w:sz w:val="16"/>
          <w:szCs w:val="16"/>
          <w:color w:val="auto"/>
        </w:rPr>
        <w:t>In the event of a “Change in Control” (as defined in the applicable Plan or award agreement) participants are entitled to receive awards within 15 days of the effective date of the Change in Control. Prior to plan year Fiscal 2019, the amount to be paid was based on the Committee's estimate of our financial performance through the end of the applicable Long-Term Incentive Plan three-year performance period in which such Change in Control occurs, or in the case of plan years beginning in Fiscal 2019 and later, the amount paid will be the pro rata portion of the greater of the actual level of performance (if determinable) or target. Prior to plan year Fiscal 2019, such payment is not dependent upon termination of employment, and beginning with plan year Fiscal 2019, payment will be dependent upon participant's termination of employment if the award is not assumed by the successor or is otherwise discontinued. A participant must be employed by the Company at the end of the three-year fiscal period to be eligible for any long-term incentive award, except in cases of: death and termination due to disability (which each would result in a payment at target or, in the discretion of the Committee, based on actual results), or a Change in Control as described above or as waived by the Committee.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6"/>
          <w:szCs w:val="16"/>
          <w:color w:val="828282"/>
        </w:rPr>
        <w:t>Restricted Stock and Restricted Stock Units</w:t>
      </w:r>
    </w:p>
    <w:p>
      <w:pPr>
        <w:spacing w:after="0" w:line="194"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Pursuant to award agreements entered into by each NEO other than Mr. Clark, unvested awards of restricted stock or restricted stock units will immediately vest to NEOs under the following circumstances:</w:t>
      </w:r>
    </w:p>
    <w:p>
      <w:pPr>
        <w:spacing w:after="0" w:line="174" w:lineRule="exact"/>
        <w:rPr>
          <w:sz w:val="20"/>
          <w:szCs w:val="20"/>
          <w:color w:val="auto"/>
        </w:rPr>
      </w:pPr>
    </w:p>
    <w:p>
      <w:pPr>
        <w:jc w:val="both"/>
        <w:ind w:left="540" w:hanging="332"/>
        <w:spacing w:after="0" w:line="250"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death or disability (as defined in the applicable Plan) and, in the case of the Fiscal 2017 and 2018 restricted stock awards only, occurs after at least five consecutive years of employment with the Company, any unvested awards of restricted stock immediately vest</w:t>
      </w:r>
    </w:p>
    <w:p>
      <w:pPr>
        <w:spacing w:after="0" w:line="176"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In addition, any restricted shares awarded prior to Fiscal 2019 that are not vested under the 2014 Plan will vest upon a “Change in Control” (as defined in the 2014 Plan) of the Company, while restricted stock units awarded beginning in Fiscal 2019 that are not vested under the 2014 Plan or the 2019 Plan, as applicable, will vest upon the occurrence of a participant's termination following a "Change in Control" (as defined in the applicable Plan or award agreement) if the award is not assumed by the successor or is otherwise discontinued. In all other circumstances, in the event that a NEO ceases to be employed by the Company or any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ectPr>
          <w:pgSz w:w="11900" w:h="16838" w:orient="portrait"/>
          <w:cols w:equalWidth="0" w:num="2">
            <w:col w:w="5600" w:space="20"/>
            <w:col w:w="5800"/>
          </w:cols>
          <w:pgMar w:left="240" w:top="303" w:right="239" w:bottom="1440" w:gutter="0" w:footer="0" w:header="0"/>
          <w:type w:val="continuous"/>
        </w:sectPr>
      </w:pPr>
    </w:p>
    <w:bookmarkStart w:id="37" w:name="page38"/>
    <w:bookmarkEnd w:id="37"/>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80" w:type="dxa"/>
            <w:vAlign w:val="bottom"/>
          </w:tcPr>
          <w:p>
            <w:pPr>
              <w:spacing w:after="0"/>
              <w:rPr>
                <w:sz w:val="20"/>
                <w:szCs w:val="20"/>
                <w:color w:val="auto"/>
              </w:rPr>
            </w:pPr>
            <w:r>
              <w:rPr>
                <w:rFonts w:ascii="Arial" w:cs="Arial" w:eastAsia="Arial" w:hAnsi="Arial"/>
                <w:sz w:val="16"/>
                <w:szCs w:val="16"/>
                <w:color w:val="auto"/>
              </w:rPr>
              <w:t>subsidiary, any unvested awards held by such grantee will terminate and</w:t>
            </w:r>
          </w:p>
        </w:tc>
        <w:tc>
          <w:tcPr>
            <w:tcW w:w="5520" w:type="dxa"/>
            <w:vAlign w:val="bottom"/>
          </w:tcPr>
          <w:p>
            <w:pPr>
              <w:ind w:left="280"/>
              <w:spacing w:after="0"/>
              <w:rPr>
                <w:sz w:val="20"/>
                <w:szCs w:val="20"/>
                <w:color w:val="auto"/>
              </w:rPr>
            </w:pPr>
            <w:r>
              <w:rPr>
                <w:rFonts w:ascii="Arial" w:cs="Arial" w:eastAsia="Arial" w:hAnsi="Arial"/>
                <w:sz w:val="16"/>
                <w:szCs w:val="16"/>
                <w:color w:val="auto"/>
              </w:rPr>
              <w:t>options (or in the case of options granted beginning in Fiscal 2019 or</w:t>
            </w:r>
          </w:p>
        </w:tc>
        <w:tc>
          <w:tcPr>
            <w:tcW w:w="0" w:type="dxa"/>
            <w:vAlign w:val="bottom"/>
          </w:tcPr>
          <w:p>
            <w:pPr>
              <w:spacing w:after="0"/>
              <w:rPr>
                <w:sz w:val="1"/>
                <w:szCs w:val="1"/>
                <w:color w:val="auto"/>
              </w:rPr>
            </w:pPr>
          </w:p>
        </w:tc>
      </w:tr>
      <w:tr>
        <w:trPr>
          <w:trHeight w:val="195"/>
        </w:trPr>
        <w:tc>
          <w:tcPr>
            <w:tcW w:w="5880" w:type="dxa"/>
            <w:vAlign w:val="bottom"/>
          </w:tcPr>
          <w:p>
            <w:pPr>
              <w:spacing w:after="0"/>
              <w:rPr>
                <w:sz w:val="20"/>
                <w:szCs w:val="20"/>
                <w:color w:val="auto"/>
              </w:rPr>
            </w:pPr>
            <w:r>
              <w:rPr>
                <w:rFonts w:ascii="Arial" w:cs="Arial" w:eastAsia="Arial" w:hAnsi="Arial"/>
                <w:sz w:val="16"/>
                <w:szCs w:val="16"/>
                <w:color w:val="auto"/>
              </w:rPr>
              <w:t>thereafter be null and void.</w:t>
            </w:r>
          </w:p>
        </w:tc>
        <w:tc>
          <w:tcPr>
            <w:tcW w:w="5520" w:type="dxa"/>
            <w:vAlign w:val="bottom"/>
            <w:vMerge w:val="restart"/>
          </w:tcPr>
          <w:p>
            <w:pPr>
              <w:ind w:left="280"/>
              <w:spacing w:after="0"/>
              <w:rPr>
                <w:sz w:val="20"/>
                <w:szCs w:val="20"/>
                <w:color w:val="auto"/>
              </w:rPr>
            </w:pPr>
            <w:r>
              <w:rPr>
                <w:rFonts w:ascii="Arial" w:cs="Arial" w:eastAsia="Arial" w:hAnsi="Arial"/>
                <w:sz w:val="16"/>
                <w:szCs w:val="16"/>
                <w:color w:val="auto"/>
              </w:rPr>
              <w:t>after, for a period of one year after termination); and</w:t>
            </w:r>
          </w:p>
        </w:tc>
        <w:tc>
          <w:tcPr>
            <w:tcW w:w="0" w:type="dxa"/>
            <w:vAlign w:val="bottom"/>
          </w:tcPr>
          <w:p>
            <w:pPr>
              <w:spacing w:after="0"/>
              <w:rPr>
                <w:sz w:val="1"/>
                <w:szCs w:val="1"/>
                <w:color w:val="auto"/>
              </w:rPr>
            </w:pPr>
          </w:p>
        </w:tc>
      </w:tr>
      <w:tr>
        <w:trPr>
          <w:trHeight w:val="95"/>
        </w:trPr>
        <w:tc>
          <w:tcPr>
            <w:tcW w:w="5880" w:type="dxa"/>
            <w:vAlign w:val="bottom"/>
          </w:tcPr>
          <w:p>
            <w:pPr>
              <w:spacing w:after="0"/>
              <w:rPr>
                <w:sz w:val="8"/>
                <w:szCs w:val="8"/>
                <w:color w:val="auto"/>
              </w:rPr>
            </w:pPr>
          </w:p>
        </w:tc>
        <w:tc>
          <w:tcPr>
            <w:tcW w:w="5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420"/>
          </w:cols>
          <w:pgMar w:left="240" w:top="303" w:right="23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828282"/>
        </w:rPr>
        <w:t>Stock Options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Pursuant to the stock option agreements entered into by certain of our NEOs prior to Fiscal 2019, unvested options will vest upon a “Change in Control” (as defined in the 2014 Plan) of the Company, while in the case of unvested options awarded beginning in Fiscal 2019 under the 2014 Plan or 2019 Plan, as applicable, vesting will occur after a participant's termination following a "Change in Control" (as defined in the applicable award agreement or 2019 Plan) if the award is not assumed by the successor or is otherwise discontinued. In the event that a NEO ceases to be employed by the Company, stock options held by such NEO will vest as follows:</w:t>
      </w:r>
    </w:p>
    <w:p>
      <w:pPr>
        <w:spacing w:after="0" w:line="180" w:lineRule="exact"/>
        <w:rPr>
          <w:sz w:val="20"/>
          <w:szCs w:val="20"/>
          <w:color w:val="auto"/>
        </w:rPr>
      </w:pPr>
    </w:p>
    <w:p>
      <w:pPr>
        <w:jc w:val="both"/>
        <w:ind w:left="340" w:hanging="332"/>
        <w:spacing w:after="0" w:line="249"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disability and, in the case of the Fiscal 2017 and 2018 option awards only, occurs after at least five consecutive years of employment with the Company, the stock options become vested in full and immediately exercisable for a period of ten years after any stock option grant date for non-qualified stock</w:t>
      </w:r>
    </w:p>
    <w:p>
      <w:pPr>
        <w:spacing w:after="0" w:line="20" w:lineRule="exact"/>
        <w:rPr>
          <w:sz w:val="20"/>
          <w:szCs w:val="20"/>
          <w:color w:val="auto"/>
        </w:rPr>
      </w:pPr>
      <w:r>
        <w:rPr>
          <w:sz w:val="20"/>
          <w:szCs w:val="20"/>
          <w:color w:val="auto"/>
        </w:rPr>
        <w:br w:type="column"/>
      </w:r>
    </w:p>
    <w:p>
      <w:pPr>
        <w:jc w:val="both"/>
        <w:ind w:left="340" w:hanging="332"/>
        <w:spacing w:after="0" w:line="248"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death and, in the case of the Fiscal 2017 and 2018 option awards only, occurs after at least five consecutive years of employment with the Company, the options shall become vested in full and immediately exercisable by the NEO's estate or legal representative for a period of ten years after any stock option grant date for non-qualified stock options (or in the case of options granted beginning Fiscal 2019 or thereafter, for a period of one year after death).</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event that a NEO ceases to be employed by the Company other than because of a Change in Control, disability or death or, in the case of the Fiscal 2017 and Fiscal 2018 option awards only, if disability or death occurs before the NEO has completed five consecutive years of employment with the Company, any outstanding stock options held by the NEO which have not vested as of the date of termination of employment will terminate.</w:t>
      </w:r>
    </w:p>
    <w:p>
      <w:pPr>
        <w:spacing w:after="0" w:line="777"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p>
      <w:pPr>
        <w:spacing w:after="0"/>
        <w:rPr>
          <w:sz w:val="20"/>
          <w:szCs w:val="20"/>
          <w:color w:val="auto"/>
        </w:rPr>
      </w:pPr>
      <w:r>
        <w:rPr>
          <w:rFonts w:ascii="Arial" w:cs="Arial" w:eastAsia="Arial" w:hAnsi="Arial"/>
          <w:sz w:val="22"/>
          <w:szCs w:val="22"/>
          <w:color w:val="828282"/>
        </w:rPr>
        <w:t>Estimated Change in Control or Termination Payments and Benefits at the End of Fiscal 2019</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table reflects the payments and benefits payable to each of the NEOs in the event of a termination of the executive's employment under several different circumstances. The amounts shown assume that termination was effective as of August 31, 2019, at the executive's compensation and service levels as of that date, and are estimates of the amounts that would be payable to the NEOs in each scenario. The amounts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the amounts paid on termination of employment, among others, include the timing of event, compensation level, the market price of the Company's Common Stock and the executive's age.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20" w:type="dxa"/>
            <w:vAlign w:val="bottom"/>
            <w:shd w:val="clear" w:color="auto" w:fill="BF2115"/>
          </w:tcPr>
          <w:p>
            <w:pPr>
              <w:spacing w:after="0"/>
              <w:rPr>
                <w:sz w:val="15"/>
                <w:szCs w:val="15"/>
                <w:color w:val="auto"/>
              </w:rPr>
            </w:pPr>
          </w:p>
        </w:tc>
        <w:tc>
          <w:tcPr>
            <w:tcW w:w="1740" w:type="dxa"/>
            <w:vAlign w:val="bottom"/>
            <w:shd w:val="clear" w:color="auto" w:fill="BF2115"/>
          </w:tcPr>
          <w:p>
            <w:pPr>
              <w:spacing w:after="0"/>
              <w:rPr>
                <w:sz w:val="15"/>
                <w:szCs w:val="15"/>
                <w:color w:val="auto"/>
              </w:rPr>
            </w:pPr>
          </w:p>
        </w:tc>
        <w:tc>
          <w:tcPr>
            <w:tcW w:w="13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Annual or</w:t>
            </w:r>
          </w:p>
        </w:tc>
        <w:tc>
          <w:tcPr>
            <w:tcW w:w="1180" w:type="dxa"/>
            <w:vAlign w:val="bottom"/>
            <w:shd w:val="clear" w:color="auto" w:fill="BF2115"/>
          </w:tcPr>
          <w:p>
            <w:pPr>
              <w:spacing w:after="0"/>
              <w:rPr>
                <w:sz w:val="15"/>
                <w:szCs w:val="15"/>
                <w:color w:val="auto"/>
              </w:rPr>
            </w:pPr>
          </w:p>
        </w:tc>
        <w:tc>
          <w:tcPr>
            <w:tcW w:w="1280" w:type="dxa"/>
            <w:vAlign w:val="bottom"/>
            <w:shd w:val="clear" w:color="auto" w:fill="BF2115"/>
          </w:tcPr>
          <w:p>
            <w:pPr>
              <w:spacing w:after="0"/>
              <w:rPr>
                <w:sz w:val="15"/>
                <w:szCs w:val="15"/>
                <w:color w:val="auto"/>
              </w:rPr>
            </w:pPr>
          </w:p>
        </w:tc>
        <w:tc>
          <w:tcPr>
            <w:tcW w:w="1240" w:type="dxa"/>
            <w:vAlign w:val="bottom"/>
            <w:shd w:val="clear" w:color="auto" w:fill="BF2115"/>
          </w:tcPr>
          <w:p>
            <w:pPr>
              <w:spacing w:after="0"/>
              <w:rPr>
                <w:sz w:val="15"/>
                <w:szCs w:val="15"/>
                <w:color w:val="auto"/>
              </w:rPr>
            </w:pPr>
          </w:p>
        </w:tc>
        <w:tc>
          <w:tcPr>
            <w:tcW w:w="1240" w:type="dxa"/>
            <w:vAlign w:val="bottom"/>
            <w:shd w:val="clear" w:color="auto" w:fill="BF2115"/>
          </w:tcPr>
          <w:p>
            <w:pPr>
              <w:spacing w:after="0"/>
              <w:rPr>
                <w:sz w:val="15"/>
                <w:szCs w:val="15"/>
                <w:color w:val="auto"/>
              </w:rPr>
            </w:pPr>
          </w:p>
        </w:tc>
      </w:tr>
      <w:tr>
        <w:trPr>
          <w:trHeight w:val="162"/>
        </w:trPr>
        <w:tc>
          <w:tcPr>
            <w:tcW w:w="3420" w:type="dxa"/>
            <w:vAlign w:val="bottom"/>
            <w:shd w:val="clear" w:color="auto" w:fill="BF2115"/>
          </w:tcPr>
          <w:p>
            <w:pPr>
              <w:spacing w:after="0"/>
              <w:rPr>
                <w:sz w:val="14"/>
                <w:szCs w:val="14"/>
                <w:color w:val="auto"/>
              </w:rPr>
            </w:pPr>
          </w:p>
        </w:tc>
        <w:tc>
          <w:tcPr>
            <w:tcW w:w="1740" w:type="dxa"/>
            <w:vAlign w:val="bottom"/>
            <w:shd w:val="clear" w:color="auto" w:fill="BF2115"/>
          </w:tcPr>
          <w:p>
            <w:pPr>
              <w:spacing w:after="0"/>
              <w:rPr>
                <w:sz w:val="14"/>
                <w:szCs w:val="14"/>
                <w:color w:val="auto"/>
              </w:rPr>
            </w:pPr>
          </w:p>
        </w:tc>
        <w:tc>
          <w:tcPr>
            <w:tcW w:w="13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Management</w:t>
            </w:r>
          </w:p>
        </w:tc>
        <w:tc>
          <w:tcPr>
            <w:tcW w:w="11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LTIP /</w:t>
            </w:r>
          </w:p>
        </w:tc>
        <w:tc>
          <w:tcPr>
            <w:tcW w:w="12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12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Stock Options-</w:t>
            </w:r>
          </w:p>
        </w:tc>
        <w:tc>
          <w:tcPr>
            <w:tcW w:w="1240" w:type="dxa"/>
            <w:vAlign w:val="bottom"/>
            <w:shd w:val="clear" w:color="auto" w:fill="BF2115"/>
          </w:tcPr>
          <w:p>
            <w:pPr>
              <w:spacing w:after="0"/>
              <w:rPr>
                <w:sz w:val="14"/>
                <w:szCs w:val="14"/>
                <w:color w:val="auto"/>
              </w:rPr>
            </w:pPr>
          </w:p>
        </w:tc>
      </w:tr>
      <w:tr>
        <w:trPr>
          <w:trHeight w:val="162"/>
        </w:trPr>
        <w:tc>
          <w:tcPr>
            <w:tcW w:w="3420" w:type="dxa"/>
            <w:vAlign w:val="bottom"/>
            <w:shd w:val="clear" w:color="auto" w:fill="BF2115"/>
          </w:tcPr>
          <w:p>
            <w:pPr>
              <w:spacing w:after="0"/>
              <w:rPr>
                <w:sz w:val="14"/>
                <w:szCs w:val="14"/>
                <w:color w:val="auto"/>
              </w:rPr>
            </w:pPr>
          </w:p>
        </w:tc>
        <w:tc>
          <w:tcPr>
            <w:tcW w:w="1740" w:type="dxa"/>
            <w:vAlign w:val="bottom"/>
            <w:shd w:val="clear" w:color="auto" w:fill="BF2115"/>
          </w:tcPr>
          <w:p>
            <w:pPr>
              <w:spacing w:after="0"/>
              <w:rPr>
                <w:sz w:val="14"/>
                <w:szCs w:val="14"/>
                <w:color w:val="auto"/>
              </w:rPr>
            </w:pPr>
          </w:p>
        </w:tc>
        <w:tc>
          <w:tcPr>
            <w:tcW w:w="1320" w:type="dxa"/>
            <w:vAlign w:val="bottom"/>
            <w:shd w:val="clear" w:color="auto" w:fill="BF2115"/>
          </w:tcPr>
          <w:p>
            <w:pPr>
              <w:jc w:val="center"/>
              <w:spacing w:after="0" w:line="162" w:lineRule="exact"/>
              <w:rPr>
                <w:sz w:val="20"/>
                <w:szCs w:val="20"/>
                <w:color w:val="auto"/>
              </w:rPr>
            </w:pPr>
            <w:r>
              <w:rPr>
                <w:rFonts w:ascii="Arial" w:cs="Arial" w:eastAsia="Arial" w:hAnsi="Arial"/>
                <w:sz w:val="14"/>
                <w:szCs w:val="14"/>
                <w:b w:val="1"/>
                <w:bCs w:val="1"/>
                <w:color w:val="FFFFFF"/>
                <w:w w:val="99"/>
              </w:rPr>
              <w:t>Incentive Plan</w:t>
            </w:r>
            <w:r>
              <w:rPr>
                <w:rFonts w:ascii="Arial" w:cs="Arial" w:eastAsia="Arial" w:hAnsi="Arial"/>
                <w:sz w:val="17"/>
                <w:szCs w:val="17"/>
                <w:b w:val="1"/>
                <w:bCs w:val="1"/>
                <w:color w:val="FFFFFF"/>
                <w:w w:val="99"/>
                <w:vertAlign w:val="superscript"/>
              </w:rPr>
              <w:t>(2)</w:t>
            </w:r>
          </w:p>
        </w:tc>
        <w:tc>
          <w:tcPr>
            <w:tcW w:w="11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Performance</w:t>
            </w:r>
          </w:p>
        </w:tc>
        <w:tc>
          <w:tcPr>
            <w:tcW w:w="12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Unvested and</w:t>
            </w:r>
          </w:p>
        </w:tc>
        <w:tc>
          <w:tcPr>
            <w:tcW w:w="12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Unvested and</w:t>
            </w:r>
          </w:p>
        </w:tc>
        <w:tc>
          <w:tcPr>
            <w:tcW w:w="1240" w:type="dxa"/>
            <w:vAlign w:val="bottom"/>
            <w:shd w:val="clear" w:color="auto" w:fill="BF2115"/>
          </w:tcPr>
          <w:p>
            <w:pPr>
              <w:spacing w:after="0"/>
              <w:rPr>
                <w:sz w:val="14"/>
                <w:szCs w:val="14"/>
                <w:color w:val="auto"/>
              </w:rPr>
            </w:pPr>
          </w:p>
        </w:tc>
      </w:tr>
      <w:tr>
        <w:trPr>
          <w:trHeight w:val="202"/>
        </w:trPr>
        <w:tc>
          <w:tcPr>
            <w:tcW w:w="3420" w:type="dxa"/>
            <w:vAlign w:val="bottom"/>
            <w:tcBorders>
              <w:bottom w:val="single" w:sz="8" w:color="auto"/>
            </w:tcBorders>
            <w:shd w:val="clear" w:color="auto" w:fill="BF2115"/>
          </w:tcPr>
          <w:p>
            <w:pPr>
              <w:ind w:left="40"/>
              <w:spacing w:after="0"/>
              <w:rPr>
                <w:sz w:val="20"/>
                <w:szCs w:val="20"/>
                <w:color w:val="auto"/>
              </w:rPr>
            </w:pPr>
            <w:r>
              <w:rPr>
                <w:rFonts w:ascii="Arial" w:cs="Arial" w:eastAsia="Arial" w:hAnsi="Arial"/>
                <w:sz w:val="14"/>
                <w:szCs w:val="14"/>
                <w:b w:val="1"/>
                <w:bCs w:val="1"/>
                <w:color w:val="FFFFFF"/>
              </w:rPr>
              <w:t>Name</w:t>
            </w:r>
          </w:p>
        </w:tc>
        <w:tc>
          <w:tcPr>
            <w:tcW w:w="1740" w:type="dxa"/>
            <w:vAlign w:val="bottom"/>
            <w:tcBorders>
              <w:bottom w:val="single" w:sz="8" w:color="auto"/>
            </w:tcBorders>
            <w:shd w:val="clear" w:color="auto" w:fill="BF2115"/>
          </w:tcPr>
          <w:p>
            <w:pPr>
              <w:jc w:val="right"/>
              <w:ind w:right="48"/>
              <w:spacing w:after="0"/>
              <w:rPr>
                <w:sz w:val="20"/>
                <w:szCs w:val="20"/>
                <w:color w:val="auto"/>
              </w:rPr>
            </w:pPr>
            <w:r>
              <w:rPr>
                <w:rFonts w:ascii="Arial" w:cs="Arial" w:eastAsia="Arial" w:hAnsi="Arial"/>
                <w:sz w:val="14"/>
                <w:szCs w:val="14"/>
                <w:b w:val="1"/>
                <w:bCs w:val="1"/>
                <w:color w:val="FFFFFF"/>
              </w:rPr>
              <w:t>Severance</w:t>
            </w:r>
            <w:r>
              <w:rPr>
                <w:rFonts w:ascii="Arial" w:cs="Arial" w:eastAsia="Arial" w:hAnsi="Arial"/>
                <w:sz w:val="17"/>
                <w:szCs w:val="17"/>
                <w:b w:val="1"/>
                <w:bCs w:val="1"/>
                <w:color w:val="FFFFFF"/>
                <w:vertAlign w:val="superscript"/>
              </w:rPr>
              <w:t>(1)</w:t>
            </w:r>
            <w:r>
              <w:rPr>
                <w:rFonts w:ascii="Arial" w:cs="Arial" w:eastAsia="Arial" w:hAnsi="Arial"/>
                <w:sz w:val="14"/>
                <w:szCs w:val="14"/>
                <w:b w:val="1"/>
                <w:bCs w:val="1"/>
                <w:color w:val="FFFFFF"/>
              </w:rPr>
              <w:t xml:space="preserve"> ($)</w:t>
            </w:r>
          </w:p>
        </w:tc>
        <w:tc>
          <w:tcPr>
            <w:tcW w:w="132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4"/>
                <w:szCs w:val="14"/>
                <w:b w:val="1"/>
                <w:bCs w:val="1"/>
                <w:color w:val="FFFFFF"/>
                <w:w w:val="93"/>
              </w:rPr>
              <w:t>($)</w:t>
            </w:r>
          </w:p>
        </w:tc>
        <w:tc>
          <w:tcPr>
            <w:tcW w:w="118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Shares</w:t>
            </w:r>
            <w:r>
              <w:rPr>
                <w:rFonts w:ascii="Arial" w:cs="Arial" w:eastAsia="Arial" w:hAnsi="Arial"/>
                <w:sz w:val="17"/>
                <w:szCs w:val="17"/>
                <w:b w:val="1"/>
                <w:bCs w:val="1"/>
                <w:color w:val="FFFFFF"/>
                <w:w w:val="98"/>
                <w:vertAlign w:val="superscript"/>
              </w:rPr>
              <w:t>(3)</w:t>
            </w:r>
            <w:r>
              <w:rPr>
                <w:rFonts w:ascii="Arial" w:cs="Arial" w:eastAsia="Arial" w:hAnsi="Arial"/>
                <w:sz w:val="14"/>
                <w:szCs w:val="14"/>
                <w:b w:val="1"/>
                <w:bCs w:val="1"/>
                <w:color w:val="FFFFFF"/>
                <w:w w:val="98"/>
              </w:rPr>
              <w:t xml:space="preserve"> ($)</w:t>
            </w:r>
          </w:p>
        </w:tc>
        <w:tc>
          <w:tcPr>
            <w:tcW w:w="128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Accelerated</w:t>
            </w:r>
            <w:r>
              <w:rPr>
                <w:rFonts w:ascii="Arial" w:cs="Arial" w:eastAsia="Arial" w:hAnsi="Arial"/>
                <w:sz w:val="17"/>
                <w:szCs w:val="17"/>
                <w:b w:val="1"/>
                <w:bCs w:val="1"/>
                <w:color w:val="FFFFFF"/>
                <w:w w:val="98"/>
                <w:vertAlign w:val="superscript"/>
              </w:rPr>
              <w:t>(4)</w:t>
            </w:r>
            <w:r>
              <w:rPr>
                <w:rFonts w:ascii="Arial" w:cs="Arial" w:eastAsia="Arial" w:hAnsi="Arial"/>
                <w:sz w:val="14"/>
                <w:szCs w:val="14"/>
                <w:b w:val="1"/>
                <w:bCs w:val="1"/>
                <w:color w:val="FFFFFF"/>
                <w:w w:val="98"/>
              </w:rPr>
              <w:t xml:space="preserve"> ($)</w:t>
            </w:r>
          </w:p>
        </w:tc>
        <w:tc>
          <w:tcPr>
            <w:tcW w:w="124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Accelerated</w:t>
            </w:r>
            <w:r>
              <w:rPr>
                <w:rFonts w:ascii="Arial" w:cs="Arial" w:eastAsia="Arial" w:hAnsi="Arial"/>
                <w:sz w:val="17"/>
                <w:szCs w:val="17"/>
                <w:b w:val="1"/>
                <w:bCs w:val="1"/>
                <w:color w:val="FFFFFF"/>
                <w:w w:val="98"/>
                <w:vertAlign w:val="superscript"/>
              </w:rPr>
              <w:t>(5)</w:t>
            </w:r>
            <w:r>
              <w:rPr>
                <w:rFonts w:ascii="Arial" w:cs="Arial" w:eastAsia="Arial" w:hAnsi="Arial"/>
                <w:sz w:val="14"/>
                <w:szCs w:val="14"/>
                <w:b w:val="1"/>
                <w:bCs w:val="1"/>
                <w:color w:val="FFFFFF"/>
                <w:w w:val="98"/>
              </w:rPr>
              <w:t xml:space="preserve"> ($)</w:t>
            </w:r>
          </w:p>
        </w:tc>
        <w:tc>
          <w:tcPr>
            <w:tcW w:w="1240" w:type="dxa"/>
            <w:vAlign w:val="bottom"/>
            <w:tcBorders>
              <w:bottom w:val="single" w:sz="8" w:color="auto"/>
            </w:tcBorders>
            <w:shd w:val="clear" w:color="auto" w:fill="BF2115"/>
          </w:tcPr>
          <w:p>
            <w:pPr>
              <w:jc w:val="right"/>
              <w:spacing w:after="0"/>
              <w:rPr>
                <w:sz w:val="20"/>
                <w:szCs w:val="20"/>
                <w:color w:val="auto"/>
              </w:rPr>
            </w:pPr>
            <w:r>
              <w:rPr>
                <w:rFonts w:ascii="Arial" w:cs="Arial" w:eastAsia="Arial" w:hAnsi="Arial"/>
                <w:sz w:val="14"/>
                <w:szCs w:val="14"/>
                <w:b w:val="1"/>
                <w:bCs w:val="1"/>
                <w:color w:val="FFFFFF"/>
              </w:rPr>
              <w:t>Total Benefits ($)</w:t>
            </w:r>
          </w:p>
        </w:tc>
      </w:tr>
      <w:tr>
        <w:trPr>
          <w:trHeight w:val="244"/>
        </w:trPr>
        <w:tc>
          <w:tcPr>
            <w:tcW w:w="34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color w:val="auto"/>
                <w:highlight w:val="darkGray"/>
              </w:rPr>
              <w:t>Michael J. Happe</w:t>
            </w:r>
          </w:p>
        </w:tc>
        <w:tc>
          <w:tcPr>
            <w:tcW w:w="1740" w:type="dxa"/>
            <w:vAlign w:val="bottom"/>
            <w:tcBorders>
              <w:bottom w:val="single" w:sz="8" w:color="ACACAC"/>
            </w:tcBorders>
            <w:shd w:val="clear" w:color="auto" w:fill="ACACAC"/>
          </w:tcPr>
          <w:p>
            <w:pPr>
              <w:spacing w:after="0"/>
              <w:rPr>
                <w:sz w:val="21"/>
                <w:szCs w:val="21"/>
                <w:color w:val="auto"/>
              </w:rPr>
            </w:pPr>
          </w:p>
        </w:tc>
        <w:tc>
          <w:tcPr>
            <w:tcW w:w="1320" w:type="dxa"/>
            <w:vAlign w:val="bottom"/>
            <w:tcBorders>
              <w:bottom w:val="single" w:sz="8" w:color="ACACAC"/>
            </w:tcBorders>
            <w:shd w:val="clear" w:color="auto" w:fill="ACACAC"/>
          </w:tcPr>
          <w:p>
            <w:pPr>
              <w:spacing w:after="0"/>
              <w:rPr>
                <w:sz w:val="21"/>
                <w:szCs w:val="21"/>
                <w:color w:val="auto"/>
              </w:rPr>
            </w:pPr>
          </w:p>
        </w:tc>
        <w:tc>
          <w:tcPr>
            <w:tcW w:w="1180" w:type="dxa"/>
            <w:vAlign w:val="bottom"/>
            <w:tcBorders>
              <w:bottom w:val="single" w:sz="8" w:color="ACACAC"/>
            </w:tcBorders>
            <w:shd w:val="clear" w:color="auto" w:fill="ACACAC"/>
          </w:tcPr>
          <w:p>
            <w:pPr>
              <w:spacing w:after="0"/>
              <w:rPr>
                <w:sz w:val="21"/>
                <w:szCs w:val="21"/>
                <w:color w:val="auto"/>
              </w:rPr>
            </w:pPr>
          </w:p>
        </w:tc>
        <w:tc>
          <w:tcPr>
            <w:tcW w:w="1280" w:type="dxa"/>
            <w:vAlign w:val="bottom"/>
            <w:tcBorders>
              <w:bottom w:val="single" w:sz="8" w:color="ACACAC"/>
            </w:tcBorders>
            <w:shd w:val="clear" w:color="auto" w:fill="ACACAC"/>
          </w:tcPr>
          <w:p>
            <w:pPr>
              <w:spacing w:after="0"/>
              <w:rPr>
                <w:sz w:val="21"/>
                <w:szCs w:val="21"/>
                <w:color w:val="auto"/>
              </w:rPr>
            </w:pPr>
          </w:p>
        </w:tc>
        <w:tc>
          <w:tcPr>
            <w:tcW w:w="1240" w:type="dxa"/>
            <w:vAlign w:val="bottom"/>
            <w:tcBorders>
              <w:bottom w:val="single" w:sz="8" w:color="ACACAC"/>
            </w:tcBorders>
            <w:shd w:val="clear" w:color="auto" w:fill="ACACAC"/>
          </w:tcPr>
          <w:p>
            <w:pPr>
              <w:spacing w:after="0"/>
              <w:rPr>
                <w:sz w:val="21"/>
                <w:szCs w:val="21"/>
                <w:color w:val="auto"/>
              </w:rPr>
            </w:pPr>
          </w:p>
        </w:tc>
        <w:tc>
          <w:tcPr>
            <w:tcW w:w="1240" w:type="dxa"/>
            <w:vAlign w:val="bottom"/>
            <w:tcBorders>
              <w:bottom w:val="single" w:sz="8" w:color="ACACAC"/>
            </w:tcBorders>
            <w:shd w:val="clear" w:color="auto" w:fill="ACACAC"/>
          </w:tcPr>
          <w:p>
            <w:pPr>
              <w:spacing w:after="0"/>
              <w:rPr>
                <w:sz w:val="21"/>
                <w:szCs w:val="21"/>
                <w:color w:val="auto"/>
              </w:rPr>
            </w:pPr>
          </w:p>
        </w:tc>
      </w:tr>
      <w:tr>
        <w:trPr>
          <w:trHeight w:val="216"/>
        </w:trPr>
        <w:tc>
          <w:tcPr>
            <w:tcW w:w="3420" w:type="dxa"/>
            <w:vAlign w:val="bottom"/>
          </w:tcPr>
          <w:p>
            <w:pPr>
              <w:ind w:left="40"/>
              <w:spacing w:after="0"/>
              <w:rPr>
                <w:sz w:val="20"/>
                <w:szCs w:val="20"/>
                <w:color w:val="auto"/>
              </w:rPr>
            </w:pPr>
            <w:r>
              <w:rPr>
                <w:rFonts w:ascii="Arial" w:cs="Arial" w:eastAsia="Arial" w:hAnsi="Arial"/>
                <w:sz w:val="14"/>
                <w:szCs w:val="14"/>
                <w:color w:val="auto"/>
              </w:rPr>
              <w:t>Retirement</w:t>
            </w:r>
            <w:r>
              <w:rPr>
                <w:rFonts w:ascii="Arial" w:cs="Arial" w:eastAsia="Arial" w:hAnsi="Arial"/>
                <w:sz w:val="17"/>
                <w:szCs w:val="17"/>
                <w:color w:val="auto"/>
                <w:vertAlign w:val="superscript"/>
              </w:rPr>
              <w:t>(6)</w:t>
            </w:r>
            <w:r>
              <w:rPr>
                <w:rFonts w:ascii="Arial" w:cs="Arial" w:eastAsia="Arial" w:hAnsi="Arial"/>
                <w:sz w:val="14"/>
                <w:szCs w:val="14"/>
                <w:color w:val="auto"/>
              </w:rPr>
              <w:t xml:space="preserve"> or Voluntary Separation</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3420" w:type="dxa"/>
            <w:vAlign w:val="bottom"/>
            <w:shd w:val="clear" w:color="auto" w:fill="ACACAC"/>
          </w:tcPr>
          <w:p>
            <w:pPr>
              <w:ind w:left="40"/>
              <w:spacing w:after="0"/>
              <w:rPr>
                <w:sz w:val="20"/>
                <w:szCs w:val="20"/>
                <w:color w:val="auto"/>
              </w:rPr>
            </w:pPr>
            <w:r>
              <w:rPr>
                <w:rFonts w:ascii="Arial" w:cs="Arial" w:eastAsia="Arial" w:hAnsi="Arial"/>
                <w:sz w:val="14"/>
                <w:szCs w:val="14"/>
                <w:color w:val="auto"/>
              </w:rPr>
              <w:t>Involuntary Termination for Cause</w:t>
            </w:r>
          </w:p>
        </w:tc>
        <w:tc>
          <w:tcPr>
            <w:tcW w:w="17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420" w:type="dxa"/>
            <w:vAlign w:val="bottom"/>
          </w:tcPr>
          <w:p>
            <w:pPr>
              <w:ind w:left="40"/>
              <w:spacing w:after="0"/>
              <w:rPr>
                <w:sz w:val="20"/>
                <w:szCs w:val="20"/>
                <w:color w:val="auto"/>
              </w:rPr>
            </w:pPr>
            <w:r>
              <w:rPr>
                <w:rFonts w:ascii="Arial" w:cs="Arial" w:eastAsia="Arial" w:hAnsi="Arial"/>
                <w:sz w:val="14"/>
                <w:szCs w:val="14"/>
                <w:color w:val="auto"/>
              </w:rPr>
              <w:t>Change of Control:</w:t>
            </w:r>
            <w:r>
              <w:rPr>
                <w:rFonts w:ascii="Arial" w:cs="Arial" w:eastAsia="Arial" w:hAnsi="Arial"/>
                <w:sz w:val="17"/>
                <w:szCs w:val="17"/>
                <w:color w:val="auto"/>
                <w:vertAlign w:val="superscript"/>
              </w:rPr>
              <w:t>(7)</w:t>
            </w:r>
          </w:p>
        </w:tc>
        <w:tc>
          <w:tcPr>
            <w:tcW w:w="1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6"/>
        </w:trPr>
        <w:tc>
          <w:tcPr>
            <w:tcW w:w="3420" w:type="dxa"/>
            <w:vAlign w:val="bottom"/>
            <w:shd w:val="clear" w:color="auto" w:fill="ACACAC"/>
          </w:tcPr>
          <w:p>
            <w:pPr>
              <w:ind w:left="180"/>
              <w:spacing w:after="0"/>
              <w:rPr>
                <w:sz w:val="20"/>
                <w:szCs w:val="20"/>
                <w:color w:val="auto"/>
              </w:rPr>
            </w:pPr>
            <w:r>
              <w:rPr>
                <w:rFonts w:ascii="Arial" w:cs="Arial" w:eastAsia="Arial" w:hAnsi="Arial"/>
                <w:sz w:val="14"/>
                <w:szCs w:val="14"/>
                <w:color w:val="auto"/>
              </w:rPr>
              <w:t>Without Termination</w:t>
            </w:r>
          </w:p>
        </w:tc>
        <w:tc>
          <w:tcPr>
            <w:tcW w:w="17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2,283,923</w:t>
            </w:r>
          </w:p>
        </w:tc>
        <w:tc>
          <w:tcPr>
            <w:tcW w:w="128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820,865</w:t>
            </w:r>
          </w:p>
        </w:tc>
        <w:tc>
          <w:tcPr>
            <w:tcW w:w="12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190,117</w:t>
            </w:r>
          </w:p>
        </w:tc>
        <w:tc>
          <w:tcPr>
            <w:tcW w:w="124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3,294,905</w:t>
            </w:r>
          </w:p>
        </w:tc>
      </w:tr>
      <w:tr>
        <w:trPr>
          <w:trHeight w:val="210"/>
        </w:trPr>
        <w:tc>
          <w:tcPr>
            <w:tcW w:w="3420" w:type="dxa"/>
            <w:vAlign w:val="bottom"/>
          </w:tcPr>
          <w:p>
            <w:pPr>
              <w:ind w:left="180"/>
              <w:spacing w:after="0"/>
              <w:rPr>
                <w:sz w:val="20"/>
                <w:szCs w:val="20"/>
                <w:color w:val="auto"/>
              </w:rPr>
            </w:pPr>
            <w:r>
              <w:rPr>
                <w:rFonts w:ascii="Arial" w:cs="Arial" w:eastAsia="Arial" w:hAnsi="Arial"/>
                <w:sz w:val="14"/>
                <w:szCs w:val="14"/>
                <w:color w:val="auto"/>
              </w:rPr>
              <w:t>Termination Without Cause/Good Reason</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4,252,330</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150,000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2,283,923</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820,865</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190,117</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7,697,235</w:t>
            </w:r>
          </w:p>
        </w:tc>
      </w:tr>
      <w:tr>
        <w:trPr>
          <w:trHeight w:val="222"/>
        </w:trPr>
        <w:tc>
          <w:tcPr>
            <w:tcW w:w="3420" w:type="dxa"/>
            <w:vAlign w:val="bottom"/>
            <w:shd w:val="clear" w:color="auto" w:fill="ACACAC"/>
          </w:tcPr>
          <w:p>
            <w:pPr>
              <w:ind w:left="40"/>
              <w:spacing w:after="0"/>
              <w:rPr>
                <w:sz w:val="20"/>
                <w:szCs w:val="20"/>
                <w:color w:val="auto"/>
              </w:rPr>
            </w:pPr>
            <w:r>
              <w:rPr>
                <w:rFonts w:ascii="Arial" w:cs="Arial" w:eastAsia="Arial" w:hAnsi="Arial"/>
                <w:sz w:val="14"/>
                <w:szCs w:val="14"/>
                <w:color w:val="auto"/>
              </w:rPr>
              <w:t>Death</w:t>
            </w:r>
          </w:p>
        </w:tc>
        <w:tc>
          <w:tcPr>
            <w:tcW w:w="17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150,000</w:t>
            </w: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2,283,923</w:t>
            </w:r>
          </w:p>
        </w:tc>
        <w:tc>
          <w:tcPr>
            <w:tcW w:w="128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820,865</w:t>
            </w:r>
          </w:p>
        </w:tc>
        <w:tc>
          <w:tcPr>
            <w:tcW w:w="12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190,117</w:t>
            </w:r>
          </w:p>
        </w:tc>
        <w:tc>
          <w:tcPr>
            <w:tcW w:w="124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3,444,905</w:t>
            </w:r>
          </w:p>
        </w:tc>
      </w:tr>
      <w:tr>
        <w:trPr>
          <w:trHeight w:val="210"/>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Disability</w:t>
            </w: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150,000</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2,283,923</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820,865</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190,117</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3,444,905</w:t>
            </w:r>
          </w:p>
        </w:tc>
      </w:tr>
      <w:tr>
        <w:trPr>
          <w:trHeight w:val="250"/>
        </w:trPr>
        <w:tc>
          <w:tcPr>
            <w:tcW w:w="34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color w:val="auto"/>
                <w:highlight w:val="darkGray"/>
              </w:rPr>
              <w:t>Bryan L. Hughes</w:t>
            </w:r>
          </w:p>
        </w:tc>
        <w:tc>
          <w:tcPr>
            <w:tcW w:w="1740" w:type="dxa"/>
            <w:vAlign w:val="bottom"/>
            <w:tcBorders>
              <w:bottom w:val="single" w:sz="8" w:color="ACACAC"/>
            </w:tcBorders>
            <w:shd w:val="clear" w:color="auto" w:fill="ACACAC"/>
          </w:tcPr>
          <w:p>
            <w:pPr>
              <w:spacing w:after="0"/>
              <w:rPr>
                <w:sz w:val="21"/>
                <w:szCs w:val="21"/>
                <w:color w:val="auto"/>
              </w:rPr>
            </w:pPr>
          </w:p>
        </w:tc>
        <w:tc>
          <w:tcPr>
            <w:tcW w:w="1320" w:type="dxa"/>
            <w:vAlign w:val="bottom"/>
            <w:tcBorders>
              <w:bottom w:val="single" w:sz="8" w:color="ACACAC"/>
            </w:tcBorders>
            <w:shd w:val="clear" w:color="auto" w:fill="ACACAC"/>
          </w:tcPr>
          <w:p>
            <w:pPr>
              <w:spacing w:after="0"/>
              <w:rPr>
                <w:sz w:val="21"/>
                <w:szCs w:val="21"/>
                <w:color w:val="auto"/>
              </w:rPr>
            </w:pPr>
          </w:p>
        </w:tc>
        <w:tc>
          <w:tcPr>
            <w:tcW w:w="1180" w:type="dxa"/>
            <w:vAlign w:val="bottom"/>
            <w:tcBorders>
              <w:bottom w:val="single" w:sz="8" w:color="ACACAC"/>
            </w:tcBorders>
            <w:shd w:val="clear" w:color="auto" w:fill="ACACAC"/>
          </w:tcPr>
          <w:p>
            <w:pPr>
              <w:spacing w:after="0"/>
              <w:rPr>
                <w:sz w:val="21"/>
                <w:szCs w:val="21"/>
                <w:color w:val="auto"/>
              </w:rPr>
            </w:pPr>
          </w:p>
        </w:tc>
        <w:tc>
          <w:tcPr>
            <w:tcW w:w="1280" w:type="dxa"/>
            <w:vAlign w:val="bottom"/>
            <w:tcBorders>
              <w:bottom w:val="single" w:sz="8" w:color="ACACAC"/>
            </w:tcBorders>
            <w:shd w:val="clear" w:color="auto" w:fill="ACACAC"/>
          </w:tcPr>
          <w:p>
            <w:pPr>
              <w:spacing w:after="0"/>
              <w:rPr>
                <w:sz w:val="21"/>
                <w:szCs w:val="21"/>
                <w:color w:val="auto"/>
              </w:rPr>
            </w:pPr>
          </w:p>
        </w:tc>
        <w:tc>
          <w:tcPr>
            <w:tcW w:w="1240" w:type="dxa"/>
            <w:vAlign w:val="bottom"/>
            <w:tcBorders>
              <w:bottom w:val="single" w:sz="8" w:color="ACACAC"/>
            </w:tcBorders>
            <w:shd w:val="clear" w:color="auto" w:fill="ACACAC"/>
          </w:tcPr>
          <w:p>
            <w:pPr>
              <w:spacing w:after="0"/>
              <w:rPr>
                <w:sz w:val="21"/>
                <w:szCs w:val="21"/>
                <w:color w:val="auto"/>
              </w:rPr>
            </w:pPr>
          </w:p>
        </w:tc>
        <w:tc>
          <w:tcPr>
            <w:tcW w:w="1240" w:type="dxa"/>
            <w:vAlign w:val="bottom"/>
            <w:tcBorders>
              <w:bottom w:val="single" w:sz="8" w:color="ACACAC"/>
            </w:tcBorders>
            <w:shd w:val="clear" w:color="auto" w:fill="ACACAC"/>
          </w:tcPr>
          <w:p>
            <w:pPr>
              <w:spacing w:after="0"/>
              <w:rPr>
                <w:sz w:val="21"/>
                <w:szCs w:val="21"/>
                <w:color w:val="auto"/>
              </w:rPr>
            </w:pPr>
          </w:p>
        </w:tc>
      </w:tr>
      <w:tr>
        <w:trPr>
          <w:trHeight w:val="216"/>
        </w:trPr>
        <w:tc>
          <w:tcPr>
            <w:tcW w:w="3420" w:type="dxa"/>
            <w:vAlign w:val="bottom"/>
          </w:tcPr>
          <w:p>
            <w:pPr>
              <w:ind w:left="40"/>
              <w:spacing w:after="0"/>
              <w:rPr>
                <w:sz w:val="20"/>
                <w:szCs w:val="20"/>
                <w:color w:val="auto"/>
              </w:rPr>
            </w:pPr>
            <w:r>
              <w:rPr>
                <w:rFonts w:ascii="Arial" w:cs="Arial" w:eastAsia="Arial" w:hAnsi="Arial"/>
                <w:sz w:val="14"/>
                <w:szCs w:val="14"/>
                <w:color w:val="auto"/>
              </w:rPr>
              <w:t>Retirement</w:t>
            </w:r>
            <w:r>
              <w:rPr>
                <w:rFonts w:ascii="Arial" w:cs="Arial" w:eastAsia="Arial" w:hAnsi="Arial"/>
                <w:sz w:val="17"/>
                <w:szCs w:val="17"/>
                <w:color w:val="auto"/>
                <w:vertAlign w:val="superscript"/>
              </w:rPr>
              <w:t>(6)</w:t>
            </w:r>
            <w:r>
              <w:rPr>
                <w:rFonts w:ascii="Arial" w:cs="Arial" w:eastAsia="Arial" w:hAnsi="Arial"/>
                <w:sz w:val="14"/>
                <w:szCs w:val="14"/>
                <w:color w:val="auto"/>
              </w:rPr>
              <w:t xml:space="preserve"> or Voluntary Separation</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3420" w:type="dxa"/>
            <w:vAlign w:val="bottom"/>
            <w:shd w:val="clear" w:color="auto" w:fill="ACACAC"/>
          </w:tcPr>
          <w:p>
            <w:pPr>
              <w:ind w:left="40"/>
              <w:spacing w:after="0"/>
              <w:rPr>
                <w:sz w:val="20"/>
                <w:szCs w:val="20"/>
                <w:color w:val="auto"/>
              </w:rPr>
            </w:pPr>
            <w:r>
              <w:rPr>
                <w:rFonts w:ascii="Arial" w:cs="Arial" w:eastAsia="Arial" w:hAnsi="Arial"/>
                <w:sz w:val="14"/>
                <w:szCs w:val="14"/>
                <w:color w:val="auto"/>
              </w:rPr>
              <w:t>Involuntary Termination for Cause</w:t>
            </w:r>
          </w:p>
        </w:tc>
        <w:tc>
          <w:tcPr>
            <w:tcW w:w="17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420" w:type="dxa"/>
            <w:vAlign w:val="bottom"/>
          </w:tcPr>
          <w:p>
            <w:pPr>
              <w:ind w:left="40"/>
              <w:spacing w:after="0"/>
              <w:rPr>
                <w:sz w:val="20"/>
                <w:szCs w:val="20"/>
                <w:color w:val="auto"/>
              </w:rPr>
            </w:pPr>
            <w:r>
              <w:rPr>
                <w:rFonts w:ascii="Arial" w:cs="Arial" w:eastAsia="Arial" w:hAnsi="Arial"/>
                <w:sz w:val="14"/>
                <w:szCs w:val="14"/>
                <w:color w:val="auto"/>
              </w:rPr>
              <w:t>Change of Control:</w:t>
            </w:r>
            <w:r>
              <w:rPr>
                <w:rFonts w:ascii="Arial" w:cs="Arial" w:eastAsia="Arial" w:hAnsi="Arial"/>
                <w:sz w:val="17"/>
                <w:szCs w:val="17"/>
                <w:color w:val="auto"/>
                <w:vertAlign w:val="superscript"/>
              </w:rPr>
              <w:t>(7)</w:t>
            </w:r>
          </w:p>
        </w:tc>
        <w:tc>
          <w:tcPr>
            <w:tcW w:w="1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6"/>
        </w:trPr>
        <w:tc>
          <w:tcPr>
            <w:tcW w:w="3420" w:type="dxa"/>
            <w:vAlign w:val="bottom"/>
            <w:shd w:val="clear" w:color="auto" w:fill="ACACAC"/>
          </w:tcPr>
          <w:p>
            <w:pPr>
              <w:ind w:left="180"/>
              <w:spacing w:after="0"/>
              <w:rPr>
                <w:sz w:val="20"/>
                <w:szCs w:val="20"/>
                <w:color w:val="auto"/>
              </w:rPr>
            </w:pPr>
            <w:r>
              <w:rPr>
                <w:rFonts w:ascii="Arial" w:cs="Arial" w:eastAsia="Arial" w:hAnsi="Arial"/>
                <w:sz w:val="14"/>
                <w:szCs w:val="14"/>
                <w:color w:val="auto"/>
              </w:rPr>
              <w:t>Without Termination</w:t>
            </w:r>
          </w:p>
        </w:tc>
        <w:tc>
          <w:tcPr>
            <w:tcW w:w="17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630,378</w:t>
            </w:r>
          </w:p>
        </w:tc>
        <w:tc>
          <w:tcPr>
            <w:tcW w:w="128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294,392</w:t>
            </w:r>
          </w:p>
        </w:tc>
        <w:tc>
          <w:tcPr>
            <w:tcW w:w="12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3,660</w:t>
            </w:r>
          </w:p>
        </w:tc>
        <w:tc>
          <w:tcPr>
            <w:tcW w:w="124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928,430</w:t>
            </w:r>
          </w:p>
        </w:tc>
      </w:tr>
      <w:tr>
        <w:trPr>
          <w:trHeight w:val="210"/>
        </w:trPr>
        <w:tc>
          <w:tcPr>
            <w:tcW w:w="3420" w:type="dxa"/>
            <w:vAlign w:val="bottom"/>
          </w:tcPr>
          <w:p>
            <w:pPr>
              <w:ind w:left="180"/>
              <w:spacing w:after="0"/>
              <w:rPr>
                <w:sz w:val="20"/>
                <w:szCs w:val="20"/>
                <w:color w:val="auto"/>
              </w:rPr>
            </w:pPr>
            <w:r>
              <w:rPr>
                <w:rFonts w:ascii="Arial" w:cs="Arial" w:eastAsia="Arial" w:hAnsi="Arial"/>
                <w:sz w:val="14"/>
                <w:szCs w:val="14"/>
                <w:color w:val="auto"/>
              </w:rPr>
              <w:t>Termination Without Cause/Good Reason</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1,750,463</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98,723</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630,378</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294,392</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3,660</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2,777,616</w:t>
            </w:r>
          </w:p>
        </w:tc>
      </w:tr>
      <w:tr>
        <w:trPr>
          <w:trHeight w:val="222"/>
        </w:trPr>
        <w:tc>
          <w:tcPr>
            <w:tcW w:w="3420" w:type="dxa"/>
            <w:vAlign w:val="bottom"/>
            <w:shd w:val="clear" w:color="auto" w:fill="ACACAC"/>
          </w:tcPr>
          <w:p>
            <w:pPr>
              <w:ind w:left="40"/>
              <w:spacing w:after="0"/>
              <w:rPr>
                <w:sz w:val="20"/>
                <w:szCs w:val="20"/>
                <w:color w:val="auto"/>
              </w:rPr>
            </w:pPr>
            <w:r>
              <w:rPr>
                <w:rFonts w:ascii="Arial" w:cs="Arial" w:eastAsia="Arial" w:hAnsi="Arial"/>
                <w:sz w:val="14"/>
                <w:szCs w:val="14"/>
                <w:color w:val="auto"/>
              </w:rPr>
              <w:t>Death</w:t>
            </w:r>
          </w:p>
        </w:tc>
        <w:tc>
          <w:tcPr>
            <w:tcW w:w="17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98,723</w:t>
            </w: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630,378</w:t>
            </w:r>
          </w:p>
        </w:tc>
        <w:tc>
          <w:tcPr>
            <w:tcW w:w="128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294,392</w:t>
            </w:r>
          </w:p>
        </w:tc>
        <w:tc>
          <w:tcPr>
            <w:tcW w:w="12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3,660</w:t>
            </w:r>
          </w:p>
        </w:tc>
        <w:tc>
          <w:tcPr>
            <w:tcW w:w="124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1,027,153</w:t>
            </w:r>
          </w:p>
        </w:tc>
      </w:tr>
      <w:tr>
        <w:trPr>
          <w:trHeight w:val="210"/>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Disability</w:t>
            </w: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98,723</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630,378</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294,392</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3,660</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1,027,153</w:t>
            </w:r>
          </w:p>
        </w:tc>
      </w:tr>
      <w:tr>
        <w:trPr>
          <w:trHeight w:val="250"/>
        </w:trPr>
        <w:tc>
          <w:tcPr>
            <w:tcW w:w="34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color w:val="auto"/>
                <w:highlight w:val="darkGray"/>
              </w:rPr>
              <w:t>Stacy L. Bogart</w:t>
            </w:r>
          </w:p>
        </w:tc>
        <w:tc>
          <w:tcPr>
            <w:tcW w:w="1740" w:type="dxa"/>
            <w:vAlign w:val="bottom"/>
            <w:tcBorders>
              <w:bottom w:val="single" w:sz="8" w:color="ACACAC"/>
            </w:tcBorders>
            <w:shd w:val="clear" w:color="auto" w:fill="ACACAC"/>
          </w:tcPr>
          <w:p>
            <w:pPr>
              <w:spacing w:after="0"/>
              <w:rPr>
                <w:sz w:val="21"/>
                <w:szCs w:val="21"/>
                <w:color w:val="auto"/>
              </w:rPr>
            </w:pPr>
          </w:p>
        </w:tc>
        <w:tc>
          <w:tcPr>
            <w:tcW w:w="1320" w:type="dxa"/>
            <w:vAlign w:val="bottom"/>
            <w:tcBorders>
              <w:bottom w:val="single" w:sz="8" w:color="ACACAC"/>
            </w:tcBorders>
            <w:shd w:val="clear" w:color="auto" w:fill="ACACAC"/>
          </w:tcPr>
          <w:p>
            <w:pPr>
              <w:spacing w:after="0"/>
              <w:rPr>
                <w:sz w:val="21"/>
                <w:szCs w:val="21"/>
                <w:color w:val="auto"/>
              </w:rPr>
            </w:pPr>
          </w:p>
        </w:tc>
        <w:tc>
          <w:tcPr>
            <w:tcW w:w="1180" w:type="dxa"/>
            <w:vAlign w:val="bottom"/>
            <w:tcBorders>
              <w:bottom w:val="single" w:sz="8" w:color="ACACAC"/>
            </w:tcBorders>
            <w:shd w:val="clear" w:color="auto" w:fill="ACACAC"/>
          </w:tcPr>
          <w:p>
            <w:pPr>
              <w:spacing w:after="0"/>
              <w:rPr>
                <w:sz w:val="21"/>
                <w:szCs w:val="21"/>
                <w:color w:val="auto"/>
              </w:rPr>
            </w:pPr>
          </w:p>
        </w:tc>
        <w:tc>
          <w:tcPr>
            <w:tcW w:w="1280" w:type="dxa"/>
            <w:vAlign w:val="bottom"/>
            <w:tcBorders>
              <w:bottom w:val="single" w:sz="8" w:color="ACACAC"/>
            </w:tcBorders>
            <w:shd w:val="clear" w:color="auto" w:fill="ACACAC"/>
          </w:tcPr>
          <w:p>
            <w:pPr>
              <w:spacing w:after="0"/>
              <w:rPr>
                <w:sz w:val="21"/>
                <w:szCs w:val="21"/>
                <w:color w:val="auto"/>
              </w:rPr>
            </w:pPr>
          </w:p>
        </w:tc>
        <w:tc>
          <w:tcPr>
            <w:tcW w:w="1240" w:type="dxa"/>
            <w:vAlign w:val="bottom"/>
            <w:tcBorders>
              <w:bottom w:val="single" w:sz="8" w:color="ACACAC"/>
            </w:tcBorders>
            <w:shd w:val="clear" w:color="auto" w:fill="ACACAC"/>
          </w:tcPr>
          <w:p>
            <w:pPr>
              <w:spacing w:after="0"/>
              <w:rPr>
                <w:sz w:val="21"/>
                <w:szCs w:val="21"/>
                <w:color w:val="auto"/>
              </w:rPr>
            </w:pPr>
          </w:p>
        </w:tc>
        <w:tc>
          <w:tcPr>
            <w:tcW w:w="1240" w:type="dxa"/>
            <w:vAlign w:val="bottom"/>
            <w:tcBorders>
              <w:bottom w:val="single" w:sz="8" w:color="ACACAC"/>
            </w:tcBorders>
            <w:shd w:val="clear" w:color="auto" w:fill="ACACAC"/>
          </w:tcPr>
          <w:p>
            <w:pPr>
              <w:spacing w:after="0"/>
              <w:rPr>
                <w:sz w:val="21"/>
                <w:szCs w:val="21"/>
                <w:color w:val="auto"/>
              </w:rPr>
            </w:pPr>
          </w:p>
        </w:tc>
      </w:tr>
      <w:tr>
        <w:trPr>
          <w:trHeight w:val="216"/>
        </w:trPr>
        <w:tc>
          <w:tcPr>
            <w:tcW w:w="3420" w:type="dxa"/>
            <w:vAlign w:val="bottom"/>
          </w:tcPr>
          <w:p>
            <w:pPr>
              <w:ind w:left="40"/>
              <w:spacing w:after="0"/>
              <w:rPr>
                <w:sz w:val="20"/>
                <w:szCs w:val="20"/>
                <w:color w:val="auto"/>
              </w:rPr>
            </w:pPr>
            <w:r>
              <w:rPr>
                <w:rFonts w:ascii="Arial" w:cs="Arial" w:eastAsia="Arial" w:hAnsi="Arial"/>
                <w:sz w:val="14"/>
                <w:szCs w:val="14"/>
                <w:color w:val="auto"/>
              </w:rPr>
              <w:t>Retirement</w:t>
            </w:r>
            <w:r>
              <w:rPr>
                <w:rFonts w:ascii="Arial" w:cs="Arial" w:eastAsia="Arial" w:hAnsi="Arial"/>
                <w:sz w:val="17"/>
                <w:szCs w:val="17"/>
                <w:color w:val="auto"/>
                <w:vertAlign w:val="superscript"/>
              </w:rPr>
              <w:t>(6)</w:t>
            </w:r>
            <w:r>
              <w:rPr>
                <w:rFonts w:ascii="Arial" w:cs="Arial" w:eastAsia="Arial" w:hAnsi="Arial"/>
                <w:sz w:val="14"/>
                <w:szCs w:val="14"/>
                <w:color w:val="auto"/>
              </w:rPr>
              <w:t xml:space="preserve"> or Voluntary Separation</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3420" w:type="dxa"/>
            <w:vAlign w:val="bottom"/>
            <w:shd w:val="clear" w:color="auto" w:fill="ACACAC"/>
          </w:tcPr>
          <w:p>
            <w:pPr>
              <w:ind w:left="40"/>
              <w:spacing w:after="0"/>
              <w:rPr>
                <w:sz w:val="20"/>
                <w:szCs w:val="20"/>
                <w:color w:val="auto"/>
              </w:rPr>
            </w:pPr>
            <w:r>
              <w:rPr>
                <w:rFonts w:ascii="Arial" w:cs="Arial" w:eastAsia="Arial" w:hAnsi="Arial"/>
                <w:sz w:val="14"/>
                <w:szCs w:val="14"/>
                <w:color w:val="auto"/>
              </w:rPr>
              <w:t>Involuntary Termination for Cause</w:t>
            </w:r>
          </w:p>
        </w:tc>
        <w:tc>
          <w:tcPr>
            <w:tcW w:w="17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03" w:right="239" w:bottom="1440" w:gutter="0" w:footer="0" w:header="0"/>
          <w:type w:val="continuous"/>
        </w:sectPr>
      </w:pPr>
    </w:p>
    <w:bookmarkStart w:id="38" w:name="page39"/>
    <w:bookmarkEnd w:id="38"/>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20" w:type="dxa"/>
            <w:vAlign w:val="bottom"/>
            <w:shd w:val="clear" w:color="auto" w:fill="BF2115"/>
          </w:tcPr>
          <w:p>
            <w:pPr>
              <w:spacing w:after="0"/>
              <w:rPr>
                <w:sz w:val="15"/>
                <w:szCs w:val="15"/>
                <w:color w:val="auto"/>
              </w:rPr>
            </w:pPr>
          </w:p>
        </w:tc>
        <w:tc>
          <w:tcPr>
            <w:tcW w:w="1740" w:type="dxa"/>
            <w:vAlign w:val="bottom"/>
            <w:shd w:val="clear" w:color="auto" w:fill="BF2115"/>
          </w:tcPr>
          <w:p>
            <w:pPr>
              <w:spacing w:after="0"/>
              <w:rPr>
                <w:sz w:val="15"/>
                <w:szCs w:val="15"/>
                <w:color w:val="auto"/>
              </w:rPr>
            </w:pPr>
          </w:p>
        </w:tc>
        <w:tc>
          <w:tcPr>
            <w:tcW w:w="13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Annual or</w:t>
            </w:r>
          </w:p>
        </w:tc>
        <w:tc>
          <w:tcPr>
            <w:tcW w:w="1180" w:type="dxa"/>
            <w:vAlign w:val="bottom"/>
            <w:shd w:val="clear" w:color="auto" w:fill="BF2115"/>
          </w:tcPr>
          <w:p>
            <w:pPr>
              <w:spacing w:after="0"/>
              <w:rPr>
                <w:sz w:val="15"/>
                <w:szCs w:val="15"/>
                <w:color w:val="auto"/>
              </w:rPr>
            </w:pPr>
          </w:p>
        </w:tc>
        <w:tc>
          <w:tcPr>
            <w:tcW w:w="1280" w:type="dxa"/>
            <w:vAlign w:val="bottom"/>
            <w:shd w:val="clear" w:color="auto" w:fill="BF2115"/>
          </w:tcPr>
          <w:p>
            <w:pPr>
              <w:spacing w:after="0"/>
              <w:rPr>
                <w:sz w:val="15"/>
                <w:szCs w:val="15"/>
                <w:color w:val="auto"/>
              </w:rPr>
            </w:pPr>
          </w:p>
        </w:tc>
        <w:tc>
          <w:tcPr>
            <w:tcW w:w="1240" w:type="dxa"/>
            <w:vAlign w:val="bottom"/>
            <w:shd w:val="clear" w:color="auto" w:fill="BF2115"/>
          </w:tcPr>
          <w:p>
            <w:pPr>
              <w:spacing w:after="0"/>
              <w:rPr>
                <w:sz w:val="15"/>
                <w:szCs w:val="15"/>
                <w:color w:val="auto"/>
              </w:rPr>
            </w:pPr>
          </w:p>
        </w:tc>
        <w:tc>
          <w:tcPr>
            <w:tcW w:w="1240" w:type="dxa"/>
            <w:vAlign w:val="bottom"/>
            <w:shd w:val="clear" w:color="auto" w:fill="BF2115"/>
          </w:tcPr>
          <w:p>
            <w:pPr>
              <w:spacing w:after="0"/>
              <w:rPr>
                <w:sz w:val="15"/>
                <w:szCs w:val="15"/>
                <w:color w:val="auto"/>
              </w:rPr>
            </w:pPr>
          </w:p>
        </w:tc>
      </w:tr>
      <w:tr>
        <w:trPr>
          <w:trHeight w:val="162"/>
        </w:trPr>
        <w:tc>
          <w:tcPr>
            <w:tcW w:w="3420" w:type="dxa"/>
            <w:vAlign w:val="bottom"/>
            <w:shd w:val="clear" w:color="auto" w:fill="BF2115"/>
          </w:tcPr>
          <w:p>
            <w:pPr>
              <w:spacing w:after="0"/>
              <w:rPr>
                <w:sz w:val="14"/>
                <w:szCs w:val="14"/>
                <w:color w:val="auto"/>
              </w:rPr>
            </w:pPr>
          </w:p>
        </w:tc>
        <w:tc>
          <w:tcPr>
            <w:tcW w:w="1740" w:type="dxa"/>
            <w:vAlign w:val="bottom"/>
            <w:shd w:val="clear" w:color="auto" w:fill="BF2115"/>
          </w:tcPr>
          <w:p>
            <w:pPr>
              <w:spacing w:after="0"/>
              <w:rPr>
                <w:sz w:val="14"/>
                <w:szCs w:val="14"/>
                <w:color w:val="auto"/>
              </w:rPr>
            </w:pPr>
          </w:p>
        </w:tc>
        <w:tc>
          <w:tcPr>
            <w:tcW w:w="13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Management</w:t>
            </w:r>
          </w:p>
        </w:tc>
        <w:tc>
          <w:tcPr>
            <w:tcW w:w="11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LTIP /</w:t>
            </w:r>
          </w:p>
        </w:tc>
        <w:tc>
          <w:tcPr>
            <w:tcW w:w="12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12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Stock Options-</w:t>
            </w:r>
          </w:p>
        </w:tc>
        <w:tc>
          <w:tcPr>
            <w:tcW w:w="1240" w:type="dxa"/>
            <w:vAlign w:val="bottom"/>
            <w:shd w:val="clear" w:color="auto" w:fill="BF2115"/>
          </w:tcPr>
          <w:p>
            <w:pPr>
              <w:spacing w:after="0"/>
              <w:rPr>
                <w:sz w:val="14"/>
                <w:szCs w:val="14"/>
                <w:color w:val="auto"/>
              </w:rPr>
            </w:pPr>
          </w:p>
        </w:tc>
      </w:tr>
      <w:tr>
        <w:trPr>
          <w:trHeight w:val="162"/>
        </w:trPr>
        <w:tc>
          <w:tcPr>
            <w:tcW w:w="3420" w:type="dxa"/>
            <w:vAlign w:val="bottom"/>
            <w:shd w:val="clear" w:color="auto" w:fill="BF2115"/>
          </w:tcPr>
          <w:p>
            <w:pPr>
              <w:spacing w:after="0"/>
              <w:rPr>
                <w:sz w:val="14"/>
                <w:szCs w:val="14"/>
                <w:color w:val="auto"/>
              </w:rPr>
            </w:pPr>
          </w:p>
        </w:tc>
        <w:tc>
          <w:tcPr>
            <w:tcW w:w="1740" w:type="dxa"/>
            <w:vAlign w:val="bottom"/>
            <w:shd w:val="clear" w:color="auto" w:fill="BF2115"/>
          </w:tcPr>
          <w:p>
            <w:pPr>
              <w:spacing w:after="0"/>
              <w:rPr>
                <w:sz w:val="14"/>
                <w:szCs w:val="14"/>
                <w:color w:val="auto"/>
              </w:rPr>
            </w:pPr>
          </w:p>
        </w:tc>
        <w:tc>
          <w:tcPr>
            <w:tcW w:w="1320" w:type="dxa"/>
            <w:vAlign w:val="bottom"/>
            <w:shd w:val="clear" w:color="auto" w:fill="BF2115"/>
          </w:tcPr>
          <w:p>
            <w:pPr>
              <w:jc w:val="center"/>
              <w:spacing w:after="0" w:line="162" w:lineRule="exact"/>
              <w:rPr>
                <w:sz w:val="20"/>
                <w:szCs w:val="20"/>
                <w:color w:val="auto"/>
              </w:rPr>
            </w:pPr>
            <w:r>
              <w:rPr>
                <w:rFonts w:ascii="Arial" w:cs="Arial" w:eastAsia="Arial" w:hAnsi="Arial"/>
                <w:sz w:val="14"/>
                <w:szCs w:val="14"/>
                <w:b w:val="1"/>
                <w:bCs w:val="1"/>
                <w:color w:val="FFFFFF"/>
                <w:w w:val="99"/>
              </w:rPr>
              <w:t>Incentive Plan</w:t>
            </w:r>
            <w:r>
              <w:rPr>
                <w:rFonts w:ascii="Arial" w:cs="Arial" w:eastAsia="Arial" w:hAnsi="Arial"/>
                <w:sz w:val="17"/>
                <w:szCs w:val="17"/>
                <w:b w:val="1"/>
                <w:bCs w:val="1"/>
                <w:color w:val="FFFFFF"/>
                <w:w w:val="99"/>
                <w:vertAlign w:val="superscript"/>
              </w:rPr>
              <w:t>(2)</w:t>
            </w:r>
          </w:p>
        </w:tc>
        <w:tc>
          <w:tcPr>
            <w:tcW w:w="11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Performance</w:t>
            </w:r>
          </w:p>
        </w:tc>
        <w:tc>
          <w:tcPr>
            <w:tcW w:w="12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Unvested and</w:t>
            </w:r>
          </w:p>
        </w:tc>
        <w:tc>
          <w:tcPr>
            <w:tcW w:w="12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Unvested and</w:t>
            </w:r>
          </w:p>
        </w:tc>
        <w:tc>
          <w:tcPr>
            <w:tcW w:w="1240" w:type="dxa"/>
            <w:vAlign w:val="bottom"/>
            <w:shd w:val="clear" w:color="auto" w:fill="BF2115"/>
          </w:tcPr>
          <w:p>
            <w:pPr>
              <w:spacing w:after="0"/>
              <w:rPr>
                <w:sz w:val="14"/>
                <w:szCs w:val="14"/>
                <w:color w:val="auto"/>
              </w:rPr>
            </w:pPr>
          </w:p>
        </w:tc>
      </w:tr>
      <w:tr>
        <w:trPr>
          <w:trHeight w:val="202"/>
        </w:trPr>
        <w:tc>
          <w:tcPr>
            <w:tcW w:w="3420" w:type="dxa"/>
            <w:vAlign w:val="bottom"/>
            <w:shd w:val="clear" w:color="auto" w:fill="BF2115"/>
          </w:tcPr>
          <w:p>
            <w:pPr>
              <w:ind w:left="40"/>
              <w:spacing w:after="0"/>
              <w:rPr>
                <w:sz w:val="20"/>
                <w:szCs w:val="20"/>
                <w:color w:val="auto"/>
              </w:rPr>
            </w:pPr>
            <w:r>
              <w:rPr>
                <w:rFonts w:ascii="Arial" w:cs="Arial" w:eastAsia="Arial" w:hAnsi="Arial"/>
                <w:sz w:val="14"/>
                <w:szCs w:val="14"/>
                <w:b w:val="1"/>
                <w:bCs w:val="1"/>
                <w:color w:val="FFFFFF"/>
              </w:rPr>
              <w:t>Name</w:t>
            </w:r>
          </w:p>
        </w:tc>
        <w:tc>
          <w:tcPr>
            <w:tcW w:w="1740" w:type="dxa"/>
            <w:vAlign w:val="bottom"/>
            <w:shd w:val="clear" w:color="auto" w:fill="BF2115"/>
          </w:tcPr>
          <w:p>
            <w:pPr>
              <w:jc w:val="right"/>
              <w:ind w:right="48"/>
              <w:spacing w:after="0"/>
              <w:rPr>
                <w:sz w:val="20"/>
                <w:szCs w:val="20"/>
                <w:color w:val="auto"/>
              </w:rPr>
            </w:pPr>
            <w:r>
              <w:rPr>
                <w:rFonts w:ascii="Arial" w:cs="Arial" w:eastAsia="Arial" w:hAnsi="Arial"/>
                <w:sz w:val="14"/>
                <w:szCs w:val="14"/>
                <w:b w:val="1"/>
                <w:bCs w:val="1"/>
                <w:color w:val="FFFFFF"/>
              </w:rPr>
              <w:t>Severance</w:t>
            </w:r>
            <w:r>
              <w:rPr>
                <w:rFonts w:ascii="Arial" w:cs="Arial" w:eastAsia="Arial" w:hAnsi="Arial"/>
                <w:sz w:val="17"/>
                <w:szCs w:val="17"/>
                <w:b w:val="1"/>
                <w:bCs w:val="1"/>
                <w:color w:val="FFFFFF"/>
                <w:vertAlign w:val="superscript"/>
              </w:rPr>
              <w:t>(1)</w:t>
            </w:r>
            <w:r>
              <w:rPr>
                <w:rFonts w:ascii="Arial" w:cs="Arial" w:eastAsia="Arial" w:hAnsi="Arial"/>
                <w:sz w:val="14"/>
                <w:szCs w:val="14"/>
                <w:b w:val="1"/>
                <w:bCs w:val="1"/>
                <w:color w:val="FFFFFF"/>
              </w:rPr>
              <w:t xml:space="preserve"> ($)</w:t>
            </w:r>
          </w:p>
        </w:tc>
        <w:tc>
          <w:tcPr>
            <w:tcW w:w="13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3"/>
              </w:rPr>
              <w:t>($)</w:t>
            </w:r>
          </w:p>
        </w:tc>
        <w:tc>
          <w:tcPr>
            <w:tcW w:w="11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Shares</w:t>
            </w:r>
            <w:r>
              <w:rPr>
                <w:rFonts w:ascii="Arial" w:cs="Arial" w:eastAsia="Arial" w:hAnsi="Arial"/>
                <w:sz w:val="17"/>
                <w:szCs w:val="17"/>
                <w:b w:val="1"/>
                <w:bCs w:val="1"/>
                <w:color w:val="FFFFFF"/>
                <w:w w:val="98"/>
                <w:vertAlign w:val="superscript"/>
              </w:rPr>
              <w:t>(3)</w:t>
            </w:r>
            <w:r>
              <w:rPr>
                <w:rFonts w:ascii="Arial" w:cs="Arial" w:eastAsia="Arial" w:hAnsi="Arial"/>
                <w:sz w:val="14"/>
                <w:szCs w:val="14"/>
                <w:b w:val="1"/>
                <w:bCs w:val="1"/>
                <w:color w:val="FFFFFF"/>
                <w:w w:val="98"/>
              </w:rPr>
              <w:t xml:space="preserve"> ($)</w:t>
            </w:r>
          </w:p>
        </w:tc>
        <w:tc>
          <w:tcPr>
            <w:tcW w:w="12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Accelerated</w:t>
            </w:r>
            <w:r>
              <w:rPr>
                <w:rFonts w:ascii="Arial" w:cs="Arial" w:eastAsia="Arial" w:hAnsi="Arial"/>
                <w:sz w:val="17"/>
                <w:szCs w:val="17"/>
                <w:b w:val="1"/>
                <w:bCs w:val="1"/>
                <w:color w:val="FFFFFF"/>
                <w:w w:val="98"/>
                <w:vertAlign w:val="superscript"/>
              </w:rPr>
              <w:t>(4)</w:t>
            </w:r>
            <w:r>
              <w:rPr>
                <w:rFonts w:ascii="Arial" w:cs="Arial" w:eastAsia="Arial" w:hAnsi="Arial"/>
                <w:sz w:val="14"/>
                <w:szCs w:val="14"/>
                <w:b w:val="1"/>
                <w:bCs w:val="1"/>
                <w:color w:val="FFFFFF"/>
                <w:w w:val="98"/>
              </w:rPr>
              <w:t xml:space="preserve"> ($)</w:t>
            </w:r>
          </w:p>
        </w:tc>
        <w:tc>
          <w:tcPr>
            <w:tcW w:w="12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Accelerated</w:t>
            </w:r>
            <w:r>
              <w:rPr>
                <w:rFonts w:ascii="Arial" w:cs="Arial" w:eastAsia="Arial" w:hAnsi="Arial"/>
                <w:sz w:val="17"/>
                <w:szCs w:val="17"/>
                <w:b w:val="1"/>
                <w:bCs w:val="1"/>
                <w:color w:val="FFFFFF"/>
                <w:w w:val="98"/>
                <w:vertAlign w:val="superscript"/>
              </w:rPr>
              <w:t>(5)</w:t>
            </w:r>
            <w:r>
              <w:rPr>
                <w:rFonts w:ascii="Arial" w:cs="Arial" w:eastAsia="Arial" w:hAnsi="Arial"/>
                <w:sz w:val="14"/>
                <w:szCs w:val="14"/>
                <w:b w:val="1"/>
                <w:bCs w:val="1"/>
                <w:color w:val="FFFFFF"/>
                <w:w w:val="98"/>
              </w:rPr>
              <w:t xml:space="preserve"> ($)</w:t>
            </w:r>
          </w:p>
        </w:tc>
        <w:tc>
          <w:tcPr>
            <w:tcW w:w="1240" w:type="dxa"/>
            <w:vAlign w:val="bottom"/>
            <w:shd w:val="clear" w:color="auto" w:fill="BF2115"/>
          </w:tcPr>
          <w:p>
            <w:pPr>
              <w:jc w:val="right"/>
              <w:spacing w:after="0"/>
              <w:rPr>
                <w:sz w:val="20"/>
                <w:szCs w:val="20"/>
                <w:color w:val="auto"/>
              </w:rPr>
            </w:pPr>
            <w:r>
              <w:rPr>
                <w:rFonts w:ascii="Arial" w:cs="Arial" w:eastAsia="Arial" w:hAnsi="Arial"/>
                <w:sz w:val="14"/>
                <w:szCs w:val="14"/>
                <w:b w:val="1"/>
                <w:bCs w:val="1"/>
                <w:color w:val="FFFFFF"/>
              </w:rPr>
              <w:t>Total Benefits ($)</w:t>
            </w:r>
          </w:p>
        </w:tc>
      </w:tr>
      <w:tr>
        <w:trPr>
          <w:trHeight w:val="270"/>
        </w:trPr>
        <w:tc>
          <w:tcPr>
            <w:tcW w:w="3420" w:type="dxa"/>
            <w:vAlign w:val="bottom"/>
          </w:tcPr>
          <w:p>
            <w:pPr>
              <w:ind w:left="40"/>
              <w:spacing w:after="0"/>
              <w:rPr>
                <w:sz w:val="20"/>
                <w:szCs w:val="20"/>
                <w:color w:val="auto"/>
              </w:rPr>
            </w:pPr>
            <w:r>
              <w:rPr>
                <w:rFonts w:ascii="Arial" w:cs="Arial" w:eastAsia="Arial" w:hAnsi="Arial"/>
                <w:sz w:val="14"/>
                <w:szCs w:val="14"/>
                <w:color w:val="auto"/>
              </w:rPr>
              <w:t>Change of Control:</w:t>
            </w:r>
            <w:r>
              <w:rPr>
                <w:rFonts w:ascii="Arial" w:cs="Arial" w:eastAsia="Arial" w:hAnsi="Arial"/>
                <w:sz w:val="17"/>
                <w:szCs w:val="17"/>
                <w:color w:val="auto"/>
                <w:vertAlign w:val="superscript"/>
              </w:rPr>
              <w:t>(7)</w:t>
            </w:r>
          </w:p>
        </w:tc>
        <w:tc>
          <w:tcPr>
            <w:tcW w:w="1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6"/>
        </w:trPr>
        <w:tc>
          <w:tcPr>
            <w:tcW w:w="3420" w:type="dxa"/>
            <w:vAlign w:val="bottom"/>
            <w:shd w:val="clear" w:color="auto" w:fill="ACACAC"/>
          </w:tcPr>
          <w:p>
            <w:pPr>
              <w:ind w:left="180"/>
              <w:spacing w:after="0"/>
              <w:rPr>
                <w:sz w:val="20"/>
                <w:szCs w:val="20"/>
                <w:color w:val="auto"/>
              </w:rPr>
            </w:pPr>
            <w:r>
              <w:rPr>
                <w:rFonts w:ascii="Arial" w:cs="Arial" w:eastAsia="Arial" w:hAnsi="Arial"/>
                <w:sz w:val="14"/>
                <w:szCs w:val="14"/>
                <w:color w:val="auto"/>
              </w:rPr>
              <w:t>Without Termination</w:t>
            </w:r>
          </w:p>
        </w:tc>
        <w:tc>
          <w:tcPr>
            <w:tcW w:w="17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325,632</w:t>
            </w:r>
          </w:p>
        </w:tc>
        <w:tc>
          <w:tcPr>
            <w:tcW w:w="128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323,530</w:t>
            </w:r>
          </w:p>
        </w:tc>
        <w:tc>
          <w:tcPr>
            <w:tcW w:w="12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3,143</w:t>
            </w:r>
          </w:p>
        </w:tc>
        <w:tc>
          <w:tcPr>
            <w:tcW w:w="124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652,305</w:t>
            </w:r>
          </w:p>
        </w:tc>
      </w:tr>
      <w:tr>
        <w:trPr>
          <w:trHeight w:val="210"/>
        </w:trPr>
        <w:tc>
          <w:tcPr>
            <w:tcW w:w="3420" w:type="dxa"/>
            <w:vAlign w:val="bottom"/>
          </w:tcPr>
          <w:p>
            <w:pPr>
              <w:ind w:left="180"/>
              <w:spacing w:after="0"/>
              <w:rPr>
                <w:sz w:val="20"/>
                <w:szCs w:val="20"/>
                <w:color w:val="auto"/>
              </w:rPr>
            </w:pPr>
            <w:r>
              <w:rPr>
                <w:rFonts w:ascii="Arial" w:cs="Arial" w:eastAsia="Arial" w:hAnsi="Arial"/>
                <w:sz w:val="14"/>
                <w:szCs w:val="14"/>
                <w:color w:val="auto"/>
              </w:rPr>
              <w:t>Termination Without Cause/Good Reason</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1,368,000</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70,975</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325,632</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323,530</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3,143</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2,091,280</w:t>
            </w:r>
          </w:p>
        </w:tc>
      </w:tr>
      <w:tr>
        <w:trPr>
          <w:trHeight w:val="222"/>
        </w:trPr>
        <w:tc>
          <w:tcPr>
            <w:tcW w:w="3420" w:type="dxa"/>
            <w:vAlign w:val="bottom"/>
            <w:shd w:val="clear" w:color="auto" w:fill="ACACAC"/>
          </w:tcPr>
          <w:p>
            <w:pPr>
              <w:ind w:left="40"/>
              <w:spacing w:after="0"/>
              <w:rPr>
                <w:sz w:val="20"/>
                <w:szCs w:val="20"/>
                <w:color w:val="auto"/>
              </w:rPr>
            </w:pPr>
            <w:r>
              <w:rPr>
                <w:rFonts w:ascii="Arial" w:cs="Arial" w:eastAsia="Arial" w:hAnsi="Arial"/>
                <w:sz w:val="14"/>
                <w:szCs w:val="14"/>
                <w:color w:val="auto"/>
              </w:rPr>
              <w:t>Death</w:t>
            </w:r>
          </w:p>
        </w:tc>
        <w:tc>
          <w:tcPr>
            <w:tcW w:w="17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70,975</w:t>
            </w: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325,632</w:t>
            </w:r>
          </w:p>
        </w:tc>
        <w:tc>
          <w:tcPr>
            <w:tcW w:w="128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323,530</w:t>
            </w:r>
          </w:p>
        </w:tc>
        <w:tc>
          <w:tcPr>
            <w:tcW w:w="12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3,143</w:t>
            </w:r>
          </w:p>
        </w:tc>
        <w:tc>
          <w:tcPr>
            <w:tcW w:w="124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723,280</w:t>
            </w:r>
          </w:p>
        </w:tc>
      </w:tr>
      <w:tr>
        <w:trPr>
          <w:trHeight w:val="210"/>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Disability</w:t>
            </w: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70,975</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325,632</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323,530</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3,143</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723,280</w:t>
            </w:r>
          </w:p>
        </w:tc>
      </w:tr>
      <w:tr>
        <w:trPr>
          <w:trHeight w:val="250"/>
        </w:trPr>
        <w:tc>
          <w:tcPr>
            <w:tcW w:w="34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color w:val="auto"/>
                <w:highlight w:val="darkGray"/>
              </w:rPr>
              <w:t>Donald J. Clark</w:t>
            </w:r>
          </w:p>
        </w:tc>
        <w:tc>
          <w:tcPr>
            <w:tcW w:w="1740" w:type="dxa"/>
            <w:vAlign w:val="bottom"/>
            <w:tcBorders>
              <w:bottom w:val="single" w:sz="8" w:color="ACACAC"/>
            </w:tcBorders>
            <w:shd w:val="clear" w:color="auto" w:fill="ACACAC"/>
          </w:tcPr>
          <w:p>
            <w:pPr>
              <w:spacing w:after="0"/>
              <w:rPr>
                <w:sz w:val="21"/>
                <w:szCs w:val="21"/>
                <w:color w:val="auto"/>
              </w:rPr>
            </w:pPr>
          </w:p>
        </w:tc>
        <w:tc>
          <w:tcPr>
            <w:tcW w:w="1320" w:type="dxa"/>
            <w:vAlign w:val="bottom"/>
            <w:tcBorders>
              <w:bottom w:val="single" w:sz="8" w:color="ACACAC"/>
            </w:tcBorders>
            <w:shd w:val="clear" w:color="auto" w:fill="ACACAC"/>
          </w:tcPr>
          <w:p>
            <w:pPr>
              <w:spacing w:after="0"/>
              <w:rPr>
                <w:sz w:val="21"/>
                <w:szCs w:val="21"/>
                <w:color w:val="auto"/>
              </w:rPr>
            </w:pPr>
          </w:p>
        </w:tc>
        <w:tc>
          <w:tcPr>
            <w:tcW w:w="1180" w:type="dxa"/>
            <w:vAlign w:val="bottom"/>
            <w:tcBorders>
              <w:bottom w:val="single" w:sz="8" w:color="ACACAC"/>
            </w:tcBorders>
            <w:shd w:val="clear" w:color="auto" w:fill="ACACAC"/>
          </w:tcPr>
          <w:p>
            <w:pPr>
              <w:spacing w:after="0"/>
              <w:rPr>
                <w:sz w:val="21"/>
                <w:szCs w:val="21"/>
                <w:color w:val="auto"/>
              </w:rPr>
            </w:pPr>
          </w:p>
        </w:tc>
        <w:tc>
          <w:tcPr>
            <w:tcW w:w="1280" w:type="dxa"/>
            <w:vAlign w:val="bottom"/>
            <w:tcBorders>
              <w:bottom w:val="single" w:sz="8" w:color="ACACAC"/>
            </w:tcBorders>
            <w:shd w:val="clear" w:color="auto" w:fill="ACACAC"/>
          </w:tcPr>
          <w:p>
            <w:pPr>
              <w:spacing w:after="0"/>
              <w:rPr>
                <w:sz w:val="21"/>
                <w:szCs w:val="21"/>
                <w:color w:val="auto"/>
              </w:rPr>
            </w:pPr>
          </w:p>
        </w:tc>
        <w:tc>
          <w:tcPr>
            <w:tcW w:w="1240" w:type="dxa"/>
            <w:vAlign w:val="bottom"/>
            <w:tcBorders>
              <w:bottom w:val="single" w:sz="8" w:color="ACACAC"/>
            </w:tcBorders>
            <w:shd w:val="clear" w:color="auto" w:fill="ACACAC"/>
          </w:tcPr>
          <w:p>
            <w:pPr>
              <w:spacing w:after="0"/>
              <w:rPr>
                <w:sz w:val="21"/>
                <w:szCs w:val="21"/>
                <w:color w:val="auto"/>
              </w:rPr>
            </w:pPr>
          </w:p>
        </w:tc>
        <w:tc>
          <w:tcPr>
            <w:tcW w:w="1240" w:type="dxa"/>
            <w:vAlign w:val="bottom"/>
            <w:tcBorders>
              <w:bottom w:val="single" w:sz="8" w:color="ACACAC"/>
            </w:tcBorders>
            <w:shd w:val="clear" w:color="auto" w:fill="ACACAC"/>
          </w:tcPr>
          <w:p>
            <w:pPr>
              <w:spacing w:after="0"/>
              <w:rPr>
                <w:sz w:val="21"/>
                <w:szCs w:val="21"/>
                <w:color w:val="auto"/>
              </w:rPr>
            </w:pPr>
          </w:p>
        </w:tc>
      </w:tr>
      <w:tr>
        <w:trPr>
          <w:trHeight w:val="216"/>
        </w:trPr>
        <w:tc>
          <w:tcPr>
            <w:tcW w:w="3420" w:type="dxa"/>
            <w:vAlign w:val="bottom"/>
          </w:tcPr>
          <w:p>
            <w:pPr>
              <w:ind w:left="40"/>
              <w:spacing w:after="0"/>
              <w:rPr>
                <w:sz w:val="20"/>
                <w:szCs w:val="20"/>
                <w:color w:val="auto"/>
              </w:rPr>
            </w:pPr>
            <w:r>
              <w:rPr>
                <w:rFonts w:ascii="Arial" w:cs="Arial" w:eastAsia="Arial" w:hAnsi="Arial"/>
                <w:sz w:val="14"/>
                <w:szCs w:val="14"/>
                <w:color w:val="auto"/>
              </w:rPr>
              <w:t>Retirement</w:t>
            </w:r>
            <w:r>
              <w:rPr>
                <w:rFonts w:ascii="Arial" w:cs="Arial" w:eastAsia="Arial" w:hAnsi="Arial"/>
                <w:sz w:val="17"/>
                <w:szCs w:val="17"/>
                <w:color w:val="auto"/>
                <w:vertAlign w:val="superscript"/>
              </w:rPr>
              <w:t>(6)</w:t>
            </w:r>
            <w:r>
              <w:rPr>
                <w:rFonts w:ascii="Arial" w:cs="Arial" w:eastAsia="Arial" w:hAnsi="Arial"/>
                <w:sz w:val="14"/>
                <w:szCs w:val="14"/>
                <w:color w:val="auto"/>
              </w:rPr>
              <w:t xml:space="preserve"> or Voluntary Separation</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3420" w:type="dxa"/>
            <w:vAlign w:val="bottom"/>
            <w:shd w:val="clear" w:color="auto" w:fill="ACACAC"/>
          </w:tcPr>
          <w:p>
            <w:pPr>
              <w:ind w:left="40"/>
              <w:spacing w:after="0"/>
              <w:rPr>
                <w:sz w:val="20"/>
                <w:szCs w:val="20"/>
                <w:color w:val="auto"/>
              </w:rPr>
            </w:pPr>
            <w:r>
              <w:rPr>
                <w:rFonts w:ascii="Arial" w:cs="Arial" w:eastAsia="Arial" w:hAnsi="Arial"/>
                <w:sz w:val="14"/>
                <w:szCs w:val="14"/>
                <w:color w:val="auto"/>
              </w:rPr>
              <w:t>Involuntary Termination for Cause</w:t>
            </w:r>
          </w:p>
        </w:tc>
        <w:tc>
          <w:tcPr>
            <w:tcW w:w="17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420" w:type="dxa"/>
            <w:vAlign w:val="bottom"/>
          </w:tcPr>
          <w:p>
            <w:pPr>
              <w:ind w:left="40"/>
              <w:spacing w:after="0"/>
              <w:rPr>
                <w:sz w:val="20"/>
                <w:szCs w:val="20"/>
                <w:color w:val="auto"/>
              </w:rPr>
            </w:pPr>
            <w:r>
              <w:rPr>
                <w:rFonts w:ascii="Arial" w:cs="Arial" w:eastAsia="Arial" w:hAnsi="Arial"/>
                <w:sz w:val="14"/>
                <w:szCs w:val="14"/>
                <w:color w:val="auto"/>
              </w:rPr>
              <w:t>Change of Control:</w:t>
            </w:r>
            <w:r>
              <w:rPr>
                <w:rFonts w:ascii="Arial" w:cs="Arial" w:eastAsia="Arial" w:hAnsi="Arial"/>
                <w:sz w:val="17"/>
                <w:szCs w:val="17"/>
                <w:color w:val="auto"/>
                <w:vertAlign w:val="superscript"/>
              </w:rPr>
              <w:t>(7)</w:t>
            </w:r>
          </w:p>
        </w:tc>
        <w:tc>
          <w:tcPr>
            <w:tcW w:w="1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3420" w:type="dxa"/>
            <w:vAlign w:val="bottom"/>
            <w:shd w:val="clear" w:color="auto" w:fill="ACACAC"/>
          </w:tcPr>
          <w:p>
            <w:pPr>
              <w:ind w:left="180"/>
              <w:spacing w:after="0"/>
              <w:rPr>
                <w:sz w:val="20"/>
                <w:szCs w:val="20"/>
                <w:color w:val="auto"/>
              </w:rPr>
            </w:pPr>
            <w:r>
              <w:rPr>
                <w:rFonts w:ascii="Arial" w:cs="Arial" w:eastAsia="Arial" w:hAnsi="Arial"/>
                <w:sz w:val="14"/>
                <w:szCs w:val="14"/>
                <w:color w:val="auto"/>
              </w:rPr>
              <w:t>Without Termination</w:t>
            </w:r>
          </w:p>
        </w:tc>
        <w:tc>
          <w:tcPr>
            <w:tcW w:w="17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3420" w:type="dxa"/>
            <w:vAlign w:val="bottom"/>
          </w:tcPr>
          <w:p>
            <w:pPr>
              <w:ind w:left="180"/>
              <w:spacing w:after="0"/>
              <w:rPr>
                <w:sz w:val="20"/>
                <w:szCs w:val="20"/>
                <w:color w:val="auto"/>
              </w:rPr>
            </w:pPr>
            <w:r>
              <w:rPr>
                <w:rFonts w:ascii="Arial" w:cs="Arial" w:eastAsia="Arial" w:hAnsi="Arial"/>
                <w:sz w:val="14"/>
                <w:szCs w:val="14"/>
                <w:color w:val="auto"/>
              </w:rPr>
              <w:t>Termination Without Cause/Good Reason</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3,000,000</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3,000,000</w:t>
            </w:r>
          </w:p>
        </w:tc>
      </w:tr>
      <w:tr>
        <w:trPr>
          <w:trHeight w:val="222"/>
        </w:trPr>
        <w:tc>
          <w:tcPr>
            <w:tcW w:w="3420" w:type="dxa"/>
            <w:vAlign w:val="bottom"/>
            <w:shd w:val="clear" w:color="auto" w:fill="ACACAC"/>
          </w:tcPr>
          <w:p>
            <w:pPr>
              <w:ind w:left="40"/>
              <w:spacing w:after="0"/>
              <w:rPr>
                <w:sz w:val="20"/>
                <w:szCs w:val="20"/>
                <w:color w:val="auto"/>
              </w:rPr>
            </w:pPr>
            <w:r>
              <w:rPr>
                <w:rFonts w:ascii="Arial" w:cs="Arial" w:eastAsia="Arial" w:hAnsi="Arial"/>
                <w:sz w:val="14"/>
                <w:szCs w:val="14"/>
                <w:color w:val="auto"/>
              </w:rPr>
              <w:t>Death</w:t>
            </w:r>
          </w:p>
        </w:tc>
        <w:tc>
          <w:tcPr>
            <w:tcW w:w="17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5,560,931</w:t>
            </w: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5,560,931</w:t>
            </w:r>
          </w:p>
        </w:tc>
      </w:tr>
      <w:tr>
        <w:trPr>
          <w:trHeight w:val="210"/>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Disability</w:t>
            </w: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5,560,931</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5,560,931</w:t>
            </w:r>
          </w:p>
        </w:tc>
      </w:tr>
      <w:tr>
        <w:trPr>
          <w:trHeight w:val="250"/>
        </w:trPr>
        <w:tc>
          <w:tcPr>
            <w:tcW w:w="34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color w:val="auto"/>
                <w:highlight w:val="darkGray"/>
              </w:rPr>
              <w:t>Brian D. Hazelton</w:t>
            </w:r>
          </w:p>
        </w:tc>
        <w:tc>
          <w:tcPr>
            <w:tcW w:w="1740" w:type="dxa"/>
            <w:vAlign w:val="bottom"/>
            <w:tcBorders>
              <w:bottom w:val="single" w:sz="8" w:color="ACACAC"/>
            </w:tcBorders>
            <w:shd w:val="clear" w:color="auto" w:fill="ACACAC"/>
          </w:tcPr>
          <w:p>
            <w:pPr>
              <w:spacing w:after="0"/>
              <w:rPr>
                <w:sz w:val="21"/>
                <w:szCs w:val="21"/>
                <w:color w:val="auto"/>
              </w:rPr>
            </w:pPr>
          </w:p>
        </w:tc>
        <w:tc>
          <w:tcPr>
            <w:tcW w:w="1320" w:type="dxa"/>
            <w:vAlign w:val="bottom"/>
            <w:tcBorders>
              <w:bottom w:val="single" w:sz="8" w:color="ACACAC"/>
            </w:tcBorders>
            <w:shd w:val="clear" w:color="auto" w:fill="ACACAC"/>
          </w:tcPr>
          <w:p>
            <w:pPr>
              <w:spacing w:after="0"/>
              <w:rPr>
                <w:sz w:val="21"/>
                <w:szCs w:val="21"/>
                <w:color w:val="auto"/>
              </w:rPr>
            </w:pPr>
          </w:p>
        </w:tc>
        <w:tc>
          <w:tcPr>
            <w:tcW w:w="1180" w:type="dxa"/>
            <w:vAlign w:val="bottom"/>
            <w:tcBorders>
              <w:bottom w:val="single" w:sz="8" w:color="ACACAC"/>
            </w:tcBorders>
            <w:shd w:val="clear" w:color="auto" w:fill="ACACAC"/>
          </w:tcPr>
          <w:p>
            <w:pPr>
              <w:spacing w:after="0"/>
              <w:rPr>
                <w:sz w:val="21"/>
                <w:szCs w:val="21"/>
                <w:color w:val="auto"/>
              </w:rPr>
            </w:pPr>
          </w:p>
        </w:tc>
        <w:tc>
          <w:tcPr>
            <w:tcW w:w="1280" w:type="dxa"/>
            <w:vAlign w:val="bottom"/>
            <w:tcBorders>
              <w:bottom w:val="single" w:sz="8" w:color="ACACAC"/>
            </w:tcBorders>
            <w:shd w:val="clear" w:color="auto" w:fill="ACACAC"/>
          </w:tcPr>
          <w:p>
            <w:pPr>
              <w:spacing w:after="0"/>
              <w:rPr>
                <w:sz w:val="21"/>
                <w:szCs w:val="21"/>
                <w:color w:val="auto"/>
              </w:rPr>
            </w:pPr>
          </w:p>
        </w:tc>
        <w:tc>
          <w:tcPr>
            <w:tcW w:w="1240" w:type="dxa"/>
            <w:vAlign w:val="bottom"/>
            <w:tcBorders>
              <w:bottom w:val="single" w:sz="8" w:color="ACACAC"/>
            </w:tcBorders>
            <w:shd w:val="clear" w:color="auto" w:fill="ACACAC"/>
          </w:tcPr>
          <w:p>
            <w:pPr>
              <w:spacing w:after="0"/>
              <w:rPr>
                <w:sz w:val="21"/>
                <w:szCs w:val="21"/>
                <w:color w:val="auto"/>
              </w:rPr>
            </w:pPr>
          </w:p>
        </w:tc>
        <w:tc>
          <w:tcPr>
            <w:tcW w:w="1240" w:type="dxa"/>
            <w:vAlign w:val="bottom"/>
            <w:tcBorders>
              <w:bottom w:val="single" w:sz="8" w:color="ACACAC"/>
            </w:tcBorders>
            <w:shd w:val="clear" w:color="auto" w:fill="ACACAC"/>
          </w:tcPr>
          <w:p>
            <w:pPr>
              <w:spacing w:after="0"/>
              <w:rPr>
                <w:sz w:val="21"/>
                <w:szCs w:val="21"/>
                <w:color w:val="auto"/>
              </w:rPr>
            </w:pPr>
          </w:p>
        </w:tc>
      </w:tr>
      <w:tr>
        <w:trPr>
          <w:trHeight w:val="216"/>
        </w:trPr>
        <w:tc>
          <w:tcPr>
            <w:tcW w:w="3420" w:type="dxa"/>
            <w:vAlign w:val="bottom"/>
          </w:tcPr>
          <w:p>
            <w:pPr>
              <w:ind w:left="40"/>
              <w:spacing w:after="0"/>
              <w:rPr>
                <w:sz w:val="20"/>
                <w:szCs w:val="20"/>
                <w:color w:val="auto"/>
              </w:rPr>
            </w:pPr>
            <w:r>
              <w:rPr>
                <w:rFonts w:ascii="Arial" w:cs="Arial" w:eastAsia="Arial" w:hAnsi="Arial"/>
                <w:sz w:val="14"/>
                <w:szCs w:val="14"/>
                <w:color w:val="auto"/>
              </w:rPr>
              <w:t>Retirement</w:t>
            </w:r>
            <w:r>
              <w:rPr>
                <w:rFonts w:ascii="Arial" w:cs="Arial" w:eastAsia="Arial" w:hAnsi="Arial"/>
                <w:sz w:val="17"/>
                <w:szCs w:val="17"/>
                <w:color w:val="auto"/>
                <w:vertAlign w:val="superscript"/>
              </w:rPr>
              <w:t>(6)</w:t>
            </w:r>
            <w:r>
              <w:rPr>
                <w:rFonts w:ascii="Arial" w:cs="Arial" w:eastAsia="Arial" w:hAnsi="Arial"/>
                <w:sz w:val="14"/>
                <w:szCs w:val="14"/>
                <w:color w:val="auto"/>
              </w:rPr>
              <w:t xml:space="preserve"> or Voluntary Separation</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420" w:type="dxa"/>
            <w:vAlign w:val="bottom"/>
            <w:shd w:val="clear" w:color="auto" w:fill="ACACAC"/>
          </w:tcPr>
          <w:p>
            <w:pPr>
              <w:ind w:left="40"/>
              <w:spacing w:after="0"/>
              <w:rPr>
                <w:sz w:val="20"/>
                <w:szCs w:val="20"/>
                <w:color w:val="auto"/>
              </w:rPr>
            </w:pPr>
            <w:r>
              <w:rPr>
                <w:rFonts w:ascii="Arial" w:cs="Arial" w:eastAsia="Arial" w:hAnsi="Arial"/>
                <w:sz w:val="14"/>
                <w:szCs w:val="14"/>
                <w:color w:val="auto"/>
              </w:rPr>
              <w:t>Involuntary Termination for Cause</w:t>
            </w:r>
          </w:p>
        </w:tc>
        <w:tc>
          <w:tcPr>
            <w:tcW w:w="17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ACACAC"/>
          </w:tcPr>
          <w:p>
            <w:pPr>
              <w:spacing w:after="0"/>
              <w:rPr>
                <w:sz w:val="23"/>
                <w:szCs w:val="23"/>
                <w:color w:val="auto"/>
              </w:rPr>
            </w:pP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420" w:type="dxa"/>
            <w:vAlign w:val="bottom"/>
          </w:tcPr>
          <w:p>
            <w:pPr>
              <w:ind w:left="40"/>
              <w:spacing w:after="0"/>
              <w:rPr>
                <w:sz w:val="20"/>
                <w:szCs w:val="20"/>
                <w:color w:val="auto"/>
              </w:rPr>
            </w:pPr>
            <w:r>
              <w:rPr>
                <w:rFonts w:ascii="Arial" w:cs="Arial" w:eastAsia="Arial" w:hAnsi="Arial"/>
                <w:sz w:val="14"/>
                <w:szCs w:val="14"/>
                <w:color w:val="auto"/>
              </w:rPr>
              <w:t>Change of Control:</w:t>
            </w:r>
            <w:r>
              <w:rPr>
                <w:rFonts w:ascii="Arial" w:cs="Arial" w:eastAsia="Arial" w:hAnsi="Arial"/>
                <w:sz w:val="17"/>
                <w:szCs w:val="17"/>
                <w:color w:val="auto"/>
                <w:vertAlign w:val="superscript"/>
              </w:rPr>
              <w:t>(7)</w:t>
            </w:r>
          </w:p>
        </w:tc>
        <w:tc>
          <w:tcPr>
            <w:tcW w:w="1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6"/>
        </w:trPr>
        <w:tc>
          <w:tcPr>
            <w:tcW w:w="3420" w:type="dxa"/>
            <w:vAlign w:val="bottom"/>
            <w:shd w:val="clear" w:color="auto" w:fill="ACACAC"/>
          </w:tcPr>
          <w:p>
            <w:pPr>
              <w:ind w:left="180"/>
              <w:spacing w:after="0"/>
              <w:rPr>
                <w:sz w:val="20"/>
                <w:szCs w:val="20"/>
                <w:color w:val="auto"/>
              </w:rPr>
            </w:pPr>
            <w:r>
              <w:rPr>
                <w:rFonts w:ascii="Arial" w:cs="Arial" w:eastAsia="Arial" w:hAnsi="Arial"/>
                <w:sz w:val="14"/>
                <w:szCs w:val="14"/>
                <w:color w:val="auto"/>
              </w:rPr>
              <w:t>Without Termination</w:t>
            </w:r>
          </w:p>
        </w:tc>
        <w:tc>
          <w:tcPr>
            <w:tcW w:w="17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738,349</w:t>
            </w:r>
          </w:p>
        </w:tc>
        <w:tc>
          <w:tcPr>
            <w:tcW w:w="128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265,894</w:t>
            </w:r>
          </w:p>
        </w:tc>
        <w:tc>
          <w:tcPr>
            <w:tcW w:w="12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19,271</w:t>
            </w:r>
          </w:p>
        </w:tc>
        <w:tc>
          <w:tcPr>
            <w:tcW w:w="124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1,023,514</w:t>
            </w:r>
          </w:p>
        </w:tc>
      </w:tr>
      <w:tr>
        <w:trPr>
          <w:trHeight w:val="210"/>
        </w:trPr>
        <w:tc>
          <w:tcPr>
            <w:tcW w:w="3420" w:type="dxa"/>
            <w:vAlign w:val="bottom"/>
          </w:tcPr>
          <w:p>
            <w:pPr>
              <w:ind w:left="180"/>
              <w:spacing w:after="0"/>
              <w:rPr>
                <w:sz w:val="20"/>
                <w:szCs w:val="20"/>
                <w:color w:val="auto"/>
              </w:rPr>
            </w:pPr>
            <w:r>
              <w:rPr>
                <w:rFonts w:ascii="Arial" w:cs="Arial" w:eastAsia="Arial" w:hAnsi="Arial"/>
                <w:sz w:val="14"/>
                <w:szCs w:val="14"/>
                <w:color w:val="auto"/>
              </w:rPr>
              <w:t>Termination Without Cause/Good Reason</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1,610,307</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46,546</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738,349</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265,894</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19,271</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2,680,367</w:t>
            </w:r>
          </w:p>
        </w:tc>
      </w:tr>
      <w:tr>
        <w:trPr>
          <w:trHeight w:val="222"/>
        </w:trPr>
        <w:tc>
          <w:tcPr>
            <w:tcW w:w="3420" w:type="dxa"/>
            <w:vAlign w:val="bottom"/>
            <w:shd w:val="clear" w:color="auto" w:fill="ACACAC"/>
          </w:tcPr>
          <w:p>
            <w:pPr>
              <w:ind w:left="40"/>
              <w:spacing w:after="0"/>
              <w:rPr>
                <w:sz w:val="20"/>
                <w:szCs w:val="20"/>
                <w:color w:val="auto"/>
              </w:rPr>
            </w:pPr>
            <w:r>
              <w:rPr>
                <w:rFonts w:ascii="Arial" w:cs="Arial" w:eastAsia="Arial" w:hAnsi="Arial"/>
                <w:sz w:val="14"/>
                <w:szCs w:val="14"/>
                <w:color w:val="auto"/>
              </w:rPr>
              <w:t>Death</w:t>
            </w:r>
          </w:p>
        </w:tc>
        <w:tc>
          <w:tcPr>
            <w:tcW w:w="17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46,546</w:t>
            </w: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738,349</w:t>
            </w:r>
          </w:p>
        </w:tc>
        <w:tc>
          <w:tcPr>
            <w:tcW w:w="128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265,894</w:t>
            </w:r>
          </w:p>
        </w:tc>
        <w:tc>
          <w:tcPr>
            <w:tcW w:w="12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19,271</w:t>
            </w:r>
          </w:p>
        </w:tc>
        <w:tc>
          <w:tcPr>
            <w:tcW w:w="124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1,070,060</w:t>
            </w:r>
          </w:p>
        </w:tc>
      </w:tr>
      <w:tr>
        <w:trPr>
          <w:trHeight w:val="210"/>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Disability</w:t>
            </w: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46,546</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738,349</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265,894</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19,271</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1,070,060</w:t>
            </w:r>
          </w:p>
        </w:tc>
      </w:tr>
    </w:tbl>
    <w:p>
      <w:pPr>
        <w:spacing w:after="0" w:line="59" w:lineRule="exact"/>
        <w:rPr>
          <w:sz w:val="20"/>
          <w:szCs w:val="20"/>
          <w:color w:val="auto"/>
        </w:rPr>
      </w:pPr>
    </w:p>
    <w:p>
      <w:pPr>
        <w:ind w:left="260" w:hanging="252"/>
        <w:spacing w:after="0" w:line="241" w:lineRule="auto"/>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Equals an amount equal to two times (or three times in the case of our CEO) base salary and target annual incentive (as well as annual COBRA premium cost). In the case of Mr. Clark, the total severance benefit is capped at $3,000,000.</w:t>
      </w:r>
    </w:p>
    <w:p>
      <w:pPr>
        <w:ind w:left="260" w:hanging="252"/>
        <w:spacing w:after="0" w:line="241" w:lineRule="auto"/>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NEOs' actual annual incentive payout pursuant to the 2019 Officers Incentive Compensation Plan (other than Mr. Clark) or 2019 Grand Design Management Incentive Plan (Mr. Clark).</w:t>
      </w:r>
    </w:p>
    <w:p>
      <w:pPr>
        <w:jc w:val="both"/>
        <w:ind w:left="260" w:hanging="252"/>
        <w:spacing w:after="0" w:line="241" w:lineRule="auto"/>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LTIP incentive achieved pursuant to the Fiscal 2017-2019 LTIP, except by a termination pursuant to a Change of Control, which includes the full amount payable under the Fiscal 2017-2019 LTIP and the target amount estimated to be payable under the Fiscal 2018-2020 LTIP and the Fiscal 2019-2021 LTIP. Shares earned under these plans are subject to a one-year holding period post-vesting.</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intrinsic value of stock grants based on our closing stock price of $32.02 per share on August 31, 2019, the last day of Fiscal 2019.</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intrinsic value of stock options based on our closing stock price of $32.02 per share on August 31, 2019, the last day of Fiscal 2019.</w:t>
      </w:r>
    </w:p>
    <w:p>
      <w:pPr>
        <w:spacing w:after="0" w:line="1" w:lineRule="exact"/>
        <w:rPr>
          <w:rFonts w:ascii="Arial" w:cs="Arial" w:eastAsia="Arial" w:hAnsi="Arial"/>
          <w:sz w:val="14"/>
          <w:szCs w:val="14"/>
          <w:color w:val="auto"/>
        </w:rPr>
      </w:pPr>
    </w:p>
    <w:p>
      <w:pPr>
        <w:ind w:left="260" w:hanging="252"/>
        <w:spacing w:after="0" w:line="241" w:lineRule="auto"/>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Retirement under certain of the 2014 Plan award agreements is defined as attaining age 60 and five or more years of service with the Company. Retirement under the 2019 Plan awards does not trigger automatic acceleration of such awards.</w:t>
      </w:r>
    </w:p>
    <w:p>
      <w:pPr>
        <w:jc w:val="both"/>
        <w:ind w:left="260" w:hanging="252"/>
        <w:spacing w:after="0" w:line="250" w:lineRule="auto"/>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term "Change of Control" as used here is the term as defined in the 2014 Plan applicable to all awards granted prior to the Fiscal 2019 equity awards. Beginning with our Fiscal 2019 equity awards, under the 2019 Plan, the definition of Change in Control is updated to include, among other things, a double trigger mechanism, as described further under "Compensation Tables and Narrative Disclosure -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303" w:right="239" w:bottom="1440" w:gutter="0" w:footer="0" w:header="0"/>
        </w:sectPr>
      </w:pPr>
    </w:p>
    <w:bookmarkStart w:id="39" w:name="page40"/>
    <w:bookmarkEnd w:id="39"/>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color w:val="BF2115"/>
        </w:rPr>
        <w:t>CEO Pay Ratio Disclosure</w:t>
      </w:r>
    </w:p>
    <w:p>
      <w:pPr>
        <w:spacing w:after="0" w:line="200" w:lineRule="exact"/>
        <w:rPr>
          <w:sz w:val="20"/>
          <w:szCs w:val="20"/>
          <w:color w:val="auto"/>
        </w:rPr>
      </w:pPr>
    </w:p>
    <w:p>
      <w:pPr>
        <w:spacing w:after="0" w:line="21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As a result of rules adopted by the SEC under the Dodd-Frank Act, the SEC requires disclosure of the ratio of the median employee’s annual total compensation to that of the principal executive officer (“PEO”). The Company’s PEO is Mr. Happe, our President and CEO.</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of our measurement date of August 31, 2019, our employee population including all full-time, part-time and temporary workers, consisted of approximately 4,664 individuals, all of whom worked in the United States.</w:t>
      </w:r>
    </w:p>
    <w:p>
      <w:pPr>
        <w:spacing w:after="0" w:line="18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To identify the median employee, as well as determine the annual total compensation of the median employee, we used the following methodology and consistently applied material assumptions, adjustments and estimates.</w:t>
      </w:r>
    </w:p>
    <w:p>
      <w:pPr>
        <w:spacing w:after="0" w:line="1" w:lineRule="exact"/>
        <w:rPr>
          <w:sz w:val="20"/>
          <w:szCs w:val="20"/>
          <w:color w:val="auto"/>
        </w:rPr>
      </w:pPr>
    </w:p>
    <w:p>
      <w:pPr>
        <w:jc w:val="both"/>
        <w:ind w:left="660" w:hanging="328"/>
        <w:spacing w:after="0" w:line="246"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compared the payroll data for our employee population described above (minus our PEO) using a compensation measure consisting of base pay related wages paid during Fiscal 2019. Base pay related wages includes the amount of base salary the employee received during the year and all other pay elements related to base pay including, but not limited to, holiday pay, paid time off, overtime and shift differentials. We did not include cash bonuses, commissions, equity grants, or any adjustments for the value of benefits provided.</w:t>
      </w:r>
    </w:p>
    <w:p>
      <w:pPr>
        <w:spacing w:after="0" w:line="1" w:lineRule="exact"/>
        <w:rPr>
          <w:rFonts w:ascii="Arial" w:cs="Arial" w:eastAsia="Arial" w:hAnsi="Arial"/>
          <w:sz w:val="16"/>
          <w:szCs w:val="16"/>
          <w:color w:val="auto"/>
        </w:rPr>
      </w:pPr>
    </w:p>
    <w:p>
      <w:pPr>
        <w:ind w:left="660" w:right="20" w:hanging="328"/>
        <w:spacing w:after="0" w:line="246"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annualized the base pay related wages of all full-time and part-time employees who were hired by the Company and its subsidiaries between August 25, 2018 and August 31, 2019.</w:t>
      </w: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upon base pay related wages of each employee, we identified a median employee and calculated that employee’s annual total compensation.</w:t>
      </w:r>
    </w:p>
    <w:p>
      <w:pPr>
        <w:spacing w:after="0" w:line="5"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determined annual total compensation, including any perquisites and other benefits, in the same manner that we determine the annual total compensation of our PEO for purposes of the Summary Compensation Table disclosed above.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This resulted in the median employee’s annual total compensation as shown below.</w:t>
      </w:r>
    </w:p>
    <w:p>
      <w:pPr>
        <w:spacing w:after="0" w:line="194" w:lineRule="exact"/>
        <w:rPr>
          <w:sz w:val="20"/>
          <w:szCs w:val="20"/>
          <w:color w:val="auto"/>
        </w:rPr>
      </w:pPr>
    </w:p>
    <w:p>
      <w:pPr>
        <w:ind w:left="660"/>
        <w:spacing w:after="0"/>
        <w:tabs>
          <w:tab w:leader="none" w:pos="4360" w:val="left"/>
        </w:tabs>
        <w:rPr>
          <w:sz w:val="20"/>
          <w:szCs w:val="20"/>
          <w:color w:val="auto"/>
        </w:rPr>
      </w:pPr>
      <w:r>
        <w:rPr>
          <w:rFonts w:ascii="Arial" w:cs="Arial" w:eastAsia="Arial" w:hAnsi="Arial"/>
          <w:sz w:val="16"/>
          <w:szCs w:val="16"/>
          <w:color w:val="auto"/>
        </w:rPr>
        <w:t>Annual Total Compensation of Median Employee:</w:t>
        <w:tab/>
        <w:t>$52,881</w:t>
      </w:r>
    </w:p>
    <w:p>
      <w:pPr>
        <w:spacing w:after="0" w:line="194" w:lineRule="exact"/>
        <w:rPr>
          <w:sz w:val="20"/>
          <w:szCs w:val="20"/>
          <w:color w:val="auto"/>
        </w:rPr>
      </w:pPr>
    </w:p>
    <w:p>
      <w:pPr>
        <w:ind w:left="660"/>
        <w:spacing w:after="0"/>
        <w:tabs>
          <w:tab w:leader="none" w:pos="4320" w:val="left"/>
        </w:tabs>
        <w:rPr>
          <w:sz w:val="20"/>
          <w:szCs w:val="20"/>
          <w:color w:val="auto"/>
        </w:rPr>
      </w:pPr>
      <w:r>
        <w:rPr>
          <w:rFonts w:ascii="Arial" w:cs="Arial" w:eastAsia="Arial" w:hAnsi="Arial"/>
          <w:sz w:val="16"/>
          <w:szCs w:val="16"/>
          <w:color w:val="auto"/>
        </w:rPr>
        <w:t>Annual Total Compensation of PEO (Mr. Happe):</w:t>
      </w:r>
      <w:r>
        <w:rPr>
          <w:sz w:val="20"/>
          <w:szCs w:val="20"/>
          <w:color w:val="auto"/>
        </w:rPr>
        <w:tab/>
      </w:r>
      <w:r>
        <w:rPr>
          <w:rFonts w:ascii="Arial" w:cs="Arial" w:eastAsia="Arial" w:hAnsi="Arial"/>
          <w:sz w:val="15"/>
          <w:szCs w:val="15"/>
          <w:color w:val="auto"/>
        </w:rPr>
        <w:t>$2,775,830</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Based on this information for Fiscal 2019, we reasonably estimate that the ratio of our CEO’s annual total compensation to the annual total compensation of our median employee was 53 to 1. Our pay ratio estimate has been calculated in a manner consistent with Item 402(u) of Regulation S-K.</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our pay ratio reported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2720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303" w:right="239" w:bottom="1440" w:gutter="0" w:footer="0" w:header="0"/>
        </w:sectPr>
      </w:pPr>
    </w:p>
    <w:bookmarkStart w:id="40" w:name="page41"/>
    <w:bookmarkEnd w:id="40"/>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p>
      <w:pPr>
        <w:spacing w:after="0" w:line="393" w:lineRule="exact"/>
        <w:rPr>
          <w:sz w:val="20"/>
          <w:szCs w:val="20"/>
          <w:color w:val="auto"/>
        </w:rPr>
      </w:pPr>
    </w:p>
    <w:p>
      <w:pPr>
        <w:ind w:right="320"/>
        <w:spacing w:after="0" w:line="296" w:lineRule="auto"/>
        <w:rPr>
          <w:sz w:val="20"/>
          <w:szCs w:val="20"/>
          <w:color w:val="auto"/>
        </w:rPr>
      </w:pPr>
      <w:r>
        <w:rPr>
          <w:rFonts w:ascii="Arial" w:cs="Arial" w:eastAsia="Arial" w:hAnsi="Arial"/>
          <w:sz w:val="28"/>
          <w:szCs w:val="28"/>
          <w:b w:val="1"/>
          <w:bCs w:val="1"/>
          <w:color w:val="BF2115"/>
        </w:rPr>
        <w:t>Item 2: Approval of Executive Compensation (the "Say on Pay" Vote)</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Dodd-Frank Act requires the Board to provide our shareholders with the opportunity to vote, on a non-binding, advisory basis, on the compensation of our NEOs as set forth in this Proxy Statement in accordance with the compensation disclosure rules of the SEC. This proposal is also referred to as the "Say on Pay" vote. At the 2017 Annual Meeting, the shareholders determined that the Say on Pay vote would be held annually.</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described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 The Board believes the compensation of the NEOs outlined in the Proxy Statement is appropriate based upon the performance of the Company.</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While the Board of Directors and especially the Human Resources Committee intend to carefully consider the results of the voting on this proposal when making future decisions regarding executive compensation, the vote is not binding on the Company or the Board and is advisory in nature.</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828282"/>
        </w:rPr>
        <w:t>YOUR BOARD OF DIRECTORS UNANIMOUSLY RECOMMENDS VOTING, ON A NON-BINDING, ADVISORY BASIS, FOR APPROVAL OF THE EXECUTIVE COMPENSATION AS OUTLINED IN THE PROXY STATEMENT FOR THE REASONS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57568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Report of the Audit Committee</w:t>
      </w:r>
    </w:p>
    <w:p>
      <w:pPr>
        <w:spacing w:after="0" w:line="2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Audit Committee serves as the representative of the Company's Board of Directors for general oversight of the Company's financial accounting and reporting, systems of internal control and audit process, and monitoring compliance with laws, regulations, and standards of business conduct. A copy of the Audit Committee Charter, as last amended as of August 14, 2019, is available on the Corporate Governance portion of the Investor Relations section of our Web Site at http://www.winnebagoind.com and is available in print free of charge to any shareholder who requests it.</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Management is responsible for the financial statements and the reporting process, including the system of internal controls.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retained Baker Tilly Virchow Krause, LLP ("Baker Tilly") to act as the Company's internal audit function. In this role, Baker Tilly assisted Management with completing its assessment of the Company's internal controls over financial reporting by testing and reviewing the Company's internal control processes. Deloitte &amp; Touche LLP ("Deloitte"), the Company's independent registered public accountant, is responsible for expressing an opinion on the conformity of the audited financial statements with accounting principles generally accepted in the United States and an assessment of the Company's internal controls over financial reporting in accordance with the standards of the United States Public Company Accounting Oversight Board ("PCAOB").</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Audit Committee reviews the Company's financial reporting process on behalf of the Board of Directors. In fulfilling its responsibilities, the Audit Committee has reviewed and discussed the audited financial statements to be included in the 2019 Form 10-K with Management and the independent accountants. The Audit Committee hereby reports as follows:</w:t>
      </w:r>
    </w:p>
    <w:p>
      <w:pPr>
        <w:spacing w:after="0" w:line="95" w:lineRule="exact"/>
        <w:rPr>
          <w:sz w:val="20"/>
          <w:szCs w:val="20"/>
          <w:color w:val="auto"/>
        </w:rPr>
      </w:pPr>
    </w:p>
    <w:p>
      <w:pPr>
        <w:jc w:val="both"/>
        <w:ind w:left="340" w:hanging="332"/>
        <w:spacing w:after="0" w:line="246"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Audit Committee has reviewed and discussed the audited financial statements for the fiscal year ended August 31, 2019 of Winnebago Industries, Inc. (the “Audited Financial Statements”) with Winnebago Industries, Inc.'s Management.</w:t>
      </w:r>
    </w:p>
    <w:p>
      <w:pPr>
        <w:spacing w:after="0" w:line="1"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Audit Committee has discussed with Deloitte the matters required to be discussed by the applicable requirements of the PCAOB and the SEC.</w:t>
      </w:r>
    </w:p>
    <w:p>
      <w:pPr>
        <w:spacing w:after="0" w:line="179"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200" w:lineRule="exact"/>
        <w:rPr>
          <w:sz w:val="20"/>
          <w:szCs w:val="20"/>
          <w:color w:val="auto"/>
        </w:rPr>
      </w:pPr>
    </w:p>
    <w:p>
      <w:pPr>
        <w:spacing w:after="0" w:line="3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Based on the review and discussion referred to in the bullet points above, the Audit Committee recommended to the Board of Directors of Winnebago Industries, Inc. that the Audited Financial Statements be included in Winnebago Industries, Inc.'s 2019 Form 10-K, for filing with the SEC.</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color w:val="828282"/>
        </w:rPr>
        <w:t>The Audit Committee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Richard D. Moss, Chair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Maria F. Blase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William C. Fisher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David W. Miles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The foregoing report of our Audit Committee shall not be deemed to be incorporated by reference in any previous or future documents filed by our Company with the SEC under the Securities Act or the Exchange Act, except to the extent that we incorporate the report by reference in any such document.</w:t>
      </w:r>
    </w:p>
    <w:p>
      <w:pPr>
        <w:spacing w:after="0" w:line="991" w:lineRule="exact"/>
        <w:rPr>
          <w:sz w:val="20"/>
          <w:szCs w:val="20"/>
          <w:color w:val="auto"/>
        </w:rPr>
      </w:pPr>
    </w:p>
    <w:p>
      <w:pPr>
        <w:sectPr>
          <w:pgSz w:w="11900" w:h="16838" w:orient="portrait"/>
          <w:cols w:equalWidth="0" w:num="2">
            <w:col w:w="5600" w:space="220"/>
            <w:col w:w="5600"/>
          </w:cols>
          <w:pgMar w:left="240" w:top="304" w:right="239" w:bottom="1440" w:gutter="0" w:footer="0" w:header="0"/>
          <w:type w:val="continuous"/>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304" w:right="239" w:bottom="1440" w:gutter="0" w:footer="0" w:header="0"/>
          <w:type w:val="continuous"/>
        </w:sectPr>
      </w:pPr>
    </w:p>
    <w:bookmarkStart w:id="41" w:name="page42"/>
    <w:bookmarkEnd w:id="41"/>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330835</wp:posOffset>
            </wp:positionV>
            <wp:extent cx="72720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180"/>
        <w:spacing w:after="0" w:line="296" w:lineRule="auto"/>
        <w:rPr>
          <w:sz w:val="20"/>
          <w:szCs w:val="20"/>
          <w:color w:val="auto"/>
        </w:rPr>
      </w:pPr>
      <w:r>
        <w:rPr>
          <w:rFonts w:ascii="Arial" w:cs="Arial" w:eastAsia="Arial" w:hAnsi="Arial"/>
          <w:sz w:val="28"/>
          <w:szCs w:val="28"/>
          <w:b w:val="1"/>
          <w:bCs w:val="1"/>
          <w:color w:val="BF2115"/>
        </w:rPr>
        <w:t>Independent Registered Public Accountant's Fees and Services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table presents fees for professional audit services rendered by Deloitte for the audit of our annual financial statements for fiscal years ended August 31, 2019 and August 25, 2018, and fees billed for other services rendered by Deloitte during those periods.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00"/>
        <w:spacing w:after="0" w:line="254" w:lineRule="auto"/>
        <w:rPr>
          <w:sz w:val="20"/>
          <w:szCs w:val="20"/>
          <w:color w:val="auto"/>
        </w:rPr>
      </w:pPr>
      <w:r>
        <w:rPr>
          <w:rFonts w:ascii="Arial" w:cs="Arial" w:eastAsia="Arial" w:hAnsi="Arial"/>
          <w:sz w:val="29"/>
          <w:szCs w:val="29"/>
          <w:b w:val="1"/>
          <w:bCs w:val="1"/>
          <w:color w:val="BF2115"/>
        </w:rPr>
        <w:t>Item 3: Ratification of the Appointment of Independent Registered Public Accountant for the Fiscal Year Ending August 29, 2020</w:t>
      </w:r>
    </w:p>
    <w:p>
      <w:pPr>
        <w:spacing w:after="0" w:line="384"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2080" w:type="dxa"/>
            <w:vAlign w:val="bottom"/>
            <w:tcBorders>
              <w:bottom w:val="single" w:sz="8" w:color="BF2115"/>
            </w:tcBorders>
            <w:shd w:val="clear" w:color="auto" w:fill="BF2115"/>
          </w:tcPr>
          <w:p>
            <w:pPr>
              <w:spacing w:after="0"/>
              <w:rPr>
                <w:sz w:val="21"/>
                <w:szCs w:val="21"/>
                <w:color w:val="auto"/>
              </w:rPr>
            </w:pPr>
          </w:p>
        </w:tc>
        <w:tc>
          <w:tcPr>
            <w:tcW w:w="260" w:type="dxa"/>
            <w:vAlign w:val="bottom"/>
            <w:tcBorders>
              <w:bottom w:val="single" w:sz="8" w:color="BF2115"/>
            </w:tcBorders>
            <w:shd w:val="clear" w:color="auto" w:fill="BF2115"/>
          </w:tcPr>
          <w:p>
            <w:pPr>
              <w:spacing w:after="0"/>
              <w:rPr>
                <w:sz w:val="21"/>
                <w:szCs w:val="21"/>
                <w:color w:val="auto"/>
              </w:rPr>
            </w:pPr>
          </w:p>
        </w:tc>
        <w:tc>
          <w:tcPr>
            <w:tcW w:w="1020" w:type="dxa"/>
            <w:vAlign w:val="bottom"/>
            <w:tcBorders>
              <w:bottom w:val="single" w:sz="8" w:color="BF2115"/>
            </w:tcBorders>
            <w:shd w:val="clear" w:color="auto" w:fill="BF2115"/>
          </w:tcPr>
          <w:p>
            <w:pPr>
              <w:ind w:left="160"/>
              <w:spacing w:after="0"/>
              <w:rPr>
                <w:sz w:val="20"/>
                <w:szCs w:val="20"/>
                <w:color w:val="auto"/>
              </w:rPr>
            </w:pPr>
            <w:r>
              <w:rPr>
                <w:rFonts w:ascii="Arial" w:cs="Arial" w:eastAsia="Arial" w:hAnsi="Arial"/>
                <w:sz w:val="16"/>
                <w:szCs w:val="16"/>
                <w:b w:val="1"/>
                <w:bCs w:val="1"/>
                <w:color w:val="FFFFFF"/>
                <w:w w:val="98"/>
                <w:shd w:val="clear" w:color="auto" w:fill="BF2115"/>
              </w:rPr>
              <w:t>Fiscal 2019</w:t>
            </w:r>
          </w:p>
        </w:tc>
        <w:tc>
          <w:tcPr>
            <w:tcW w:w="520" w:type="dxa"/>
            <w:vAlign w:val="bottom"/>
            <w:tcBorders>
              <w:bottom w:val="single" w:sz="8" w:color="BF2115"/>
            </w:tcBorders>
            <w:gridSpan w:val="2"/>
            <w:shd w:val="clear" w:color="auto" w:fill="BF2115"/>
          </w:tcPr>
          <w:p>
            <w:pPr>
              <w:spacing w:after="0"/>
              <w:rPr>
                <w:sz w:val="21"/>
                <w:szCs w:val="21"/>
                <w:color w:val="auto"/>
              </w:rPr>
            </w:pPr>
          </w:p>
        </w:tc>
        <w:tc>
          <w:tcPr>
            <w:tcW w:w="420" w:type="dxa"/>
            <w:vAlign w:val="bottom"/>
            <w:tcBorders>
              <w:bottom w:val="single" w:sz="8" w:color="BF2115"/>
            </w:tcBorders>
            <w:shd w:val="clear" w:color="auto" w:fill="BF2115"/>
          </w:tcPr>
          <w:p>
            <w:pPr>
              <w:spacing w:after="0"/>
              <w:rPr>
                <w:sz w:val="21"/>
                <w:szCs w:val="21"/>
                <w:color w:val="auto"/>
              </w:rPr>
            </w:pPr>
          </w:p>
        </w:tc>
        <w:tc>
          <w:tcPr>
            <w:tcW w:w="880" w:type="dxa"/>
            <w:vAlign w:val="bottom"/>
            <w:tcBorders>
              <w:bottom w:val="single" w:sz="8" w:color="BF2115"/>
            </w:tcBorders>
            <w:shd w:val="clear" w:color="auto" w:fill="BF2115"/>
          </w:tcPr>
          <w:p>
            <w:pPr>
              <w:spacing w:after="0"/>
              <w:rPr>
                <w:sz w:val="20"/>
                <w:szCs w:val="20"/>
                <w:color w:val="auto"/>
              </w:rPr>
            </w:pPr>
            <w:r>
              <w:rPr>
                <w:rFonts w:ascii="Arial" w:cs="Arial" w:eastAsia="Arial" w:hAnsi="Arial"/>
                <w:sz w:val="16"/>
                <w:szCs w:val="16"/>
                <w:b w:val="1"/>
                <w:bCs w:val="1"/>
                <w:color w:val="FFFFFF"/>
                <w:shd w:val="clear" w:color="auto" w:fill="BF2115"/>
              </w:rPr>
              <w:t>Fiscal 2018</w:t>
            </w:r>
          </w:p>
        </w:tc>
        <w:tc>
          <w:tcPr>
            <w:tcW w:w="420" w:type="dxa"/>
            <w:vAlign w:val="bottom"/>
            <w:tcBorders>
              <w:bottom w:val="single" w:sz="8" w:color="BF2115"/>
            </w:tcBorders>
            <w:shd w:val="clear" w:color="auto" w:fill="BF2115"/>
          </w:tcPr>
          <w:p>
            <w:pPr>
              <w:spacing w:after="0"/>
              <w:rPr>
                <w:sz w:val="21"/>
                <w:szCs w:val="21"/>
                <w:color w:val="auto"/>
              </w:rPr>
            </w:pPr>
          </w:p>
        </w:tc>
      </w:tr>
      <w:tr>
        <w:trPr>
          <w:trHeight w:val="270"/>
        </w:trPr>
        <w:tc>
          <w:tcPr>
            <w:tcW w:w="2080" w:type="dxa"/>
            <w:vAlign w:val="bottom"/>
            <w:shd w:val="clear" w:color="auto" w:fill="ACACAC"/>
          </w:tcPr>
          <w:p>
            <w:pPr>
              <w:ind w:left="4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260" w:type="dxa"/>
            <w:vAlign w:val="bottom"/>
            <w:shd w:val="clear" w:color="auto" w:fill="ACACAC"/>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ACACAC"/>
          </w:tcPr>
          <w:p>
            <w:pPr>
              <w:jc w:val="right"/>
              <w:spacing w:after="0"/>
              <w:rPr>
                <w:sz w:val="20"/>
                <w:szCs w:val="20"/>
                <w:color w:val="auto"/>
              </w:rPr>
            </w:pPr>
            <w:r>
              <w:rPr>
                <w:rFonts w:ascii="Arial" w:cs="Arial" w:eastAsia="Arial" w:hAnsi="Arial"/>
                <w:sz w:val="16"/>
                <w:szCs w:val="16"/>
                <w:color w:val="auto"/>
              </w:rPr>
              <w:t>979,000</w:t>
            </w:r>
          </w:p>
        </w:tc>
        <w:tc>
          <w:tcPr>
            <w:tcW w:w="100" w:type="dxa"/>
            <w:vAlign w:val="bottom"/>
            <w:shd w:val="clear" w:color="auto" w:fill="ACACAC"/>
          </w:tcPr>
          <w:p>
            <w:pPr>
              <w:spacing w:after="0"/>
              <w:rPr>
                <w:sz w:val="23"/>
                <w:szCs w:val="23"/>
                <w:color w:val="auto"/>
              </w:rPr>
            </w:pPr>
          </w:p>
        </w:tc>
        <w:tc>
          <w:tcPr>
            <w:tcW w:w="420" w:type="dxa"/>
            <w:vAlign w:val="bottom"/>
            <w:shd w:val="clear" w:color="auto" w:fill="ACACAC"/>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ACACAC"/>
          </w:tcPr>
          <w:p>
            <w:pPr>
              <w:jc w:val="right"/>
              <w:spacing w:after="0"/>
              <w:rPr>
                <w:sz w:val="20"/>
                <w:szCs w:val="20"/>
                <w:color w:val="auto"/>
              </w:rPr>
            </w:pPr>
            <w:r>
              <w:rPr>
                <w:rFonts w:ascii="Arial" w:cs="Arial" w:eastAsia="Arial" w:hAnsi="Arial"/>
                <w:sz w:val="16"/>
                <w:szCs w:val="16"/>
                <w:color w:val="auto"/>
              </w:rPr>
              <w:t>1,051,000</w:t>
            </w:r>
          </w:p>
        </w:tc>
      </w:tr>
      <w:tr>
        <w:trPr>
          <w:trHeight w:val="270"/>
        </w:trPr>
        <w:tc>
          <w:tcPr>
            <w:tcW w:w="2080" w:type="dxa"/>
            <w:vAlign w:val="bottom"/>
          </w:tcPr>
          <w:p>
            <w:pPr>
              <w:ind w:left="4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27,000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26,000</w:t>
            </w:r>
          </w:p>
        </w:tc>
      </w:tr>
      <w:tr>
        <w:trPr>
          <w:trHeight w:val="270"/>
        </w:trPr>
        <w:tc>
          <w:tcPr>
            <w:tcW w:w="2080" w:type="dxa"/>
            <w:vAlign w:val="bottom"/>
            <w:shd w:val="clear" w:color="auto" w:fill="ACACAC"/>
          </w:tcPr>
          <w:p>
            <w:pPr>
              <w:ind w:left="40"/>
              <w:spacing w:after="0"/>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260" w:type="dxa"/>
            <w:vAlign w:val="bottom"/>
            <w:shd w:val="clear" w:color="auto" w:fill="ACACAC"/>
          </w:tcPr>
          <w:p>
            <w:pPr>
              <w:spacing w:after="0"/>
              <w:rPr>
                <w:sz w:val="23"/>
                <w:szCs w:val="23"/>
                <w:color w:val="auto"/>
              </w:rPr>
            </w:pPr>
          </w:p>
        </w:tc>
        <w:tc>
          <w:tcPr>
            <w:tcW w:w="1020" w:type="dxa"/>
            <w:vAlign w:val="bottom"/>
            <w:shd w:val="clear" w:color="auto" w:fill="ACACAC"/>
          </w:tcPr>
          <w:p>
            <w:pPr>
              <w:spacing w:after="0"/>
              <w:rPr>
                <w:sz w:val="23"/>
                <w:szCs w:val="23"/>
                <w:color w:val="auto"/>
              </w:rPr>
            </w:pPr>
          </w:p>
        </w:tc>
        <w:tc>
          <w:tcPr>
            <w:tcW w:w="520" w:type="dxa"/>
            <w:vAlign w:val="bottom"/>
            <w:gridSpan w:val="2"/>
            <w:shd w:val="clear" w:color="auto" w:fill="ACACAC"/>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ACACAC"/>
          </w:tcPr>
          <w:p>
            <w:pPr>
              <w:spacing w:after="0"/>
              <w:rPr>
                <w:sz w:val="23"/>
                <w:szCs w:val="23"/>
                <w:color w:val="auto"/>
              </w:rPr>
            </w:pPr>
          </w:p>
        </w:tc>
        <w:tc>
          <w:tcPr>
            <w:tcW w:w="880" w:type="dxa"/>
            <w:vAlign w:val="bottom"/>
            <w:shd w:val="clear" w:color="auto" w:fill="ACACAC"/>
          </w:tcPr>
          <w:p>
            <w:pPr>
              <w:spacing w:after="0"/>
              <w:rPr>
                <w:sz w:val="23"/>
                <w:szCs w:val="23"/>
                <w:color w:val="auto"/>
              </w:rPr>
            </w:pPr>
          </w:p>
        </w:tc>
        <w:tc>
          <w:tcPr>
            <w:tcW w:w="4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080" w:type="dxa"/>
            <w:vAlign w:val="bottom"/>
            <w:tcBorders>
              <w:bottom w:val="single" w:sz="8" w:color="ACACAC"/>
            </w:tcBorders>
          </w:tcPr>
          <w:p>
            <w:pPr>
              <w:ind w:left="40"/>
              <w:spacing w:after="0"/>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104,000</w:t>
            </w:r>
          </w:p>
        </w:tc>
        <w:tc>
          <w:tcPr>
            <w:tcW w:w="100" w:type="dxa"/>
            <w:vAlign w:val="bottom"/>
            <w:tcBorders>
              <w:bottom w:val="single" w:sz="8" w:color="ACACAC"/>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20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ACACAC"/>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gridSpan w:val="2"/>
            <w:shd w:val="clear" w:color="auto" w:fill="ACACAC"/>
          </w:tcPr>
          <w:p>
            <w:pPr>
              <w:jc w:val="right"/>
              <w:spacing w:after="0"/>
              <w:rPr>
                <w:sz w:val="20"/>
                <w:szCs w:val="20"/>
                <w:color w:val="auto"/>
              </w:rPr>
            </w:pPr>
            <w:r>
              <w:rPr>
                <w:rFonts w:ascii="Arial" w:cs="Arial" w:eastAsia="Arial" w:hAnsi="Arial"/>
                <w:sz w:val="16"/>
                <w:szCs w:val="16"/>
                <w:color w:val="auto"/>
              </w:rPr>
              <w:t>1,110,000</w:t>
            </w:r>
          </w:p>
        </w:tc>
        <w:tc>
          <w:tcPr>
            <w:tcW w:w="100" w:type="dxa"/>
            <w:vAlign w:val="bottom"/>
            <w:tcBorders>
              <w:bottom w:val="single" w:sz="8" w:color="ACACAC"/>
            </w:tcBorders>
            <w:shd w:val="clear" w:color="auto" w:fill="ACACAC"/>
          </w:tcPr>
          <w:p>
            <w:pPr>
              <w:spacing w:after="0"/>
              <w:rPr>
                <w:sz w:val="20"/>
                <w:szCs w:val="20"/>
                <w:color w:val="auto"/>
              </w:rPr>
            </w:pPr>
          </w:p>
        </w:tc>
        <w:tc>
          <w:tcPr>
            <w:tcW w:w="420" w:type="dxa"/>
            <w:vAlign w:val="bottom"/>
            <w:tcBorders>
              <w:bottom w:val="single" w:sz="8" w:color="auto"/>
            </w:tcBorders>
            <w:shd w:val="clear" w:color="auto" w:fill="ACACAC"/>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shd w:val="clear" w:color="auto" w:fill="ACACAC"/>
          </w:tcPr>
          <w:p>
            <w:pPr>
              <w:jc w:val="right"/>
              <w:spacing w:after="0"/>
              <w:rPr>
                <w:sz w:val="20"/>
                <w:szCs w:val="20"/>
                <w:color w:val="auto"/>
              </w:rPr>
            </w:pPr>
            <w:r>
              <w:rPr>
                <w:rFonts w:ascii="Arial" w:cs="Arial" w:eastAsia="Arial" w:hAnsi="Arial"/>
                <w:sz w:val="16"/>
                <w:szCs w:val="16"/>
                <w:color w:val="auto"/>
              </w:rPr>
              <w:t>1,077,000</w:t>
            </w:r>
          </w:p>
        </w:tc>
      </w:tr>
      <w:tr>
        <w:trPr>
          <w:trHeight w:val="20"/>
        </w:trPr>
        <w:tc>
          <w:tcPr>
            <w:tcW w:w="2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jc w:val="both"/>
        <w:ind w:left="260" w:hanging="252"/>
        <w:spacing w:after="0" w:line="234" w:lineRule="auto"/>
        <w:tabs>
          <w:tab w:leader="none" w:pos="260" w:val="left"/>
        </w:tabs>
        <w:numPr>
          <w:ilvl w:val="0"/>
          <w:numId w:val="57"/>
        </w:numPr>
        <w:rPr>
          <w:rFonts w:ascii="Arial" w:cs="Arial" w:eastAsia="Arial" w:hAnsi="Arial"/>
          <w:sz w:val="13"/>
          <w:szCs w:val="13"/>
          <w:color w:val="auto"/>
        </w:rPr>
      </w:pPr>
      <w:r>
        <w:rPr>
          <w:rFonts w:ascii="Arial" w:cs="Arial" w:eastAsia="Arial" w:hAnsi="Arial"/>
          <w:sz w:val="14"/>
          <w:szCs w:val="14"/>
          <w:color w:val="auto"/>
        </w:rPr>
        <w:t>Represents fees for professional services provided for the audit of our annual financial statements, the audit of our internal control over financial reporting, review of our interim financial information and review of other SEC filings.</w:t>
      </w:r>
    </w:p>
    <w:p>
      <w:pPr>
        <w:spacing w:after="0" w:line="1" w:lineRule="exact"/>
        <w:rPr>
          <w:rFonts w:ascii="Arial" w:cs="Arial" w:eastAsia="Arial" w:hAnsi="Arial"/>
          <w:sz w:val="13"/>
          <w:szCs w:val="13"/>
          <w:color w:val="auto"/>
        </w:rPr>
      </w:pPr>
    </w:p>
    <w:p>
      <w:pPr>
        <w:ind w:left="260" w:hanging="252"/>
        <w:spacing w:after="0" w:line="201" w:lineRule="auto"/>
        <w:tabs>
          <w:tab w:leader="none" w:pos="260" w:val="left"/>
        </w:tabs>
        <w:numPr>
          <w:ilvl w:val="0"/>
          <w:numId w:val="57"/>
        </w:numPr>
        <w:rPr>
          <w:rFonts w:ascii="Arial" w:cs="Arial" w:eastAsia="Arial" w:hAnsi="Arial"/>
          <w:sz w:val="13"/>
          <w:szCs w:val="13"/>
          <w:color w:val="auto"/>
        </w:rPr>
      </w:pPr>
      <w:r>
        <w:rPr>
          <w:rFonts w:ascii="Arial" w:cs="Arial" w:eastAsia="Arial" w:hAnsi="Arial"/>
          <w:sz w:val="14"/>
          <w:szCs w:val="14"/>
          <w:color w:val="auto"/>
        </w:rPr>
        <w:t>Represents fees for professional services provided for the audit of our benefit plan and due diligence services.</w:t>
      </w:r>
    </w:p>
    <w:p>
      <w:pPr>
        <w:ind w:left="260" w:hanging="252"/>
        <w:spacing w:after="0"/>
        <w:tabs>
          <w:tab w:leader="none" w:pos="260" w:val="left"/>
        </w:tabs>
        <w:numPr>
          <w:ilvl w:val="0"/>
          <w:numId w:val="57"/>
        </w:numPr>
        <w:rPr>
          <w:rFonts w:ascii="Arial" w:cs="Arial" w:eastAsia="Arial" w:hAnsi="Arial"/>
          <w:sz w:val="13"/>
          <w:szCs w:val="13"/>
          <w:color w:val="auto"/>
        </w:rPr>
      </w:pPr>
      <w:r>
        <w:rPr>
          <w:rFonts w:ascii="Arial" w:cs="Arial" w:eastAsia="Arial" w:hAnsi="Arial"/>
          <w:sz w:val="14"/>
          <w:szCs w:val="14"/>
          <w:color w:val="auto"/>
        </w:rPr>
        <w:t>Represents fees for professional services related to tax compliance and tax planning.</w:t>
      </w:r>
    </w:p>
    <w:p>
      <w:pPr>
        <w:spacing w:after="0" w:line="109" w:lineRule="exact"/>
        <w:rPr>
          <w:rFonts w:ascii="Arial" w:cs="Arial" w:eastAsia="Arial" w:hAnsi="Arial"/>
          <w:sz w:val="13"/>
          <w:szCs w:val="13"/>
          <w:color w:val="auto"/>
        </w:rPr>
      </w:pPr>
    </w:p>
    <w:p>
      <w:pPr>
        <w:ind w:left="260" w:hanging="252"/>
        <w:spacing w:after="0" w:line="229" w:lineRule="auto"/>
        <w:tabs>
          <w:tab w:leader="none" w:pos="260" w:val="left"/>
        </w:tabs>
        <w:numPr>
          <w:ilvl w:val="0"/>
          <w:numId w:val="57"/>
        </w:numPr>
        <w:rPr>
          <w:rFonts w:ascii="Arial" w:cs="Arial" w:eastAsia="Arial" w:hAnsi="Arial"/>
          <w:sz w:val="13"/>
          <w:szCs w:val="13"/>
          <w:color w:val="auto"/>
        </w:rPr>
      </w:pPr>
      <w:r>
        <w:rPr>
          <w:rFonts w:ascii="Arial" w:cs="Arial" w:eastAsia="Arial" w:hAnsi="Arial"/>
          <w:sz w:val="14"/>
          <w:szCs w:val="14"/>
          <w:color w:val="auto"/>
        </w:rPr>
        <w:t>Represents fees for professional services provided to us not otherwise included in the categories above.</w:t>
      </w:r>
    </w:p>
    <w:p>
      <w:pPr>
        <w:spacing w:after="0" w:line="13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Audit Committee considered whether the provision of tax, benefit plan audit and all other accounting consulting services by Deloitte are compatible with maintaining its independence and concluded that the independence of Deloitte is not compromised by the provision of such services.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828282"/>
        </w:rPr>
        <w:t>Policy Regarding the Approval of Independent Registered</w:t>
      </w:r>
    </w:p>
    <w:p>
      <w:pPr>
        <w:spacing w:after="0" w:line="15" w:lineRule="exact"/>
        <w:rPr>
          <w:sz w:val="20"/>
          <w:szCs w:val="20"/>
          <w:color w:val="auto"/>
        </w:rPr>
      </w:pPr>
    </w:p>
    <w:p>
      <w:pPr>
        <w:spacing w:after="0"/>
        <w:tabs>
          <w:tab w:leader="none" w:pos="760" w:val="left"/>
          <w:tab w:leader="none" w:pos="2040" w:val="left"/>
          <w:tab w:leader="none" w:pos="3120" w:val="left"/>
          <w:tab w:leader="none" w:pos="3480" w:val="left"/>
          <w:tab w:leader="none" w:pos="4160" w:val="left"/>
          <w:tab w:leader="none" w:pos="4700" w:val="left"/>
        </w:tabs>
        <w:rPr>
          <w:sz w:val="20"/>
          <w:szCs w:val="20"/>
          <w:color w:val="auto"/>
        </w:rPr>
      </w:pPr>
      <w:r>
        <w:rPr>
          <w:rFonts w:ascii="Arial" w:cs="Arial" w:eastAsia="Arial" w:hAnsi="Arial"/>
          <w:sz w:val="22"/>
          <w:szCs w:val="22"/>
          <w:color w:val="828282"/>
        </w:rPr>
        <w:t>Public</w:t>
        <w:tab/>
        <w:t>Accountant</w:t>
        <w:tab/>
        <w:t>Provision</w:t>
        <w:tab/>
        <w:t>of</w:t>
        <w:tab/>
        <w:t>Audit</w:t>
        <w:tab/>
        <w:t>and</w:t>
      </w:r>
      <w:r>
        <w:rPr>
          <w:sz w:val="20"/>
          <w:szCs w:val="20"/>
          <w:color w:val="auto"/>
        </w:rPr>
        <w:tab/>
      </w:r>
      <w:r>
        <w:rPr>
          <w:rFonts w:ascii="Arial" w:cs="Arial" w:eastAsia="Arial" w:hAnsi="Arial"/>
          <w:sz w:val="21"/>
          <w:szCs w:val="21"/>
          <w:color w:val="828282"/>
        </w:rPr>
        <w:t>Nonaudit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828282"/>
        </w:rPr>
        <w:t>Services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Audit Committee Charter requires the Audit Committee to pre-approve the audit and non-audit fees and services that may be provided by Deloitte, our independent registered public accountant, to us.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all of the audit and non-audit fees and services provided by Deloitte for Fiscal 2019 and 2018.</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Deloitte &amp; Touche LLP was appointed by the Audit Committee as our independent registered public accountant for the fiscal year ending August 29, 2020. We are asking our shareholders to ratify the appointment of Deloitte, who has served as our independent registered public accountant for over 25 years. Representatives of the firm will be present at the Annual Meeting and will be given the opportunity to make a statement if they so desire and will be available to respond to any shareholder questions that may be asked. For a description of the fees for services rendered by Deloitte in Fiscal 2018 and Fiscal 2019, and a description of our policy regarding the approval of independent registered public accountant provision of audit and non-audit services, see “Independent Registered Public Accountant's Fees and Services” above.</w:t>
      </w:r>
    </w:p>
    <w:p>
      <w:pPr>
        <w:spacing w:after="0" w:line="15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Although ratification by the shareholders is not required by law, the Board of Directors has determined that it is desirable to request approval of this selection by the shareholders. In the event the shareholders fail to ratify the appointment, the Audit Committee will consider this factor when making any determination regarding Deloitte. Even if the selection is ratified, the Audit Committee in its discretion may direct the appointment of a different independent registered public accounting firm at any time during the year if it determines that such a change would be in the Company's best interests and those of its shareholders.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Passage of the proposal requires the affirmative vote of a majority of the shares entitled to vote on the proposal and represented in person or by proxy at the Meeting at which a quorum is present.</w:t>
      </w:r>
    </w:p>
    <w:p>
      <w:pPr>
        <w:spacing w:after="0" w:line="153"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color w:val="828282"/>
        </w:rPr>
        <w:t>YOUR BOARD OF DIRECTORS UNANIMOUSLY RECOMMENDS THAT YOU VOTE FOR THE RATIFICATION OF THE APPOINTMENT OF DELOITTE</w:t>
      </w:r>
    </w:p>
    <w:p>
      <w:pPr>
        <w:spacing w:after="0" w:line="1" w:lineRule="exact"/>
        <w:rPr>
          <w:sz w:val="20"/>
          <w:szCs w:val="20"/>
          <w:color w:val="auto"/>
        </w:rPr>
      </w:pPr>
    </w:p>
    <w:p>
      <w:pPr>
        <w:jc w:val="both"/>
        <w:ind w:firstLine="8"/>
        <w:spacing w:after="0" w:line="246" w:lineRule="auto"/>
        <w:tabs>
          <w:tab w:leader="none" w:pos="215" w:val="left"/>
        </w:tabs>
        <w:numPr>
          <w:ilvl w:val="0"/>
          <w:numId w:val="58"/>
        </w:numPr>
        <w:rPr>
          <w:rFonts w:ascii="Arial" w:cs="Arial" w:eastAsia="Arial" w:hAnsi="Arial"/>
          <w:sz w:val="22"/>
          <w:szCs w:val="22"/>
          <w:color w:val="828282"/>
        </w:rPr>
      </w:pPr>
      <w:r>
        <w:rPr>
          <w:rFonts w:ascii="Arial" w:cs="Arial" w:eastAsia="Arial" w:hAnsi="Arial"/>
          <w:sz w:val="22"/>
          <w:szCs w:val="22"/>
          <w:color w:val="828282"/>
        </w:rPr>
        <w:t>TOUCHE LLP AS OUR INDEPENDENT REGISTERED PUBLIC ACCOUNTANT FOR THE FISCAL YEAR ENDING AUGUST 29, 2020.</w:t>
      </w:r>
    </w:p>
    <w:p>
      <w:pPr>
        <w:spacing w:after="0" w:line="277"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03" w:right="239" w:bottom="1440" w:gutter="0" w:footer="0" w:header="0"/>
          <w:type w:val="continuous"/>
        </w:sectPr>
      </w:pPr>
    </w:p>
    <w:bookmarkStart w:id="42" w:name="page43"/>
    <w:bookmarkEnd w:id="42"/>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330835</wp:posOffset>
            </wp:positionV>
            <wp:extent cx="357568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Other Matters</w:t>
      </w:r>
    </w:p>
    <w:p>
      <w:pPr>
        <w:spacing w:after="0" w:line="3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of Directors does not know of any matter, other than the election of directors, the advisory approval of executive compensation, and the ratification of the appointment of independent registered public accountants, which may be presented at the Meeting. However, if any other matters should properly come before the Meeting, it is the intention of the persons named in the proxy to vote thereon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357568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Fiscal 2020 Shareholder Proposals</w:t>
      </w:r>
    </w:p>
    <w:p>
      <w:pPr>
        <w:spacing w:after="0" w:line="26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a shareholder intends to present a proposal at our Annual Meeting following Fiscal 2020 and desires that the proposal be included in our Fiscal 2020 proxy statement and form of proxy for that meeting, the proposal must be in compliance with Rule 14a-8 under the Exchange Act and received at our principal executive offices no later than July 8, 2020.</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By-Laws require that in order to nominate persons to our Board of Directors, a shareholder must provide advance written notice in the form set forth therein to the Secretary, which notice must be delivered to or mailed and received at our principal executive offices not less than 90 days nor more than 120 days before the anniversary of the preceding year's annual meeting and must otherwise comply with our By-Laws.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the Internet as set forth in the Notice of Internet Availability of Proxy Materials.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828282"/>
        </w:rPr>
        <w:t>A COPY OF THIS PROXY STATEMENT AND OUR MOST RECENT ANNUAL REPORT TO THE SEC ON FORM 10-K (WITHOUT EXHIBITS) WILL BE FURNISHED, WITHOUT CHARGE, TO OUR SHAREHOLDERS UPON WRITTEN REQUEST PURSUANT TO THE INSTRUCTIONS SET FORTH IN THE NOTICE OF INTERNET AVAILABILITY OF PROXY MATERIALS.</w:t>
      </w:r>
    </w:p>
    <w:p>
      <w:pPr>
        <w:spacing w:after="0" w:line="10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828282"/>
        </w:rPr>
        <w:t>FOR INFORMATION ABOUT US, INCLUDING OUR ANNUAL, QUARTERLY AND CURRENT REPORTS ON SEC FORMS 10-K, 10-Q AND 8-K, RESPECTIVELY, PLEASE VISIT OUR HOME PAGE ON THE INTERNET - HTTP://WWW.WINNEBAGOIND.COM. INFORMATION CONTAINED ON OUR WEB SITE IS NOT INCORPORATED INTO THIS PROXY STATEMENT OR OTHER SECURITIES FILINGS.</w:t>
      </w:r>
    </w:p>
    <w:p>
      <w:pPr>
        <w:spacing w:after="0" w:line="179" w:lineRule="exact"/>
        <w:rPr>
          <w:sz w:val="20"/>
          <w:szCs w:val="20"/>
          <w:color w:val="auto"/>
        </w:rPr>
      </w:pPr>
    </w:p>
    <w:p>
      <w:pPr>
        <w:sectPr>
          <w:pgSz w:w="11900" w:h="16838" w:orient="portrait"/>
          <w:cols w:equalWidth="0" w:num="2">
            <w:col w:w="5600" w:space="220"/>
            <w:col w:w="5600"/>
          </w:cols>
          <w:pgMar w:left="240" w:top="304"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7900" w:type="dxa"/>
            <w:vAlign w:val="bottom"/>
            <w:vMerge w:val="restart"/>
          </w:tcPr>
          <w:p>
            <w:pPr>
              <w:spacing w:after="0"/>
              <w:rPr>
                <w:sz w:val="20"/>
                <w:szCs w:val="20"/>
                <w:color w:val="auto"/>
              </w:rPr>
            </w:pPr>
            <w:r>
              <w:rPr>
                <w:rFonts w:ascii="Arial" w:cs="Arial" w:eastAsia="Arial" w:hAnsi="Arial"/>
                <w:sz w:val="16"/>
                <w:szCs w:val="16"/>
                <w:color w:val="auto"/>
              </w:rPr>
              <w:t>The By-Laws also require that in order to present a proposal for action by</w:t>
            </w:r>
          </w:p>
        </w:tc>
        <w:tc>
          <w:tcPr>
            <w:tcW w:w="3520" w:type="dxa"/>
            <w:vAlign w:val="bottom"/>
          </w:tcPr>
          <w:p>
            <w:pPr>
              <w:ind w:left="40"/>
              <w:spacing w:after="0"/>
              <w:rPr>
                <w:sz w:val="20"/>
                <w:szCs w:val="20"/>
                <w:color w:val="auto"/>
              </w:rPr>
            </w:pPr>
            <w:r>
              <w:rPr>
                <w:rFonts w:ascii="Arial" w:cs="Arial" w:eastAsia="Arial" w:hAnsi="Arial"/>
                <w:sz w:val="16"/>
                <w:szCs w:val="16"/>
                <w:color w:val="auto"/>
              </w:rPr>
              <w:t>By Order of the Board of Directors</w:t>
            </w:r>
          </w:p>
        </w:tc>
        <w:tc>
          <w:tcPr>
            <w:tcW w:w="0" w:type="dxa"/>
            <w:vAlign w:val="bottom"/>
          </w:tcPr>
          <w:p>
            <w:pPr>
              <w:spacing w:after="0"/>
              <w:rPr>
                <w:sz w:val="1"/>
                <w:szCs w:val="1"/>
                <w:color w:val="auto"/>
              </w:rPr>
            </w:pPr>
          </w:p>
        </w:tc>
      </w:tr>
      <w:tr>
        <w:trPr>
          <w:trHeight w:val="143"/>
        </w:trPr>
        <w:tc>
          <w:tcPr>
            <w:tcW w:w="7900" w:type="dxa"/>
            <w:vAlign w:val="bottom"/>
            <w:vMerge w:val="continue"/>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900" w:type="dxa"/>
            <w:vAlign w:val="bottom"/>
          </w:tcPr>
          <w:p>
            <w:pPr>
              <w:spacing w:after="0" w:line="176" w:lineRule="exact"/>
              <w:rPr>
                <w:sz w:val="20"/>
                <w:szCs w:val="20"/>
                <w:color w:val="auto"/>
              </w:rPr>
            </w:pPr>
            <w:r>
              <w:rPr>
                <w:rFonts w:ascii="Arial" w:cs="Arial" w:eastAsia="Arial" w:hAnsi="Arial"/>
                <w:sz w:val="16"/>
                <w:szCs w:val="16"/>
                <w:color w:val="auto"/>
              </w:rPr>
              <w:t>shareholders at an annual meeting, a shareholder must provide advance</w:t>
            </w:r>
          </w:p>
        </w:tc>
        <w:tc>
          <w:tcPr>
            <w:tcW w:w="35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/s/ Stacy L. Bogart</w:t>
            </w:r>
          </w:p>
        </w:tc>
        <w:tc>
          <w:tcPr>
            <w:tcW w:w="0" w:type="dxa"/>
            <w:vAlign w:val="bottom"/>
          </w:tcPr>
          <w:p>
            <w:pPr>
              <w:spacing w:after="0"/>
              <w:rPr>
                <w:sz w:val="1"/>
                <w:szCs w:val="1"/>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color w:val="auto"/>
              </w:rPr>
              <w:t>written notice to the Secretary, which notice must contain detailed information   November 5, 2019</w:t>
            </w:r>
          </w:p>
        </w:tc>
        <w:tc>
          <w:tcPr>
            <w:tcW w:w="3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900" w:type="dxa"/>
            <w:vAlign w:val="bottom"/>
          </w:tcPr>
          <w:p>
            <w:pPr>
              <w:spacing w:after="0" w:line="164" w:lineRule="exact"/>
              <w:rPr>
                <w:sz w:val="20"/>
                <w:szCs w:val="20"/>
                <w:color w:val="auto"/>
              </w:rPr>
            </w:pPr>
            <w:r>
              <w:rPr>
                <w:rFonts w:ascii="Arial" w:cs="Arial" w:eastAsia="Arial" w:hAnsi="Arial"/>
                <w:sz w:val="16"/>
                <w:szCs w:val="16"/>
                <w:color w:val="auto"/>
              </w:rPr>
              <w:t>specified in our By-Laws. This notice must be delivered to or mailed and</w:t>
            </w:r>
          </w:p>
        </w:tc>
        <w:tc>
          <w:tcPr>
            <w:tcW w:w="3520" w:type="dxa"/>
            <w:vAlign w:val="bottom"/>
            <w:vMerge w:val="restart"/>
          </w:tcPr>
          <w:p>
            <w:pPr>
              <w:ind w:left="40"/>
              <w:spacing w:after="0"/>
              <w:rPr>
                <w:sz w:val="20"/>
                <w:szCs w:val="20"/>
                <w:color w:val="auto"/>
              </w:rPr>
            </w:pPr>
            <w:r>
              <w:rPr>
                <w:rFonts w:ascii="Arial" w:cs="Arial" w:eastAsia="Arial" w:hAnsi="Arial"/>
                <w:sz w:val="16"/>
                <w:szCs w:val="16"/>
                <w:color w:val="auto"/>
              </w:rPr>
              <w:t>Stacy L. Bogart</w:t>
            </w:r>
          </w:p>
        </w:tc>
        <w:tc>
          <w:tcPr>
            <w:tcW w:w="0" w:type="dxa"/>
            <w:vAlign w:val="bottom"/>
          </w:tcPr>
          <w:p>
            <w:pPr>
              <w:spacing w:after="0"/>
              <w:rPr>
                <w:sz w:val="1"/>
                <w:szCs w:val="1"/>
                <w:color w:val="auto"/>
              </w:rPr>
            </w:pPr>
          </w:p>
        </w:tc>
      </w:tr>
      <w:tr>
        <w:trPr>
          <w:trHeight w:val="73"/>
        </w:trPr>
        <w:tc>
          <w:tcPr>
            <w:tcW w:w="7900" w:type="dxa"/>
            <w:vAlign w:val="bottom"/>
            <w:vMerge w:val="restart"/>
          </w:tcPr>
          <w:p>
            <w:pPr>
              <w:spacing w:after="0"/>
              <w:rPr>
                <w:sz w:val="20"/>
                <w:szCs w:val="20"/>
                <w:color w:val="auto"/>
              </w:rPr>
            </w:pPr>
            <w:r>
              <w:rPr>
                <w:rFonts w:ascii="Arial" w:cs="Arial" w:eastAsia="Arial" w:hAnsi="Arial"/>
                <w:sz w:val="16"/>
                <w:szCs w:val="16"/>
                <w:color w:val="auto"/>
              </w:rPr>
              <w:t>received at our principal executive offices not less than 90 days nor more than</w:t>
            </w:r>
          </w:p>
        </w:tc>
        <w:tc>
          <w:tcPr>
            <w:tcW w:w="3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7900" w:type="dxa"/>
            <w:vAlign w:val="bottom"/>
            <w:vMerge w:val="continue"/>
          </w:tcPr>
          <w:p>
            <w:pPr>
              <w:spacing w:after="0"/>
              <w:rPr>
                <w:sz w:val="10"/>
                <w:szCs w:val="10"/>
                <w:color w:val="auto"/>
              </w:rPr>
            </w:pPr>
          </w:p>
        </w:tc>
        <w:tc>
          <w:tcPr>
            <w:tcW w:w="3520" w:type="dxa"/>
            <w:vAlign w:val="bottom"/>
            <w:vMerge w:val="restart"/>
          </w:tcPr>
          <w:p>
            <w:pPr>
              <w:ind w:left="40"/>
              <w:spacing w:after="0"/>
              <w:rPr>
                <w:sz w:val="20"/>
                <w:szCs w:val="20"/>
                <w:color w:val="auto"/>
              </w:rPr>
            </w:pPr>
            <w:r>
              <w:rPr>
                <w:rFonts w:ascii="Arial" w:cs="Arial" w:eastAsia="Arial" w:hAnsi="Arial"/>
                <w:sz w:val="16"/>
                <w:szCs w:val="16"/>
                <w:color w:val="auto"/>
              </w:rPr>
              <w:t>Vice President - General Counsel</w:t>
            </w:r>
          </w:p>
        </w:tc>
        <w:tc>
          <w:tcPr>
            <w:tcW w:w="0" w:type="dxa"/>
            <w:vAlign w:val="bottom"/>
          </w:tcPr>
          <w:p>
            <w:pPr>
              <w:spacing w:after="0"/>
              <w:rPr>
                <w:sz w:val="1"/>
                <w:szCs w:val="1"/>
                <w:color w:val="auto"/>
              </w:rPr>
            </w:pPr>
          </w:p>
        </w:tc>
      </w:tr>
      <w:tr>
        <w:trPr>
          <w:trHeight w:val="195"/>
        </w:trPr>
        <w:tc>
          <w:tcPr>
            <w:tcW w:w="7900" w:type="dxa"/>
            <w:vAlign w:val="bottom"/>
          </w:tcPr>
          <w:p>
            <w:pPr>
              <w:spacing w:after="0"/>
              <w:rPr>
                <w:sz w:val="20"/>
                <w:szCs w:val="20"/>
                <w:color w:val="auto"/>
              </w:rPr>
            </w:pPr>
            <w:r>
              <w:rPr>
                <w:rFonts w:ascii="Arial" w:cs="Arial" w:eastAsia="Arial" w:hAnsi="Arial"/>
                <w:sz w:val="16"/>
                <w:szCs w:val="16"/>
                <w:color w:val="auto"/>
              </w:rPr>
              <w:t>120 days before the anniversary of the preceding year's annual meeting.</w:t>
            </w: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3520" w:type="dxa"/>
            <w:vAlign w:val="bottom"/>
          </w:tcPr>
          <w:p>
            <w:pPr>
              <w:ind w:left="40"/>
              <w:spacing w:after="0"/>
              <w:rPr>
                <w:sz w:val="20"/>
                <w:szCs w:val="20"/>
                <w:color w:val="auto"/>
              </w:rPr>
            </w:pPr>
            <w:r>
              <w:rPr>
                <w:rFonts w:ascii="Arial" w:cs="Arial" w:eastAsia="Arial" w:hAnsi="Arial"/>
                <w:sz w:val="16"/>
                <w:szCs w:val="16"/>
                <w:color w:val="auto"/>
              </w:rPr>
              <w:t>and Secretary</w:t>
            </w:r>
          </w:p>
        </w:tc>
        <w:tc>
          <w:tcPr>
            <w:tcW w:w="0" w:type="dxa"/>
            <w:vAlign w:val="bottom"/>
          </w:tcPr>
          <w:p>
            <w:pPr>
              <w:spacing w:after="0"/>
              <w:rPr>
                <w:sz w:val="1"/>
                <w:szCs w:val="1"/>
                <w:color w:val="auto"/>
              </w:rPr>
            </w:pPr>
          </w:p>
        </w:tc>
      </w:tr>
      <w:tr>
        <w:trPr>
          <w:trHeight w:val="197"/>
        </w:trPr>
        <w:tc>
          <w:tcPr>
            <w:tcW w:w="7900" w:type="dxa"/>
            <w:vAlign w:val="bottom"/>
          </w:tcPr>
          <w:p>
            <w:pPr>
              <w:spacing w:after="0"/>
              <w:rPr>
                <w:sz w:val="20"/>
                <w:szCs w:val="20"/>
                <w:color w:val="auto"/>
              </w:rPr>
            </w:pPr>
            <w:r>
              <w:rPr>
                <w:rFonts w:ascii="Arial" w:cs="Arial" w:eastAsia="Arial" w:hAnsi="Arial"/>
                <w:sz w:val="16"/>
                <w:szCs w:val="16"/>
                <w:color w:val="auto"/>
              </w:rPr>
              <w:t>A copy of our By-Laws may be obtained by written request to: Winnebago</w:t>
            </w: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Industries, Inc., Attn: Vice President, General Counsel and Secretary, 13200</w:t>
            </w: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900" w:type="dxa"/>
            <w:vAlign w:val="bottom"/>
          </w:tcPr>
          <w:p>
            <w:pPr>
              <w:spacing w:after="0"/>
              <w:rPr>
                <w:sz w:val="20"/>
                <w:szCs w:val="20"/>
                <w:color w:val="auto"/>
              </w:rPr>
            </w:pPr>
            <w:r>
              <w:rPr>
                <w:rFonts w:ascii="Arial" w:cs="Arial" w:eastAsia="Arial" w:hAnsi="Arial"/>
                <w:sz w:val="16"/>
                <w:szCs w:val="16"/>
                <w:color w:val="auto"/>
              </w:rPr>
              <w:t>Pioneer Trail, Suite 150, Eden Prairie, Minnesota 55347.</w:t>
            </w: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357568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General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cost of this proxy solicitation will be borne by us. Solicitation will be made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primarily through the Internet and the use of the mail, but our officers,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directors or regular employees may solicit proxies personally or by telephone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or email without additional remuneration for such activity. In addition, we will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reimburse brokerage houses and other custodians, nominees or fiduciaries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 their reasonable expenses in forwarding proxies and proxy material to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beneficial owners of such shares.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copy of our Annual Report for the fiscal year ended August 31, 2019, which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includes audited financial statements, is available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304" w:right="239" w:bottom="1440" w:gutter="0" w:footer="0" w:header="0"/>
          <w:type w:val="continuous"/>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517525</wp:posOffset>
            </wp:positionV>
            <wp:extent cx="6174740" cy="79667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6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243205</wp:posOffset>
            </wp:positionV>
            <wp:extent cx="6174740" cy="79324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32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243205</wp:posOffset>
            </wp:positionV>
            <wp:extent cx="6174740" cy="79927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9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243205</wp:posOffset>
            </wp:positionV>
            <wp:extent cx="6174740" cy="79413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41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243205</wp:posOffset>
            </wp:positionV>
            <wp:extent cx="6174740" cy="79667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667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o"/>
      <w:numFmt w:val="bullet"/>
      <w:start w:val="1"/>
    </w:lvl>
  </w:abstractNum>
  <w:abstractNum w:abstractNumId="1">
    <w:nsid w:val="8138641"/>
    <w:multiLevelType w:val="hybridMultilevel"/>
    <w:lvl w:ilvl="0">
      <w:lvlJc w:val="left"/>
      <w:lvlText w:val="x"/>
      <w:numFmt w:val="bullet"/>
      <w:start w:val="1"/>
    </w:lvl>
  </w:abstractNum>
  <w:abstractNum w:abstractNumId="2">
    <w:nsid w:val="1E7FF521"/>
    <w:multiLevelType w:val="hybridMultilevel"/>
    <w:lvl w:ilvl="0">
      <w:lvlJc w:val="left"/>
      <w:lvlText w:val="o"/>
      <w:numFmt w:val="bullet"/>
      <w:start w:val="1"/>
    </w:lvl>
    <w:lvl w:ilvl="1">
      <w:lvlJc w:val="left"/>
      <w:lvlText w:val="%2)"/>
      <w:numFmt w:val="decimal"/>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lowerRoman"/>
      <w:start w:val="3"/>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4"/>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6"/>
    </w:lvl>
  </w:abstractNum>
  <w:abstractNum w:abstractNumId="11">
    <w:nsid w:val="5577F8E1"/>
    <w:multiLevelType w:val="hybridMultilevel"/>
    <w:lvl w:ilvl="0">
      <w:lvlJc w:val="left"/>
      <w:lvlText w:val="(%1)"/>
      <w:numFmt w:val="decimal"/>
      <w:start w:val="1"/>
    </w:lvl>
    <w:lvl w:ilvl="1">
      <w:lvlJc w:val="left"/>
      <w:lvlText w:val="(%2)"/>
      <w:numFmt w:val="lowerRoman"/>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3"/>
    </w:lvl>
  </w:abstractNum>
  <w:abstractNum w:abstractNumId="15">
    <w:nsid w:val="77465F01"/>
    <w:multiLevelType w:val="hybridMultilevel"/>
    <w:lvl w:ilvl="0">
      <w:lvlJc w:val="left"/>
      <w:lvlText w:val="Ÿ"/>
      <w:numFmt w:val="bullet"/>
      <w:start w:val="1"/>
    </w:lvl>
  </w:abstractNum>
  <w:abstractNum w:abstractNumId="16">
    <w:nsid w:val="7724C67E"/>
    <w:multiLevelType w:val="hybridMultilevel"/>
    <w:lvl w:ilvl="0">
      <w:lvlJc w:val="left"/>
      <w:lvlText w:val="Ÿ"/>
      <w:numFmt w:val="bullet"/>
      <w:start w:val="1"/>
    </w:lvl>
  </w:abstractNum>
  <w:abstractNum w:abstractNumId="17">
    <w:nsid w:val="5C482A97"/>
    <w:multiLevelType w:val="hybridMultilevel"/>
    <w:lvl w:ilvl="0">
      <w:lvlJc w:val="left"/>
      <w:lvlText w:val="Ÿ"/>
      <w:numFmt w:val="bullet"/>
      <w:start w:val="1"/>
    </w:lvl>
  </w:abstractNum>
  <w:abstractNum w:abstractNumId="18">
    <w:nsid w:val="2463B9EA"/>
    <w:multiLevelType w:val="hybridMultilevel"/>
    <w:lvl w:ilvl="0">
      <w:lvlJc w:val="left"/>
      <w:lvlText w:val="Ÿ"/>
      <w:numFmt w:val="bullet"/>
      <w:start w:val="1"/>
    </w:lvl>
  </w:abstractNum>
  <w:abstractNum w:abstractNumId="19">
    <w:nsid w:val="5E884ADC"/>
    <w:multiLevelType w:val="hybridMultilevel"/>
    <w:lvl w:ilvl="0">
      <w:lvlJc w:val="left"/>
      <w:lvlText w:val="Ÿ"/>
      <w:numFmt w:val="bullet"/>
      <w:start w:val="1"/>
    </w:lvl>
  </w:abstractNum>
  <w:abstractNum w:abstractNumId="20">
    <w:nsid w:val="51EAD36B"/>
    <w:multiLevelType w:val="hybridMultilevel"/>
    <w:lvl w:ilvl="0">
      <w:lvlJc w:val="left"/>
      <w:lvlText w:val="Ÿ"/>
      <w:numFmt w:val="bullet"/>
      <w:start w:val="1"/>
    </w:lvl>
  </w:abstractNum>
  <w:abstractNum w:abstractNumId="21">
    <w:nsid w:val="2D517796"/>
    <w:multiLevelType w:val="hybridMultilevel"/>
    <w:lvl w:ilvl="0">
      <w:lvlJc w:val="left"/>
      <w:lvlText w:val="Ÿ"/>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ü"/>
      <w:numFmt w:val="bullet"/>
      <w:start w:val="1"/>
    </w:lvl>
  </w:abstractNum>
  <w:abstractNum w:abstractNumId="26">
    <w:nsid w:val="6A2342EC"/>
    <w:multiLevelType w:val="hybridMultilevel"/>
    <w:lvl w:ilvl="0">
      <w:lvlJc w:val="left"/>
      <w:lvlText w:val="û"/>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decimal"/>
      <w:start w:val="1"/>
    </w:lvl>
    <w:lvl w:ilvl="1">
      <w:lvlJc w:val="left"/>
      <w:lvlText w:val="(%2)"/>
      <w:numFmt w:val="lowerLetter"/>
      <w:start w:val="3"/>
    </w:lvl>
  </w:abstractNum>
  <w:abstractNum w:abstractNumId="42">
    <w:nsid w:val="3DC240FB"/>
    <w:multiLevelType w:val="hybridMultilevel"/>
    <w:lvl w:ilvl="0">
      <w:lvlJc w:val="left"/>
      <w:lvlText w:val="(%1)"/>
      <w:numFmt w:val="decimal"/>
      <w:start w:val="2"/>
    </w:lvl>
    <w:lvl w:ilvl="1">
      <w:lvlJc w:val="left"/>
      <w:lvlText w:val="%2"/>
      <w:numFmt w:val="lowerLetter"/>
      <w:start w:val="1"/>
    </w:lvl>
  </w:abstractNum>
  <w:abstractNum w:abstractNumId="43">
    <w:nsid w:val="1BA026FA"/>
    <w:multiLevelType w:val="hybridMultilevel"/>
    <w:lvl w:ilvl="0">
      <w:lvlJc w:val="left"/>
      <w:lvlText w:val="(%1)"/>
      <w:numFmt w:val="decimal"/>
      <w:start w:val="5"/>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5"/>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decimal"/>
      <w:start w:val="7"/>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2019-12-04T21:21:01Z</dcterms:created>
  <dcterms:modified xsi:type="dcterms:W3CDTF">2019-12-04T21:21:01Z</dcterms:modified>
</cp:coreProperties>
</file>