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&lt; td style="vertical-align:bottom;padding-left:2px;padding-top:2px;padding-bottom:2px;padding-right:2px;"&gt;</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1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For the quarterly period ended November 27, 2010</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1920875"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87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ind w:right="60"/>
        <w:spacing w:after="0" w:line="253" w:lineRule="auto"/>
        <w:rPr>
          <w:sz w:val="20"/>
          <w:szCs w:val="20"/>
          <w:color w:val="auto"/>
        </w:rPr>
      </w:pPr>
      <w:r>
        <w:rPr>
          <w:rFonts w:ascii="Arial" w:cs="Arial" w:eastAsia="Arial" w:hAnsi="Arial"/>
          <w:sz w:val="16"/>
          <w:szCs w:val="16"/>
          <w:color w:val="auto"/>
        </w:rPr>
        <w:t>Indicate by check mark wh 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0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 h files). Yes o No o</w:t>
      </w:r>
    </w:p>
    <w:p>
      <w:pPr>
        <w:spacing w:after="0" w:line="309"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311"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December 22, 2010 was 29,115,090.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18"/>
          <w:szCs w:val="18"/>
          <w:b w:val="1"/>
          <w:bCs w:val="1"/>
          <w:color w:val="auto"/>
        </w:rPr>
        <w:t>WINNEBAGO INDUSTRIES, INC.</w:t>
      </w:r>
    </w:p>
    <w:p>
      <w:pPr>
        <w:spacing w:after="0" w:line="2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372"/>
        </w:trPr>
        <w:tc>
          <w:tcPr>
            <w:tcW w:w="460" w:type="dxa"/>
            <w:vAlign w:val="bottom"/>
            <w:tcBorders>
              <w:bottom w:val="single" w:sz="8" w:color="0000FF"/>
            </w:tcBorders>
          </w:tcPr>
          <w:p>
            <w:pPr>
              <w:spacing w:after="0"/>
              <w:rPr>
                <w:rFonts w:ascii="Arial" w:cs="Arial" w:eastAsia="Arial" w:hAnsi="Arial"/>
                <w:sz w:val="18"/>
                <w:szCs w:val="18"/>
                <w:b w:val="1"/>
                <w:bCs w:val="1"/>
                <w:color w:val="0000FF"/>
                <w:w w:val="97"/>
              </w:rPr>
            </w:pPr>
            <w:hyperlink w:anchor="page2">
              <w:r>
                <w:rPr>
                  <w:rFonts w:ascii="Arial" w:cs="Arial" w:eastAsia="Arial" w:hAnsi="Arial"/>
                  <w:sz w:val="18"/>
                  <w:szCs w:val="18"/>
                  <w:b w:val="1"/>
                  <w:bCs w:val="1"/>
                  <w:color w:val="0000FF"/>
                  <w:w w:val="97"/>
                </w:rPr>
                <w:t>Part I</w:t>
              </w:r>
            </w:hyperlink>
          </w:p>
        </w:tc>
        <w:tc>
          <w:tcPr>
            <w:tcW w:w="480" w:type="dxa"/>
            <w:vAlign w:val="bottom"/>
            <w:gridSpan w:val="2"/>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gridSpan w:val="3"/>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Condensed Financial Statements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Statements of Operations</w:t>
            </w:r>
          </w:p>
        </w:tc>
        <w:tc>
          <w:tcPr>
            <w:tcW w:w="500" w:type="dxa"/>
            <w:vAlign w:val="bottom"/>
            <w:gridSpan w:val="4"/>
          </w:tcPr>
          <w:p>
            <w:pPr>
              <w:jc w:val="center"/>
              <w:ind w:left="31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Balance Sheets</w:t>
            </w:r>
          </w:p>
        </w:tc>
        <w:tc>
          <w:tcPr>
            <w:tcW w:w="3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Statements of Cash Flows</w:t>
            </w:r>
          </w:p>
        </w:tc>
        <w:tc>
          <w:tcPr>
            <w:tcW w:w="400" w:type="dxa"/>
            <w:vAlign w:val="bottom"/>
            <w:gridSpan w:val="3"/>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Notes to Financial Statements</w:t>
            </w:r>
          </w:p>
        </w:tc>
        <w:tc>
          <w:tcPr>
            <w:tcW w:w="400" w:type="dxa"/>
            <w:vAlign w:val="bottom"/>
            <w:gridSpan w:val="3"/>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Item 2</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gridSpan w:val="4"/>
          </w:tcPr>
          <w:p>
            <w:pPr>
              <w:jc w:val="center"/>
              <w:ind w:left="310"/>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9</w:t>
              </w:r>
            </w:hyperlink>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3</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of Market Risk</w:t>
            </w:r>
          </w:p>
        </w:tc>
        <w:tc>
          <w:tcPr>
            <w:tcW w:w="660" w:type="dxa"/>
            <w:vAlign w:val="bottom"/>
            <w:gridSpan w:val="6"/>
          </w:tcPr>
          <w:p>
            <w:pPr>
              <w:jc w:val="center"/>
              <w:ind w:left="170"/>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16</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540" w:type="dxa"/>
            <w:vAlign w:val="bottom"/>
            <w:gridSpan w:val="5"/>
          </w:tcPr>
          <w:p>
            <w:pPr>
              <w:jc w:val="center"/>
              <w:spacing w:after="0"/>
              <w:rPr>
                <w:rFonts w:ascii="Arial" w:cs="Arial" w:eastAsia="Arial" w:hAnsi="Arial"/>
                <w:sz w:val="18"/>
                <w:szCs w:val="18"/>
                <w:color w:val="0000FF"/>
              </w:rPr>
            </w:pPr>
            <w:hyperlink w:anchor="page21">
              <w:r>
                <w:rPr>
                  <w:rFonts w:ascii="Arial" w:cs="Arial" w:eastAsia="Arial" w:hAnsi="Arial"/>
                  <w:sz w:val="18"/>
                  <w:szCs w:val="18"/>
                  <w:color w:val="0000FF"/>
                </w:rPr>
                <w:t>16</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40" w:type="dxa"/>
            <w:vAlign w:val="bottom"/>
            <w:gridSpan w:val="3"/>
          </w:tcPr>
          <w:p>
            <w:pP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gridSpan w:val="6"/>
          </w:tcPr>
          <w:p>
            <w:pPr>
              <w:jc w:val="center"/>
              <w:ind w:left="170"/>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17</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1</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60" w:type="dxa"/>
            <w:vAlign w:val="bottom"/>
            <w:gridSpan w:val="6"/>
          </w:tcPr>
          <w:p>
            <w:pPr>
              <w:jc w:val="center"/>
              <w:ind w:left="17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17</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Unregistered Sales of Equity Securities and Use of Funds</w:t>
            </w:r>
          </w:p>
        </w:tc>
        <w:tc>
          <w:tcPr>
            <w:tcW w:w="40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r>
              <w:rPr>
                <w:rFonts w:ascii="Arial" w:cs="Arial" w:eastAsia="Arial" w:hAnsi="Arial"/>
                <w:sz w:val="18"/>
                <w:szCs w:val="18"/>
                <w:color w:val="0000FF"/>
              </w:rPr>
              <w:t>.</w:t>
            </w:r>
          </w:p>
        </w:tc>
        <w:tc>
          <w:tcPr>
            <w:tcW w:w="7440" w:type="dxa"/>
            <w:vAlign w:val="bottom"/>
            <w:vMerge w:val="continue"/>
          </w:tcPr>
          <w:p>
            <w:pPr>
              <w:spacing w:after="0"/>
              <w:rPr>
                <w:sz w:val="24"/>
                <w:szCs w:val="24"/>
                <w:color w:val="auto"/>
              </w:rPr>
            </w:pPr>
          </w:p>
        </w:tc>
        <w:tc>
          <w:tcPr>
            <w:tcW w:w="660" w:type="dxa"/>
            <w:vAlign w:val="bottom"/>
            <w:gridSpan w:val="6"/>
          </w:tcPr>
          <w:p>
            <w:pPr>
              <w:jc w:val="center"/>
              <w:ind w:left="17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17</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6</w:t>
              </w:r>
            </w:hyperlink>
            <w:r>
              <w:rPr>
                <w:rFonts w:ascii="Arial" w:cs="Arial" w:eastAsia="Arial" w:hAnsi="Arial"/>
                <w:sz w:val="18"/>
                <w:szCs w:val="18"/>
                <w:color w:val="000000"/>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Exhibits</w:t>
            </w:r>
          </w:p>
        </w:tc>
        <w:tc>
          <w:tcPr>
            <w:tcW w:w="660" w:type="dxa"/>
            <w:vAlign w:val="bottom"/>
            <w:gridSpan w:val="6"/>
          </w:tcPr>
          <w:p>
            <w:pPr>
              <w:jc w:val="center"/>
              <w:ind w:left="17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18</w:t>
              </w:r>
            </w:hyperlink>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40" w:type="dxa"/>
            <w:vAlign w:val="bottom"/>
            <w:gridSpan w:val="3"/>
          </w:tcPr>
          <w:p>
            <w:pPr>
              <w:spacing w:after="0"/>
              <w:rPr>
                <w:rFonts w:ascii="Arial" w:cs="Arial" w:eastAsia="Arial" w:hAnsi="Arial"/>
                <w:sz w:val="18"/>
                <w:szCs w:val="18"/>
                <w:b w:val="1"/>
                <w:bCs w:val="1"/>
                <w:color w:val="0000FF"/>
                <w:w w:val="98"/>
              </w:rPr>
            </w:pPr>
            <w:hyperlink w:anchor="page23">
              <w:r>
                <w:rPr>
                  <w:rFonts w:ascii="Arial" w:cs="Arial" w:eastAsia="Arial" w:hAnsi="Arial"/>
                  <w:sz w:val="18"/>
                  <w:szCs w:val="18"/>
                  <w:b w:val="1"/>
                  <w:bCs w:val="1"/>
                  <w:color w:val="0000FF"/>
                  <w:w w:val="98"/>
                </w:rPr>
                <w:t>Signatures</w:t>
              </w:r>
            </w:hyperlink>
          </w:p>
        </w:tc>
        <w:tc>
          <w:tcPr>
            <w:tcW w:w="7440" w:type="dxa"/>
            <w:vAlign w:val="bottom"/>
          </w:tcPr>
          <w:p>
            <w:pPr>
              <w:spacing w:after="0"/>
              <w:rPr>
                <w:sz w:val="24"/>
                <w:szCs w:val="24"/>
                <w:color w:val="auto"/>
              </w:rPr>
            </w:pPr>
          </w:p>
        </w:tc>
        <w:tc>
          <w:tcPr>
            <w:tcW w:w="660" w:type="dxa"/>
            <w:vAlign w:val="bottom"/>
            <w:gridSpan w:val="6"/>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18</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179"/>
          </w:cols>
          <w:pgMar w:left="1280" w:top="118" w:right="1440"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Statements of Operations</w:t>
      </w:r>
    </w:p>
    <w:p>
      <w:pPr>
        <w:spacing w:after="0" w:line="110" w:lineRule="exact"/>
        <w:rPr>
          <w:sz w:val="20"/>
          <w:szCs w:val="20"/>
          <w:color w:val="auto"/>
        </w:rPr>
      </w:pPr>
    </w:p>
    <w:p>
      <w:pPr>
        <w:jc w:val="center"/>
        <w:ind w:left="260" w:right="40"/>
        <w:spacing w:after="0" w:line="228" w:lineRule="auto"/>
        <w:rPr>
          <w:sz w:val="20"/>
          <w:szCs w:val="20"/>
          <w:color w:val="auto"/>
        </w:rPr>
      </w:pPr>
      <w:r>
        <w:rPr>
          <w:rFonts w:ascii="Arial" w:cs="Arial" w:eastAsia="Arial" w:hAnsi="Arial"/>
          <w:sz w:val="22"/>
          <w:szCs w:val="22"/>
          <w:color w:val="auto"/>
        </w:rPr>
        <w:t>&lt; td style="vertical-align:bottom;padding-left:2px;padding-top:2px;padding-bottom:2px;background-color:#cceeff;border-top:1px solid #000000;"&gt;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w w:val="91"/>
              </w:rPr>
              <w:t>&lt; /td&gt;</w:t>
            </w:r>
          </w:p>
        </w:tc>
      </w:tr>
      <w:tr>
        <w:trPr>
          <w:trHeight w:val="255"/>
        </w:trPr>
        <w:tc>
          <w:tcPr>
            <w:tcW w:w="74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198"/>
        </w:trPr>
        <w:tc>
          <w:tcPr>
            <w:tcW w:w="7480" w:type="dxa"/>
            <w:vAlign w:val="bottom"/>
          </w:tcPr>
          <w:p>
            <w:pPr>
              <w:spacing w:after="0"/>
              <w:rPr>
                <w:sz w:val="17"/>
                <w:szCs w:val="17"/>
                <w:color w:val="auto"/>
              </w:rPr>
            </w:pPr>
          </w:p>
        </w:tc>
        <w:tc>
          <w:tcPr>
            <w:tcW w:w="1860" w:type="dxa"/>
            <w:vAlign w:val="bottom"/>
            <w:gridSpan w:val="3"/>
          </w:tcPr>
          <w:p>
            <w:pPr>
              <w:ind w:left="380"/>
              <w:spacing w:after="0"/>
              <w:rPr>
                <w:sz w:val="20"/>
                <w:szCs w:val="20"/>
                <w:color w:val="auto"/>
              </w:rPr>
            </w:pPr>
            <w:r>
              <w:rPr>
                <w:rFonts w:ascii="Arial" w:cs="Arial" w:eastAsia="Arial" w:hAnsi="Arial"/>
                <w:sz w:val="16"/>
                <w:szCs w:val="16"/>
                <w:b w:val="1"/>
                <w:bCs w:val="1"/>
                <w:color w:val="auto"/>
              </w:rPr>
              <w:t>November 27,</w:t>
            </w:r>
          </w:p>
        </w:tc>
        <w:tc>
          <w:tcPr>
            <w:tcW w:w="220" w:type="dxa"/>
            <w:vAlign w:val="bottom"/>
          </w:tcPr>
          <w:p>
            <w:pPr>
              <w:spacing w:after="0"/>
              <w:rPr>
                <w:sz w:val="17"/>
                <w:szCs w:val="17"/>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2009</w:t>
            </w:r>
          </w:p>
        </w:tc>
        <w:tc>
          <w:tcPr>
            <w:tcW w:w="100" w:type="dxa"/>
            <w:vAlign w:val="bottom"/>
            <w:tcBorders>
              <w:bottom w:val="single" w:sz="8" w:color="auto"/>
            </w:tcBorders>
          </w:tcPr>
          <w:p>
            <w:pPr>
              <w:spacing w:after="0"/>
              <w:rPr>
                <w:sz w:val="19"/>
                <w:szCs w:val="19"/>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123,711</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81,017</w:t>
            </w:r>
          </w:p>
        </w:tc>
        <w:tc>
          <w:tcPr>
            <w:tcW w:w="12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6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80,493</w:t>
            </w:r>
          </w:p>
        </w:tc>
        <w:tc>
          <w:tcPr>
            <w:tcW w:w="100" w:type="dxa"/>
            <w:vAlign w:val="bottom"/>
            <w:tcBorders>
              <w:bottom w:val="single" w:sz="8" w:color="auto"/>
            </w:tcBorders>
          </w:tcPr>
          <w:p>
            <w:pPr>
              <w:spacing w:after="0"/>
              <w:rPr>
                <w:sz w:val="22"/>
                <w:szCs w:val="22"/>
                <w:color w:val="auto"/>
              </w:rPr>
            </w:pPr>
          </w:p>
        </w:tc>
      </w:tr>
      <w:tr>
        <w:trPr>
          <w:trHeight w:val="25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6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11,199</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auto"/>
            </w:tcBorders>
            <w:shd w:val="clear" w:color="auto" w:fill="CCEEFF"/>
          </w:tcPr>
          <w:p>
            <w:pPr>
              <w:spacing w:after="0"/>
              <w:rPr>
                <w:sz w:val="21"/>
                <w:szCs w:val="21"/>
                <w:color w:val="auto"/>
              </w:rPr>
            </w:pPr>
          </w:p>
        </w:tc>
      </w:tr>
      <w:tr>
        <w:trPr>
          <w:trHeight w:val="270"/>
        </w:trPr>
        <w:tc>
          <w:tcPr>
            <w:tcW w:w="7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6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0"/>
        </w:trPr>
        <w:tc>
          <w:tcPr>
            <w:tcW w:w="7480" w:type="dxa"/>
            <w:vAlign w:val="bottom"/>
          </w:tcPr>
          <w:p>
            <w:pPr>
              <w:ind w:left="280"/>
              <w:spacing w:after="0"/>
              <w:rPr>
                <w:sz w:val="20"/>
                <w:szCs w:val="20"/>
                <w:color w:val="auto"/>
              </w:rPr>
            </w:pPr>
            <w:r>
              <w:rPr>
                <w:rFonts w:ascii="Arial" w:cs="Arial" w:eastAsia="Arial" w:hAnsi="Arial"/>
                <w:sz w:val="16"/>
                <w:szCs w:val="16"/>
                <w:color w:val="auto"/>
              </w:rPr>
              <w:t>Selling</w:t>
            </w:r>
          </w:p>
        </w:tc>
        <w:tc>
          <w:tcPr>
            <w:tcW w:w="68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3,267</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3,229</w:t>
            </w:r>
          </w:p>
        </w:tc>
      </w:tr>
      <w:tr>
        <w:trPr>
          <w:trHeight w:val="280"/>
        </w:trPr>
        <w:tc>
          <w:tcPr>
            <w:tcW w:w="7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3,651</w:t>
            </w: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3,272</w:t>
            </w:r>
          </w:p>
        </w:tc>
      </w:tr>
      <w:tr>
        <w:trPr>
          <w:trHeight w:val="264"/>
        </w:trPr>
        <w:tc>
          <w:tcPr>
            <w:tcW w:w="7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Gain on sale of asset held for sale</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(644)</w:t>
            </w:r>
          </w:p>
        </w:tc>
        <w:tc>
          <w:tcPr>
            <w:tcW w:w="2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50"/>
        </w:trPr>
        <w:tc>
          <w:tcPr>
            <w:tcW w:w="74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6,274</w:t>
            </w:r>
          </w:p>
        </w:tc>
        <w:tc>
          <w:tcPr>
            <w:tcW w:w="220" w:type="dxa"/>
            <w:vAlign w:val="bottom"/>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6,501</w:t>
            </w:r>
          </w:p>
        </w:tc>
      </w:tr>
      <w:tr>
        <w:trPr>
          <w:trHeight w:val="270"/>
        </w:trPr>
        <w:tc>
          <w:tcPr>
            <w:tcW w:w="7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6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4,925</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(5,977)</w:t>
            </w:r>
          </w:p>
        </w:tc>
      </w:tr>
      <w:tr>
        <w:trPr>
          <w:trHeight w:val="264"/>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non-operating income (expense)</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152</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(233)</w:t>
            </w:r>
          </w:p>
        </w:tc>
      </w:tr>
      <w:tr>
        <w:trPr>
          <w:trHeight w:val="25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6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(6,210)</w:t>
            </w:r>
          </w:p>
        </w:tc>
      </w:tr>
      <w:tr>
        <w:trPr>
          <w:trHeight w:val="270"/>
        </w:trPr>
        <w:tc>
          <w:tcPr>
            <w:tcW w:w="7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20" w:type="dxa"/>
            <w:vAlign w:val="bottom"/>
            <w:gridSpan w:val="2"/>
          </w:tcPr>
          <w:p>
            <w:pPr>
              <w:spacing w:after="0"/>
              <w:rPr>
                <w:sz w:val="23"/>
                <w:szCs w:val="23"/>
                <w:color w:val="auto"/>
              </w:rPr>
            </w:pPr>
          </w:p>
        </w:tc>
      </w:tr>
      <w:tr>
        <w:trPr>
          <w:trHeight w:val="26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Provison (benefit) for taxes</w:t>
            </w:r>
          </w:p>
        </w:tc>
        <w:tc>
          <w:tcPr>
            <w:tcW w:w="6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1,291</w:t>
            </w:r>
          </w:p>
        </w:tc>
        <w:tc>
          <w:tcPr>
            <w:tcW w:w="2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(4,866)</w:t>
            </w:r>
          </w:p>
        </w:tc>
      </w:tr>
      <w:tr>
        <w:trPr>
          <w:trHeight w:val="280"/>
        </w:trPr>
        <w:tc>
          <w:tcPr>
            <w:tcW w:w="7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3,786</w:t>
            </w:r>
          </w:p>
        </w:tc>
        <w:tc>
          <w:tcPr>
            <w:tcW w:w="72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(1,344)</w:t>
            </w:r>
          </w:p>
        </w:tc>
      </w:tr>
      <w:tr>
        <w:trPr>
          <w:trHeight w:val="254"/>
        </w:trPr>
        <w:tc>
          <w:tcPr>
            <w:tcW w:w="748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r>
      <w:tr>
        <w:trPr>
          <w:trHeight w:val="260"/>
        </w:trPr>
        <w:tc>
          <w:tcPr>
            <w:tcW w:w="7480" w:type="dxa"/>
            <w:vAlign w:val="bottom"/>
          </w:tcPr>
          <w:p>
            <w:pPr>
              <w:ind w:left="20"/>
              <w:spacing w:after="0"/>
              <w:rPr>
                <w:sz w:val="20"/>
                <w:szCs w:val="20"/>
                <w:color w:val="auto"/>
              </w:rPr>
            </w:pPr>
            <w:r>
              <w:rPr>
                <w:rFonts w:ascii="Arial" w:cs="Arial" w:eastAsia="Arial" w:hAnsi="Arial"/>
                <w:sz w:val="16"/>
                <w:szCs w:val="16"/>
                <w:color w:val="auto"/>
              </w:rPr>
              <w:t>Income (loss) per common share:</w:t>
            </w: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7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r>
      <w:tr>
        <w:trPr>
          <w:trHeight w:val="20"/>
        </w:trPr>
        <w:tc>
          <w:tcPr>
            <w:tcW w:w="7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264"/>
        </w:trPr>
        <w:tc>
          <w:tcPr>
            <w:tcW w:w="7480" w:type="dxa"/>
            <w:vAlign w:val="bottom"/>
          </w:tcPr>
          <w:p>
            <w:pPr>
              <w:ind w:left="240"/>
              <w:spacing w:after="0"/>
              <w:rPr>
                <w:sz w:val="20"/>
                <w:szCs w:val="20"/>
                <w:color w:val="auto"/>
              </w:rPr>
            </w:pPr>
            <w:r>
              <w:rPr>
                <w:rFonts w:ascii="Arial" w:cs="Arial" w:eastAsia="Arial" w:hAnsi="Arial"/>
                <w:sz w:val="16"/>
                <w:szCs w:val="16"/>
                <w:color w:val="auto"/>
              </w:rPr>
              <w:t>Diluted</w:t>
            </w: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0.13</w:t>
            </w:r>
          </w:p>
        </w:tc>
        <w:tc>
          <w:tcPr>
            <w:tcW w:w="72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(0.05)</w:t>
            </w:r>
          </w:p>
        </w:tc>
      </w:tr>
      <w:tr>
        <w:trPr>
          <w:trHeight w:val="254"/>
        </w:trPr>
        <w:tc>
          <w:tcPr>
            <w:tcW w:w="748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r>
      <w:tr>
        <w:trPr>
          <w:trHeight w:val="260"/>
        </w:trPr>
        <w:tc>
          <w:tcPr>
            <w:tcW w:w="74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7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6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29,073</w:t>
            </w:r>
          </w:p>
        </w:tc>
        <w:tc>
          <w:tcPr>
            <w:tcW w:w="100" w:type="dxa"/>
            <w:vAlign w:val="bottom"/>
            <w:shd w:val="clear" w:color="auto" w:fill="CCEEFF"/>
          </w:tcPr>
          <w:p>
            <w:pPr>
              <w:spacing w:after="0"/>
              <w:rPr>
                <w:sz w:val="24"/>
                <w:szCs w:val="24"/>
                <w:color w:val="auto"/>
              </w:rPr>
            </w:pPr>
          </w:p>
        </w:tc>
      </w:tr>
      <w:tr>
        <w:trPr>
          <w:trHeight w:val="233"/>
        </w:trPr>
        <w:tc>
          <w:tcPr>
            <w:tcW w:w="7480" w:type="dxa"/>
            <w:vAlign w:val="bottom"/>
          </w:tcPr>
          <w:p>
            <w:pPr>
              <w:ind w:left="240"/>
              <w:spacing w:after="0"/>
              <w:rPr>
                <w:sz w:val="20"/>
                <w:szCs w:val="20"/>
                <w:color w:val="auto"/>
              </w:rPr>
            </w:pPr>
            <w:r>
              <w:rPr>
                <w:rFonts w:ascii="Arial" w:cs="Arial" w:eastAsia="Arial" w:hAnsi="Arial"/>
                <w:sz w:val="16"/>
                <w:szCs w:val="16"/>
                <w:color w:val="auto"/>
              </w:rPr>
              <w:t>Diluted</w:t>
            </w: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29,086</w:t>
            </w:r>
          </w:p>
        </w:tc>
        <w:tc>
          <w:tcPr>
            <w:tcW w:w="10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48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&amp; nbsp;</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168" w:right="2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27,</w:t>
            </w:r>
          </w:p>
        </w:tc>
        <w:tc>
          <w:tcPr>
            <w:tcW w:w="220" w:type="dxa"/>
            <w:vAlign w:val="bottom"/>
          </w:tcPr>
          <w:p>
            <w:pPr>
              <w:spacing w:after="0"/>
              <w:rPr>
                <w:sz w:val="16"/>
                <w:szCs w:val="16"/>
                <w:color w:val="auto"/>
              </w:rPr>
            </w:pPr>
          </w:p>
        </w:tc>
        <w:tc>
          <w:tcPr>
            <w:tcW w:w="12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August 28,</w:t>
            </w:r>
          </w:p>
        </w:tc>
      </w:tr>
      <w:tr>
        <w:trPr>
          <w:trHeight w:val="22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CCEEFF"/>
            </w:tcBorders>
          </w:tcPr>
          <w:p>
            <w:pPr>
              <w:spacing w:after="0"/>
              <w:rPr>
                <w:sz w:val="19"/>
                <w:szCs w:val="19"/>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0"/>
        </w:trPr>
        <w:tc>
          <w:tcPr>
            <w:tcW w:w="82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81,165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74,691</w:t>
            </w:r>
          </w:p>
        </w:tc>
        <w:tc>
          <w:tcPr>
            <w:tcW w:w="100" w:type="dxa"/>
            <w:vAlign w:val="bottom"/>
            <w:shd w:val="clear" w:color="auto" w:fill="CCEEFF"/>
          </w:tcPr>
          <w:p>
            <w:pPr>
              <w:spacing w:after="0"/>
              <w:rPr>
                <w:sz w:val="24"/>
                <w:szCs w:val="24"/>
                <w:color w:val="auto"/>
              </w:rPr>
            </w:pPr>
          </w:p>
        </w:tc>
      </w:tr>
      <w:tr>
        <w:trPr>
          <w:trHeight w:val="270"/>
        </w:trPr>
        <w:tc>
          <w:tcPr>
            <w:tcW w:w="82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5,250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r>
      <w:tr>
        <w:trPr>
          <w:trHeight w:val="270"/>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less allowance for doubtful accounts ($106 and $91, respectively)</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16,508</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18,798</w:t>
            </w:r>
          </w:p>
        </w:tc>
        <w:tc>
          <w:tcPr>
            <w:tcW w:w="100" w:type="dxa"/>
            <w:vAlign w:val="bottom"/>
            <w:shd w:val="clear" w:color="auto" w:fill="CCEEFF"/>
          </w:tcPr>
          <w:p>
            <w:pPr>
              <w:spacing w:after="0"/>
              <w:rPr>
                <w:sz w:val="23"/>
                <w:szCs w:val="23"/>
                <w:color w:val="auto"/>
              </w:rPr>
            </w:pPr>
          </w:p>
        </w:tc>
      </w:tr>
      <w:tr>
        <w:trPr>
          <w:trHeight w:val="260"/>
        </w:trPr>
        <w:tc>
          <w:tcPr>
            <w:tcW w:w="82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45,173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43,526</w:t>
            </w:r>
          </w:p>
        </w:tc>
        <w:tc>
          <w:tcPr>
            <w:tcW w:w="100" w:type="dxa"/>
            <w:vAlign w:val="bottom"/>
          </w:tcPr>
          <w:p>
            <w:pPr>
              <w:spacing w:after="0"/>
              <w:rPr>
                <w:sz w:val="22"/>
                <w:szCs w:val="22"/>
                <w:color w:val="auto"/>
              </w:rPr>
            </w:pPr>
          </w:p>
        </w:tc>
      </w:tr>
      <w:tr>
        <w:trPr>
          <w:trHeight w:val="280"/>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4,570</w:t>
            </w:r>
          </w:p>
        </w:tc>
      </w:tr>
      <w:tr>
        <w:trPr>
          <w:trHeight w:val="264"/>
        </w:trPr>
        <w:tc>
          <w:tcPr>
            <w:tcW w:w="8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receivable</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132</w:t>
            </w:r>
          </w:p>
        </w:tc>
      </w:tr>
      <w:tr>
        <w:trPr>
          <w:trHeight w:val="257"/>
        </w:trPr>
        <w:tc>
          <w:tcPr>
            <w:tcW w:w="82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152,825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141,717</w:t>
            </w:r>
          </w:p>
        </w:tc>
        <w:tc>
          <w:tcPr>
            <w:tcW w:w="100" w:type="dxa"/>
            <w:vAlign w:val="bottom"/>
            <w:shd w:val="clear" w:color="auto" w:fill="CCEEFF"/>
          </w:tcPr>
          <w:p>
            <w:pPr>
              <w:spacing w:after="0"/>
              <w:rPr>
                <w:sz w:val="22"/>
                <w:szCs w:val="22"/>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24,949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25,677</w:t>
            </w:r>
          </w:p>
        </w:tc>
        <w:tc>
          <w:tcPr>
            <w:tcW w:w="100" w:type="dxa"/>
            <w:vAlign w:val="bottom"/>
          </w:tcPr>
          <w:p>
            <w:pPr>
              <w:spacing w:after="0"/>
              <w:rPr>
                <w:sz w:val="23"/>
                <w:szCs w:val="23"/>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4, 254</w:t>
            </w:r>
          </w:p>
        </w:tc>
      </w:tr>
      <w:tr>
        <w:trPr>
          <w:trHeight w:val="260"/>
        </w:trPr>
        <w:tc>
          <w:tcPr>
            <w:tcW w:w="82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11,146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17,785</w:t>
            </w:r>
          </w:p>
        </w:tc>
        <w:tc>
          <w:tcPr>
            <w:tcW w:w="100" w:type="dxa"/>
            <w:vAlign w:val="bottom"/>
          </w:tcPr>
          <w:p>
            <w:pPr>
              <w:spacing w:after="0"/>
              <w:rPr>
                <w:sz w:val="22"/>
                <w:szCs w:val="22"/>
                <w:color w:val="auto"/>
              </w:rPr>
            </w:pPr>
          </w:p>
        </w:tc>
      </w:tr>
      <w:tr>
        <w:trPr>
          <w:trHeight w:val="28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23,500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23,250</w:t>
            </w:r>
          </w:p>
        </w:tc>
        <w:tc>
          <w:tcPr>
            <w:tcW w:w="100" w:type="dxa"/>
            <w:vAlign w:val="bottom"/>
            <w:shd w:val="clear" w:color="auto" w:fill="CCEEFF"/>
          </w:tcPr>
          <w:p>
            <w:pPr>
              <w:spacing w:after="0"/>
              <w:rPr>
                <w:sz w:val="24"/>
                <w:szCs w:val="24"/>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15,850</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14,674</w:t>
            </w:r>
          </w:p>
        </w:tc>
        <w:tc>
          <w:tcPr>
            <w:tcW w:w="100" w:type="dxa"/>
            <w:vAlign w:val="bottom"/>
            <w:tcBorders>
              <w:bottom w:val="single" w:sz="8" w:color="auto"/>
            </w:tcBorders>
          </w:tcPr>
          <w:p>
            <w:pPr>
              <w:spacing w:after="0"/>
              <w:rPr>
                <w:sz w:val="23"/>
                <w:szCs w:val="23"/>
                <w:color w:val="auto"/>
              </w:rPr>
            </w:pPr>
          </w:p>
        </w:tc>
      </w:tr>
      <w:tr>
        <w:trPr>
          <w:trHeight w:val="234"/>
        </w:trPr>
        <w:tc>
          <w:tcPr>
            <w:tcW w:w="820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229,471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227,357</w:t>
            </w:r>
          </w:p>
        </w:tc>
        <w:tc>
          <w:tcPr>
            <w:tcW w:w="100" w:type="dxa"/>
            <w:vAlign w:val="bottom"/>
            <w:tcBorders>
              <w:bottom w:val="single" w:sz="8" w:color="auto"/>
            </w:tcBorders>
          </w:tcPr>
          <w:p>
            <w:pPr>
              <w:spacing w:after="0"/>
              <w:rPr>
                <w:sz w:val="20"/>
                <w:szCs w:val="20"/>
                <w:color w:val="auto"/>
              </w:rPr>
            </w:pPr>
          </w:p>
        </w:tc>
      </w:tr>
      <w:tr>
        <w:trPr>
          <w:trHeight w:val="20"/>
        </w:trPr>
        <w:tc>
          <w:tcPr>
            <w:tcW w:w="8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54"/>
        </w:trPr>
        <w:tc>
          <w:tcPr>
            <w:tcW w:w="8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0"/>
        </w:trPr>
        <w:tc>
          <w:tcPr>
            <w:tcW w:w="82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17,035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19,725</w:t>
            </w:r>
          </w:p>
        </w:tc>
        <w:tc>
          <w:tcPr>
            <w:tcW w:w="100" w:type="dxa"/>
            <w:vAlign w:val="bottom"/>
            <w:shd w:val="clear" w:color="auto" w:fill="CCEEFF"/>
          </w:tcPr>
          <w:p>
            <w:pPr>
              <w:spacing w:after="0"/>
              <w:rPr>
                <w:sz w:val="24"/>
                <w:szCs w:val="24"/>
                <w:color w:val="auto"/>
              </w:rPr>
            </w:pPr>
          </w:p>
        </w:tc>
      </w:tr>
      <w:tr>
        <w:trPr>
          <w:trHeight w:val="251"/>
        </w:trPr>
        <w:tc>
          <w:tcPr>
            <w:tcW w:w="82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1,301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99</w:t>
            </w:r>
          </w:p>
        </w:tc>
      </w:tr>
      <w:tr>
        <w:trPr>
          <w:trHeight w:val="290"/>
        </w:trPr>
        <w:tc>
          <w:tcPr>
            <w:tcW w:w="820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60"/>
        </w:trPr>
        <w:tc>
          <w:tcPr>
            <w:tcW w:w="8200" w:type="dxa"/>
            <w:vAlign w:val="bottom"/>
          </w:tcPr>
          <w:p>
            <w:pPr>
              <w:ind w:left="42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11,176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10,529</w:t>
            </w:r>
          </w:p>
        </w:tc>
        <w:tc>
          <w:tcPr>
            <w:tcW w:w="100" w:type="dxa"/>
            <w:vAlign w:val="bottom"/>
          </w:tcPr>
          <w:p>
            <w:pPr>
              <w:spacing w:after="0"/>
              <w:rPr>
                <w:sz w:val="22"/>
                <w:szCs w:val="22"/>
                <w:color w:val="auto"/>
              </w:rPr>
            </w:pPr>
          </w:p>
        </w:tc>
      </w:tr>
      <w:tr>
        <w:trPr>
          <w:trHeight w:val="280"/>
        </w:trPr>
        <w:tc>
          <w:tcPr>
            <w:tcW w:w="8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warranties</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7,634</w:t>
            </w:r>
          </w:p>
        </w:tc>
      </w:tr>
      <w:tr>
        <w:trPr>
          <w:trHeight w:val="260"/>
        </w:trPr>
        <w:tc>
          <w:tcPr>
            <w:tcW w:w="8200" w:type="dxa"/>
            <w:vAlign w:val="bottom"/>
          </w:tcPr>
          <w:p>
            <w:pPr>
              <w:ind w:left="420"/>
              <w:spacing w:after="0"/>
              <w:rPr>
                <w:sz w:val="20"/>
                <w:szCs w:val="20"/>
                <w:color w:val="auto"/>
              </w:rPr>
            </w:pPr>
            <w:r>
              <w:rPr>
                <w:rFonts w:ascii="Arial" w:cs="Arial" w:eastAsia="Arial" w:hAnsi="Arial"/>
                <w:sz w:val="16"/>
                <w:szCs w:val="16"/>
                <w:color w:val="auto"/>
              </w:rPr>
              <w:t>Self-insurance</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4,499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4,409</w:t>
            </w:r>
          </w:p>
        </w:tc>
      </w:tr>
      <w:tr>
        <w:trPr>
          <w:trHeight w:val="280"/>
        </w:trPr>
        <w:tc>
          <w:tcPr>
            <w:tcW w:w="8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loss on repurchases</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964</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1,362</w:t>
            </w:r>
          </w:p>
        </w:tc>
      </w:tr>
      <w:tr>
        <w:trPr>
          <w:trHeight w:val="251"/>
        </w:trPr>
        <w:tc>
          <w:tcPr>
            <w:tcW w:w="8200" w:type="dxa"/>
            <w:vAlign w:val="bottom"/>
          </w:tcPr>
          <w:p>
            <w:pPr>
              <w:ind w:left="420"/>
              <w:spacing w:after="0"/>
              <w:rPr>
                <w:sz w:val="20"/>
                <w:szCs w:val="20"/>
                <w:color w:val="auto"/>
              </w:rPr>
            </w:pPr>
            <w:r>
              <w:rPr>
                <w:rFonts w:ascii="Arial" w:cs="Arial" w:eastAsia="Arial" w:hAnsi="Arial"/>
                <w:sz w:val="16"/>
                <w:szCs w:val="16"/>
                <w:color w:val="auto"/>
              </w:rPr>
              <w:t>Promotional</w:t>
            </w:r>
          </w:p>
        </w:tc>
        <w:tc>
          <w:tcPr>
            <w:tcW w:w="16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1,817</w:t>
            </w:r>
          </w:p>
        </w:tc>
      </w:tr>
      <w:tr>
        <w:trPr>
          <w:trHeight w:val="283"/>
        </w:trPr>
        <w:tc>
          <w:tcPr>
            <w:tcW w:w="820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4,797</w:t>
            </w:r>
          </w:p>
        </w:tc>
      </w:tr>
      <w:tr>
        <w:trPr>
          <w:trHeight w:val="250"/>
        </w:trPr>
        <w:tc>
          <w:tcPr>
            <w:tcW w:w="82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48,285</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50,372</w:t>
            </w:r>
          </w:p>
        </w:tc>
        <w:tc>
          <w:tcPr>
            <w:tcW w:w="100" w:type="dxa"/>
            <w:vAlign w:val="bottom"/>
            <w:tcBorders>
              <w:top w:val="single" w:sz="8" w:color="auto"/>
              <w:bottom w:val="single" w:sz="8" w:color="auto"/>
            </w:tcBorders>
          </w:tcPr>
          <w:p>
            <w:pPr>
              <w:spacing w:after="0"/>
              <w:rPr>
                <w:sz w:val="21"/>
                <w:szCs w:val="21"/>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0"/>
        </w:trPr>
        <w:tc>
          <w:tcPr>
            <w:tcW w:w="8200" w:type="dxa"/>
            <w:vAlign w:val="bottom"/>
          </w:tcPr>
          <w:p>
            <w:pPr>
              <w:ind w:left="280"/>
              <w:spacing w:after="0"/>
              <w:rPr>
                <w:sz w:val="20"/>
                <w:szCs w:val="20"/>
                <w:color w:val="auto"/>
              </w:rPr>
            </w:pPr>
            <w:r>
              <w:rPr>
                <w:rFonts w:ascii="Arial" w:cs="Arial" w:eastAsia="Arial" w:hAnsi="Arial"/>
                <w:sz w:val="16"/>
                <w:szCs w:val="16"/>
                <w:color w:val="auto"/>
              </w:rPr>
              <w:t>Unrec ognized tax benefits</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5,761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5,877</w:t>
            </w:r>
          </w:p>
        </w:tc>
      </w:tr>
      <w:tr>
        <w:trPr>
          <w:trHeight w:val="280"/>
        </w:trPr>
        <w:tc>
          <w:tcPr>
            <w:tcW w:w="8200" w:type="dxa"/>
            <w:vAlign w:val="bottom"/>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16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74,905</w:t>
            </w:r>
          </w:p>
        </w:tc>
        <w:tc>
          <w:tcPr>
            <w:tcW w:w="2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73,581</w:t>
            </w:r>
          </w:p>
        </w:tc>
        <w:tc>
          <w:tcPr>
            <w:tcW w:w="100" w:type="dxa"/>
            <w:vAlign w:val="bottom"/>
            <w:tcBorders>
              <w:bottom w:val="single" w:sz="8" w:color="auto"/>
            </w:tcBorders>
            <w:shd w:val="clear" w:color="auto" w:fill="CCEEFF"/>
          </w:tcPr>
          <w:p>
            <w:pPr>
              <w:spacing w:after="0"/>
              <w:rPr>
                <w:sz w:val="24"/>
                <w:szCs w:val="24"/>
                <w:color w:val="auto"/>
              </w:rPr>
            </w:pPr>
          </w:p>
        </w:tc>
      </w:tr>
      <w:tr>
        <w:trPr>
          <w:trHeight w:val="244"/>
        </w:trPr>
        <w:tc>
          <w:tcPr>
            <w:tcW w:w="82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long-term liabilities</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80,666</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79,458</w:t>
            </w:r>
          </w:p>
        </w:tc>
        <w:tc>
          <w:tcPr>
            <w:tcW w:w="100" w:type="dxa"/>
            <w:vAlign w:val="bottom"/>
            <w:tcBorders>
              <w:bottom w:val="single" w:sz="8" w:color="auto"/>
            </w:tcBorders>
          </w:tcPr>
          <w:p>
            <w:pPr>
              <w:spacing w:after="0"/>
              <w:rPr>
                <w:sz w:val="21"/>
                <w:szCs w:val="21"/>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 authorized 60,000 shares, issued 51,776 shares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25,888</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23"/>
                <w:szCs w:val="23"/>
                <w:color w:val="auto"/>
              </w:rPr>
            </w:pPr>
          </w:p>
        </w:tc>
      </w:tr>
      <w:tr>
        <w:trPr>
          <w:trHeight w:val="270"/>
        </w:trPr>
        <w:tc>
          <w:tcPr>
            <w:tcW w:w="82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29,290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29,464</w:t>
            </w:r>
          </w:p>
        </w:tc>
        <w:tc>
          <w:tcPr>
            <w:tcW w:w="100" w:type="dxa"/>
            <w:vAlign w:val="bottom"/>
          </w:tcPr>
          <w:p>
            <w:pPr>
              <w:spacing w:after="0"/>
              <w:rPr>
                <w:sz w:val="23"/>
                <w:szCs w:val="23"/>
                <w:color w:val="auto"/>
              </w:rPr>
            </w:pPr>
          </w:p>
        </w:tc>
      </w:tr>
      <w:tr>
        <w:trPr>
          <w:trHeight w:val="243"/>
        </w:trPr>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424,461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420,675</w:t>
            </w:r>
          </w:p>
        </w:tc>
        <w:tc>
          <w:tcPr>
            <w:tcW w:w="100" w:type="dxa"/>
            <w:vAlign w:val="bottom"/>
            <w:shd w:val="clear" w:color="auto" w:fill="CCEEFF"/>
          </w:tcPr>
          <w:p>
            <w:pPr>
              <w:spacing w:after="0"/>
              <w:rPr>
                <w:sz w:val="21"/>
                <w:szCs w:val="21"/>
                <w:color w:val="auto"/>
              </w:rPr>
            </w:pPr>
          </w:p>
        </w:tc>
      </w:tr>
      <w:tr>
        <w:trPr>
          <w:trHeight w:val="260"/>
        </w:trPr>
        <w:tc>
          <w:tcPr>
            <w:tcW w:w="820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1,242</w:t>
            </w:r>
          </w:p>
        </w:tc>
      </w:tr>
      <w:tr>
        <w:trPr>
          <w:trHeight w:val="273"/>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 at cost (22,666 and 22,661 shares, res pectively)</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(379,761)</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(379,742</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r>
      <w:tr>
        <w:trPr>
          <w:trHeight w:val="237"/>
        </w:trPr>
        <w:tc>
          <w:tcPr>
            <w:tcW w:w="82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100,520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97,527</w:t>
            </w:r>
          </w:p>
        </w:tc>
        <w:tc>
          <w:tcPr>
            <w:tcW w:w="100" w:type="dxa"/>
            <w:vAlign w:val="bottom"/>
            <w:tcBorders>
              <w:bottom w:val="single" w:sz="8" w:color="auto"/>
            </w:tcBorders>
          </w:tcPr>
          <w:p>
            <w:pPr>
              <w:spacing w:after="0"/>
              <w:rPr>
                <w:sz w:val="20"/>
                <w:szCs w:val="20"/>
                <w:color w:val="auto"/>
              </w:rPr>
            </w:pPr>
          </w:p>
        </w:tc>
      </w:tr>
      <w:tr>
        <w:trPr>
          <w:trHeight w:val="24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229,471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227,357</w:t>
            </w:r>
          </w:p>
        </w:tc>
        <w:tc>
          <w:tcPr>
            <w:tcW w:w="100" w:type="dxa"/>
            <w:vAlign w:val="bottom"/>
            <w:tcBorders>
              <w:bottom w:val="single" w:sz="8" w:color="auto"/>
            </w:tcBorders>
            <w:shd w:val="clear" w:color="auto" w:fill="CCEEFF"/>
          </w:tcPr>
          <w:p>
            <w:pPr>
              <w:spacing w:after="0"/>
              <w:rPr>
                <w:sz w:val="20"/>
                <w:szCs w:val="20"/>
                <w:color w:val="auto"/>
              </w:rPr>
            </w:pPr>
          </w:p>
        </w:tc>
      </w:tr>
      <w:tr>
        <w:trPr>
          <w:trHeight w:val="20"/>
        </w:trPr>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financial statements.</w:t>
      </w:r>
    </w:p>
    <w:p>
      <w:pPr>
        <w:sectPr>
          <w:pgSz w:w="11900" w:h="16838" w:orient="portrait"/>
          <w:cols w:equalWidth="0" w:num="1">
            <w:col w:w="11420"/>
          </w:cols>
          <w:pgMar w:left="240" w:top="168"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68" w:right="2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03"/>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November 27,</w:t>
            </w:r>
          </w:p>
        </w:tc>
        <w:tc>
          <w:tcPr>
            <w:tcW w:w="14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November 28,</w:t>
            </w:r>
          </w:p>
        </w:tc>
      </w:tr>
      <w:tr>
        <w:trPr>
          <w:trHeight w:val="23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2009</w:t>
            </w:r>
          </w:p>
        </w:tc>
        <w:tc>
          <w:tcPr>
            <w:tcW w:w="100" w:type="dxa"/>
            <w:vAlign w:val="bottom"/>
            <w:tcBorders>
              <w:bottom w:val="single" w:sz="8" w:color="auto"/>
            </w:tcBorders>
          </w:tcPr>
          <w:p>
            <w:pPr>
              <w:spacing w:after="0"/>
              <w:rPr>
                <w:sz w:val="19"/>
                <w:szCs w:val="19"/>
                <w:color w:val="auto"/>
              </w:rPr>
            </w:pPr>
          </w:p>
        </w:tc>
      </w:tr>
      <w:tr>
        <w:trPr>
          <w:trHeight w:val="264"/>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1"/>
        </w:trPr>
        <w:tc>
          <w:tcPr>
            <w:tcW w:w="82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3,786</w:t>
            </w:r>
          </w:p>
        </w:tc>
        <w:tc>
          <w:tcPr>
            <w:tcW w:w="2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(1,344)</w:t>
            </w:r>
          </w:p>
        </w:tc>
      </w:tr>
      <w:tr>
        <w:trPr>
          <w:trHeight w:val="290"/>
        </w:trPr>
        <w:tc>
          <w:tcPr>
            <w:tcW w:w="824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1,430</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1,684</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 d deferred compensation expenses</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Provision (reduction) for doubtful accounts</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(324)</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Gain on sale or disposal of property</w:t>
            </w:r>
          </w:p>
        </w:tc>
        <w:tc>
          <w:tcPr>
            <w:tcW w:w="1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(693)</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(1,647)</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(4,229)</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Receivables and prepaid assets</w:t>
            </w:r>
          </w:p>
        </w:tc>
        <w:tc>
          <w:tcPr>
            <w:tcW w:w="1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2,246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(449)</w:t>
            </w:r>
          </w:p>
        </w:tc>
      </w:tr>
      <w:tr>
        <w:trPr>
          <w:trHeight w:val="280"/>
        </w:trPr>
        <w:tc>
          <w:tcPr>
            <w:tcW w:w="8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974</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(4,887)</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(3,435)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4,055</w:t>
            </w:r>
          </w:p>
        </w:tc>
      </w:tr>
      <w:tr>
        <w:trPr>
          <w:trHeight w:val="273"/>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(926)</w:t>
            </w:r>
          </w:p>
        </w:tc>
        <w:tc>
          <w:tcPr>
            <w:tcW w:w="2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(837)</w:t>
            </w:r>
          </w:p>
        </w:tc>
      </w:tr>
      <w:tr>
        <w:trPr>
          <w:trHeight w:val="25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2,173</w:t>
            </w:r>
          </w:p>
        </w:tc>
        <w:tc>
          <w:tcPr>
            <w:tcW w:w="2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(5,857)</w:t>
            </w:r>
          </w:p>
        </w:tc>
      </w:tr>
      <w:tr>
        <w:trPr>
          <w:trHeight w:val="270"/>
        </w:trPr>
        <w:tc>
          <w:tcPr>
            <w:tcW w:w="8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60"/>
        </w:trPr>
        <w:tc>
          <w:tcPr>
            <w:tcW w:w="824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(667)</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(509)</w:t>
            </w:r>
          </w:p>
        </w:tc>
      </w:tr>
      <w:tr>
        <w:trPr>
          <w:trHeight w:val="28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3,769</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r>
      <w:tr>
        <w:trPr>
          <w:trHeight w:val="264"/>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(464)</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 ties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4,326</w:t>
            </w:r>
          </w:p>
        </w:tc>
        <w:tc>
          <w:tcPr>
            <w:tcW w:w="2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(929</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70"/>
        </w:trPr>
        <w:tc>
          <w:tcPr>
            <w:tcW w:w="8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51"/>
        </w:trPr>
        <w:tc>
          <w:tcPr>
            <w:tcW w:w="824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1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(249)</w:t>
            </w:r>
          </w:p>
        </w:tc>
      </w:tr>
      <w:tr>
        <w:trPr>
          <w:trHeight w:val="290"/>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r>
      <w:tr>
        <w:trPr>
          <w:trHeight w:val="264"/>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64</w:t>
            </w: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(341)</w:t>
            </w: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auto"/>
            </w:tcBorders>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6,474</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(7,361)</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74,691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36,566</w:t>
            </w:r>
          </w:p>
        </w:tc>
        <w:tc>
          <w:tcPr>
            <w:tcW w:w="100" w:type="dxa"/>
            <w:vAlign w:val="bottom"/>
            <w:tcBorders>
              <w:bottom w:val="single" w:sz="8" w:color="auto"/>
            </w:tcBorders>
          </w:tcPr>
          <w:p>
            <w:pPr>
              <w:spacing w:after="0"/>
              <w:rPr>
                <w:sz w:val="22"/>
                <w:szCs w:val="22"/>
                <w:color w:val="auto"/>
              </w:rPr>
            </w:pPr>
          </w:p>
        </w:tc>
      </w:tr>
      <w:tr>
        <w:trPr>
          <w:trHeight w:val="24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81,165</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29,205</w:t>
            </w:r>
          </w:p>
        </w:tc>
        <w:tc>
          <w:tcPr>
            <w:tcW w:w="100" w:type="dxa"/>
            <w:vAlign w:val="bottom"/>
            <w:tcBorders>
              <w:bottom w:val="single" w:sz="8" w:color="auto"/>
            </w:tcBorders>
            <w:shd w:val="clear" w:color="auto" w:fill="CCEEFF"/>
          </w:tcPr>
          <w:p>
            <w:pPr>
              <w:spacing w:after="0"/>
              <w:rPr>
                <w:sz w:val="20"/>
                <w:szCs w:val="20"/>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7"/>
        </w:trPr>
        <w:tc>
          <w:tcPr>
            <w:tcW w:w="8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&lt; /div&gt;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54"/>
        </w:trPr>
        <w:tc>
          <w:tcPr>
            <w:tcW w:w="8240" w:type="dxa"/>
            <w:vAlign w:val="bottom"/>
          </w:tcPr>
          <w:p>
            <w:pPr>
              <w:ind w:left="280"/>
              <w:spacing w:after="0"/>
              <w:rPr>
                <w:sz w:val="20"/>
                <w:szCs w:val="20"/>
                <w:color w:val="auto"/>
              </w:rPr>
            </w:pPr>
            <w:r>
              <w:rPr>
                <w:rFonts w:ascii="Arial" w:cs="Arial" w:eastAsia="Arial" w:hAnsi="Arial"/>
                <w:sz w:val="16"/>
                <w:szCs w:val="16"/>
                <w:color w:val="auto"/>
              </w:rPr>
              <w:t>Income taxes paid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21</w:t>
            </w: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financial statements.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68"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Notes to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"Company," "we," "our" and "us" are used interchangeably to refer to Winnebago Industries, Inc.</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82"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In our opinion, the accompanying condensed unaudited financial statements contain all adjustments, consisting of normal recurring accruals, necessary to present fairly the financial position as of November 27, 2010 and the results of operations for the first quarters of Fiscal 2011 and 2010, and cash flows for the first quarters of Fiscal 2011 and 2010. The statement of operations for the first quarter of Fiscal 2011 is not necessarily indicative of the results to be expected for the full year. The balance sheet data as of August 28, 2010 was derived from audited financial statements, but does not include all of the information and footnotes</w:t>
      </w:r>
    </w:p>
    <w:p>
      <w:pPr>
        <w:ind w:right="360"/>
        <w:spacing w:after="0" w:line="288" w:lineRule="auto"/>
        <w:rPr>
          <w:sz w:val="20"/>
          <w:szCs w:val="20"/>
          <w:color w:val="auto"/>
        </w:rPr>
      </w:pPr>
      <w:r>
        <w:rPr>
          <w:rFonts w:ascii="Arial" w:cs="Arial" w:eastAsia="Arial" w:hAnsi="Arial"/>
          <w:sz w:val="16"/>
          <w:szCs w:val="16"/>
          <w:color w:val="auto"/>
        </w:rPr>
        <w:t>required by generally accepted accounting principles (GAAP) for complete financial statements. These interim financial statements should be read in conjunction with the audited financial statements and notes thereto appearing in our Annual Report to Shareholders for the year ended August 28, 2010.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New Accounting Pronouncements</w:t>
      </w:r>
    </w:p>
    <w:p>
      <w:pPr>
        <w:spacing w:after="0" w:line="28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On January 21, 2010, the Financial Accounting Standards Board (FASB) issued Accounting Standards Update (ASU) 2010-06. The ASU amends FASB Accounting Standards Codification (ASC) 820 to add new requirements for disclosures about transfers into and out of fair value hierarchy Levels 1 and 2 and separate disclosures about purchases, sales, issuances, and settlements relating to Level 3 fair value measurements. It also clarifies existing fair value disclosures about the level of disaggregation and about inputs and valuation techniques used to measure fair value. The ASU also amends guidance on employers' disclosures about postretirement benefit plan assets under ASC 715 to require that disclosures be provided by classes of assets instead of by major categories of assets. The guidance in the ASU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(our Fiscal 2012).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that are Measured at Fair Value on a Recurring Basis</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27, 2010 and August 28, 2010 according to the valuation techniques we used to determine their fair values: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&lt; td colspan="2" style="vertical-align:bottom;padding-left:2px;padding-top:2px;padding-bottom:2px;"&gt;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r>
      <w:tr>
        <w:trPr>
          <w:trHeight w:val="270"/>
        </w:trPr>
        <w:tc>
          <w:tcPr>
            <w:tcW w:w="3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300" w:type="dxa"/>
            <w:vAlign w:val="bottom"/>
            <w:tcBorders>
              <w:bottom w:val="single" w:sz="8" w:color="auto"/>
            </w:tcBorders>
            <w:gridSpan w:val="8"/>
          </w:tcPr>
          <w:p>
            <w:pPr>
              <w:ind w:left="52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198"/>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7"/>
                <w:szCs w:val="17"/>
                <w:color w:val="auto"/>
              </w:rPr>
            </w:pPr>
          </w:p>
        </w:tc>
        <w:tc>
          <w:tcPr>
            <w:tcW w:w="148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rPr>
              <w:t>Quoted Prices in Active</w:t>
            </w:r>
          </w:p>
        </w:tc>
        <w:tc>
          <w:tcPr>
            <w:tcW w:w="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6"/>
                <w:szCs w:val="16"/>
                <w:color w:val="auto"/>
              </w:rPr>
            </w:pPr>
          </w:p>
        </w:tc>
        <w:tc>
          <w:tcPr>
            <w:tcW w:w="148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3820" w:type="dxa"/>
            <w:vAlign w:val="bottom"/>
          </w:tcPr>
          <w:p>
            <w:pPr>
              <w:spacing w:after="0"/>
              <w:rPr>
                <w:sz w:val="16"/>
                <w:szCs w:val="16"/>
                <w:color w:val="auto"/>
              </w:rPr>
            </w:pPr>
          </w:p>
        </w:tc>
        <w:tc>
          <w:tcPr>
            <w:tcW w:w="218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 at November 27,</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Markets for Identical</w:t>
            </w:r>
          </w:p>
        </w:tc>
        <w:tc>
          <w:tcPr>
            <w:tcW w:w="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Observable Inputs</w:t>
            </w:r>
          </w:p>
        </w:tc>
        <w:tc>
          <w:tcPr>
            <w:tcW w:w="1780" w:type="dxa"/>
            <w:vAlign w:val="bottom"/>
            <w:gridSpan w:val="3"/>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28"/>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9"/>
              </w:rPr>
              <w:t>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60"/>
        </w:trPr>
        <w:tc>
          <w:tcPr>
            <w:tcW w:w="3820" w:type="dxa"/>
            <w:vAlign w:val="bottom"/>
          </w:tcPr>
          <w:p>
            <w:pPr>
              <w:ind w:left="180"/>
              <w:spacing w:after="0"/>
              <w:rPr>
                <w:sz w:val="20"/>
                <w:szCs w:val="20"/>
                <w:color w:val="auto"/>
              </w:rPr>
            </w:pPr>
            <w:r>
              <w:rPr>
                <w:rFonts w:ascii="Arial" w:cs="Arial" w:eastAsia="Arial" w:hAnsi="Arial"/>
                <w:sz w:val="16"/>
                <w:szCs w:val="16"/>
                <w:color w:val="auto"/>
              </w:rPr>
              <w:t>Student loan ARS with pending redemptions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38"/>
              <w:spacing w:after="0"/>
              <w:rPr>
                <w:sz w:val="20"/>
                <w:szCs w:val="20"/>
                <w:color w:val="auto"/>
              </w:rPr>
            </w:pPr>
            <w:r>
              <w:rPr>
                <w:rFonts w:ascii="Arial" w:cs="Arial" w:eastAsia="Arial" w:hAnsi="Arial"/>
                <w:sz w:val="16"/>
                <w:szCs w:val="16"/>
                <w:color w:val="auto"/>
              </w:rPr>
              <w:t>5,250</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5,250</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r>
      <w:tr>
        <w:trPr>
          <w:trHeight w:val="260"/>
        </w:trPr>
        <w:tc>
          <w:tcPr>
            <w:tcW w:w="3820" w:type="dxa"/>
            <w:vAlign w:val="bottom"/>
          </w:tcPr>
          <w:p>
            <w:pPr>
              <w:ind w:left="180"/>
              <w:spacing w:after="0"/>
              <w:rPr>
                <w:sz w:val="20"/>
                <w:szCs w:val="20"/>
                <w:color w:val="auto"/>
              </w:rPr>
            </w:pPr>
            <w:r>
              <w:rPr>
                <w:rFonts w:ascii="Arial" w:cs="Arial" w:eastAsia="Arial" w:hAnsi="Arial"/>
                <w:sz w:val="16"/>
                <w:szCs w:val="16"/>
                <w:color w:val="auto"/>
              </w:rPr>
              <w:t>Student loan ARS</w:t>
            </w:r>
          </w:p>
        </w:tc>
        <w:tc>
          <w:tcPr>
            <w:tcW w:w="220" w:type="dxa"/>
            <w:vAlign w:val="bottom"/>
          </w:tcPr>
          <w:p>
            <w:pPr>
              <w:spacing w:after="0"/>
              <w:rPr>
                <w:sz w:val="22"/>
                <w:szCs w:val="22"/>
                <w:color w:val="auto"/>
              </w:rPr>
            </w:pPr>
          </w:p>
        </w:tc>
        <w:tc>
          <w:tcPr>
            <w:tcW w:w="1740" w:type="dxa"/>
            <w:vAlign w:val="bottom"/>
          </w:tcPr>
          <w:p>
            <w:pPr>
              <w:jc w:val="right"/>
              <w:ind w:right="238"/>
              <w:spacing w:after="0"/>
              <w:rPr>
                <w:sz w:val="20"/>
                <w:szCs w:val="20"/>
                <w:color w:val="auto"/>
              </w:rPr>
            </w:pPr>
            <w:r>
              <w:rPr>
                <w:rFonts w:ascii="Arial" w:cs="Arial" w:eastAsia="Arial" w:hAnsi="Arial"/>
                <w:sz w:val="16"/>
                <w:szCs w:val="16"/>
                <w:color w:val="auto"/>
              </w:rPr>
              <w:t>11,146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11,146</w:t>
            </w:r>
          </w:p>
        </w:tc>
        <w:tc>
          <w:tcPr>
            <w:tcW w:w="220" w:type="dxa"/>
            <w:vAlign w:val="bottom"/>
          </w:tcPr>
          <w:p>
            <w:pPr>
              <w:spacing w:after="0"/>
              <w:rPr>
                <w:sz w:val="22"/>
                <w:szCs w:val="22"/>
                <w:color w:val="auto"/>
              </w:rPr>
            </w:pPr>
          </w:p>
        </w:tc>
      </w:tr>
      <w:tr>
        <w:trPr>
          <w:trHeight w:val="28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60"/>
        </w:trPr>
        <w:tc>
          <w:tcPr>
            <w:tcW w:w="382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spacing w:after="0"/>
              <w:rPr>
                <w:sz w:val="22"/>
                <w:szCs w:val="22"/>
                <w:color w:val="auto"/>
              </w:rPr>
            </w:pPr>
          </w:p>
        </w:tc>
        <w:tc>
          <w:tcPr>
            <w:tcW w:w="1740" w:type="dxa"/>
            <w:vAlign w:val="bottom"/>
          </w:tcPr>
          <w:p>
            <w:pPr>
              <w:jc w:val="right"/>
              <w:ind w:right="238"/>
              <w:spacing w:after="0"/>
              <w:rPr>
                <w:sz w:val="20"/>
                <w:szCs w:val="20"/>
                <w:color w:val="auto"/>
              </w:rPr>
            </w:pPr>
            <w:r>
              <w:rPr>
                <w:rFonts w:ascii="Arial" w:cs="Arial" w:eastAsia="Arial" w:hAnsi="Arial"/>
                <w:sz w:val="16"/>
                <w:szCs w:val="16"/>
                <w:color w:val="auto"/>
              </w:rPr>
              <w:t>9,736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9,736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&lt; font style="font-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3"/>
        </w:trPr>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family:Arial;font-</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size:9pt;font-</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style:normal;font-</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weight:normal;text-</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9"/>
        </w:trPr>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w w:val="92"/>
              </w:rPr>
              <w:t>decoration:none;"&gt;1,780</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1,780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3820" w:type="dxa"/>
            <w:vAlign w:val="bottom"/>
          </w:tcPr>
          <w:p>
            <w:pPr>
              <w:ind w:left="1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1740" w:type="dxa"/>
            <w:vAlign w:val="bottom"/>
          </w:tcPr>
          <w:p>
            <w:pPr>
              <w:jc w:val="right"/>
              <w:ind w:right="238"/>
              <w:spacing w:after="0"/>
              <w:rPr>
                <w:sz w:val="20"/>
                <w:szCs w:val="20"/>
                <w:color w:val="auto"/>
              </w:rPr>
            </w:pPr>
            <w:r>
              <w:rPr>
                <w:rFonts w:ascii="Arial" w:cs="Arial" w:eastAsia="Arial" w:hAnsi="Arial"/>
                <w:sz w:val="16"/>
                <w:szCs w:val="16"/>
                <w:color w:val="auto"/>
              </w:rPr>
              <w:t>620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620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48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r>
      <w:tr>
        <w:trPr>
          <w:trHeight w:val="202"/>
        </w:trPr>
        <w:tc>
          <w:tcPr>
            <w:tcW w:w="3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&amp;nb</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28,532</w:t>
            </w:r>
            <w:r>
              <w:rPr>
                <w:rFonts w:ascii="Arial" w:cs="Arial" w:eastAsia="Arial" w:hAnsi="Arial"/>
                <w:sz w:val="18"/>
                <w:szCs w:val="18"/>
                <w:color w:val="auto"/>
              </w:rPr>
              <w:t>sp;</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12,136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11,146</w:t>
            </w:r>
          </w:p>
        </w:tc>
        <w:tc>
          <w:tcPr>
            <w:tcW w:w="220" w:type="dxa"/>
            <w:vAlign w:val="bottom"/>
            <w:shd w:val="clear" w:color="auto" w:fill="CCEEFF"/>
          </w:tcPr>
          <w:p>
            <w:pPr>
              <w:spacing w:after="0"/>
              <w:rPr>
                <w:sz w:val="20"/>
                <w:szCs w:val="20"/>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68"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68"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9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905"/>
        </w:trPr>
        <w:tc>
          <w:tcPr>
            <w:tcW w:w="126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9"/>
          </w:tcPr>
          <w:p>
            <w:pPr>
              <w:ind w:left="64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198"/>
        </w:trPr>
        <w:tc>
          <w:tcPr>
            <w:tcW w:w="1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Level 1</w:t>
            </w:r>
          </w:p>
        </w:tc>
        <w:tc>
          <w:tcPr>
            <w:tcW w:w="34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rPr>
              <w:t>Quoted Prices in Active</w:t>
            </w:r>
          </w:p>
        </w:tc>
        <w:tc>
          <w:tcPr>
            <w:tcW w:w="34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Significant Other</w:t>
            </w: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8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 at</w:t>
            </w:r>
          </w:p>
        </w:tc>
        <w:tc>
          <w:tcPr>
            <w:tcW w:w="160" w:type="dxa"/>
            <w:vAlign w:val="bottom"/>
          </w:tcPr>
          <w:p>
            <w:pPr>
              <w:spacing w:after="0"/>
              <w:rPr>
                <w:sz w:val="16"/>
                <w:szCs w:val="16"/>
                <w:color w:val="auto"/>
              </w:rPr>
            </w:pPr>
          </w:p>
        </w:tc>
        <w:tc>
          <w:tcPr>
            <w:tcW w:w="17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Markets for Identical</w:t>
            </w:r>
          </w:p>
        </w:tc>
        <w:tc>
          <w:tcPr>
            <w:tcW w:w="2000" w:type="dxa"/>
            <w:vAlign w:val="bottom"/>
            <w:gridSpan w:val="3"/>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Unobservable Inputs</w:t>
            </w:r>
          </w:p>
        </w:tc>
      </w:tr>
      <w:tr>
        <w:trPr>
          <w:trHeight w:val="228"/>
        </w:trPr>
        <w:tc>
          <w:tcPr>
            <w:tcW w:w="3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August 28, 2010</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70"/>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02"/>
        </w:trPr>
        <w:tc>
          <w:tcPr>
            <w:tcW w:w="1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&lt;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8"/>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Student loan ARS</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17,785</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w w:val="98"/>
              </w:rPr>
              <w:t>/td&gt;</w:t>
            </w:r>
          </w:p>
        </w:tc>
        <w:tc>
          <w:tcPr>
            <w:tcW w:w="16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17,785</w:t>
            </w:r>
          </w:p>
        </w:tc>
        <w:tc>
          <w:tcPr>
            <w:tcW w:w="220" w:type="dxa"/>
            <w:vAlign w:val="bottom"/>
          </w:tcPr>
          <w:p>
            <w:pPr>
              <w:spacing w:after="0"/>
              <w:rPr>
                <w:sz w:val="21"/>
                <w:szCs w:val="21"/>
                <w:color w:val="auto"/>
              </w:rPr>
            </w:pPr>
          </w:p>
        </w:tc>
      </w:tr>
      <w:tr>
        <w:trPr>
          <w:trHeight w:val="280"/>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70"/>
        </w:trPr>
        <w:tc>
          <w:tcPr>
            <w:tcW w:w="3920" w:type="dxa"/>
            <w:vAlign w:val="bottom"/>
            <w:gridSpan w:val="2"/>
          </w:tcPr>
          <w:p>
            <w:pPr>
              <w:ind w:left="180"/>
              <w:spacing w:after="0"/>
              <w:rPr>
                <w:sz w:val="20"/>
                <w:szCs w:val="20"/>
                <w:color w:val="auto"/>
              </w:rPr>
            </w:pPr>
            <w:r>
              <w:rPr>
                <w:rFonts w:ascii="Arial" w:cs="Arial" w:eastAsia="Arial" w:hAnsi="Arial"/>
                <w:sz w:val="16"/>
                <w:szCs w:val="16"/>
                <w:color w:val="auto"/>
              </w:rPr>
              <w:t>Domestic equity funds</w:t>
            </w:r>
          </w:p>
        </w:tc>
        <w:tc>
          <w:tcPr>
            <w:tcW w:w="5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8,735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8,735</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r>
      <w:tr>
        <w:trPr>
          <w:trHeight w:val="27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1,569</w:t>
            </w:r>
          </w:p>
        </w:tc>
        <w:tc>
          <w:tcPr>
            <w:tcW w:w="20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r>
      <w:tr>
        <w:trPr>
          <w:trHeight w:val="264"/>
        </w:trPr>
        <w:tc>
          <w:tcPr>
            <w:tcW w:w="3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Fixed income</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650</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r>
      <w:tr>
        <w:trPr>
          <w:trHeight w:val="243"/>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28,739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17,785</w:t>
            </w:r>
          </w:p>
        </w:tc>
        <w:tc>
          <w:tcPr>
            <w:tcW w:w="220" w:type="dxa"/>
            <w:vAlign w:val="bottom"/>
            <w:shd w:val="clear" w:color="auto" w:fill="CCEEFF"/>
          </w:tcPr>
          <w:p>
            <w:pPr>
              <w:spacing w:after="0"/>
              <w:rPr>
                <w:sz w:val="21"/>
                <w:szCs w:val="2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5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33,306</w:t>
            </w:r>
          </w:p>
        </w:tc>
      </w:tr>
      <w:tr>
        <w:trPr>
          <w:trHeight w:val="204"/>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November 27,</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2009</w:t>
            </w:r>
          </w:p>
        </w:tc>
        <w:tc>
          <w:tcPr>
            <w:tcW w:w="100" w:type="dxa"/>
            <w:vAlign w:val="bottom"/>
            <w:tcBorders>
              <w:bottom w:val="single" w:sz="8" w:color="auto"/>
            </w:tcBorders>
          </w:tcPr>
          <w:p>
            <w:pPr>
              <w:spacing w:after="0"/>
              <w:rPr>
                <w:sz w:val="19"/>
                <w:szCs w:val="19"/>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33,294</w:t>
            </w:r>
          </w:p>
        </w:tc>
        <w:tc>
          <w:tcPr>
            <w:tcW w:w="100" w:type="dxa"/>
            <w:vAlign w:val="bottom"/>
            <w:shd w:val="clear" w:color="auto" w:fill="CCEEFF"/>
          </w:tcPr>
          <w:p>
            <w:pPr>
              <w:spacing w:after="0"/>
              <w:rPr>
                <w:sz w:val="22"/>
                <w:szCs w:val="22"/>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Transfer to Level 2</w:t>
            </w:r>
          </w:p>
        </w:tc>
        <w:tc>
          <w:tcPr>
            <w:tcW w:w="120" w:type="dxa"/>
            <w:vAlign w:val="bottom"/>
          </w:tcPr>
          <w:p>
            <w:pPr>
              <w:spacing w:after="0"/>
              <w:rPr>
                <w:sz w:val="22"/>
                <w:szCs w:val="2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(5,250)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(1,200)</w:t>
            </w: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11,146</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Transfers between Levels</w:t>
      </w:r>
    </w:p>
    <w:p>
      <w:pPr>
        <w:spacing w:after="0" w:line="21"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During the first quarter of Fiscal 2011 there were two transfers out of Level 3 valued assets. The $1.2 million transfer was related to a redemption at par of Auction Rate Securities (ARS) that occurred during the quarter. The $5.3 million transfer from a Level 3 valuation to Level 2 valuation was due to ARS redemptions at par subsequent to quarter end.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and Short-Term Investments</w:t>
      </w:r>
    </w:p>
    <w:p>
      <w:pPr>
        <w:spacing w:after="0" w:line="2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debt securities are comprised of ARS. Our ARS related investments (as described in Note 4) are classified as Level 3 as quoted prices were unavailable due to events described in Note 4. Due to limited market information, we utilized a discounted cash flow (DCF) model to derive an estimate of fair value at November 27, 2010.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All of our short-term ARS portfolio is classified as Level 2 as they are also in an inactive market but inputs other than quoted prices were observable and used to value the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Our assets that fund deferred compensation are marketable equity securities and are measured at fair value using quoted market prices and primarily consist of equity-based mutual funds. They are classified as Level 1 as they are traded in an active market for which closing stock pr ices are readily available. These securities fund the Executive Share Option Plan, a deferred compensation program, and are presented as other assets in the accompanying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266"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23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At November 27, 2010, we held $11.4 million (par value) of long term investments comprised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 d or semiannually. The ARS we hold are AAA/Aaa rated with most collateralized by student loans guaranteed by the U.S. Government under the Federal Family Education Loan Program.</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 g our ARS. However, redemption could</w:t>
      </w:r>
    </w:p>
    <w:p>
      <w:pPr>
        <w:sectPr>
          <w:pgSz w:w="11900" w:h="16838" w:orient="portrait"/>
          <w:cols w:equalWidth="0" w:num="1">
            <w:col w:w="11420"/>
          </w:cols>
          <w:pgMar w:left="240" w:top="145" w:right="239" w:bottom="876"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5" w:right="239" w:bottom="876"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take until final maturity of the ARS (up to 30 years) to realize the par value of our investments. Due to the changes and uncertainty in the ARS market, we believe the recovery period for these investments is likely to be longer than 12 months and as a result, we have classified these investments as long-term as of November 27, 2010. We also hold $5.3 million (par value) of ARS that are classified as short-term investments as these securities were redeemed at par subsequent to quarter end on or before December 8, 2010.</w:t>
      </w:r>
    </w:p>
    <w:p>
      <w:pPr>
        <w:spacing w:after="0" w:line="24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At November 27, 2010, there was insufficient observable ARS market information available to determine the fair value of our long term ARS investments. Therefore, we estimated fair value by incorporating assumptions that market participants would use in their estimates of fair value. Some of these assumptions included credit quality, final stated maturiti es, estimates on the probability of the issue being called prior to final maturity, impact due to extended periods of maximum auction rates and broker quotes from independent evaluators. Based on this analysis, we recorded a temporary impairment of $254,000 related to our long-term ARS investments of $11.4 million (par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82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November 27,</w:t>
            </w:r>
          </w:p>
        </w:tc>
        <w:tc>
          <w:tcPr>
            <w:tcW w:w="220" w:type="dxa"/>
            <w:vAlign w:val="bottom"/>
          </w:tcPr>
          <w:p>
            <w:pPr>
              <w:spacing w:after="0"/>
              <w:rPr>
                <w:sz w:val="24"/>
                <w:szCs w:val="24"/>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25,015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21,200</w:t>
            </w:r>
          </w:p>
        </w:tc>
        <w:tc>
          <w:tcPr>
            <w:tcW w:w="0" w:type="dxa"/>
            <w:vAlign w:val="bottom"/>
          </w:tcPr>
          <w:p>
            <w:pPr>
              <w:spacing w:after="0"/>
              <w:rPr>
                <w:sz w:val="1"/>
                <w:szCs w:val="1"/>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24,897</w:t>
            </w:r>
          </w:p>
        </w:tc>
        <w:tc>
          <w:tcPr>
            <w:tcW w:w="0" w:type="dxa"/>
            <w:vAlign w:val="bottom"/>
          </w:tcPr>
          <w:p>
            <w:pPr>
              <w:spacing w:after="0"/>
              <w:rPr>
                <w:sz w:val="1"/>
                <w:szCs w:val="1"/>
                <w:color w:val="auto"/>
              </w:rPr>
            </w:pPr>
          </w:p>
        </w:tc>
      </w:tr>
      <w:tr>
        <w:trPr>
          <w:trHeight w:val="273"/>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26,500</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26,992</w:t>
            </w:r>
          </w:p>
        </w:tc>
        <w:tc>
          <w:tcPr>
            <w:tcW w:w="0" w:type="dxa"/>
            <w:vAlign w:val="bottom"/>
          </w:tcPr>
          <w:p>
            <w:pPr>
              <w:spacing w:after="0"/>
              <w:rPr>
                <w:sz w:val="1"/>
                <w:szCs w:val="1"/>
                <w:color w:val="auto"/>
              </w:rPr>
            </w:pPr>
          </w:p>
        </w:tc>
      </w:tr>
      <w:tr>
        <w:trPr>
          <w:trHeight w:val="247"/>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73,089</w:t>
            </w:r>
          </w:p>
        </w:tc>
        <w:tc>
          <w:tcPr>
            <w:tcW w:w="0" w:type="dxa"/>
            <w:vAlign w:val="bottom"/>
          </w:tcPr>
          <w:p>
            <w:pPr>
              <w:spacing w:after="0"/>
              <w:rPr>
                <w:sz w:val="1"/>
                <w:szCs w:val="1"/>
                <w:color w:val="auto"/>
              </w:rPr>
            </w:pPr>
          </w:p>
        </w:tc>
      </w:tr>
      <w:tr>
        <w:trPr>
          <w:trHeight w:val="273"/>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(29,927)</w:t>
            </w:r>
          </w:p>
        </w:tc>
        <w:tc>
          <w:tcPr>
            <w:tcW w:w="120" w:type="dxa"/>
            <w:vAlign w:val="bottom"/>
            <w:tcBorders>
              <w:bottom w:val="single" w:sz="8" w:color="auto"/>
            </w:tcBorders>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(29,563)</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45,173</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40" w:type="dxa"/>
            <w:vAlign w:val="bottom"/>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November 27,</w:t>
            </w:r>
          </w:p>
        </w:tc>
        <w:tc>
          <w:tcPr>
            <w:tcW w:w="220" w:type="dxa"/>
            <w:vAlign w:val="bottom"/>
          </w:tcPr>
          <w:p>
            <w:pPr>
              <w:spacing w:after="0"/>
              <w:rPr>
                <w:sz w:val="24"/>
                <w:szCs w:val="24"/>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w:t>
            </w:r>
          </w:p>
        </w:tc>
        <w:tc>
          <w:tcPr>
            <w:tcW w:w="200" w:type="dxa"/>
            <w:vAlign w:val="bottom"/>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Buildings</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49,313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49,309</w:t>
            </w:r>
          </w:p>
        </w:tc>
        <w:tc>
          <w:tcPr>
            <w:tcW w:w="0" w:type="dxa"/>
            <w:vAlign w:val="bottom"/>
          </w:tcPr>
          <w:p>
            <w:pPr>
              <w:spacing w:after="0"/>
              <w:rPr>
                <w:sz w:val="1"/>
                <w:szCs w:val="1"/>
                <w:color w:val="auto"/>
              </w:rPr>
            </w:pP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89,304</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Transportation equipment</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8,906</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9,109</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148,494</w:t>
            </w: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120" w:type="dxa"/>
            <w:vAlign w:val="bottom"/>
          </w:tcPr>
          <w:p>
            <w:pPr>
              <w:spacing w:after="0"/>
              <w:rPr>
                <w:sz w:val="22"/>
                <w:szCs w:val="22"/>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(123,521)  </w:t>
            </w: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(122,817)</w:t>
            </w:r>
          </w:p>
        </w:tc>
        <w:tc>
          <w:tcPr>
            <w:tcW w:w="0" w:type="dxa"/>
            <w:vAlign w:val="bottom"/>
          </w:tcPr>
          <w:p>
            <w:pPr>
              <w:spacing w:after="0"/>
              <w:rPr>
                <w:sz w:val="1"/>
                <w:szCs w:val="1"/>
                <w:color w:val="auto"/>
              </w:rPr>
            </w:pPr>
          </w:p>
        </w:tc>
      </w:tr>
      <w:tr>
        <w:trPr>
          <w:trHeight w:val="24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24,949</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25,677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2011, an idled assembly facility in Charles City, Iowa (CCMF) classified as held for sale, was sold to CGS TIRES US,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(CGS). The sale was finalized on November 1, 2010 and generated $4.0 million in gross proceeds, selling costs of $256,000 and a gain of $644,000.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Assets held for sale as of November 27, 2010 of $1.2 million consisted of an idled fiberglass manufacturing facility in Hampton, Iowa.</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Facility</w:t>
      </w:r>
    </w:p>
    <w:p>
      <w:pPr>
        <w:spacing w:after="0" w:line="2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October 13, 2009, we entered into a Loan and Security Agreement (the "Loan Agreement") with Burdale Capital Finance, Inc., as Agent. 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&amp; nbsp;</w:t>
      </w:r>
    </w:p>
    <w:p>
      <w:pPr>
        <w:spacing w:after="0" w:line="4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Interest on loans made under the Loan Agreement will be based on the greater of LIBOR or a base rate of 2.0 percent plus a margin of 4.0 percent or the greater of prime rate or 4.25 percent plus a margin of 3.0 percent. The unused line fee associated with this Loan Agreement is 1.25 percent per annum. Additionally, under certain circumstances, we will be required to pay an early termination fee ranging from 1 - 3 percent of the maximum credit available under the Loan Agreement if we terminate the Loan Agreement prior to October 13, 2012.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68"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&lt; div style="vertical-align:inherit;"&gt;</w:t>
      </w:r>
    </w:p>
    <w:p>
      <w:pPr>
        <w:sectPr>
          <w:pgSz w:w="11900" w:h="16838" w:orient="portrait"/>
          <w:cols w:equalWidth="0" w:num="1">
            <w:col w:w="11420"/>
          </w:cols>
          <w:pgMar w:left="240" w:top="168"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8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 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98"/>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27,</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28,</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7,634</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60"/>
        </w:trPr>
        <w:tc>
          <w:tcPr>
            <w:tcW w:w="8040" w:type="dxa"/>
            <w:vAlign w:val="bottom"/>
          </w:tcPr>
          <w:p>
            <w:pPr>
              <w:ind w:left="40"/>
              <w:spacing w:after="0"/>
              <w:rPr>
                <w:sz w:val="20"/>
                <w:szCs w:val="20"/>
                <w:color w:val="auto"/>
              </w:rPr>
            </w:pPr>
            <w:r>
              <w:rPr>
                <w:rFonts w:ascii="Arial" w:cs="Arial" w:eastAsia="Arial" w:hAnsi="Arial"/>
                <w:sz w:val="16"/>
                <w:szCs w:val="16"/>
                <w:color w:val="auto"/>
              </w:rPr>
              <w:t>Provision</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1,470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73"/>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7,607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40" w:type="dxa"/>
            <w:vAlign w:val="bottom"/>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November 27,</w:t>
            </w:r>
          </w:p>
        </w:tc>
        <w:tc>
          <w:tcPr>
            <w:tcW w:w="160" w:type="dxa"/>
            <w:vAlign w:val="bottom"/>
          </w:tcPr>
          <w:p>
            <w:pPr>
              <w:spacing w:after="0"/>
              <w:rPr>
                <w:sz w:val="24"/>
                <w:szCs w:val="24"/>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40,649</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40,327</w:t>
            </w:r>
          </w:p>
        </w:tc>
        <w:tc>
          <w:tcPr>
            <w:tcW w:w="0" w:type="dxa"/>
            <w:vAlign w:val="bottom"/>
          </w:tcPr>
          <w:p>
            <w:pPr>
              <w:spacing w:after="0"/>
              <w:rPr>
                <w:sz w:val="1"/>
                <w:szCs w:val="1"/>
                <w:color w:val="auto"/>
              </w:rPr>
            </w:pPr>
          </w:p>
        </w:tc>
      </w:tr>
      <w:tr>
        <w:trPr>
          <w:trHeight w:val="260"/>
        </w:trPr>
        <w:tc>
          <w:tcPr>
            <w:tcW w:w="804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25,193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25,372</w:t>
            </w:r>
          </w:p>
        </w:tc>
        <w:tc>
          <w:tcPr>
            <w:tcW w:w="0" w:type="dxa"/>
            <w:vAlign w:val="bottom"/>
          </w:tcPr>
          <w:p>
            <w:pPr>
              <w:spacing w:after="0"/>
              <w:rPr>
                <w:sz w:val="1"/>
                <w:szCs w:val="1"/>
                <w:color w:val="auto"/>
              </w:rPr>
            </w:pPr>
          </w:p>
        </w:tc>
      </w:tr>
      <w:tr>
        <w:trPr>
          <w:trHeight w:val="280"/>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9,909</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8,698</w:t>
            </w:r>
          </w:p>
        </w:tc>
        <w:tc>
          <w:tcPr>
            <w:tcW w:w="0" w:type="dxa"/>
            <w:vAlign w:val="bottom"/>
          </w:tcPr>
          <w:p>
            <w:pPr>
              <w:spacing w:after="0"/>
              <w:rPr>
                <w:sz w:val="1"/>
                <w:szCs w:val="1"/>
                <w:color w:val="auto"/>
              </w:rPr>
            </w:pPr>
          </w:p>
        </w:tc>
      </w:tr>
      <w:tr>
        <w:trPr>
          <w:trHeight w:val="202"/>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1020"/>
              <w:spacing w:after="0" w:line="201" w:lineRule="exact"/>
              <w:rPr>
                <w:sz w:val="20"/>
                <w:szCs w:val="20"/>
                <w:color w:val="auto"/>
              </w:rPr>
            </w:pPr>
            <w:r>
              <w:rPr>
                <w:rFonts w:ascii="Arial" w:cs="Arial" w:eastAsia="Arial" w:hAnsi="Arial"/>
                <w:sz w:val="18"/>
                <w:szCs w:val="18"/>
                <w:color w:val="auto"/>
              </w:rPr>
              <w:t>&amp;nb</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620"/>
              <w:spacing w:after="0"/>
              <w:rPr>
                <w:sz w:val="20"/>
                <w:szCs w:val="20"/>
                <w:color w:val="auto"/>
              </w:rPr>
            </w:pPr>
            <w:r>
              <w:rPr>
                <w:rFonts w:ascii="Arial" w:cs="Arial" w:eastAsia="Arial" w:hAnsi="Arial"/>
                <w:sz w:val="16"/>
                <w:szCs w:val="16"/>
                <w:color w:val="auto"/>
              </w:rPr>
              <w:t>3,157</w:t>
            </w:r>
            <w:r>
              <w:rPr>
                <w:rFonts w:ascii="Arial" w:cs="Arial" w:eastAsia="Arial" w:hAnsi="Arial"/>
                <w:sz w:val="18"/>
                <w:szCs w:val="18"/>
                <w:color w:val="auto"/>
              </w:rPr>
              <w:t>sp;</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81</w:t>
            </w:r>
          </w:p>
        </w:tc>
        <w:tc>
          <w:tcPr>
            <w:tcW w:w="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0"/>
        </w:trPr>
        <w:tc>
          <w:tcPr>
            <w:tcW w:w="8040" w:type="dxa"/>
            <w:vAlign w:val="bottom"/>
          </w:tcPr>
          <w:p>
            <w:pPr>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58"/>
              <w:spacing w:after="0"/>
              <w:rPr>
                <w:sz w:val="20"/>
                <w:szCs w:val="20"/>
                <w:color w:val="auto"/>
              </w:rPr>
            </w:pPr>
            <w:r>
              <w:rPr>
                <w:rFonts w:ascii="Arial" w:cs="Arial" w:eastAsia="Arial" w:hAnsi="Arial"/>
                <w:sz w:val="16"/>
                <w:szCs w:val="16"/>
                <w:color w:val="auto"/>
              </w:rPr>
              <w:t>78,989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73"/>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(4,084)</w:t>
            </w:r>
          </w:p>
        </w:tc>
        <w:tc>
          <w:tcPr>
            <w:tcW w:w="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40"/>
        </w:trPr>
        <w:tc>
          <w:tcPr>
            <w:tcW w:w="8040" w:type="dxa"/>
            <w:vAlign w:val="bottom"/>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74,905</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73,581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Health Care Benefits</w:t>
      </w:r>
    </w:p>
    <w:p>
      <w:pPr>
        <w:spacing w:after="0" w:line="2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 Net periodic postretirement benefit income consisted of the following components: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&lt; td style="vertical-align:bottom;padding-top:2px;padding-bottom:2px;border-bottom:3px double #000000;"&gt;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(148</w:t>
      </w:r>
    </w:p>
    <w:p>
      <w:pPr>
        <w:spacing w:after="0" w:line="53"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1420"/>
          </w:cols>
          <w:pgMar w:left="240" w:top="168" w:right="239" w:bottom="890" w:gutter="0" w:footer="0" w:header="0"/>
        </w:sect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thousands)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amortization and deferral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periodic postretirement benefit income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120" w:type="dxa"/>
            <w:vAlign w:val="bottom"/>
          </w:tcPr>
          <w:p>
            <w:pPr>
              <w:spacing w:after="0"/>
              <w:rPr>
                <w:sz w:val="19"/>
                <w:szCs w:val="19"/>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2009</w:t>
            </w:r>
          </w:p>
        </w:tc>
      </w:tr>
      <w:tr>
        <w:trPr>
          <w:trHeight w:val="237"/>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270"/>
        </w:trPr>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90"/>
        </w:trPr>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r>
      <w:tr>
        <w:trPr>
          <w:trHeight w:val="24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74"/>
              </w:rPr>
              <w:t>)</w:t>
            </w:r>
          </w:p>
        </w:tc>
        <w:tc>
          <w:tcPr>
            <w:tcW w:w="192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6"/>
                <w:szCs w:val="16"/>
                <w:color w:val="auto"/>
              </w:rPr>
              <w:t>$  (198)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-368300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171450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-711200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380"/>
          </w:cols>
          <w:pgMar w:left="240" w:top="168" w:right="239" w:bottom="890" w:gutter="0" w:footer="0" w:header="0"/>
          <w:type w:val="continuous"/>
        </w:sectPr>
      </w:pPr>
    </w:p>
    <w:p>
      <w:pPr>
        <w:spacing w:after="0" w:line="113" w:lineRule="exact"/>
        <w:rPr>
          <w:sz w:val="20"/>
          <w:szCs w:val="20"/>
          <w:color w:val="auto"/>
        </w:rPr>
      </w:pPr>
    </w:p>
    <w:p>
      <w:pPr>
        <w:ind w:left="40"/>
        <w:spacing w:after="0"/>
        <w:tabs>
          <w:tab w:leader="none" w:pos="8060" w:val="left"/>
          <w:tab w:leader="none" w:pos="9120" w:val="left"/>
          <w:tab w:leader="none" w:pos="9740" w:val="left"/>
          <w:tab w:leader="none" w:pos="11020" w:val="left"/>
        </w:tabs>
        <w:rPr>
          <w:sz w:val="20"/>
          <w:szCs w:val="20"/>
          <w:color w:val="auto"/>
        </w:rPr>
      </w:pPr>
      <w:r>
        <w:rPr>
          <w:rFonts w:ascii="Arial" w:cs="Arial" w:eastAsia="Arial" w:hAnsi="Arial"/>
          <w:sz w:val="16"/>
          <w:szCs w:val="16"/>
          <w:color w:val="auto"/>
        </w:rPr>
        <w:t>Payments for postretirement health care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36195</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09"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For accounting purposes, we recognized income from the plan for the first quarters of both Fiscal 2011 and Fiscal 2010 due to the amortization of the cost savings from an amendment effective September 2004, which amended our postretirement health care benefit by establishing a maximum employer contribution amount.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w:t>
      </w:r>
    </w:p>
    <w:p>
      <w:pPr>
        <w:sectPr>
          <w:pgSz w:w="11900" w:h="16838" w:orient="portrait"/>
          <w:cols w:equalWidth="0" w:num="1">
            <w:col w:w="11420"/>
          </w:cols>
          <w:pgMar w:left="240" w:top="168" w:right="239" w:bottom="890" w:gutter="0" w:footer="0" w:header="0"/>
          <w:type w:val="continuous"/>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68" w:right="239" w:bottom="89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$170.3 million and $155.5 million at November 27, 2010 and August 28, 2010, respectively.</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 t inventory if a dealership exits the business. Incremental repurchase exposure beyond existing repurchase agreements, related to dealer inventory in states that we have had historical experience of repurchasing inventory, totaled $6.8 million and $4.5 million at November 27, 2010 and August 28, 2010, respectively.</w:t>
      </w:r>
    </w:p>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risk of loss related to these repurchase commitments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Accrued loss on repurchases were $964,000 as of November 27, 2010 and $1.4 million as of August 28, 2010. A summary of the activity for the fiscal years stated for repurchased units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20"/>
                <w:szCs w:val="20"/>
                <w:color w:val="auto"/>
              </w:rPr>
            </w:pPr>
            <w:r>
              <w:rPr>
                <w:rFonts w:ascii="Arial" w:cs="Arial" w:eastAsia="Arial" w:hAnsi="Arial"/>
                <w:sz w:val="16"/>
                <w:szCs w:val="16"/>
                <w:color w:val="auto"/>
              </w:rPr>
              <w:t>A summary of repurchase activity is as follows: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27,</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2009</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240" w:type="dxa"/>
            <w:vAlign w:val="bottom"/>
          </w:tcPr>
          <w:p>
            <w:pPr>
              <w:ind w:left="2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80"/>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0"/>
        </w:trPr>
        <w:tc>
          <w:tcPr>
            <w:tcW w:w="8240" w:type="dxa"/>
            <w:vAlign w:val="bottom"/>
          </w:tcPr>
          <w:p>
            <w:pPr>
              <w:ind w:left="240"/>
              <w:spacing w:after="0"/>
              <w:rPr>
                <w:sz w:val="20"/>
                <w:szCs w:val="20"/>
                <w:color w:val="auto"/>
              </w:rPr>
            </w:pPr>
            <w:r>
              <w:rPr>
                <w:rFonts w:ascii="Arial" w:cs="Arial" w:eastAsia="Arial" w:hAnsi="Arial"/>
                <w:sz w:val="16"/>
                <w:szCs w:val="16"/>
                <w:color w:val="auto"/>
              </w:rPr>
              <w:t>Cash collected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280"/>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recognized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6</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6"/>
          <w:szCs w:val="16"/>
          <w:color w:val="auto"/>
        </w:rPr>
        <w:t xml:space="preserve">We account for income taxes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 of November 27, 2010 and August 28, 2010, we have applied a full valuation allowance of $40.5 million and $41.8 million, respectively, again st our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was appropriate as of November 27, 2010.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7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tax returns have been audited by the Internal Revenue Service (IRS) through Fiscal 2008. Our Fiscal 2009 federal income tax return is currently under examination by the IRS.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 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As of November 27, 2010, our unrecognized tax benefits were $5.8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November 27, 2010, we had accrued $2.5 million in interest and penalties. We do not anticipate any significant changes in unrecognized tax benefits within the next twelve months. Actual results may differ materially from this estimate.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20"/>
                <w:szCs w:val="20"/>
                <w:color w:val="auto"/>
              </w:rPr>
            </w:pPr>
            <w:r>
              <w:rPr>
                <w:rFonts w:ascii="Arial" w:cs="Arial" w:eastAsia="Arial" w:hAnsi="Arial"/>
                <w:sz w:val="16"/>
                <w:szCs w:val="16"/>
                <w:b w:val="1"/>
                <w:bCs w:val="1"/>
                <w:color w:val="auto"/>
              </w:rPr>
              <w:t>Note 12: Income Per Share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78"/>
        </w:trPr>
        <w:tc>
          <w:tcPr>
            <w:tcW w:w="8080" w:type="dxa"/>
            <w:vAlign w:val="bottom"/>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1"/>
        </w:trPr>
        <w:tc>
          <w:tcPr>
            <w:tcW w:w="8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8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27,</w:t>
            </w:r>
          </w:p>
        </w:tc>
        <w:tc>
          <w:tcPr>
            <w:tcW w:w="1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November 28,</w:t>
            </w:r>
          </w:p>
        </w:tc>
      </w:tr>
      <w:tr>
        <w:trPr>
          <w:trHeight w:val="228"/>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2009</w:t>
            </w:r>
          </w:p>
        </w:tc>
      </w:tr>
      <w:tr>
        <w:trPr>
          <w:trHeight w:val="270"/>
        </w:trPr>
        <w:tc>
          <w:tcPr>
            <w:tcW w:w="8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per share - basic:</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08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8"/>
              <w:spacing w:after="0"/>
              <w:rPr>
                <w:sz w:val="20"/>
                <w:szCs w:val="20"/>
                <w:color w:val="auto"/>
              </w:rPr>
            </w:pPr>
            <w:r>
              <w:rPr>
                <w:rFonts w:ascii="Arial" w:cs="Arial" w:eastAsia="Arial" w:hAnsi="Arial"/>
                <w:sz w:val="16"/>
                <w:szCs w:val="16"/>
                <w:color w:val="auto"/>
              </w:rPr>
              <w:t>3,786</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(1,344)</w:t>
            </w:r>
          </w:p>
        </w:tc>
      </w:tr>
      <w:tr>
        <w:trPr>
          <w:trHeight w:val="280"/>
        </w:trPr>
        <w:tc>
          <w:tcPr>
            <w:tcW w:w="8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29,112</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29,073</w:t>
            </w:r>
          </w:p>
        </w:tc>
      </w:tr>
      <w:tr>
        <w:trPr>
          <w:trHeight w:val="260"/>
        </w:trPr>
        <w:tc>
          <w:tcPr>
            <w:tcW w:w="8080" w:type="dxa"/>
            <w:vAlign w:val="bottom"/>
          </w:tcPr>
          <w:p>
            <w:pPr>
              <w:ind w:left="120"/>
              <w:spacing w:after="0"/>
              <w:rPr>
                <w:sz w:val="20"/>
                <w:szCs w:val="20"/>
                <w:color w:val="auto"/>
              </w:rPr>
            </w:pPr>
            <w:r>
              <w:rPr>
                <w:rFonts w:ascii="Arial" w:cs="Arial" w:eastAsia="Arial" w:hAnsi="Arial"/>
                <w:sz w:val="16"/>
                <w:szCs w:val="16"/>
                <w:color w:val="auto"/>
              </w:rPr>
              <w:t>Net income (loss) per share - basic</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8"/>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80"/>
        </w:trPr>
        <w:tc>
          <w:tcPr>
            <w:tcW w:w="8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8080" w:type="dxa"/>
            <w:vAlign w:val="bottom"/>
          </w:tcPr>
          <w:p>
            <w:pPr>
              <w:ind w:left="40"/>
              <w:spacing w:after="0"/>
              <w:rPr>
                <w:sz w:val="20"/>
                <w:szCs w:val="20"/>
                <w:color w:val="auto"/>
              </w:rPr>
            </w:pPr>
            <w:r>
              <w:rPr>
                <w:rFonts w:ascii="Arial" w:cs="Arial" w:eastAsia="Arial" w:hAnsi="Arial"/>
                <w:sz w:val="16"/>
                <w:szCs w:val="16"/>
                <w:color w:val="auto"/>
              </w:rPr>
              <w:t>Income (loss) per share - assuming dilution:</w:t>
            </w: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28"/>
        </w:trPr>
        <w:tc>
          <w:tcPr>
            <w:tcW w:w="8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&lt;</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3,786</w:t>
            </w:r>
            <w:r>
              <w:rPr>
                <w:rFonts w:ascii="Arial" w:cs="Arial" w:eastAsia="Arial" w:hAnsi="Arial"/>
                <w:sz w:val="18"/>
                <w:szCs w:val="18"/>
                <w:color w:val="auto"/>
              </w:rPr>
              <w:t>/td&gt;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r>
      <w:tr>
        <w:trPr>
          <w:trHeight w:val="260"/>
        </w:trPr>
        <w:tc>
          <w:tcPr>
            <w:tcW w:w="8080" w:type="dxa"/>
            <w:vAlign w:val="bottom"/>
          </w:tcPr>
          <w:p>
            <w:pPr>
              <w:ind w:left="1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480" w:type="dxa"/>
            <w:vAlign w:val="bottom"/>
          </w:tcPr>
          <w:p>
            <w:pPr>
              <w:jc w:val="right"/>
              <w:ind w:right="218"/>
              <w:spacing w:after="0"/>
              <w:rPr>
                <w:sz w:val="20"/>
                <w:szCs w:val="20"/>
                <w:color w:val="auto"/>
              </w:rPr>
            </w:pPr>
            <w:r>
              <w:rPr>
                <w:rFonts w:ascii="Arial" w:cs="Arial" w:eastAsia="Arial" w:hAnsi="Arial"/>
                <w:sz w:val="16"/>
                <w:szCs w:val="16"/>
                <w:color w:val="auto"/>
              </w:rPr>
              <w:t>29,112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29 ,073</w:t>
            </w:r>
          </w:p>
        </w:tc>
      </w:tr>
      <w:tr>
        <w:trPr>
          <w:trHeight w:val="253"/>
        </w:trPr>
        <w:tc>
          <w:tcPr>
            <w:tcW w:w="8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Dilutive impact of options and awards outstanding</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60"/>
        </w:trPr>
        <w:tc>
          <w:tcPr>
            <w:tcW w:w="8080" w:type="dxa"/>
            <w:vAlign w:val="bottom"/>
          </w:tcPr>
          <w:p>
            <w:pPr>
              <w:ind w:left="1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660" w:type="dxa"/>
            <w:vAlign w:val="bottom"/>
            <w:gridSpan w:val="2"/>
          </w:tcPr>
          <w:p>
            <w:pPr>
              <w:ind w:left="20"/>
              <w:spacing w:after="0"/>
              <w:rPr>
                <w:sz w:val="20"/>
                <w:szCs w:val="20"/>
                <w:color w:val="auto"/>
              </w:rPr>
            </w:pPr>
            <w:r>
              <w:rPr>
                <w:rFonts w:ascii="Arial" w:cs="Arial" w:eastAsia="Arial" w:hAnsi="Arial"/>
                <w:sz w:val="16"/>
                <w:szCs w:val="16"/>
                <w:color w:val="auto"/>
              </w:rPr>
              <w:t>29,115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29,086</w:t>
            </w:r>
          </w:p>
        </w:tc>
      </w:tr>
      <w:tr>
        <w:trPr>
          <w:trHeight w:val="280"/>
        </w:trPr>
        <w:tc>
          <w:tcPr>
            <w:tcW w:w="8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 per share - assuming dilution</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0.13</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At the end of the first quarters of Fiscal 2011 and Fiscal 2010, there were options outstanding to purchase 924,731 shares and 962,724 shares, respectively, of common stock at an average price of $28.05 and $28.20, respectively, which were not included in the computation of diluted income per share because they are considered anti-dilutive under the treasury stock method per ASC 260.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20"/>
                <w:szCs w:val="20"/>
                <w:color w:val="auto"/>
              </w:rPr>
            </w:pPr>
            <w:r>
              <w:rPr>
                <w:rFonts w:ascii="Arial" w:cs="Arial" w:eastAsia="Arial" w:hAnsi="Arial"/>
                <w:sz w:val="16"/>
                <w:szCs w:val="16"/>
                <w:b w:val="1"/>
                <w:bCs w:val="1"/>
                <w:color w:val="auto"/>
              </w:rPr>
              <w:t>Note 13: Comprehensive Income</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78"/>
        </w:trPr>
        <w:tc>
          <w:tcPr>
            <w:tcW w:w="8240" w:type="dxa"/>
            <w:vAlign w:val="bottom"/>
          </w:tcPr>
          <w:p>
            <w:pPr>
              <w:spacing w:after="0"/>
              <w:rPr>
                <w:sz w:val="20"/>
                <w:szCs w:val="20"/>
                <w:color w:val="auto"/>
              </w:rPr>
            </w:pPr>
            <w:r>
              <w:rPr>
                <w:rFonts w:ascii="Arial" w:cs="Arial" w:eastAsia="Arial" w:hAnsi="Arial"/>
                <w:sz w:val="16"/>
                <w:szCs w:val="16"/>
                <w:color w:val="auto"/>
              </w:rPr>
              <w:t>Comprehensive income, net of tax, consists of:</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8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Quarter Ended</w:t>
            </w:r>
          </w:p>
        </w:tc>
      </w:tr>
      <w:tr>
        <w:trPr>
          <w:trHeight w:val="198"/>
        </w:trPr>
        <w:tc>
          <w:tcPr>
            <w:tcW w:w="8240" w:type="dxa"/>
            <w:vAlign w:val="bottom"/>
          </w:tcPr>
          <w:p>
            <w:pPr>
              <w:spacing w:after="0"/>
              <w:rPr>
                <w:sz w:val="17"/>
                <w:szCs w:val="17"/>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November 27, &lt;</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br&gt;2010</w:t>
            </w:r>
          </w:p>
        </w:tc>
        <w:tc>
          <w:tcPr>
            <w:tcW w:w="160" w:type="dxa"/>
            <w:vAlign w:val="bottom"/>
          </w:tcPr>
          <w:p>
            <w:pPr>
              <w:spacing w:after="0"/>
              <w:rPr>
                <w:sz w:val="19"/>
                <w:szCs w:val="19"/>
                <w:color w:val="auto"/>
              </w:rPr>
            </w:pPr>
          </w:p>
        </w:tc>
        <w:tc>
          <w:tcPr>
            <w:tcW w:w="1320" w:type="dxa"/>
            <w:vAlign w:val="bottom"/>
          </w:tcPr>
          <w:p>
            <w:pPr>
              <w:jc w:val="right"/>
              <w:ind w:right="479"/>
              <w:spacing w:after="0"/>
              <w:rPr>
                <w:sz w:val="20"/>
                <w:szCs w:val="20"/>
                <w:color w:val="auto"/>
              </w:rPr>
            </w:pPr>
            <w:r>
              <w:rPr>
                <w:rFonts w:ascii="Arial" w:cs="Arial" w:eastAsia="Arial" w:hAnsi="Arial"/>
                <w:sz w:val="16"/>
                <w:szCs w:val="16"/>
                <w:b w:val="1"/>
                <w:bCs w:val="1"/>
                <w:color w:val="auto"/>
              </w:rPr>
              <w:t>2009</w:t>
            </w:r>
          </w:p>
        </w:tc>
      </w:tr>
      <w:tr>
        <w:trPr>
          <w:trHeight w:val="257"/>
        </w:trPr>
        <w:tc>
          <w:tcPr>
            <w:tcW w:w="8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3,786</w:t>
            </w:r>
          </w:p>
        </w:tc>
        <w:tc>
          <w:tcPr>
            <w:tcW w:w="2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380" w:type="dxa"/>
            <w:vAlign w:val="bottom"/>
          </w:tcPr>
          <w:p>
            <w:pPr>
              <w:ind w:left="20"/>
              <w:spacing w:after="0"/>
              <w:rPr>
                <w:sz w:val="20"/>
                <w:szCs w:val="20"/>
                <w:color w:val="auto"/>
              </w:rPr>
            </w:pPr>
            <w:r>
              <w:rPr>
                <w:rFonts w:ascii="Arial" w:cs="Arial" w:eastAsia="Arial" w:hAnsi="Arial"/>
                <w:sz w:val="16"/>
                <w:szCs w:val="16"/>
                <w:color w:val="auto"/>
              </w:rPr>
              <w:t>(655</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(depreciation) appreciation of investments</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w:t>
            </w: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w:t>
      </w:r>
    </w:p>
    <w:p>
      <w:pPr>
        <w:spacing w:after="0" w:line="21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and the date of issuance of the financial statements that would require recognition or disclosure in the financial statements. There were no material subsequent events.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It is suggested that this management's discussion be read in conjunction with the Management's Discussion and Analysis included in our Annual Report to Shareholders for the year ended August 28, 2010.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 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report. Although we believe that the expectations reflected in the “forward-looking statements” are reasonable, we</w:t>
      </w:r>
    </w:p>
    <w:p>
      <w:pPr>
        <w:sectPr>
          <w:pgSz w:w="11900" w:h="16838" w:orient="portrait"/>
          <w:cols w:equalWidth="0" w:num="1">
            <w:col w:w="11420"/>
          </w:cols>
          <w:pgMar w:left="240" w:top="141"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Overview</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 Inc. is a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products through independent dealers throughout the United States and Canada, who then retail the products to the end consumer. Our retail unit market share, as reported by Statistical Surveys, Inc. (Statistical Surveys),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19"/>
                <w:szCs w:val="19"/>
                <w:color w:val="auto"/>
              </w:rPr>
            </w:pPr>
          </w:p>
        </w:tc>
        <w:tc>
          <w:tcPr>
            <w:tcW w:w="260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Through October 31,</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jc w:val="right"/>
              <w:ind w:right="143"/>
              <w:spacing w:after="0"/>
              <w:rPr>
                <w:sz w:val="20"/>
                <w:szCs w:val="20"/>
                <w:color w:val="auto"/>
              </w:rPr>
            </w:pPr>
            <w:r>
              <w:rPr>
                <w:rFonts w:ascii="Arial" w:cs="Arial" w:eastAsia="Arial" w:hAnsi="Arial"/>
                <w:sz w:val="16"/>
                <w:szCs w:val="16"/>
                <w:b w:val="1"/>
                <w:bCs w:val="1"/>
                <w:color w:val="auto"/>
              </w:rPr>
              <w:t>Calendar Year</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US Retail:</w:t>
            </w: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2009</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2009</w:t>
            </w:r>
          </w:p>
        </w:tc>
        <w:tc>
          <w:tcPr>
            <w:tcW w:w="14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6"/>
                <w:szCs w:val="16"/>
                <w:b w:val="1"/>
                <w:bCs w:val="1"/>
                <w:color w:val="auto"/>
              </w:rPr>
              <w:t>2008</w:t>
            </w: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142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23.2%</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w:t>
            </w:r>
          </w:p>
        </w:tc>
        <w:tc>
          <w:tcPr>
            <w:tcW w:w="14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8.1%</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w:t>
            </w:r>
          </w:p>
        </w:tc>
        <w:tc>
          <w:tcPr>
            <w:tcW w:w="142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15.3%</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22.7%</w:t>
            </w:r>
          </w:p>
        </w:tc>
        <w:tc>
          <w:tcPr>
            <w:tcW w:w="14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22.8%</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89"/>
        </w:trPr>
        <w:tc>
          <w:tcPr>
            <w:tcW w:w="5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7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81"/>
        </w:trPr>
        <w:tc>
          <w:tcPr>
            <w:tcW w:w="5360" w:type="dxa"/>
            <w:vAlign w:val="bottom"/>
            <w:tcBorders>
              <w:bottom w:val="single" w:sz="8" w:color="CCEEFF"/>
            </w:tcBorders>
            <w:vMerge w:val="continue"/>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720" w:type="dxa"/>
            <w:vAlign w:val="bottom"/>
            <w:tcBorders>
              <w:bottom w:val="single" w:sz="8" w:color="auto"/>
            </w:tcBorders>
            <w:vMerge w:val="continue"/>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jc w:val="right"/>
              <w:ind w:right="543"/>
              <w:spacing w:after="0" w:line="81" w:lineRule="exact"/>
              <w:rPr>
                <w:sz w:val="20"/>
                <w:szCs w:val="20"/>
                <w:color w:val="auto"/>
              </w:rPr>
            </w:pPr>
            <w:r>
              <w:rPr>
                <w:rFonts w:ascii="Arial" w:cs="Arial" w:eastAsia="Arial" w:hAnsi="Arial"/>
                <w:sz w:val="9"/>
                <w:szCs w:val="9"/>
                <w:color w:val="auto"/>
              </w:rPr>
              <w:t>18.3</w:t>
            </w:r>
          </w:p>
        </w:tc>
        <w:tc>
          <w:tcPr>
            <w:tcW w:w="9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18.1%</w:t>
            </w:r>
          </w:p>
        </w:tc>
        <w:tc>
          <w:tcPr>
            <w:tcW w:w="142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6"/>
                <w:szCs w:val="16"/>
                <w:color w:val="auto"/>
              </w:rPr>
              <w:t>3.5%</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gridSpan w:val="3"/>
          </w:tcPr>
          <w:p>
            <w:pPr>
              <w:ind w:left="120"/>
              <w:spacing w:after="0"/>
              <w:rPr>
                <w:sz w:val="20"/>
                <w:szCs w:val="20"/>
                <w:color w:val="auto"/>
              </w:rPr>
            </w:pPr>
            <w:r>
              <w:rPr>
                <w:rFonts w:ascii="Arial" w:cs="Arial" w:eastAsia="Arial" w:hAnsi="Arial"/>
                <w:sz w:val="16"/>
                <w:szCs w:val="16"/>
                <w:b w:val="1"/>
                <w:bCs w:val="1"/>
                <w:color w:val="auto"/>
              </w:rPr>
              <w:t>Through October 31,</w:t>
            </w:r>
          </w:p>
        </w:tc>
        <w:tc>
          <w:tcPr>
            <w:tcW w:w="106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Calendar Year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64"/>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Canadian Retail:</w:t>
            </w: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2010</w:t>
            </w: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2009</w:t>
            </w:r>
          </w:p>
        </w:tc>
        <w:tc>
          <w:tcPr>
            <w:tcW w:w="22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2009</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2008</w:t>
            </w: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220" w:type="dxa"/>
            <w:vAlign w:val="bottom"/>
            <w:shd w:val="clear" w:color="auto" w:fill="CCEEFF"/>
          </w:tcPr>
          <w:p>
            <w:pPr>
              <w:spacing w:after="0"/>
              <w:rPr>
                <w:sz w:val="23"/>
                <w:szCs w:val="23"/>
                <w:color w:val="auto"/>
              </w:rPr>
            </w:pPr>
          </w:p>
        </w:tc>
      </w:tr>
      <w:tr>
        <w:trPr>
          <w:trHeight w:val="220"/>
        </w:trPr>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6"/>
                <w:szCs w:val="16"/>
                <w:color w:val="auto"/>
              </w:rPr>
              <w:t>&lt; font</w:t>
            </w: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3"/>
        </w:trPr>
        <w:tc>
          <w:tcPr>
            <w:tcW w:w="5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6"/>
                <w:szCs w:val="16"/>
                <w:color w:val="auto"/>
              </w:rPr>
              <w:t>style="font-</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6"/>
                <w:szCs w:val="16"/>
                <w:color w:val="auto"/>
              </w:rPr>
              <w:t>family:Arial;font-</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020" w:type="dxa"/>
            <w:vAlign w:val="bottom"/>
          </w:tcPr>
          <w:p>
            <w:pPr>
              <w:ind w:left="40"/>
              <w:spacing w:after="0"/>
              <w:rPr>
                <w:sz w:val="20"/>
                <w:szCs w:val="20"/>
                <w:color w:val="auto"/>
              </w:rPr>
            </w:pPr>
            <w:r>
              <w:rPr>
                <w:rFonts w:ascii="Arial" w:cs="Arial" w:eastAsia="Arial" w:hAnsi="Arial"/>
                <w:sz w:val="16"/>
                <w:szCs w:val="16"/>
                <w:color w:val="auto"/>
              </w:rPr>
              <w:t>Class A diesel</w:t>
            </w:r>
          </w:p>
        </w:tc>
        <w:tc>
          <w:tcPr>
            <w:tcW w:w="46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1460" w:type="dxa"/>
            <w:vAlign w:val="bottom"/>
          </w:tcPr>
          <w:p>
            <w:pPr>
              <w:jc w:val="right"/>
              <w:spacing w:after="0"/>
              <w:rPr>
                <w:sz w:val="20"/>
                <w:szCs w:val="20"/>
                <w:color w:val="auto"/>
              </w:rPr>
            </w:pPr>
            <w:r>
              <w:rPr>
                <w:rFonts w:ascii="Arial" w:cs="Arial" w:eastAsia="Arial" w:hAnsi="Arial"/>
                <w:sz w:val="16"/>
                <w:szCs w:val="16"/>
                <w:color w:val="auto"/>
              </w:rPr>
              <w:t>size:9pt;"&gt;6.7%</w:t>
            </w:r>
          </w:p>
        </w:tc>
        <w:tc>
          <w:tcPr>
            <w:tcW w:w="22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9"/>
                <w:szCs w:val="19"/>
                <w:color w:val="auto"/>
              </w:rPr>
            </w:pPr>
          </w:p>
        </w:tc>
      </w:tr>
      <w:tr>
        <w:trPr>
          <w:trHeight w:val="23"/>
        </w:trPr>
        <w:tc>
          <w:tcPr>
            <w:tcW w:w="50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CEEFF"/>
          </w:tcPr>
          <w:p>
            <w:pPr>
              <w:spacing w:after="0"/>
              <w:rPr>
                <w:sz w:val="23"/>
                <w:szCs w:val="23"/>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18.3%</w:t>
            </w:r>
          </w:p>
        </w:tc>
        <w:tc>
          <w:tcPr>
            <w:tcW w:w="220" w:type="dxa"/>
            <w:vAlign w:val="bottom"/>
            <w:tcBorders>
              <w:bottom w:val="single" w:sz="8" w:color="auto"/>
            </w:tcBorders>
          </w:tcPr>
          <w:p>
            <w:pPr>
              <w:spacing w:after="0"/>
              <w:rPr>
                <w:sz w:val="22"/>
                <w:szCs w:val="22"/>
                <w:color w:val="auto"/>
              </w:rPr>
            </w:pPr>
          </w:p>
        </w:tc>
      </w:tr>
      <w:tr>
        <w:trPr>
          <w:trHeight w:val="267"/>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9.4&lt; /div&gt;%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220" w:type="dxa"/>
            <w:vAlign w:val="bottom"/>
            <w:shd w:val="clear" w:color="auto" w:fill="CCEEFF"/>
          </w:tcPr>
          <w:p>
            <w:pPr>
              <w:spacing w:after="0"/>
              <w:rPr>
                <w:sz w:val="23"/>
                <w:szCs w:val="23"/>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7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led the industry with the highest market share in the U.S. of Class A and Class C motor homes combined for the past nine calendar years ending in 2009 and in Calendar 2010 through October per the most recent Statistical Surveys reporting. We have seen notable improvement in our Class A market share in 2010, primarily due to Class A diesel retail acceptance, and we lead the industry in that sector. However, we have experienced a drop in Class C market share in Calendar 2010. In addition to increased competitive pricing pressures in the Class C product, particularly at the entry level, we believe this d ecline resulted primarily from large volume RV rental operators increasing their fleet purchases in early Calendar 2010. While we participated in some of this volume, we chose not to pursue a large percentage of fleet rental business due to considerably lower margins.</w:t>
      </w:r>
    </w:p>
    <w:p>
      <w:pPr>
        <w:spacing w:after="0" w:line="15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began producing Class B motor homes in February 2008 and we held the number three U.S. position in retail unit market share for Class B motor homes in Calendar 2009 and through October in Calendar 2010.</w:t>
      </w:r>
    </w:p>
    <w:p>
      <w:pPr>
        <w:spacing w:after="0" w:line="142"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We hold the number three retail market share position in Canada of Class A and Class C motor home units combined in 2010 through October, which is approximately 15 percent of the size of the U.S. market. Our market share in Canada was s ignificantly impacted in Calendar 2009 due to distressed merchandise sold into the dealer channel, primarily by competitors going through Chapter 11 bankruptcy. We have seen notable improvement in Calendar 2010 in all categories due to the fact that the majority of that distressed product was retailed in Calendar 2009. Our increased level of Canadian rental orders has also positively impacted our Class C share thus far in Calendar 2010.</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Industry Outlook</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motorized RV market was significantly impacted by highly unstable market conditions in recent years. The tightening of the wholesale and retail credit markets, low consumer confidence, the effect of the global recession and uncertainty related to fuel prices placed en ormous pressure on retail sales and as a result, dealers significantly reduced their inventory levels. Industry motorhome wholesale shipments in the 20 years prior to Calendar 2008 averaged 58,000 units per year, similar to retail demand. In Calendar 2008, shipments dropped 49 percent to 28,300, the lowest deliveries on record since 1971 and then shipments dropped an additional 53 percent in Calendar 2009 to an unprecedented level of 13,200. Retail registrations fell during this same time frame, but not to the same magnitude, resulting in significant dealer inventory liquidation.</w:t>
      </w:r>
    </w:p>
    <w:p>
      <w:pPr>
        <w:spacing w:after="0" w:line="15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Industry shipments have improved dramatically in Calendar 2010 as compared to the prior year and only slightly outpaced retail demand as dealers restocked in the early part of the year. We attribute the recovery to the improvement in wholesale and retail credit availability and a lso a result of dealer inventory levels reaching equilibrium with retail demand. The current industry outlook for Calendar 2010 per RVIA is for wholesale shipments to be higher than retail activity was in Calendar 2009 by 14 percent, as evidenced in the table below. RVIA has also forecasted that shipments in Calendar 2011 will increase by an additional 5 percent to 26,300 units.</w:t>
      </w:r>
    </w:p>
    <w:p>
      <w:pPr>
        <w:sectPr>
          <w:pgSz w:w="11900" w:h="16838" w:orient="portrait"/>
          <w:cols w:equalWidth="0" w:num="1">
            <w:col w:w="11420"/>
          </w:cols>
          <w:pgMar w:left="240" w:top="14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line="6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Key st atistics for the motor home industry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gridSpan w:val="6"/>
          </w:tcPr>
          <w:p>
            <w:pPr>
              <w:jc w:val="right"/>
              <w:ind w:right="301"/>
              <w:spacing w:after="0"/>
              <w:rPr>
                <w:sz w:val="20"/>
                <w:szCs w:val="20"/>
                <w:color w:val="auto"/>
              </w:rPr>
            </w:pPr>
            <w:r>
              <w:rPr>
                <w:rFonts w:ascii="Arial" w:cs="Arial" w:eastAsia="Arial" w:hAnsi="Arial"/>
                <w:sz w:val="14"/>
                <w:szCs w:val="14"/>
                <w:b w:val="1"/>
                <w:bCs w:val="1"/>
                <w:color w:val="auto"/>
              </w:rPr>
              <w:t>US and Canada Industry Class A, B &amp; C Motor Homes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jc w:val="right"/>
              <w:ind w:right="246"/>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4"/>
                <w:szCs w:val="14"/>
                <w:b w:val="1"/>
                <w:bCs w:val="1"/>
                <w:color w:val="auto"/>
              </w:rPr>
              <w:t>Calendar Year</w:t>
            </w:r>
          </w:p>
        </w:tc>
        <w:tc>
          <w:tcPr>
            <w:tcW w:w="10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4"/>
                <w:szCs w:val="14"/>
                <w:b w:val="1"/>
                <w:bCs w:val="1"/>
                <w:color w:val="auto"/>
              </w:rPr>
              <w:t>Calendar Year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Arial" w:cs="Arial" w:eastAsia="Arial" w:hAnsi="Arial"/>
                <w:sz w:val="14"/>
                <w:szCs w:val="14"/>
                <w:b w:val="1"/>
                <w:bCs w:val="1"/>
                <w:color w:val="auto"/>
              </w:rPr>
              <w:t>(Decrease)</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41"/>
              <w:spacing w:after="0"/>
              <w:rPr>
                <w:sz w:val="20"/>
                <w:szCs w:val="20"/>
                <w:color w:val="auto"/>
              </w:rPr>
            </w:pPr>
            <w:r>
              <w:rPr>
                <w:rFonts w:ascii="Arial" w:cs="Arial" w:eastAsia="Arial" w:hAnsi="Arial"/>
                <w:sz w:val="14"/>
                <w:szCs w:val="14"/>
                <w:b w:val="1"/>
                <w:bCs w:val="1"/>
                <w:color w:val="auto"/>
              </w:rPr>
              <w:t>2008</w:t>
            </w:r>
          </w:p>
        </w:tc>
        <w:tc>
          <w:tcPr>
            <w:tcW w:w="1280" w:type="dxa"/>
            <w:vAlign w:val="bottom"/>
          </w:tcPr>
          <w:p>
            <w:pPr>
              <w:jc w:val="right"/>
              <w:ind w:right="321"/>
              <w:spacing w:after="0"/>
              <w:rPr>
                <w:sz w:val="20"/>
                <w:szCs w:val="20"/>
                <w:color w:val="auto"/>
              </w:rPr>
            </w:pPr>
            <w:r>
              <w:rPr>
                <w:rFonts w:ascii="Arial" w:cs="Arial" w:eastAsia="Arial" w:hAnsi="Arial"/>
                <w:sz w:val="14"/>
                <w:szCs w:val="14"/>
                <w:b w:val="1"/>
                <w:bCs w:val="1"/>
                <w:color w:val="auto"/>
              </w:rPr>
              <w:t>Increase</w:t>
            </w: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7"/>
                <w:szCs w:val="17"/>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7"/>
                <w:szCs w:val="17"/>
                <w:color w:val="auto"/>
              </w:rPr>
            </w:pPr>
          </w:p>
        </w:tc>
        <w:tc>
          <w:tcPr>
            <w:tcW w:w="1000" w:type="dxa"/>
            <w:vAlign w:val="bottom"/>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2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2,400</w:t>
            </w: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11,000</w:t>
            </w:r>
          </w:p>
        </w:tc>
        <w:tc>
          <w:tcPr>
            <w:tcW w:w="12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(8,600)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360" w:type="dxa"/>
            <w:vAlign w:val="bottom"/>
          </w:tcPr>
          <w:p>
            <w:pPr>
              <w:spacing w:after="0"/>
              <w:rPr>
                <w:sz w:val="23"/>
                <w:szCs w:val="23"/>
                <w:color w:val="auto"/>
              </w:rPr>
            </w:pP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4,800</w:t>
            </w:r>
          </w:p>
        </w:tc>
        <w:tc>
          <w:tcPr>
            <w:tcW w:w="3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9,700</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70"/>
        </w:trPr>
        <w:tc>
          <w:tcPr>
            <w:tcW w:w="210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3,200</w:t>
            </w:r>
          </w:p>
        </w:tc>
        <w:tc>
          <w:tcPr>
            <w:tcW w:w="400" w:type="dxa"/>
            <w:vAlign w:val="bottom"/>
          </w:tcPr>
          <w:p>
            <w:pPr>
              <w:spacing w:after="0"/>
              <w:rPr>
                <w:sz w:val="23"/>
                <w:szCs w:val="23"/>
                <w:color w:val="auto"/>
              </w:rPr>
            </w:pP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9,300</w:t>
            </w:r>
          </w:p>
        </w:tc>
        <w:tc>
          <w:tcPr>
            <w:tcW w:w="1280" w:type="dxa"/>
            <w:vAlign w:val="bottom"/>
          </w:tcPr>
          <w:p>
            <w:pPr>
              <w:jc w:val="right"/>
              <w:ind w:right="161"/>
              <w:spacing w:after="0"/>
              <w:rPr>
                <w:sz w:val="20"/>
                <w:szCs w:val="20"/>
                <w:color w:val="auto"/>
              </w:rPr>
            </w:pPr>
            <w:r>
              <w:rPr>
                <w:rFonts w:ascii="Arial" w:cs="Arial" w:eastAsia="Arial" w:hAnsi="Arial"/>
                <w:sz w:val="16"/>
                <w:szCs w:val="16"/>
                <w:color w:val="auto"/>
              </w:rPr>
              <w:t>(6,100)</w:t>
            </w:r>
          </w:p>
        </w:tc>
        <w:tc>
          <w:tcPr>
            <w:tcW w:w="1020" w:type="dxa"/>
            <w:vAlign w:val="bottom"/>
          </w:tcPr>
          <w:p>
            <w:pPr>
              <w:jc w:val="right"/>
              <w:spacing w:after="0"/>
              <w:rPr>
                <w:sz w:val="20"/>
                <w:szCs w:val="20"/>
                <w:color w:val="auto"/>
              </w:rPr>
            </w:pPr>
            <w:r>
              <w:rPr>
                <w:rFonts w:ascii="Arial" w:cs="Arial" w:eastAsia="Arial" w:hAnsi="Arial"/>
                <w:sz w:val="16"/>
                <w:szCs w:val="16"/>
                <w:color w:val="auto"/>
              </w:rPr>
              <w:t>(65.6)%</w:t>
            </w:r>
          </w:p>
        </w:tc>
        <w:tc>
          <w:tcPr>
            <w:tcW w:w="3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7,100</w:t>
            </w:r>
          </w:p>
        </w:tc>
        <w:tc>
          <w:tcPr>
            <w:tcW w:w="3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11,900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(4,800)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&amp;n</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3,300</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(1,700)</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9"/>
              </w:rPr>
              <w:t xml:space="preserve">(34.0)% </w:t>
            </w:r>
            <w:r>
              <w:rPr>
                <w:rFonts w:ascii="Arial" w:cs="Arial" w:eastAsia="Arial" w:hAnsi="Arial"/>
                <w:sz w:val="18"/>
                <w:szCs w:val="18"/>
                <w:color w:val="auto"/>
                <w:w w:val="99"/>
              </w:rPr>
              <w:t>bsp;</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5,800</w:t>
            </w: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64"/>
        </w:trPr>
        <w:tc>
          <w:tcPr>
            <w:tcW w:w="210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4,300</w:t>
            </w:r>
          </w:p>
        </w:tc>
        <w:tc>
          <w:tcPr>
            <w:tcW w:w="400" w:type="dxa"/>
            <w:vAlign w:val="bottom"/>
          </w:tcPr>
          <w:p>
            <w:pPr>
              <w:spacing w:after="0"/>
              <w:rPr>
                <w:sz w:val="22"/>
                <w:szCs w:val="22"/>
                <w:color w:val="auto"/>
              </w:rPr>
            </w:pP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3,000</w:t>
            </w:r>
          </w:p>
        </w:tc>
        <w:tc>
          <w:tcPr>
            <w:tcW w:w="1280" w:type="dxa"/>
            <w:vAlign w:val="bottom"/>
          </w:tcPr>
          <w:p>
            <w:pPr>
              <w:jc w:val="right"/>
              <w:ind w:right="221"/>
              <w:spacing w:after="0"/>
              <w:rPr>
                <w:sz w:val="20"/>
                <w:szCs w:val="20"/>
                <w:color w:val="auto"/>
              </w:rPr>
            </w:pPr>
            <w:r>
              <w:rPr>
                <w:rFonts w:ascii="Arial" w:cs="Arial" w:eastAsia="Arial" w:hAnsi="Arial"/>
                <w:sz w:val="16"/>
                <w:szCs w:val="16"/>
                <w:color w:val="auto"/>
              </w:rPr>
              <w:t>1,300</w:t>
            </w:r>
          </w:p>
        </w:tc>
        <w:tc>
          <w:tcPr>
            <w:tcW w:w="1020" w:type="dxa"/>
            <w:vAlign w:val="bottom"/>
          </w:tcPr>
          <w:p>
            <w:pPr>
              <w:jc w:val="right"/>
              <w:spacing w:after="0"/>
              <w:rPr>
                <w:sz w:val="20"/>
                <w:szCs w:val="20"/>
                <w:color w:val="auto"/>
              </w:rPr>
            </w:pPr>
            <w:r>
              <w:rPr>
                <w:rFonts w:ascii="Arial" w:cs="Arial" w:eastAsia="Arial" w:hAnsi="Arial"/>
                <w:sz w:val="16"/>
                <w:szCs w:val="16"/>
                <w:color w:val="auto"/>
              </w:rPr>
              <w:t>43.3 %</w:t>
            </w:r>
          </w:p>
        </w:tc>
        <w:tc>
          <w:tcPr>
            <w:tcW w:w="3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4,200</w:t>
            </w:r>
          </w:p>
        </w:tc>
        <w:tc>
          <w:tcPr>
            <w:tcW w:w="3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4,600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7"/>
        </w:trPr>
        <w:tc>
          <w:tcPr>
            <w:tcW w:w="2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28,300</w:t>
            </w:r>
          </w:p>
        </w:tc>
        <w:tc>
          <w:tcPr>
            <w:tcW w:w="12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(15,100)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36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21,900</w:t>
            </w:r>
          </w:p>
        </w:tc>
        <w:tc>
          <w:tcPr>
            <w:tcW w:w="3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33,800</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(11,900)</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1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Increase</w:t>
            </w: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units)</w:t>
            </w:r>
          </w:p>
        </w:tc>
        <w:tc>
          <w:tcPr>
            <w:tcW w:w="6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2009</w:t>
            </w:r>
          </w:p>
        </w:tc>
        <w:tc>
          <w:tcPr>
            <w:tcW w:w="1280" w:type="dxa"/>
            <w:vAlign w:val="bottom"/>
            <w:vMerge w:val="continue"/>
          </w:tcPr>
          <w:p>
            <w:pPr>
              <w:spacing w:after="0"/>
              <w:rPr>
                <w:sz w:val="9"/>
                <w:szCs w:val="9"/>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9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9"/>
                <w:szCs w:val="9"/>
                <w:color w:val="auto"/>
              </w:rPr>
            </w:pPr>
          </w:p>
        </w:tc>
        <w:tc>
          <w:tcPr>
            <w:tcW w:w="8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9"/>
                <w:szCs w:val="9"/>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21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5,700</w:t>
            </w: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2,400</w:t>
            </w:r>
          </w:p>
        </w:tc>
        <w:tc>
          <w:tcPr>
            <w:tcW w:w="12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3,300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137.5 %</w:t>
            </w:r>
          </w:p>
        </w:tc>
        <w:tc>
          <w:tcPr>
            <w:tcW w:w="36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4,900</w:t>
            </w:r>
          </w:p>
        </w:tc>
        <w:tc>
          <w:tcPr>
            <w:tcW w:w="3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4,800</w:t>
            </w:r>
          </w:p>
        </w:tc>
        <w:tc>
          <w:tcPr>
            <w:tcW w:w="1220" w:type="dxa"/>
            <w:vAlign w:val="bottom"/>
            <w:tcBorders>
              <w:top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100</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7,800</w:t>
            </w:r>
          </w:p>
        </w:tc>
        <w:tc>
          <w:tcPr>
            <w:tcW w:w="400" w:type="dxa"/>
            <w:vAlign w:val="bottom"/>
          </w:tcPr>
          <w:p>
            <w:pPr>
              <w:spacing w:after="0"/>
              <w:rPr>
                <w:sz w:val="22"/>
                <w:szCs w:val="22"/>
                <w:color w:val="auto"/>
              </w:rPr>
            </w:pP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3,200</w:t>
            </w:r>
          </w:p>
        </w:tc>
        <w:tc>
          <w:tcPr>
            <w:tcW w:w="1280" w:type="dxa"/>
            <w:vAlign w:val="bottom"/>
          </w:tcPr>
          <w:p>
            <w:pPr>
              <w:jc w:val="right"/>
              <w:ind w:right="221"/>
              <w:spacing w:after="0"/>
              <w:rPr>
                <w:sz w:val="20"/>
                <w:szCs w:val="20"/>
                <w:color w:val="auto"/>
              </w:rPr>
            </w:pPr>
            <w:r>
              <w:rPr>
                <w:rFonts w:ascii="Arial" w:cs="Arial" w:eastAsia="Arial" w:hAnsi="Arial"/>
                <w:sz w:val="16"/>
                <w:szCs w:val="16"/>
                <w:color w:val="auto"/>
              </w:rPr>
              <w:t>4,600</w:t>
            </w:r>
          </w:p>
        </w:tc>
        <w:tc>
          <w:tcPr>
            <w:tcW w:w="1020" w:type="dxa"/>
            <w:vAlign w:val="bottom"/>
          </w:tcPr>
          <w:p>
            <w:pPr>
              <w:jc w:val="right"/>
              <w:spacing w:after="0"/>
              <w:rPr>
                <w:sz w:val="20"/>
                <w:szCs w:val="20"/>
                <w:color w:val="auto"/>
              </w:rPr>
            </w:pPr>
            <w:r>
              <w:rPr>
                <w:rFonts w:ascii="Arial" w:cs="Arial" w:eastAsia="Arial" w:hAnsi="Arial"/>
                <w:sz w:val="16"/>
                <w:szCs w:val="16"/>
                <w:color w:val="auto"/>
              </w:rPr>
              <w:t>143.8 %</w:t>
            </w:r>
          </w:p>
        </w:tc>
        <w:tc>
          <w:tcPr>
            <w:tcW w:w="3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7,800</w:t>
            </w:r>
          </w:p>
        </w:tc>
        <w:tc>
          <w:tcPr>
            <w:tcW w:w="3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7,100</w:t>
            </w:r>
          </w:p>
        </w:tc>
        <w:tc>
          <w:tcPr>
            <w:tcW w:w="1220" w:type="dxa"/>
            <w:vAlign w:val="bottom"/>
            <w:gridSpan w:val="2"/>
          </w:tcPr>
          <w:p>
            <w:pPr>
              <w:jc w:val="right"/>
              <w:ind w:right="26"/>
              <w:spacing w:after="0"/>
              <w:rPr>
                <w:sz w:val="20"/>
                <w:szCs w:val="20"/>
                <w:color w:val="auto"/>
              </w:rPr>
            </w:pPr>
            <w:r>
              <w:rPr>
                <w:rFonts w:ascii="Arial" w:cs="Arial" w:eastAsia="Arial" w:hAnsi="Arial"/>
                <w:sz w:val="16"/>
                <w:szCs w:val="16"/>
                <w:color w:val="auto"/>
              </w:rPr>
              <w:t>700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80"/>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6,200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3,300</w:t>
            </w:r>
          </w:p>
        </w:tc>
        <w:tc>
          <w:tcPr>
            <w:tcW w:w="12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2,900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5,700</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Arial" w:cs="Arial" w:eastAsia="Arial" w:hAnsi="Arial"/>
                <w:sz w:val="16"/>
                <w:szCs w:val="16"/>
                <w:color w:val="auto"/>
              </w:rPr>
              <w:t>October</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2,000</w:t>
            </w:r>
          </w:p>
        </w:tc>
        <w:tc>
          <w:tcPr>
            <w:tcW w:w="400" w:type="dxa"/>
            <w:vAlign w:val="bottom"/>
          </w:tcPr>
          <w:p>
            <w:pPr>
              <w:spacing w:after="0"/>
              <w:rPr>
                <w:sz w:val="22"/>
                <w:szCs w:val="22"/>
                <w:color w:val="auto"/>
              </w:rPr>
            </w:pP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1,500</w:t>
            </w:r>
          </w:p>
        </w:tc>
        <w:tc>
          <w:tcPr>
            <w:tcW w:w="1280" w:type="dxa"/>
            <w:vAlign w:val="bottom"/>
          </w:tcPr>
          <w:p>
            <w:pPr>
              <w:jc w:val="right"/>
              <w:ind w:right="221"/>
              <w:spacing w:after="0"/>
              <w:rPr>
                <w:sz w:val="20"/>
                <w:szCs w:val="20"/>
                <w:color w:val="auto"/>
              </w:rPr>
            </w:pPr>
            <w:r>
              <w:rPr>
                <w:rFonts w:ascii="Arial" w:cs="Arial" w:eastAsia="Arial" w:hAnsi="Arial"/>
                <w:sz w:val="16"/>
                <w:szCs w:val="16"/>
                <w:color w:val="auto"/>
              </w:rPr>
              <w:t>500</w:t>
            </w:r>
          </w:p>
        </w:tc>
        <w:tc>
          <w:tcPr>
            <w:tcW w:w="1020" w:type="dxa"/>
            <w:vAlign w:val="bottom"/>
          </w:tcPr>
          <w:p>
            <w:pPr>
              <w:jc w:val="right"/>
              <w:spacing w:after="0"/>
              <w:rPr>
                <w:sz w:val="20"/>
                <w:szCs w:val="20"/>
                <w:color w:val="auto"/>
              </w:rPr>
            </w:pPr>
            <w:r>
              <w:rPr>
                <w:rFonts w:ascii="Arial" w:cs="Arial" w:eastAsia="Arial" w:hAnsi="Arial"/>
                <w:sz w:val="16"/>
                <w:szCs w:val="16"/>
                <w:color w:val="auto"/>
              </w:rPr>
              <w:t>33.3 %</w:t>
            </w:r>
          </w:p>
        </w:tc>
        <w:tc>
          <w:tcPr>
            <w:tcW w:w="3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1,800</w:t>
            </w:r>
          </w:p>
        </w:tc>
        <w:tc>
          <w:tcPr>
            <w:tcW w:w="3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2"/>
                <w:szCs w:val="22"/>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3"/>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November - December</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3,300</w:t>
            </w:r>
          </w:p>
        </w:tc>
        <w:tc>
          <w:tcPr>
            <w:tcW w:w="4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(3)</w:t>
            </w:r>
          </w:p>
        </w:tc>
        <w:tc>
          <w:tcPr>
            <w:tcW w:w="9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2,800</w:t>
            </w:r>
          </w:p>
        </w:tc>
        <w:tc>
          <w:tcPr>
            <w:tcW w:w="12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500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36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2,400</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100" w:type="dxa"/>
            <w:vAlign w:val="bottom"/>
          </w:tcPr>
          <w:p>
            <w:pPr>
              <w:ind w:left="4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(3)</w:t>
            </w: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13,200</w:t>
            </w: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11,800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89.4 %</w:t>
            </w:r>
          </w:p>
        </w:tc>
        <w:tc>
          <w:tcPr>
            <w:tcW w:w="360" w:type="dxa"/>
            <w:vAlign w:val="bottom"/>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20,200</w:t>
            </w:r>
          </w:p>
        </w:tc>
        <w:tc>
          <w:tcPr>
            <w:tcW w:w="3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(4)</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21,900</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wholesale shipments as reported by RVIA, rounded to the nearest hundred.</w:t>
      </w:r>
    </w:p>
    <w:p>
      <w:pPr>
        <w:ind w:left="120" w:hanging="112"/>
        <w:spacing w:after="0"/>
        <w:tabs>
          <w:tab w:leader="none" w:pos="1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font style="font-family:Arial;font-size:7pt;"&gt;(2)  Class A, B and C U.S. retail registrations as reported by Statistical Surveys for the US and Canada combined, rounded to the nearest hundred.</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upon forecasted 2010 Class A, B and C wholesale shipments as reported by RVIA in the Roadsigns Winter 2010 issue.</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Statistical Surveys has not issued a projection for fourth quarter 2010 retail demand.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Outlook</w:t>
      </w:r>
    </w:p>
    <w:p>
      <w:pPr>
        <w:spacing w:after="0" w:line="10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have seen significant improvement in our business in F iscal 2010 and thus far in Fiscal 2011, both in net revenues and in our operating performance. Our increased volume has allowed for greater absorption of our fixed costs and improved labor efficiencies, which favorably impacted our profit margins. Our dealer's inventory levels have remained at approximately the same levels since the end of our second quarter of Fiscal 2010. With dealer inventories at reasonable levels for the past few quarters, we were able to reduce the level of discounting and retail programs offered, which also positively impacted our margins. We believe retail sales will be the key driver to sustain our recovery and for continued growth going forward.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Certain key metrics for our Class A, B and C motor homes are provided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Quarter End</w:t>
      </w:r>
    </w:p>
    <w:p>
      <w:pPr>
        <w:jc w:val="center"/>
        <w:spacing w:after="0" w:line="211" w:lineRule="auto"/>
        <w:rPr>
          <w:sz w:val="20"/>
          <w:szCs w:val="20"/>
          <w:color w:val="auto"/>
        </w:rPr>
      </w:pPr>
      <w:r>
        <w:rPr>
          <w:rFonts w:ascii="Arial" w:cs="Arial" w:eastAsia="Arial" w:hAnsi="Arial"/>
          <w:sz w:val="16"/>
          <w:szCs w:val="16"/>
          <w:b w:val="1"/>
          <w:bCs w:val="1"/>
          <w:color w:val="auto"/>
        </w:rPr>
        <w:t>(In units and presented in fiscal quarters, except as noted below)</w:t>
      </w:r>
    </w:p>
    <w:p>
      <w:pPr>
        <w:jc w:val="center"/>
        <w:spacing w:after="0"/>
        <w:rPr>
          <w:sz w:val="20"/>
          <w:szCs w:val="20"/>
          <w:color w:val="auto"/>
        </w:rPr>
      </w:pPr>
      <w:r>
        <w:rPr>
          <w:rFonts w:ascii="Arial" w:cs="Arial" w:eastAsia="Arial" w:hAnsi="Arial"/>
          <w:sz w:val="16"/>
          <w:szCs w:val="16"/>
          <w:b w:val="1"/>
          <w:bCs w:val="1"/>
          <w:color w:val="auto"/>
        </w:rPr>
        <w:t>Wholesale Deliveries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Retail Registrations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Dealer Inventory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Order Backlog</w:t>
      </w:r>
    </w:p>
    <w:p>
      <w:pPr>
        <w:spacing w:after="0" w:line="211" w:lineRule="auto"/>
        <w:rPr>
          <w:sz w:val="20"/>
          <w:szCs w:val="20"/>
          <w:color w:val="auto"/>
        </w:rPr>
      </w:pPr>
      <w:r>
        <w:rPr>
          <w:rFonts w:ascii="Arial" w:cs="Arial" w:eastAsia="Arial" w:hAnsi="Arial"/>
          <w:sz w:val="16"/>
          <w:szCs w:val="16"/>
          <w:color w:val="auto"/>
        </w:rPr>
        <w:t>2nd Quarter 2009</w:t>
      </w:r>
    </w:p>
    <w:p>
      <w:pPr>
        <w:jc w:val="right"/>
        <w:spacing w:after="0"/>
        <w:rPr>
          <w:sz w:val="20"/>
          <w:szCs w:val="20"/>
          <w:color w:val="auto"/>
        </w:rPr>
      </w:pPr>
      <w:r>
        <w:rPr>
          <w:rFonts w:ascii="Arial" w:cs="Arial" w:eastAsia="Arial" w:hAnsi="Arial"/>
          <w:sz w:val="16"/>
          <w:szCs w:val="16"/>
          <w:color w:val="auto"/>
        </w:rPr>
        <w:t>315</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666</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2,918</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335</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3rd Quarter 2009</w:t>
      </w:r>
    </w:p>
    <w:p>
      <w:pPr>
        <w:jc w:val="right"/>
        <w:spacing w:after="0"/>
        <w:rPr>
          <w:sz w:val="20"/>
          <w:szCs w:val="20"/>
          <w:color w:val="auto"/>
        </w:rPr>
      </w:pPr>
      <w:r>
        <w:rPr>
          <w:rFonts w:ascii="Arial" w:cs="Arial" w:eastAsia="Arial" w:hAnsi="Arial"/>
          <w:sz w:val="16"/>
          <w:szCs w:val="16"/>
          <w:color w:val="auto"/>
        </w:rPr>
        <w:t>620</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2,324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4th Quarter 2009</w:t>
      </w:r>
    </w:p>
    <w:p>
      <w:pPr>
        <w:jc w:val="right"/>
        <w:spacing w:after="0"/>
        <w:rPr>
          <w:sz w:val="20"/>
          <w:szCs w:val="20"/>
          <w:color w:val="auto"/>
        </w:rPr>
      </w:pPr>
      <w:r>
        <w:rPr>
          <w:rFonts w:ascii="Arial" w:cs="Arial" w:eastAsia="Arial" w:hAnsi="Arial"/>
          <w:sz w:val="16"/>
          <w:szCs w:val="16"/>
          <w:color w:val="auto"/>
        </w:rPr>
        <w:t>605</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1,235</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1,694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940</w:t>
      </w:r>
    </w:p>
    <w:p>
      <w:pPr>
        <w:sectPr>
          <w:pgSz w:w="11900" w:h="16908" w:orient="portrait"/>
          <w:cols w:equalWidth="0" w:num="1">
            <w:col w:w="11420"/>
          </w:cols>
          <w:pgMar w:left="240" w:top="141" w:right="239" w:bottom="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1st Quarter 2010</w:t>
      </w:r>
    </w:p>
    <w:p>
      <w:pPr>
        <w:jc w:val="right"/>
        <w:spacing w:after="0"/>
        <w:rPr>
          <w:sz w:val="20"/>
          <w:szCs w:val="20"/>
          <w:color w:val="auto"/>
        </w:rPr>
      </w:pPr>
      <w:r>
        <w:rPr>
          <w:rFonts w:ascii="Arial" w:cs="Arial" w:eastAsia="Arial" w:hAnsi="Arial"/>
          <w:sz w:val="16"/>
          <w:szCs w:val="16"/>
          <w:color w:val="auto"/>
        </w:rPr>
        <w:t>794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921</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1,567</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1,521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Rolling 12 months (Dec 2008 through Nov 2009)</w:t>
      </w:r>
    </w:p>
    <w:p>
      <w:pPr>
        <w:jc w:val="right"/>
        <w:spacing w:after="0"/>
        <w:rPr>
          <w:sz w:val="20"/>
          <w:szCs w:val="20"/>
          <w:color w:val="auto"/>
        </w:rPr>
      </w:pPr>
      <w:r>
        <w:rPr>
          <w:rFonts w:ascii="Arial" w:cs="Arial" w:eastAsia="Arial" w:hAnsi="Arial"/>
          <w:sz w:val="16"/>
          <w:szCs w:val="16"/>
          <w:color w:val="auto"/>
        </w:rPr>
        <w:t>2,334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2nd Quarter 2010</w:t>
      </w:r>
    </w:p>
    <w:p>
      <w:pPr>
        <w:jc w:val="right"/>
        <w:spacing w:after="0"/>
        <w:rPr>
          <w:sz w:val="20"/>
          <w:szCs w:val="20"/>
          <w:color w:val="auto"/>
        </w:rPr>
      </w:pPr>
      <w:r>
        <w:rPr>
          <w:rFonts w:ascii="Arial" w:cs="Arial" w:eastAsia="Arial" w:hAnsi="Arial"/>
          <w:sz w:val="16"/>
          <w:szCs w:val="16"/>
          <w:color w:val="auto"/>
        </w:rPr>
        <w:t>1,109</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2,022</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1,159</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3rd Quarter 2010</w:t>
      </w:r>
    </w:p>
    <w:p>
      <w:pPr>
        <w:spacing w:after="0"/>
        <w:rPr>
          <w:sz w:val="20"/>
          <w:szCs w:val="20"/>
          <w:color w:val="auto"/>
        </w:rPr>
      </w:pPr>
      <w:r>
        <w:rPr>
          <w:rFonts w:ascii="Arial" w:cs="Arial" w:eastAsia="Arial" w:hAnsi="Arial"/>
          <w:sz w:val="16"/>
          <w:szCs w:val="16"/>
          <w:color w:val="auto"/>
        </w:rPr>
        <w:t>1,366</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1,388</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2,000</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935</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4th Quarter 2010</w:t>
      </w:r>
    </w:p>
    <w:p>
      <w:pPr>
        <w:jc w:val="right"/>
        <w:spacing w:after="0"/>
        <w:rPr>
          <w:sz w:val="20"/>
          <w:szCs w:val="20"/>
          <w:color w:val="auto"/>
        </w:rPr>
      </w:pPr>
      <w:r>
        <w:rPr>
          <w:rFonts w:ascii="Arial" w:cs="Arial" w:eastAsia="Arial" w:hAnsi="Arial"/>
          <w:sz w:val="16"/>
          <w:szCs w:val="16"/>
          <w:color w:val="auto"/>
        </w:rPr>
        <w:t>1,164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1,120</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2,044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818</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1st Quarter 2011</w:t>
      </w:r>
    </w:p>
    <w:p>
      <w:pPr>
        <w:jc w:val="right"/>
        <w:spacing w:after="0"/>
        <w:rPr>
          <w:sz w:val="20"/>
          <w:szCs w:val="20"/>
          <w:color w:val="auto"/>
        </w:rPr>
      </w:pPr>
      <w:r>
        <w:rPr>
          <w:rFonts w:ascii="Arial" w:cs="Arial" w:eastAsia="Arial" w:hAnsi="Arial"/>
          <w:sz w:val="16"/>
          <w:szCs w:val="16"/>
          <w:color w:val="auto"/>
        </w:rPr>
        <w:t>1,115</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1,093</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2,066</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698</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Rolling 12 months (Dec 2009 through Nov 2010)</w:t>
      </w:r>
    </w:p>
    <w:p>
      <w:pPr>
        <w:jc w:val="right"/>
        <w:spacing w:after="0"/>
        <w:rPr>
          <w:sz w:val="20"/>
          <w:szCs w:val="20"/>
          <w:color w:val="auto"/>
        </w:rPr>
      </w:pPr>
      <w:r>
        <w:rPr>
          <w:rFonts w:ascii="Arial" w:cs="Arial" w:eastAsia="Arial" w:hAnsi="Arial"/>
          <w:sz w:val="16"/>
          <w:szCs w:val="16"/>
          <w:color w:val="auto"/>
        </w:rPr>
        <w:t>4,754</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4,255</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&amp;nb 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comparison increases (decreases):</w:t>
      </w:r>
    </w:p>
    <w:p>
      <w:pPr>
        <w:ind w:left="5320"/>
        <w:spacing w:after="0" w:line="211" w:lineRule="auto"/>
        <w:rPr>
          <w:sz w:val="20"/>
          <w:szCs w:val="20"/>
          <w:color w:val="auto"/>
        </w:rPr>
      </w:pPr>
      <w:r>
        <w:rPr>
          <w:rFonts w:ascii="Arial" w:cs="Arial" w:eastAsia="Arial" w:hAnsi="Arial"/>
          <w:sz w:val="16"/>
          <w:szCs w:val="16"/>
          <w:b w:val="1"/>
          <w:bCs w:val="1"/>
          <w:color w:val="auto"/>
        </w:rPr>
        <w:t>Wholesale</w:t>
      </w:r>
    </w:p>
    <w:p>
      <w:pPr>
        <w:ind w:left="5340"/>
        <w:spacing w:after="0"/>
        <w:rPr>
          <w:sz w:val="20"/>
          <w:szCs w:val="20"/>
          <w:color w:val="auto"/>
        </w:rPr>
      </w:pPr>
      <w:r>
        <w:rPr>
          <w:rFonts w:ascii="Arial" w:cs="Arial" w:eastAsia="Arial" w:hAnsi="Arial"/>
          <w:sz w:val="16"/>
          <w:szCs w:val="16"/>
          <w:b w:val="1"/>
          <w:bCs w:val="1"/>
          <w:color w:val="auto"/>
        </w:rPr>
        <w:t>Deliveries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Retail</w:t>
      </w:r>
    </w:p>
    <w:p>
      <w:pPr>
        <w:jc w:val="center"/>
        <w:spacing w:after="0"/>
        <w:rPr>
          <w:sz w:val="20"/>
          <w:szCs w:val="20"/>
          <w:color w:val="auto"/>
        </w:rPr>
      </w:pPr>
      <w:r>
        <w:rPr>
          <w:rFonts w:ascii="Arial" w:cs="Arial" w:eastAsia="Arial" w:hAnsi="Arial"/>
          <w:sz w:val="16"/>
          <w:szCs w:val="16"/>
          <w:b w:val="1"/>
          <w:bCs w:val="1"/>
          <w:color w:val="auto"/>
        </w:rPr>
        <w:t>Registrations</w:t>
      </w:r>
    </w:p>
    <w:p>
      <w:pPr>
        <w:sectPr>
          <w:pgSz w:w="11900" w:h="16838" w:orient="portrait"/>
          <w:cols w:equalWidth="0" w:num="1">
            <w:col w:w="11420"/>
          </w:cols>
          <w:pgMar w:left="240" w:top="268"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Dealer</w:t>
      </w:r>
    </w:p>
    <w:p>
      <w:pPr>
        <w:jc w:val="center"/>
        <w:spacing w:after="0"/>
        <w:rPr>
          <w:sz w:val="20"/>
          <w:szCs w:val="20"/>
          <w:color w:val="auto"/>
        </w:rPr>
      </w:pPr>
      <w:r>
        <w:rPr>
          <w:rFonts w:ascii="Arial" w:cs="Arial" w:eastAsia="Arial" w:hAnsi="Arial"/>
          <w:sz w:val="16"/>
          <w:szCs w:val="16"/>
          <w:b w:val="1"/>
          <w:bCs w:val="1"/>
          <w:color w:val="auto"/>
        </w:rPr>
        <w:t>Inventory</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Order</w:t>
      </w:r>
    </w:p>
    <w:p>
      <w:pPr>
        <w:ind w:left="5400"/>
        <w:spacing w:after="0" w:line="211" w:lineRule="auto"/>
        <w:rPr>
          <w:sz w:val="20"/>
          <w:szCs w:val="20"/>
          <w:color w:val="auto"/>
        </w:rPr>
      </w:pPr>
      <w:r>
        <w:rPr>
          <w:rFonts w:ascii="Arial" w:cs="Arial" w:eastAsia="Arial" w:hAnsi="Arial"/>
          <w:sz w:val="16"/>
          <w:szCs w:val="16"/>
          <w:b w:val="1"/>
          <w:bCs w:val="1"/>
          <w:color w:val="auto"/>
        </w:rPr>
        <w:t>Backlog</w:t>
      </w:r>
    </w:p>
    <w:p>
      <w:pPr>
        <w:spacing w:after="0" w:line="211" w:lineRule="auto"/>
        <w:rPr>
          <w:sz w:val="20"/>
          <w:szCs w:val="20"/>
          <w:color w:val="auto"/>
        </w:rPr>
      </w:pPr>
      <w:r>
        <w:rPr>
          <w:rFonts w:ascii="Arial" w:cs="Arial" w:eastAsia="Arial" w:hAnsi="Arial"/>
          <w:sz w:val="16"/>
          <w:szCs w:val="16"/>
          <w:color w:val="auto"/>
        </w:rPr>
        <w:t>Rolling 12 month comparison (period ended Nov 2010 to period ended Nov 2009)</w:t>
      </w:r>
    </w:p>
    <w:p>
      <w:pPr>
        <w:spacing w:after="0" w:line="1" w:lineRule="exact"/>
        <w:rPr>
          <w:sz w:val="20"/>
          <w:szCs w:val="20"/>
          <w:color w:val="auto"/>
        </w:rPr>
      </w:pPr>
    </w:p>
    <w:p>
      <w:pPr>
        <w:ind w:left="11020"/>
        <w:spacing w:after="0"/>
        <w:rPr>
          <w:sz w:val="20"/>
          <w:szCs w:val="20"/>
          <w:color w:val="auto"/>
        </w:rPr>
      </w:pPr>
      <w:r>
        <w:rPr>
          <w:rFonts w:ascii="Arial" w:cs="Arial" w:eastAsia="Arial" w:hAnsi="Arial"/>
          <w:sz w:val="15"/>
          <w:szCs w:val="15"/>
          <w:color w:val="auto"/>
        </w:rPr>
        <w:t>2,420</w:t>
      </w:r>
    </w:p>
    <w:p>
      <w:pPr>
        <w:spacing w:after="0" w:line="31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219</w:t>
      </w:r>
    </w:p>
    <w:p>
      <w:pPr>
        <w:spacing w:after="0" w:line="302" w:lineRule="exact"/>
        <w:rPr>
          <w:sz w:val="20"/>
          <w:szCs w:val="20"/>
          <w:color w:val="auto"/>
        </w:rPr>
      </w:pPr>
    </w:p>
    <w:p>
      <w:pPr>
        <w:ind w:left="11200"/>
        <w:spacing w:after="0"/>
        <w:rPr>
          <w:sz w:val="20"/>
          <w:szCs w:val="20"/>
          <w:color w:val="auto"/>
        </w:rPr>
      </w:pPr>
      <w:r>
        <w:rPr>
          <w:rFonts w:ascii="Arial" w:cs="Arial" w:eastAsia="Arial" w:hAnsi="Arial"/>
          <w:sz w:val="15"/>
          <w:szCs w:val="15"/>
          <w:color w:val="auto"/>
        </w:rPr>
        <w:t>NA</w:t>
      </w:r>
    </w:p>
    <w:p>
      <w:pPr>
        <w:spacing w:after="0" w:line="314" w:lineRule="exact"/>
        <w:rPr>
          <w:sz w:val="20"/>
          <w:szCs w:val="20"/>
          <w:color w:val="auto"/>
        </w:rPr>
      </w:pPr>
    </w:p>
    <w:p>
      <w:pPr>
        <w:ind w:left="11200"/>
        <w:spacing w:after="0"/>
        <w:rPr>
          <w:sz w:val="20"/>
          <w:szCs w:val="20"/>
          <w:color w:val="auto"/>
        </w:rPr>
      </w:pPr>
      <w:r>
        <w:rPr>
          <w:rFonts w:ascii="Arial" w:cs="Arial" w:eastAsia="Arial" w:hAnsi="Arial"/>
          <w:sz w:val="15"/>
          <w:szCs w:val="15"/>
          <w:color w:val="auto"/>
        </w:rPr>
        <w:t>NA</w:t>
      </w:r>
    </w:p>
    <w:p>
      <w:pPr>
        <w:spacing w:after="0" w:line="303" w:lineRule="exact"/>
        <w:rPr>
          <w:sz w:val="20"/>
          <w:szCs w:val="20"/>
          <w:color w:val="auto"/>
        </w:rPr>
      </w:pPr>
    </w:p>
    <w:p>
      <w:pPr>
        <w:ind w:left="11020"/>
        <w:spacing w:after="0"/>
        <w:rPr>
          <w:sz w:val="20"/>
          <w:szCs w:val="20"/>
          <w:color w:val="auto"/>
        </w:rPr>
      </w:pPr>
      <w:r>
        <w:rPr>
          <w:rFonts w:ascii="Arial" w:cs="Arial" w:eastAsia="Arial" w:hAnsi="Arial"/>
          <w:sz w:val="15"/>
          <w:szCs w:val="15"/>
          <w:color w:val="auto"/>
        </w:rPr>
        <w:t>103.7</w:t>
      </w:r>
    </w:p>
    <w:p>
      <w:pPr>
        <w:ind w:left="60"/>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11200"/>
        <w:spacing w:after="0"/>
        <w:rPr>
          <w:sz w:val="20"/>
          <w:szCs w:val="20"/>
          <w:color w:val="auto"/>
        </w:rPr>
      </w:pPr>
      <w:r>
        <w:rPr>
          <w:rFonts w:ascii="Arial" w:cs="Arial" w:eastAsia="Arial" w:hAnsi="Arial"/>
          <w:sz w:val="15"/>
          <w:szCs w:val="15"/>
          <w:color w:val="auto"/>
        </w:rPr>
        <w:t>5.4</w:t>
      </w:r>
    </w:p>
    <w:p>
      <w:pPr>
        <w:ind w:left="60"/>
        <w:spacing w:after="0"/>
        <w:rPr>
          <w:sz w:val="20"/>
          <w:szCs w:val="20"/>
          <w:color w:val="auto"/>
        </w:rPr>
      </w:pPr>
      <w:r>
        <w:rPr>
          <w:rFonts w:ascii="Arial" w:cs="Arial" w:eastAsia="Arial" w:hAnsi="Arial"/>
          <w:sz w:val="16"/>
          <w:szCs w:val="16"/>
          <w:color w:val="auto"/>
        </w:rPr>
        <w: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1st quarter Fiscal 2011 as compared to 1st quarter Fiscal 2010</w:t>
      </w:r>
    </w:p>
    <w:p>
      <w:pPr>
        <w:ind w:left="11140"/>
        <w:spacing w:after="0"/>
        <w:rPr>
          <w:sz w:val="20"/>
          <w:szCs w:val="20"/>
          <w:color w:val="auto"/>
        </w:rPr>
      </w:pPr>
      <w:r>
        <w:rPr>
          <w:rFonts w:ascii="Arial" w:cs="Arial" w:eastAsia="Arial" w:hAnsi="Arial"/>
          <w:sz w:val="16"/>
          <w:szCs w:val="16"/>
          <w:color w:val="auto"/>
        </w:rPr>
        <w:t>321</w:t>
      </w:r>
    </w:p>
    <w:p>
      <w:pPr>
        <w:spacing w:after="0" w:line="302"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172</w:t>
      </w:r>
    </w:p>
    <w:p>
      <w:pPr>
        <w:spacing w:after="0" w:line="302"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499</w:t>
      </w:r>
    </w:p>
    <w:p>
      <w:pPr>
        <w:spacing w:after="0" w:line="292" w:lineRule="exact"/>
        <w:rPr>
          <w:sz w:val="20"/>
          <w:szCs w:val="20"/>
          <w:color w:val="auto"/>
        </w:rPr>
      </w:pPr>
    </w:p>
    <w:p>
      <w:pPr>
        <w:ind w:left="11100"/>
        <w:spacing w:after="0"/>
        <w:rPr>
          <w:sz w:val="20"/>
          <w:szCs w:val="20"/>
          <w:color w:val="auto"/>
        </w:rPr>
      </w:pPr>
      <w:r>
        <w:rPr>
          <w:rFonts w:ascii="Arial" w:cs="Arial" w:eastAsia="Arial" w:hAnsi="Arial"/>
          <w:sz w:val="15"/>
          <w:szCs w:val="15"/>
          <w:color w:val="auto"/>
        </w:rPr>
        <w:t>(823</w:t>
      </w:r>
    </w:p>
    <w:p>
      <w:pPr>
        <w:spacing w:after="0"/>
        <w:rPr>
          <w:sz w:val="20"/>
          <w:szCs w:val="20"/>
          <w:color w:val="auto"/>
        </w:rPr>
      </w:pPr>
      <w:r>
        <w:rPr>
          <w:rFonts w:ascii="Arial" w:cs="Arial" w:eastAsia="Arial" w:hAnsi="Arial"/>
          <w:sz w:val="16"/>
          <w:szCs w:val="16"/>
          <w:color w:val="auto"/>
        </w:rPr>
        <w:t>)</w:t>
      </w:r>
    </w:p>
    <w:p>
      <w:pPr>
        <w:spacing w:after="0" w:line="118" w:lineRule="exact"/>
        <w:rPr>
          <w:sz w:val="20"/>
          <w:szCs w:val="20"/>
          <w:color w:val="auto"/>
        </w:rPr>
      </w:pPr>
    </w:p>
    <w:p>
      <w:pPr>
        <w:ind w:left="11100"/>
        <w:spacing w:after="0"/>
        <w:rPr>
          <w:sz w:val="20"/>
          <w:szCs w:val="20"/>
          <w:color w:val="auto"/>
        </w:rPr>
      </w:pPr>
      <w:r>
        <w:rPr>
          <w:rFonts w:ascii="Arial" w:cs="Arial" w:eastAsia="Arial" w:hAnsi="Arial"/>
          <w:sz w:val="16"/>
          <w:szCs w:val="16"/>
          <w:color w:val="auto"/>
        </w:rPr>
        <w:t>40.4</w:t>
      </w:r>
    </w:p>
    <w:p>
      <w:pPr>
        <w:ind w:left="60"/>
        <w:spacing w:after="0"/>
        <w:rPr>
          <w:sz w:val="20"/>
          <w:szCs w:val="20"/>
          <w:color w:val="auto"/>
        </w:rPr>
      </w:pPr>
      <w:r>
        <w:rPr>
          <w:rFonts w:ascii="Arial" w:cs="Arial" w:eastAsia="Arial" w:hAnsi="Arial"/>
          <w:sz w:val="16"/>
          <w:szCs w:val="16"/>
          <w:color w:val="auto"/>
        </w:rPr>
        <w:t>%</w:t>
      </w:r>
    </w:p>
    <w:p>
      <w:pPr>
        <w:spacing w:after="0" w:line="118" w:lineRule="exact"/>
        <w:rPr>
          <w:sz w:val="20"/>
          <w:szCs w:val="20"/>
          <w:color w:val="auto"/>
        </w:rPr>
      </w:pPr>
    </w:p>
    <w:p>
      <w:pPr>
        <w:ind w:left="11100"/>
        <w:spacing w:after="0"/>
        <w:rPr>
          <w:sz w:val="20"/>
          <w:szCs w:val="20"/>
          <w:color w:val="auto"/>
        </w:rPr>
      </w:pPr>
      <w:r>
        <w:rPr>
          <w:rFonts w:ascii="Arial" w:cs="Arial" w:eastAsia="Arial" w:hAnsi="Arial"/>
          <w:sz w:val="16"/>
          <w:szCs w:val="16"/>
          <w:color w:val="auto"/>
        </w:rPr>
        <w:t>18.7</w:t>
      </w:r>
    </w:p>
    <w:p>
      <w:pPr>
        <w:ind w:left="60"/>
        <w:spacing w:after="0"/>
        <w:rPr>
          <w:sz w:val="20"/>
          <w:szCs w:val="20"/>
          <w:color w:val="auto"/>
        </w:rPr>
      </w:pPr>
      <w:r>
        <w:rPr>
          <w:rFonts w:ascii="Arial" w:cs="Arial" w:eastAsia="Arial" w:hAnsi="Arial"/>
          <w:sz w:val="16"/>
          <w:szCs w:val="16"/>
          <w:color w:val="auto"/>
        </w:rPr>
        <w:t>%</w:t>
      </w:r>
    </w:p>
    <w:p>
      <w:pPr>
        <w:spacing w:after="0" w:line="118" w:lineRule="exact"/>
        <w:rPr>
          <w:sz w:val="20"/>
          <w:szCs w:val="20"/>
          <w:color w:val="auto"/>
        </w:rPr>
      </w:pPr>
    </w:p>
    <w:p>
      <w:pPr>
        <w:ind w:left="11100"/>
        <w:spacing w:after="0"/>
        <w:rPr>
          <w:sz w:val="20"/>
          <w:szCs w:val="20"/>
          <w:color w:val="auto"/>
        </w:rPr>
      </w:pPr>
      <w:r>
        <w:rPr>
          <w:rFonts w:ascii="Arial" w:cs="Arial" w:eastAsia="Arial" w:hAnsi="Arial"/>
          <w:sz w:val="16"/>
          <w:szCs w:val="16"/>
          <w:color w:val="auto"/>
        </w:rPr>
        <w:t>31.8</w:t>
      </w:r>
    </w:p>
    <w:p>
      <w:pPr>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11060"/>
        <w:spacing w:after="0"/>
        <w:rPr>
          <w:sz w:val="20"/>
          <w:szCs w:val="20"/>
          <w:color w:val="auto"/>
        </w:rPr>
      </w:pPr>
      <w:r>
        <w:rPr>
          <w:rFonts w:ascii="Arial" w:cs="Arial" w:eastAsia="Arial" w:hAnsi="Arial"/>
          <w:sz w:val="15"/>
          <w:szCs w:val="15"/>
          <w:color w:val="auto"/>
        </w:rPr>
        <w:t>(54.1</w:t>
      </w:r>
    </w:p>
    <w:p>
      <w:pPr>
        <w:spacing w:after="0" w:line="211" w:lineRule="auto"/>
        <w:rPr>
          <w:sz w:val="20"/>
          <w:szCs w:val="20"/>
          <w:color w:val="auto"/>
        </w:rPr>
      </w:pPr>
      <w:r>
        <w:rPr>
          <w:rFonts w:ascii="Arial" w:cs="Arial" w:eastAsia="Arial" w:hAnsi="Arial"/>
          <w:sz w:val="16"/>
          <w:szCs w:val="16"/>
          <w:color w:val="auto"/>
        </w:rPr>
        <w:t>)%</w:t>
      </w:r>
    </w:p>
    <w:p>
      <w:pPr>
        <w:spacing w:after="0" w:line="211" w:lineRule="auto"/>
        <w:rPr>
          <w:sz w:val="20"/>
          <w:szCs w:val="20"/>
          <w:color w:val="auto"/>
        </w:rPr>
      </w:pPr>
      <w:r>
        <w:rPr>
          <w:rFonts w:ascii="Arial" w:cs="Arial" w:eastAsia="Arial" w:hAnsi="Arial"/>
          <w:sz w:val="16"/>
          <w:szCs w:val="16"/>
          <w:color w:val="auto"/>
        </w:rPr>
        <w:t>1st quarter Fiscal 2011 as compared to 4th quarter Fiscal 2010</w:t>
      </w:r>
    </w:p>
    <w:p>
      <w:pPr>
        <w:ind w:left="11180"/>
        <w:spacing w:after="0" w:line="212" w:lineRule="auto"/>
        <w:rPr>
          <w:sz w:val="20"/>
          <w:szCs w:val="20"/>
          <w:color w:val="auto"/>
        </w:rPr>
      </w:pPr>
      <w:r>
        <w:rPr>
          <w:rFonts w:ascii="Arial" w:cs="Arial" w:eastAsia="Arial" w:hAnsi="Arial"/>
          <w:sz w:val="16"/>
          <w:szCs w:val="16"/>
          <w:color w:val="auto"/>
        </w:rPr>
        <w:t>(49</w:t>
      </w:r>
    </w:p>
    <w:p>
      <w:pPr>
        <w:spacing w:after="0"/>
        <w:rPr>
          <w:sz w:val="20"/>
          <w:szCs w:val="20"/>
          <w:color w:val="auto"/>
        </w:rPr>
      </w:pPr>
      <w:r>
        <w:rPr>
          <w:rFonts w:ascii="Arial" w:cs="Arial" w:eastAsia="Arial" w:hAnsi="Arial"/>
          <w:sz w:val="16"/>
          <w:szCs w:val="16"/>
          <w:color w:val="auto"/>
        </w:rPr>
        <w:t>)</w:t>
      </w:r>
    </w:p>
    <w:p>
      <w:pPr>
        <w:spacing w:after="0" w:line="118" w:lineRule="exact"/>
        <w:rPr>
          <w:sz w:val="20"/>
          <w:szCs w:val="20"/>
          <w:color w:val="auto"/>
        </w:rPr>
      </w:pPr>
    </w:p>
    <w:p>
      <w:pPr>
        <w:ind w:left="11180"/>
        <w:spacing w:after="0"/>
        <w:rPr>
          <w:sz w:val="20"/>
          <w:szCs w:val="20"/>
          <w:color w:val="auto"/>
        </w:rPr>
      </w:pPr>
      <w:r>
        <w:rPr>
          <w:rFonts w:ascii="Arial" w:cs="Arial" w:eastAsia="Arial" w:hAnsi="Arial"/>
          <w:sz w:val="16"/>
          <w:szCs w:val="16"/>
          <w:color w:val="auto"/>
        </w:rPr>
        <w:t>(27</w:t>
      </w:r>
    </w:p>
    <w:p>
      <w:pPr>
        <w:spacing w:after="0"/>
        <w:rPr>
          <w:sz w:val="20"/>
          <w:szCs w:val="20"/>
          <w:color w:val="auto"/>
        </w:rPr>
      </w:pPr>
      <w:r>
        <w:rPr>
          <w:rFonts w:ascii="Arial" w:cs="Arial" w:eastAsia="Arial" w:hAnsi="Arial"/>
          <w:sz w:val="16"/>
          <w:szCs w:val="16"/>
          <w:color w:val="auto"/>
        </w:rPr>
        <w:t>)</w:t>
      </w:r>
    </w:p>
    <w:p>
      <w:pPr>
        <w:spacing w:after="0" w:line="14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92" w:lineRule="exact"/>
        <w:rPr>
          <w:sz w:val="20"/>
          <w:szCs w:val="20"/>
          <w:color w:val="auto"/>
        </w:rPr>
      </w:pPr>
    </w:p>
    <w:p>
      <w:pPr>
        <w:ind w:left="11100"/>
        <w:spacing w:after="0"/>
        <w:rPr>
          <w:sz w:val="20"/>
          <w:szCs w:val="20"/>
          <w:color w:val="auto"/>
        </w:rPr>
      </w:pPr>
      <w:r>
        <w:rPr>
          <w:rFonts w:ascii="Arial" w:cs="Arial" w:eastAsia="Arial" w:hAnsi="Arial"/>
          <w:sz w:val="15"/>
          <w:szCs w:val="15"/>
          <w:color w:val="auto"/>
        </w:rPr>
        <w:t>(120</w:t>
      </w:r>
    </w:p>
    <w:p>
      <w:pPr>
        <w:spacing w:after="0"/>
        <w:rPr>
          <w:sz w:val="20"/>
          <w:szCs w:val="20"/>
          <w:color w:val="auto"/>
        </w:rPr>
      </w:pPr>
      <w:r>
        <w:rPr>
          <w:rFonts w:ascii="Arial" w:cs="Arial" w:eastAsia="Arial" w:hAnsi="Arial"/>
          <w:sz w:val="16"/>
          <w:szCs w:val="16"/>
          <w:color w:val="auto"/>
        </w:rPr>
        <w:t>)</w:t>
      </w:r>
    </w:p>
    <w:p>
      <w:pPr>
        <w:spacing w:after="0" w:line="11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(4.2</w:t>
      </w:r>
    </w:p>
    <w:p>
      <w:pPr>
        <w:spacing w:after="0"/>
        <w:rPr>
          <w:sz w:val="20"/>
          <w:szCs w:val="20"/>
          <w:color w:val="auto"/>
        </w:rPr>
      </w:pPr>
      <w:r>
        <w:rPr>
          <w:rFonts w:ascii="Arial" w:cs="Arial" w:eastAsia="Arial" w:hAnsi="Arial"/>
          <w:sz w:val="16"/>
          <w:szCs w:val="16"/>
          <w:color w:val="auto"/>
        </w:rPr>
        <w:t>)%</w:t>
      </w:r>
    </w:p>
    <w:p>
      <w:pPr>
        <w:spacing w:after="0" w:line="11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(2.4</w:t>
      </w:r>
    </w:p>
    <w:p>
      <w:pPr>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11200"/>
        <w:spacing w:after="0"/>
        <w:rPr>
          <w:sz w:val="20"/>
          <w:szCs w:val="20"/>
          <w:color w:val="auto"/>
        </w:rPr>
      </w:pPr>
      <w:r>
        <w:rPr>
          <w:rFonts w:ascii="Arial" w:cs="Arial" w:eastAsia="Arial" w:hAnsi="Arial"/>
          <w:sz w:val="15"/>
          <w:szCs w:val="15"/>
          <w:color w:val="auto"/>
        </w:rPr>
        <w:t>1.1</w:t>
      </w:r>
    </w:p>
    <w:p>
      <w:pPr>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11060"/>
        <w:spacing w:after="0"/>
        <w:rPr>
          <w:sz w:val="20"/>
          <w:szCs w:val="20"/>
          <w:color w:val="auto"/>
        </w:rPr>
      </w:pPr>
      <w:r>
        <w:rPr>
          <w:rFonts w:ascii="Arial" w:cs="Arial" w:eastAsia="Arial" w:hAnsi="Arial"/>
          <w:sz w:val="15"/>
          <w:szCs w:val="15"/>
          <w:color w:val="auto"/>
        </w:rPr>
        <w:t>(14.7</w:t>
      </w:r>
    </w:p>
    <w:p>
      <w:pPr>
        <w:spacing w:after="0"/>
        <w:rPr>
          <w:sz w:val="20"/>
          <w:szCs w:val="20"/>
          <w:color w:val="auto"/>
        </w:rPr>
      </w:pPr>
      <w:r>
        <w:rPr>
          <w:rFonts w:ascii="Arial" w:cs="Arial" w:eastAsia="Arial" w:hAnsi="Arial"/>
          <w:sz w:val="16"/>
          <w:szCs w:val="16"/>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0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120" w:type="dxa"/>
            <w:vAlign w:val="bottom"/>
            <w:gridSpan w:val="5"/>
          </w:tcPr>
          <w:p>
            <w:pPr>
              <w:ind w:left="800"/>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66"/>
        </w:trPr>
        <w:tc>
          <w:tcPr>
            <w:tcW w:w="4280" w:type="dxa"/>
            <w:vAlign w:val="bottom"/>
          </w:tcPr>
          <w:p>
            <w:pPr>
              <w:spacing w:after="0"/>
              <w:rPr>
                <w:sz w:val="20"/>
                <w:szCs w:val="20"/>
                <w:color w:val="auto"/>
              </w:rPr>
            </w:pPr>
            <w:r>
              <w:rPr>
                <w:rFonts w:ascii="Arial" w:cs="Arial" w:eastAsia="Arial" w:hAnsi="Arial"/>
                <w:sz w:val="16"/>
                <w:szCs w:val="16"/>
                <w:color w:val="auto"/>
              </w:rPr>
              <w:t>Our motor home order backlog is as follows:</w:t>
            </w:r>
          </w:p>
        </w:tc>
        <w:tc>
          <w:tcPr>
            <w:tcW w:w="8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42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As Of</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64"/>
        </w:trPr>
        <w:tc>
          <w:tcPr>
            <w:tcW w:w="4280" w:type="dxa"/>
            <w:vAlign w:val="bottom"/>
          </w:tcPr>
          <w:p>
            <w:pPr>
              <w:spacing w:after="0"/>
              <w:rPr>
                <w:sz w:val="22"/>
                <w:szCs w:val="22"/>
                <w:color w:val="auto"/>
              </w:rPr>
            </w:pPr>
          </w:p>
        </w:tc>
        <w:tc>
          <w:tcPr>
            <w:tcW w:w="2120" w:type="dxa"/>
            <w:vAlign w:val="bottom"/>
            <w:gridSpan w:val="5"/>
          </w:tcPr>
          <w:p>
            <w:pPr>
              <w:ind w:left="280"/>
              <w:spacing w:after="0"/>
              <w:rPr>
                <w:sz w:val="20"/>
                <w:szCs w:val="20"/>
                <w:color w:val="auto"/>
              </w:rPr>
            </w:pPr>
            <w:r>
              <w:rPr>
                <w:rFonts w:ascii="Arial" w:cs="Arial" w:eastAsia="Arial" w:hAnsi="Arial"/>
                <w:sz w:val="16"/>
                <w:szCs w:val="16"/>
                <w:b w:val="1"/>
                <w:bCs w:val="1"/>
                <w:color w:val="auto"/>
              </w:rPr>
              <w:t>November 27, 2010</w:t>
            </w:r>
          </w:p>
        </w:tc>
        <w:tc>
          <w:tcPr>
            <w:tcW w:w="400" w:type="dxa"/>
            <w:vAlign w:val="bottom"/>
          </w:tcPr>
          <w:p>
            <w:pPr>
              <w:spacing w:after="0"/>
              <w:rPr>
                <w:sz w:val="22"/>
                <w:szCs w:val="22"/>
                <w:color w:val="auto"/>
              </w:rPr>
            </w:pPr>
          </w:p>
        </w:tc>
        <w:tc>
          <w:tcPr>
            <w:tcW w:w="2040" w:type="dxa"/>
            <w:vAlign w:val="bottom"/>
            <w:gridSpan w:val="4"/>
          </w:tcPr>
          <w:p>
            <w:pPr>
              <w:ind w:left="100"/>
              <w:spacing w:after="0"/>
              <w:rPr>
                <w:sz w:val="20"/>
                <w:szCs w:val="20"/>
                <w:color w:val="auto"/>
              </w:rPr>
            </w:pPr>
            <w:r>
              <w:rPr>
                <w:rFonts w:ascii="Arial" w:cs="Arial" w:eastAsia="Arial" w:hAnsi="Arial"/>
                <w:sz w:val="16"/>
                <w:szCs w:val="16"/>
                <w:b w:val="1"/>
                <w:bCs w:val="1"/>
                <w:color w:val="auto"/>
              </w:rPr>
              <w:t>November 28, 2009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4280" w:type="dxa"/>
            <w:vAlign w:val="bottom"/>
            <w:tcBorders>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Units</w:t>
            </w:r>
          </w:p>
        </w:tc>
        <w:tc>
          <w:tcPr>
            <w:tcW w:w="880" w:type="dxa"/>
            <w:vAlign w:val="bottom"/>
            <w:tcBorders>
              <w:top w:val="single" w:sz="8" w:color="auto"/>
              <w:bottom w:val="single" w:sz="8" w:color="auto"/>
            </w:tcBorders>
          </w:tcPr>
          <w:p>
            <w:pPr>
              <w:jc w:val="right"/>
              <w:ind w:right="263"/>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color w:val="auto"/>
              </w:rPr>
              <w:t xml:space="preserve"> (1)</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Units</w:t>
            </w:r>
          </w:p>
        </w:tc>
        <w:tc>
          <w:tcPr>
            <w:tcW w:w="1340" w:type="dxa"/>
            <w:vAlign w:val="bottom"/>
            <w:tcBorders>
              <w:top w:val="single" w:sz="8" w:color="auto"/>
              <w:bottom w:val="single" w:sz="8" w:color="auto"/>
            </w:tcBorders>
            <w:gridSpan w:val="2"/>
          </w:tcPr>
          <w:p>
            <w:pPr>
              <w:jc w:val="right"/>
              <w:ind w:right="279"/>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(Decrease)</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25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531</w:t>
            </w: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34.9%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(277)</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5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6"/>
                <w:szCs w:val="16"/>
                <w:color w:val="auto"/>
              </w:rPr>
              <w:t>Class A diesel</w:t>
            </w: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201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(180)</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(47.2)%</w:t>
            </w:r>
          </w:p>
        </w:tc>
      </w:tr>
      <w:tr>
        <w:trPr>
          <w:trHeight w:val="250"/>
        </w:trPr>
        <w:tc>
          <w:tcPr>
            <w:tcW w:w="4280" w:type="dxa"/>
            <w:vAlign w:val="bottom"/>
          </w:tcPr>
          <w:p>
            <w:pPr>
              <w:ind w:left="40"/>
              <w:spacing w:after="0"/>
              <w:rPr>
                <w:sz w:val="20"/>
                <w:szCs w:val="20"/>
                <w:color w:val="auto"/>
              </w:rPr>
            </w:pPr>
            <w:r>
              <w:rPr>
                <w:rFonts w:ascii="Arial" w:cs="Arial" w:eastAsia="Arial" w:hAnsi="Arial"/>
                <w:sz w:val="16"/>
                <w:szCs w:val="16"/>
                <w:color w:val="auto"/>
              </w:rPr>
              <w:t>Total Class A</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(457)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r>
      <w:tr>
        <w:trPr>
          <w:trHeight w:val="270"/>
        </w:trPr>
        <w:tc>
          <w:tcPr>
            <w:tcW w:w="4280" w:type="dxa"/>
            <w:vAlign w:val="bottom"/>
          </w:tcPr>
          <w:p>
            <w:pPr>
              <w:ind w:left="40"/>
              <w:spacing w:after="0"/>
              <w:rPr>
                <w:sz w:val="20"/>
                <w:szCs w:val="20"/>
                <w:color w:val="auto"/>
              </w:rPr>
            </w:pPr>
            <w:r>
              <w:rPr>
                <w:rFonts w:ascii="Arial" w:cs="Arial" w:eastAsia="Arial" w:hAnsi="Arial"/>
                <w:sz w:val="16"/>
                <w:szCs w:val="16"/>
                <w:color w:val="auto"/>
              </w:rPr>
              <w:t xml:space="preserve">Class B </w:t>
            </w:r>
            <w:r>
              <w:rPr>
                <w:rFonts w:ascii="Arial" w:cs="Arial" w:eastAsia="Arial" w:hAnsi="Arial"/>
                <w:sz w:val="21"/>
                <w:szCs w:val="21"/>
                <w:color w:val="auto"/>
                <w:vertAlign w:val="superscript"/>
              </w:rPr>
              <w:t>(2)</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(17)</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1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(349)</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r>
      <w:tr>
        <w:trPr>
          <w:trHeight w:val="240"/>
        </w:trPr>
        <w:tc>
          <w:tcPr>
            <w:tcW w:w="4280" w:type="dxa"/>
            <w:vAlign w:val="bottom"/>
          </w:tcPr>
          <w:p>
            <w:pPr>
              <w:ind w:left="40"/>
              <w:spacing w:after="0"/>
              <w:rPr>
                <w:sz w:val="20"/>
                <w:szCs w:val="20"/>
                <w:color w:val="auto"/>
              </w:rPr>
            </w:pPr>
            <w:r>
              <w:rPr>
                <w:rFonts w:ascii="Arial" w:cs="Arial" w:eastAsia="Arial" w:hAnsi="Arial"/>
                <w:sz w:val="16"/>
                <w:szCs w:val="16"/>
                <w:color w:val="auto"/>
              </w:rPr>
              <w:t>Total backlog</w:t>
            </w: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698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1,521</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(823)</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(54.1)%</w:t>
            </w:r>
          </w:p>
        </w:tc>
      </w:tr>
      <w:tr>
        <w:trPr>
          <w:trHeight w:val="20"/>
        </w:trPr>
        <w:tc>
          <w:tcPr>
            <w:tcW w:w="4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54"/>
        </w:trPr>
        <w:tc>
          <w:tcPr>
            <w:tcW w:w="4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approximate revenue dollars (in thousands) </w:t>
            </w:r>
            <w:r>
              <w:rPr>
                <w:rFonts w:ascii="Arial" w:cs="Arial" w:eastAsia="Arial" w:hAnsi="Arial"/>
                <w:sz w:val="21"/>
                <w:szCs w:val="21"/>
                <w:color w:val="auto"/>
                <w:vertAlign w:val="superscript"/>
              </w:rPr>
              <w:t>(3)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   75,454</w:t>
            </w: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149,501</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(74,047)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(49.5)%</w:t>
            </w:r>
          </w:p>
        </w:tc>
      </w:tr>
    </w:tbl>
    <w:p>
      <w:pPr>
        <w:spacing w:after="0" w:line="18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ind w:left="340" w:right="120" w:hanging="332"/>
        <w:spacing w:after="0" w:line="238"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Class B backlog is currently not applicable given the fact that the ERA was temporarily discontinued during the 2011 model year. Current plans call for the ERA to be reintroduced in the 20 12 model year.</w:t>
      </w:r>
    </w:p>
    <w:p>
      <w:pPr>
        <w:ind w:left="340" w:right="160" w:hanging="332"/>
        <w:spacing w:after="0" w:line="242"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Current Quarter Compared to the Comparable Quarter Last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27" w:lineRule="exact"/>
        <w:rPr>
          <w:sz w:val="20"/>
          <w:szCs w:val="20"/>
          <w:color w:val="auto"/>
        </w:rPr>
      </w:pPr>
    </w:p>
    <w:p>
      <w:pPr>
        <w:ind w:left="4620" w:hanging="132"/>
        <w:spacing w:after="0"/>
        <w:tabs>
          <w:tab w:leader="none" w:pos="4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td style="vertical-align:bottom;"&gt;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6300"/>
        <w:spacing w:after="0"/>
        <w:rPr>
          <w:rFonts w:ascii="Arial" w:cs="Arial" w:eastAsia="Arial" w:hAnsi="Arial"/>
          <w:sz w:val="16"/>
          <w:szCs w:val="16"/>
          <w:color w:val="auto"/>
        </w:rPr>
      </w:pPr>
      <w:r>
        <w:rPr>
          <w:rFonts w:ascii="Arial" w:cs="Arial" w:eastAsia="Arial" w:hAnsi="Arial"/>
          <w:sz w:val="16"/>
          <w:szCs w:val="16"/>
          <w:b w:val="1"/>
          <w:bCs w:val="1"/>
          <w:color w:val="auto"/>
        </w:rPr>
        <w:t>Quarter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1"/>
              </w:rPr>
              <w:t>November 27,</w:t>
            </w: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40"/>
              <w:spacing w:after="0" w:line="180"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40" w:type="dxa"/>
            <w:vAlign w:val="bottom"/>
            <w:gridSpan w:val="2"/>
          </w:tcPr>
          <w:p>
            <w:pPr>
              <w:jc w:val="center"/>
              <w:ind w:right="120"/>
              <w:spacing w:after="0" w:line="180" w:lineRule="exact"/>
              <w:rPr>
                <w:sz w:val="20"/>
                <w:szCs w:val="20"/>
                <w:color w:val="auto"/>
              </w:rPr>
            </w:pPr>
            <w:r>
              <w:rPr>
                <w:rFonts w:ascii="Arial" w:cs="Arial" w:eastAsia="Arial" w:hAnsi="Arial"/>
                <w:sz w:val="16"/>
                <w:szCs w:val="16"/>
                <w:b w:val="1"/>
                <w:bCs w:val="1"/>
                <w:color w:val="auto"/>
              </w:rPr>
              <w:t>% of</w:t>
            </w:r>
          </w:p>
        </w:tc>
        <w:tc>
          <w:tcPr>
            <w:tcW w:w="1660" w:type="dxa"/>
            <w:vAlign w:val="bottom"/>
            <w:gridSpan w:val="2"/>
          </w:tcPr>
          <w:p>
            <w:pPr>
              <w:jc w:val="right"/>
              <w:ind w:right="259"/>
              <w:spacing w:after="0" w:line="180" w:lineRule="exact"/>
              <w:rPr>
                <w:sz w:val="20"/>
                <w:szCs w:val="20"/>
                <w:color w:val="auto"/>
              </w:rPr>
            </w:pPr>
            <w:r>
              <w:rPr>
                <w:rFonts w:ascii="Arial" w:cs="Arial" w:eastAsia="Arial" w:hAnsi="Arial"/>
                <w:sz w:val="16"/>
                <w:szCs w:val="16"/>
                <w:b w:val="1"/>
                <w:bCs w:val="1"/>
                <w:color w:val="auto"/>
              </w:rPr>
              <w:t>November 28,</w:t>
            </w:r>
          </w:p>
        </w:tc>
        <w:tc>
          <w:tcPr>
            <w:tcW w:w="420" w:type="dxa"/>
            <w:vAlign w:val="bottom"/>
          </w:tcPr>
          <w:p>
            <w:pPr>
              <w:spacing w:after="0"/>
              <w:rPr>
                <w:sz w:val="15"/>
                <w:szCs w:val="15"/>
                <w:color w:val="auto"/>
              </w:rPr>
            </w:pPr>
          </w:p>
        </w:tc>
        <w:tc>
          <w:tcPr>
            <w:tcW w:w="800" w:type="dxa"/>
            <w:vAlign w:val="bottom"/>
          </w:tcPr>
          <w:p>
            <w:pPr>
              <w:jc w:val="right"/>
              <w:ind w:right="359"/>
              <w:spacing w:after="0" w:line="180"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jc w:val="right"/>
              <w:ind w:right="399"/>
              <w:spacing w:after="0" w:line="180" w:lineRule="exact"/>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240"/>
              <w:spacing w:after="0" w:line="180"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40" w:type="dxa"/>
            <w:vAlign w:val="bottom"/>
          </w:tcPr>
          <w:p>
            <w:pPr>
              <w:spacing w:after="0"/>
              <w:rPr>
                <w:sz w:val="20"/>
                <w:szCs w:val="20"/>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540" w:type="dxa"/>
            <w:vAlign w:val="bottom"/>
          </w:tcPr>
          <w:p>
            <w:pPr>
              <w:spacing w:after="0"/>
              <w:rPr>
                <w:sz w:val="20"/>
                <w:szCs w:val="20"/>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b w:val="1"/>
                <w:bCs w:val="1"/>
                <w:color w:val="auto"/>
              </w:rPr>
              <w:t>2009</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20"/>
        </w:trPr>
        <w:tc>
          <w:tcPr>
            <w:tcW w:w="22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&lt; font style="font-</w:t>
            </w:r>
          </w:p>
        </w:tc>
        <w:tc>
          <w:tcPr>
            <w:tcW w:w="4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family:Arial;font-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size:9pt;font-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style:normal;font-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weight:normal;text-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81,017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decoration:none;"&gt;42,694</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52.7 %</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112,512</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90.9 %</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80,493</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99.4 %</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32,019</w:t>
            </w:r>
          </w:p>
        </w:tc>
        <w:tc>
          <w:tcPr>
            <w:tcW w:w="4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39.8 %</w:t>
            </w:r>
          </w:p>
        </w:tc>
        <w:tc>
          <w:tcPr>
            <w:tcW w:w="0" w:type="dxa"/>
            <w:vAlign w:val="bottom"/>
          </w:tcPr>
          <w:p>
            <w:pPr>
              <w:spacing w:after="0"/>
              <w:rPr>
                <w:sz w:val="1"/>
                <w:szCs w:val="1"/>
                <w:color w:val="auto"/>
              </w:rPr>
            </w:pPr>
          </w:p>
        </w:tc>
      </w:tr>
      <w:tr>
        <w:trPr>
          <w:trHeight w:val="25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11,199</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right w:val="single" w:sz="8" w:color="CCEEFF"/>
            </w:tcBorders>
          </w:tcPr>
          <w:p>
            <w:pPr>
              <w:jc w:val="right"/>
              <w:spacing w:after="0"/>
              <w:rPr>
                <w:sz w:val="20"/>
                <w:szCs w:val="20"/>
                <w:color w:val="auto"/>
              </w:rPr>
            </w:pPr>
            <w:r>
              <w:rPr>
                <w:rFonts w:ascii="Arial" w:cs="Arial" w:eastAsia="Arial" w:hAnsi="Arial"/>
                <w:sz w:val="16"/>
                <w:szCs w:val="16"/>
                <w:color w:val="auto"/>
              </w:rPr>
              <w:t>10,675</w:t>
            </w:r>
          </w:p>
        </w:tc>
        <w:tc>
          <w:tcPr>
            <w:tcW w:w="4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247"/>
        </w:trPr>
        <w:tc>
          <w:tcPr>
            <w:tcW w:w="2260" w:type="dxa"/>
            <w:vAlign w:val="bottom"/>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3,267</w:t>
            </w: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3,229</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8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3,272</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18"/>
        </w:trPr>
        <w:tc>
          <w:tcPr>
            <w:tcW w:w="2260" w:type="dxa"/>
            <w:vAlign w:val="bottom"/>
          </w:tcPr>
          <w:p>
            <w:pPr>
              <w:ind w:left="40"/>
              <w:spacing w:after="0"/>
              <w:rPr>
                <w:sz w:val="20"/>
                <w:szCs w:val="20"/>
                <w:color w:val="auto"/>
              </w:rPr>
            </w:pPr>
            <w:r>
              <w:rPr>
                <w:rFonts w:ascii="Arial" w:cs="Arial" w:eastAsia="Arial" w:hAnsi="Arial"/>
                <w:sz w:val="16"/>
                <w:szCs w:val="16"/>
                <w:color w:val="auto"/>
              </w:rPr>
              <w:t>Gain on sale of asset held for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00"/>
        </w:trPr>
        <w:tc>
          <w:tcPr>
            <w:tcW w:w="2260" w:type="dxa"/>
            <w:vAlign w:val="bottom"/>
            <w:vMerge w:val="restart"/>
          </w:tcPr>
          <w:p>
            <w:pPr>
              <w:ind w:left="40"/>
              <w:spacing w:after="0"/>
              <w:rPr>
                <w:sz w:val="20"/>
                <w:szCs w:val="20"/>
                <w:color w:val="auto"/>
              </w:rPr>
            </w:pPr>
            <w:r>
              <w:rPr>
                <w:rFonts w:ascii="Arial" w:cs="Arial" w:eastAsia="Arial" w:hAnsi="Arial"/>
                <w:sz w:val="16"/>
                <w:szCs w:val="16"/>
                <w:color w:val="auto"/>
              </w:rPr>
              <w:t>sale</w:t>
            </w:r>
          </w:p>
        </w:tc>
        <w:tc>
          <w:tcPr>
            <w:tcW w:w="140" w:type="dxa"/>
            <w:vAlign w:val="bottom"/>
          </w:tcPr>
          <w:p>
            <w:pPr>
              <w:spacing w:after="0"/>
              <w:rPr>
                <w:sz w:val="8"/>
                <w:szCs w:val="8"/>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(644)</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8"/>
                <w:szCs w:val="8"/>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140" w:type="dxa"/>
            <w:vAlign w:val="bottom"/>
            <w:gridSpan w:val="2"/>
            <w:vMerge w:val="restart"/>
          </w:tcPr>
          <w:p>
            <w:pPr>
              <w:jc w:val="right"/>
              <w:ind w:right="319"/>
              <w:spacing w:after="0"/>
              <w:rPr>
                <w:sz w:val="20"/>
                <w:szCs w:val="20"/>
                <w:color w:val="auto"/>
              </w:rPr>
            </w:pPr>
            <w:r>
              <w:rPr>
                <w:rFonts w:ascii="Arial" w:cs="Arial" w:eastAsia="Arial" w:hAnsi="Arial"/>
                <w:sz w:val="16"/>
                <w:szCs w:val="16"/>
                <w:color w:val="auto"/>
              </w:rPr>
              <w:t>(644)</w:t>
            </w:r>
          </w:p>
        </w:tc>
        <w:tc>
          <w:tcPr>
            <w:tcW w:w="2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140" w:type="dxa"/>
            <w:vAlign w:val="bottom"/>
            <w:gridSpan w:val="2"/>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6,274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6,501</w:t>
            </w: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(227)</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7"/>
        </w:trPr>
        <w:tc>
          <w:tcPr>
            <w:tcW w:w="2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4,925</w:t>
            </w:r>
          </w:p>
        </w:tc>
        <w:tc>
          <w:tcPr>
            <w:tcW w:w="122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(5,977)</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10,902</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182.4 %</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non-operating inc (exp)</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4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198"/>
        </w:trPr>
        <w:tc>
          <w:tcPr>
            <w:tcW w:w="2260" w:type="dxa"/>
            <w:vAlign w:val="bottom"/>
          </w:tcPr>
          <w:p>
            <w:pPr>
              <w:ind w:left="40"/>
              <w:spacing w:after="0"/>
              <w:rPr>
                <w:sz w:val="20"/>
                <w:szCs w:val="20"/>
                <w:color w:val="auto"/>
              </w:rPr>
            </w:pPr>
            <w:r>
              <w:rPr>
                <w:rFonts w:ascii="Arial" w:cs="Arial" w:eastAsia="Arial" w:hAnsi="Arial"/>
                <w:sz w:val="16"/>
                <w:szCs w:val="16"/>
                <w:color w:val="auto"/>
              </w:rPr>
              <w:t>Income (loss) before income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60" w:type="dxa"/>
            <w:vAlign w:val="bottom"/>
          </w:tcPr>
          <w:p>
            <w:pPr>
              <w:ind w:left="4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5,077</w:t>
            </w:r>
          </w:p>
        </w:tc>
        <w:tc>
          <w:tcPr>
            <w:tcW w:w="122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(6,210)</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11,287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181.8 %</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4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126.5 %</w:t>
            </w: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$&lt;</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381.7 %</w:t>
            </w:r>
          </w:p>
        </w:tc>
        <w:tc>
          <w:tcPr>
            <w:tcW w:w="0" w:type="dxa"/>
            <w:vAlign w:val="bottom"/>
          </w:tcPr>
          <w:p>
            <w:pPr>
              <w:spacing w:after="0"/>
              <w:rPr>
                <w:sz w:val="1"/>
                <w:szCs w:val="1"/>
                <w:color w:val="auto"/>
              </w:rPr>
            </w:pPr>
          </w:p>
        </w:tc>
      </w:tr>
      <w:tr>
        <w:trPr>
          <w:trHeight w:val="251"/>
        </w:trPr>
        <w:tc>
          <w:tcPr>
            <w:tcW w:w="22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3,786</w:t>
            </w:r>
          </w:p>
        </w:tc>
        <w:tc>
          <w:tcPr>
            <w:tcW w:w="122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/font&gt;</w:t>
            </w:r>
          </w:p>
        </w:tc>
        <w:tc>
          <w:tcPr>
            <w:tcW w:w="1120" w:type="dxa"/>
            <w:vAlign w:val="bottom"/>
          </w:tcPr>
          <w:p>
            <w:pPr>
              <w:jc w:val="right"/>
              <w:spacing w:after="0"/>
              <w:rPr>
                <w:sz w:val="20"/>
                <w:szCs w:val="20"/>
                <w:color w:val="auto"/>
              </w:rPr>
            </w:pPr>
            <w:r>
              <w:rPr>
                <w:rFonts w:ascii="Arial" w:cs="Arial" w:eastAsia="Arial" w:hAnsi="Arial"/>
                <w:sz w:val="16"/>
                <w:szCs w:val="16"/>
                <w:color w:val="auto"/>
              </w:rPr>
              <w:t>(1,344)</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5,130</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2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right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260" w:type="dxa"/>
            <w:vAlign w:val="bottom"/>
          </w:tcPr>
          <w:p>
            <w:pPr>
              <w:ind w:left="40"/>
              <w:spacing w:after="0"/>
              <w:rPr>
                <w:sz w:val="20"/>
                <w:szCs w:val="20"/>
                <w:color w:val="auto"/>
              </w:rPr>
            </w:pPr>
            <w:r>
              <w:rPr>
                <w:rFonts w:ascii="Arial" w:cs="Arial" w:eastAsia="Arial" w:hAnsi="Arial"/>
                <w:sz w:val="16"/>
                <w:szCs w:val="16"/>
                <w:color w:val="auto"/>
              </w:rPr>
              <w:t>Diluted income (loss) per</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0.13</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$0.18</w:t>
            </w:r>
          </w:p>
        </w:tc>
        <w:tc>
          <w:tcPr>
            <w:tcW w:w="1700" w:type="dxa"/>
            <w:vAlign w:val="bottom"/>
          </w:tcPr>
          <w:p>
            <w:pPr>
              <w:spacing w:after="0"/>
              <w:rPr>
                <w:sz w:val="18"/>
                <w:szCs w:val="18"/>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360.0 %</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gridSpan w:val="2"/>
            <w:vMerge w:val="continue"/>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6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color w:val="auto"/>
              </w:rPr>
              <w:t>Fully diluted average shares</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29,115</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29,086</w:t>
            </w: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average sales price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27,</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Product</w:t>
            </w:r>
          </w:p>
        </w:tc>
        <w:tc>
          <w:tcPr>
            <w:tcW w:w="140" w:type="dxa"/>
            <w:vAlign w:val="bottom"/>
          </w:tcPr>
          <w:p>
            <w:pPr>
              <w:spacing w:after="0"/>
              <w:rPr>
                <w:sz w:val="17"/>
                <w:szCs w:val="17"/>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28,</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Increase</w:t>
            </w: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40" w:type="dxa"/>
            <w:vAlign w:val="bottom"/>
          </w:tcPr>
          <w:p>
            <w:pPr>
              <w:spacing w:after="0"/>
              <w:rPr>
                <w:sz w:val="19"/>
                <w:szCs w:val="19"/>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Mix*</w:t>
            </w:r>
          </w:p>
        </w:tc>
        <w:tc>
          <w:tcPr>
            <w:tcW w:w="140" w:type="dxa"/>
            <w:vAlign w:val="bottom"/>
          </w:tcPr>
          <w:p>
            <w:pPr>
              <w:spacing w:after="0"/>
              <w:rPr>
                <w:sz w:val="19"/>
                <w:szCs w:val="19"/>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2009</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Mix*</w:t>
            </w:r>
          </w:p>
        </w:tc>
        <w:tc>
          <w:tcPr>
            <w:tcW w:w="20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(Decrease)</w:t>
            </w: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0"/>
        </w:trPr>
        <w:tc>
          <w:tcPr>
            <w:tcW w:w="3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5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65.5 %</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58.8 %</w:t>
            </w:r>
          </w:p>
        </w:tc>
        <w:tc>
          <w:tcPr>
            <w:tcW w:w="0" w:type="dxa"/>
            <w:vAlign w:val="bottom"/>
          </w:tcPr>
          <w:p>
            <w:pPr>
              <w:spacing w:after="0"/>
              <w:rPr>
                <w:sz w:val="1"/>
                <w:szCs w:val="1"/>
                <w:color w:val="auto"/>
              </w:rPr>
            </w:pPr>
          </w:p>
        </w:tc>
      </w:tr>
      <w:tr>
        <w:trPr>
          <w:trHeight w:val="260"/>
        </w:trPr>
        <w:tc>
          <w:tcPr>
            <w:tcW w:w="3000" w:type="dxa"/>
            <w:vAlign w:val="bottom"/>
          </w:tcPr>
          <w:p>
            <w:pPr>
              <w:ind w:left="40"/>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62</w:t>
            </w:r>
          </w:p>
        </w:tc>
        <w:tc>
          <w:tcPr>
            <w:tcW w:w="11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color w:val="auto"/>
              </w:rPr>
              <w:t>(61)</w:t>
            </w:r>
          </w:p>
        </w:tc>
        <w:tc>
          <w:tcPr>
            <w:tcW w:w="114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2"/>
        </w:trPr>
        <w:tc>
          <w:tcPr>
            <w:tcW w:w="30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&amp;n</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138</w:t>
            </w:r>
            <w:r>
              <w:rPr>
                <w:rFonts w:ascii="Arial" w:cs="Arial" w:eastAsia="Arial" w:hAnsi="Arial"/>
                <w:sz w:val="18"/>
                <w:szCs w:val="18"/>
                <w:color w:val="auto"/>
              </w:rPr>
              <w:t>bsp;</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1,115</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000" w:type="dxa"/>
            <w:vAlign w:val="bottom"/>
          </w:tcPr>
          <w:p>
            <w:pPr>
              <w:ind w:left="40"/>
              <w:spacing w:after="0"/>
              <w:rPr>
                <w:sz w:val="20"/>
                <w:szCs w:val="20"/>
                <w:color w:val="auto"/>
              </w:rPr>
            </w:pPr>
            <w:r>
              <w:rPr>
                <w:rFonts w:ascii="Arial" w:cs="Arial" w:eastAsia="Arial" w:hAnsi="Arial"/>
                <w:sz w:val="16"/>
                <w:szCs w:val="16"/>
                <w:color w:val="auto"/>
              </w:rPr>
              <w:t>Total deliveries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&lt; /td&gt;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794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 (in thousands)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w:t>
            </w: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w:t>
            </w: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first quarter of Fiscal 2011 increased $42.7 million, or 52.7 percent, compared to the first quarter of Fiscal 2010, due to the following:</w:t>
      </w:r>
    </w:p>
    <w:p>
      <w:pPr>
        <w:spacing w:after="0" w:line="5" w:lineRule="exact"/>
        <w:rPr>
          <w:sz w:val="20"/>
          <w:szCs w:val="20"/>
          <w:color w:val="auto"/>
        </w:rPr>
      </w:pPr>
    </w:p>
    <w:p>
      <w:pPr>
        <w:ind w:left="420" w:hanging="250"/>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Volume increase: The primary reason for the net revenue increase was due to an increase in unit deliveries of 40.4 percent.</w:t>
      </w:r>
    </w:p>
    <w:p>
      <w:pPr>
        <w:spacing w:after="0" w:line="5" w:lineRule="exact"/>
        <w:rPr>
          <w:rFonts w:ascii="Arial" w:cs="Arial" w:eastAsia="Arial" w:hAnsi="Arial"/>
          <w:sz w:val="16"/>
          <w:szCs w:val="16"/>
          <w:color w:val="auto"/>
        </w:rPr>
      </w:pPr>
    </w:p>
    <w:p>
      <w:pPr>
        <w:ind w:left="420" w:right="340" w:hanging="250"/>
        <w:spacing w:after="0" w:line="246"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Pricing and mix: Our motor home ASP increased 9.1 percent. This increase was primarily due to a shift to higher-priced product as our sales mix was more heavily weighted to Class A product and a decrease of product discounts offered at the wholesale level.</w:t>
      </w:r>
    </w:p>
    <w:p>
      <w:pPr>
        <w:jc w:val="both"/>
        <w:ind w:left="420" w:right="40" w:hanging="250"/>
        <w:spacing w:after="0" w:line="246"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which are deductions from gross revenues, decreased 2.6 percent (as a percent of net revenues). In the prior year, we had more retail incentive programs in place to help stimulate dealer retail demand to move aged units. Better retail market conditions and significantly improved dealer inventory aging are the key reasons these types of promotional incentives are lower this year.</w:t>
      </w:r>
    </w:p>
    <w:p>
      <w:pPr>
        <w:spacing w:after="0" w:line="1" w:lineRule="exact"/>
        <w:rPr>
          <w:rFonts w:ascii="Arial" w:cs="Arial" w:eastAsia="Arial" w:hAnsi="Arial"/>
          <w:sz w:val="16"/>
          <w:szCs w:val="16"/>
          <w:color w:val="auto"/>
        </w:rPr>
      </w:pPr>
    </w:p>
    <w:p>
      <w:pPr>
        <w:ind w:left="420" w:hanging="250"/>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revenue: Revenues for motor home parts and services and other manufacturing products increased 6.2 percent.</w:t>
      </w:r>
    </w:p>
    <w:p>
      <w:pPr>
        <w:spacing w:after="0" w:line="182"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auto"/>
        </w:rPr>
        <w:t>Cost of products sold was $112.5 million, or 90.9 percent of net revenues for the first quarter of Fiscal 2011 compared to $80.5 million, or 99.4 percent of net revenues for the comparable period a year ago due to the following:</w:t>
      </w:r>
    </w:p>
    <w:p>
      <w:pPr>
        <w:ind w:left="420" w:right="280" w:hanging="250"/>
        <w:spacing w:after="0" w:line="246"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change in our variable costs (material, labor, variable overhead, delivery, and warranty) increased $31.5 million, which was primarily caused by increased sales volume. Total variable costs, as a percent of net revenues, decreased to 83.0 percent from 87.9 percent last year. This difference was primarily due to decreased discounting and promotional incentives.</w:t>
      </w:r>
    </w:p>
    <w:p>
      <w:pPr>
        <w:spacing w:after="0" w:line="1" w:lineRule="exact"/>
        <w:rPr>
          <w:rFonts w:ascii="Arial" w:cs="Arial" w:eastAsia="Arial" w:hAnsi="Arial"/>
          <w:sz w:val="16"/>
          <w:szCs w:val="16"/>
          <w:color w:val="auto"/>
        </w:rPr>
      </w:pPr>
    </w:p>
    <w:p>
      <w:pPr>
        <w:ind w:left="420" w:hanging="250"/>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7.9 percent of</w:t>
      </w:r>
    </w:p>
    <w:p>
      <w:pPr>
        <w:sectPr>
          <w:pgSz w:w="11900" w:h="16838" w:orient="portrait"/>
          <w:cols w:equalWidth="0" w:num="1">
            <w:col w:w="11420"/>
          </w:cols>
          <w:pgMar w:left="240" w:top="141" w:right="239" w:bottom="0" w:gutter="0" w:footer="0" w:header="0"/>
        </w:sectPr>
      </w:pPr>
    </w:p>
    <w:bookmarkStart w:id="17" w:name="page18"/>
    <w:bookmarkEnd w:id="17"/>
    <w:p>
      <w:pPr>
        <w:spacing w:after="0" w:line="260" w:lineRule="auto"/>
        <w:rPr>
          <w:sz w:val="20"/>
          <w:szCs w:val="20"/>
          <w:color w:val="auto"/>
        </w:rPr>
      </w:pPr>
      <w:r>
        <w:rPr>
          <w:rFonts w:ascii="Arial" w:cs="Arial" w:eastAsia="Arial" w:hAnsi="Arial"/>
          <w:sz w:val="16"/>
          <w:szCs w:val="16"/>
          <w:color w:val="auto"/>
        </w:rPr>
        <w:t>net revenues compared to 11.4 percent last year. This difference was primarily due to higher absorption of fi xed costs as a result of higher production volume.</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700"/>
          </w:cols>
          <w:pgMar w:left="660" w:top="141" w:right="539" w:bottom="1440" w:gutter="0" w:footer="0" w:header="0"/>
        </w:sectPr>
      </w:pPr>
    </w:p>
    <w:bookmarkStart w:id="18" w:name="page19"/>
    <w:bookmarkEnd w:id="18"/>
    <w:p>
      <w:pPr>
        <w:jc w:val="cente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67" w:lineRule="exact"/>
        <w:rPr>
          <w:sz w:val="20"/>
          <w:szCs w:val="20"/>
          <w:color w:val="auto"/>
        </w:rPr>
      </w:pPr>
    </w:p>
    <w:p>
      <w:pPr>
        <w:ind w:left="420" w:hanging="250"/>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0.6 percent to 9.1 percent of net revenues.</w:t>
      </w:r>
    </w:p>
    <w:p>
      <w:pPr>
        <w:spacing w:after="0" w:line="19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General and administrative expenses increased $379,000, or 11.6 percent, during the first quarter of Fiscal 2011 and, as a percentage of net revenues were 3.0 percent and 4.0 percent for the first quarters of Fiscal 2011 and Fiscal 2010, respectively. The expense increase was due primarily to employee-related expenses.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realized a gain of $644,000 on the sale of CCMF, one of our assets held for sale. See Note 6.</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Non-operating income increased $385,000, or 165.2 percent, during the first quarter of Fiscal 2011. This difference is primarily due to a decrease in our line of credit costs of $387,000 as a termination fee of $375,000 was paid last year to Wells Fargo to terminate the credit and security agreement with them.</w:t>
      </w:r>
    </w:p>
    <w:p>
      <w:pPr>
        <w:spacing w:after="0" w:line="16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overall effective income tax rate for t he first quarter of Fiscal 2011 was 25.4 percent compared to a benefit of (78.3) percent for the first quarter of Fiscal 2010. Most notably, our effective tax rate the first quarter of Fiscal 2011 was positively impacted by the sale of CCMF by approximately 4 percent, as this transaction resulted in a tax loss even though we incurred a gain for book purposes. Our tax benefit of (78.3) percent in the first quarter of Fiscal 2010 related entirely to the carryback of Fiscal 2009 losses due to a tax law change. During the first quarter of Fiscal 2010, the President of the United States signed into law the Worker, Homeownership, and Business Assistance Act of 2009, which expanded the carryback period from two to five years, which allowed us to carryback all Fiscal 2009 NOL. As a result, we recorded a tax benefit of $4.8 million and reduced the associated valuation allowance due to this beneficial tax law change.</w:t>
      </w:r>
    </w:p>
    <w:p>
      <w:pPr>
        <w:spacing w:after="0" w:line="182" w:lineRule="exact"/>
        <w:rPr>
          <w:sz w:val="20"/>
          <w:szCs w:val="20"/>
          <w:color w:val="auto"/>
        </w:rPr>
      </w:pPr>
    </w:p>
    <w:p>
      <w:pPr>
        <w:jc w:val="center"/>
        <w:ind w:left="260" w:right="20"/>
        <w:spacing w:after="0" w:line="260" w:lineRule="auto"/>
        <w:rPr>
          <w:sz w:val="20"/>
          <w:szCs w:val="20"/>
          <w:color w:val="auto"/>
        </w:rPr>
      </w:pPr>
      <w:r>
        <w:rPr>
          <w:rFonts w:ascii="Arial" w:cs="Arial" w:eastAsia="Arial" w:hAnsi="Arial"/>
          <w:sz w:val="16"/>
          <w:szCs w:val="16"/>
          <w:color w:val="auto"/>
        </w:rPr>
        <w:t>Net income was $3.8 million, or $0.13 per diluted share, for the first quarter of Fiscal 2011 compared to a net loss of $1.3 million, or $0.05 per diluted share, for the first quarter of Fiscal 2010. See Note 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totaled $81.2 million and $74.7 million as of November 27, 2010 and August 28, 2010,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Significant liquidity events in the first quarter of Fiscal 2011 include:</w:t>
      </w:r>
    </w:p>
    <w:p>
      <w:pPr>
        <w:spacing w:after="0" w:line="5" w:lineRule="exact"/>
        <w:rPr>
          <w:sz w:val="20"/>
          <w:szCs w:val="20"/>
          <w:color w:val="auto"/>
        </w:rPr>
      </w:pPr>
    </w:p>
    <w:p>
      <w:pPr>
        <w:ind w:left="420" w:hanging="250"/>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income of &lt; font style="font-family:Arial;font-size:9pt;color:#000000;text-decoration:none;"&gt;$3.8 million.</w:t>
      </w:r>
    </w:p>
    <w:p>
      <w:pPr>
        <w:spacing w:after="0" w:line="5" w:lineRule="exact"/>
        <w:rPr>
          <w:rFonts w:ascii="Arial" w:cs="Arial" w:eastAsia="Arial" w:hAnsi="Arial"/>
          <w:sz w:val="16"/>
          <w:szCs w:val="16"/>
          <w:color w:val="auto"/>
        </w:rPr>
      </w:pPr>
    </w:p>
    <w:p>
      <w:pPr>
        <w:ind w:left="420" w:hanging="250"/>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proceeds of $3.7 million due to the sale of CCMF.</w:t>
      </w:r>
    </w:p>
    <w:p>
      <w:pPr>
        <w:spacing w:after="0" w:line="5" w:lineRule="exact"/>
        <w:rPr>
          <w:rFonts w:ascii="Arial" w:cs="Arial" w:eastAsia="Arial" w:hAnsi="Arial"/>
          <w:sz w:val="16"/>
          <w:szCs w:val="16"/>
          <w:color w:val="auto"/>
        </w:rPr>
      </w:pPr>
    </w:p>
    <w:p>
      <w:pPr>
        <w:ind w:left="420" w:right="220" w:hanging="250"/>
        <w:spacing w:after="0" w:line="26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ARS redemptions at par of $1.2 million. Subsequent to the end of the quarter, we have had $5.3 million of additional ARS redemptions at par. We have $11.4 million ARS at par value classified as long-term investments as of November 27, 2010. See further discussion in Note 4.</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also have in place a $20.0 million revolving credit facility, as described in further detail in Note 7, which allows us to borrow up to $12.5 million without financial covenant restr ictions if there is adequate asset coverage. We had sufficient asset coverage in accounts receivable and inventory as of November 27, 2010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 ons, we have the ability to offer and sell up to $35 million of our common stock in one or more offerings pursuant to the Registration Statement. The Registration Statement will be available for use for three years. We currently have no plans to offer and sell the common stock registered under the Registration Statement; however, it does provide another source of liquidity in addition to the alternatives already in place.</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Working capital at November 27, 2010 and August 28, 2010 was $104.5 million and $91.3 million, respectively, an increase of $13.2 million. We currently expect cash on hand, funds generated from operations (if any) and the availability under the credit facility to be sufficient to cover both short-term and long-term operation requirements. We anticipate capital expenditures during the balance of Fiscal 2011 of approximately $2.3 million, primarily for manufacturing equipment and facilities which will be funded wi th cash on hand.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Operating Activities</w:t>
      </w:r>
    </w:p>
    <w:p>
      <w:pPr>
        <w:spacing w:after="0" w:line="2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Cash provided by operating activities was $2.2 million for the quarter ended November 27, 2010 compared to cash used in operating activities of $5.9 million for the quarter ended November 28, 2009. The combination of net income of $3.8 million in the current fiscal year and an improvement in non-cash charges (e.g., depreciation, stock-based compensation) provided $5.0 million of operating cash compared to a usage of $490, 000 in the prior year period. In Fiscal 2011, changes in assets and liabilities (primarily accounts payable and accrued expenses) was a usage of $2.8 million of operating cash. Cash use in the first quarter of Fiscal 2010 was for increased inventories du e to a ramp up of production and to support the quarter's net loss.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Investing Activities</w:t>
      </w:r>
    </w:p>
    <w:p>
      <w:pPr>
        <w:spacing w:after="0" w:line="2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Cash provided by investing activities was due primarily to ARS redemptions of $1.2 million in the quarter ended November 27, 2010, partially off set by capital spending of $667,000. During the quarter ended November 28, 2009, cash used by investing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9" w:name="page20"/>
    <w:bookmarkEnd w:id="19"/>
    <w:p>
      <w:pPr>
        <w:ind w:left="508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activities of $929,000 was in part due to manufacturing equipment purchases.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Financing Activities</w:t>
      </w:r>
    </w:p>
    <w:p>
      <w:pPr>
        <w:spacing w:after="0" w:line="2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Cash used in financing activities was $25,000 for the quarter ended November 27, 2010. The primary use of cash in financing activities for the quarter ended November 28, 2009 was $341,000 associated with the set up of the Burdale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w:t>
      </w:r>
    </w:p>
    <w:p>
      <w:pPr>
        <w:spacing w:after="0" w:line="5" w:lineRule="exact"/>
        <w:rPr>
          <w:sz w:val="20"/>
          <w:szCs w:val="20"/>
          <w:color w:val="auto"/>
        </w:rPr>
      </w:pPr>
    </w:p>
    <w:p>
      <w:pPr>
        <w:jc w:val="center"/>
        <w:ind w:left="260" w:right="20"/>
        <w:spacing w:after="0" w:line="250" w:lineRule="auto"/>
        <w:rPr>
          <w:sz w:val="20"/>
          <w:szCs w:val="20"/>
          <w:color w:val="auto"/>
        </w:rPr>
      </w:pPr>
      <w:r>
        <w:rPr>
          <w:rFonts w:ascii="Arial" w:cs="Arial" w:eastAsia="Arial" w:hAnsi="Arial"/>
          <w:sz w:val="16"/>
          <w:szCs w:val="16"/>
          <w:color w:val="auto"/>
        </w:rPr>
        <w:t>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 ences could be material.</w:t>
      </w:r>
    </w:p>
    <w:p>
      <w:pPr>
        <w:spacing w:after="0" w:line="176"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Revenues from the sales of our Original Equipment Manufacturing (OEM) and motor home-related parts are recorded as the products are shipped from our location. The title of ownership transfers on these products as they leave our location due to the freight terms of F.O.B. - Forest City, Iowa.</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 les promotion and incentive programs or if the retail customer usage rate varies from historical trends. Historically, sales promotion and incentive expenses have been within our expectations and differences have not been 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provide with the purchase of any new motor home, a comprehensive 12-month/15,000-mile warranty on Class A, Class B and Class C motor homes and a 3-year/36,000-mile warranty on Class A and Class C sidewalls and floors. Estimated costs related to product warranty are accrued at the time of sale and are based upon past warranty claims and unit sales history and adjusted as required to reflect actual costs i 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only recognize tax benefits for filing posit 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 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20" w:name="page21"/>
    <w:bookmarkEnd w:id="20"/>
    <w:p>
      <w:pPr>
        <w:ind w:left="508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tax laws, the level of our earnings or losses and the results of tax audits.</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 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account for income taxes in accordance with ASC 740. As part of the process of preparing our financial statements, we are required to estimate our income taxes in each of the jurisdictions in which we operate. Significant judgment is required in deter 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to be appropriate. We wi 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Thus, a significant increas e or decrease in interest rates could have a significant impact on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8"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&lt; div style="line-height:120%;text-align:left;font-size:9pt;"&gt;</w:t>
      </w:r>
      <w:r>
        <w:rPr>
          <w:rFonts w:ascii="Arial" w:cs="Arial" w:eastAsia="Arial" w:hAnsi="Arial"/>
          <w:sz w:val="16"/>
          <w:szCs w:val="16"/>
          <w:i w:val="1"/>
          <w:iCs w:val="1"/>
          <w:color w:val="auto"/>
        </w:rPr>
        <w:t>Changes in Internal Control Over Financial Reporting</w:t>
      </w:r>
    </w:p>
    <w:p>
      <w:pPr>
        <w:spacing w:after="0" w:line="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41" w:right="259" w:bottom="1440" w:gutter="0" w:footer="0" w:header="0"/>
        </w:sectPr>
      </w:pPr>
    </w:p>
    <w:bookmarkStart w:id="21" w:name="page22"/>
    <w:bookmarkEnd w:id="21"/>
    <w:p>
      <w:pPr>
        <w:jc w:val="cente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1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 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D ecember 19, 2007, the Board of Directors authorized the repurchase of outstanding shares of our common stock, depending on market conditions, for an aggregate consideration of up to $60 million. There is no time restriction on this authorization. During the first quarter of Fiscal 2011, 8,303 shares were repurchased under this authorization for an aggregate consideration of approximately $89,000. These shares were repurchased from employees who vested in Winnebago shares during the quarter and elected to pay their payroll tax via shares as opposed to cash.</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first quarter of Fiscal 2011: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&lt; td style="vertical-align:bottom;"&gt;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600" w:type="dxa"/>
            <w:vAlign w:val="bottom"/>
          </w:tcPr>
          <w:p>
            <w:pPr>
              <w:spacing w:after="0"/>
              <w:rPr>
                <w:sz w:val="16"/>
                <w:szCs w:val="16"/>
                <w:color w:val="auto"/>
              </w:rPr>
            </w:pPr>
          </w:p>
        </w:tc>
        <w:tc>
          <w:tcPr>
            <w:tcW w:w="28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3420" w:type="dxa"/>
            <w:vAlign w:val="bottom"/>
            <w:gridSpan w:val="4"/>
          </w:tcPr>
          <w:p>
            <w:pPr>
              <w:jc w:val="center"/>
              <w:spacing w:after="0"/>
              <w:rPr>
                <w:sz w:val="20"/>
                <w:szCs w:val="20"/>
                <w:color w:val="auto"/>
              </w:rPr>
            </w:pPr>
            <w:r>
              <w:rPr>
                <w:rFonts w:ascii="Arial" w:cs="Arial" w:eastAsia="Arial" w:hAnsi="Arial"/>
                <w:sz w:val="16"/>
                <w:szCs w:val="16"/>
                <w:b w:val="1"/>
                <w:bCs w:val="1"/>
                <w:color w:val="auto"/>
              </w:rPr>
              <w:t>of Shares That May Yet Be Purchased</w:t>
            </w:r>
          </w:p>
        </w:tc>
      </w:tr>
      <w:tr>
        <w:trPr>
          <w:trHeight w:val="189"/>
        </w:trPr>
        <w:tc>
          <w:tcPr>
            <w:tcW w:w="2360" w:type="dxa"/>
            <w:vAlign w:val="bottom"/>
          </w:tcPr>
          <w:p>
            <w:pPr>
              <w:spacing w:after="0"/>
              <w:rPr>
                <w:sz w:val="16"/>
                <w:szCs w:val="16"/>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 Price Paid per</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rPr>
              <w:t>Under the</w:t>
            </w:r>
          </w:p>
        </w:tc>
      </w:tr>
      <w:tr>
        <w:trPr>
          <w:trHeight w:val="228"/>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Purchased</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Share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6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6"/>
                <w:szCs w:val="16"/>
                <w:b w:val="1"/>
                <w:bCs w:val="1"/>
                <w:color w:val="auto"/>
              </w:rPr>
              <w:t>Plans or Programs&lt; /font&gt;</w:t>
            </w: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08/29/10 - 10/02/10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59,334,000</w:t>
            </w:r>
          </w:p>
        </w:tc>
        <w:tc>
          <w:tcPr>
            <w:tcW w:w="400" w:type="dxa"/>
            <w:vAlign w:val="bottom"/>
            <w:shd w:val="clear" w:color="auto" w:fill="CCEEFF"/>
          </w:tcPr>
          <w:p>
            <w:pPr>
              <w:spacing w:after="0"/>
              <w:rPr>
                <w:sz w:val="23"/>
                <w:szCs w:val="23"/>
                <w:color w:val="auto"/>
              </w:rPr>
            </w:pPr>
          </w:p>
        </w:tc>
      </w:tr>
      <w:tr>
        <w:trPr>
          <w:trHeight w:val="218"/>
        </w:trPr>
        <w:tc>
          <w:tcPr>
            <w:tcW w:w="2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4"/>
        </w:trPr>
        <w:tc>
          <w:tcPr>
            <w:tcW w:w="2360" w:type="dxa"/>
            <w:vAlign w:val="bottom"/>
          </w:tcPr>
          <w:p>
            <w:pPr>
              <w:ind w:left="40"/>
              <w:spacing w:after="0"/>
              <w:rPr>
                <w:sz w:val="20"/>
                <w:szCs w:val="20"/>
                <w:color w:val="auto"/>
              </w:rPr>
            </w:pPr>
            <w:r>
              <w:rPr>
                <w:rFonts w:ascii="Arial" w:cs="Arial" w:eastAsia="Arial" w:hAnsi="Arial"/>
                <w:sz w:val="16"/>
                <w:szCs w:val="16"/>
                <w:color w:val="auto"/>
              </w:rPr>
              <w:t>10/03/10 - 10/30/10</w:t>
            </w:r>
          </w:p>
        </w:tc>
        <w:tc>
          <w:tcPr>
            <w:tcW w:w="1500" w:type="dxa"/>
            <w:vAlign w:val="bottom"/>
          </w:tcPr>
          <w:p>
            <w:pPr>
              <w:jc w:val="right"/>
              <w:spacing w:after="0"/>
              <w:rPr>
                <w:sz w:val="20"/>
                <w:szCs w:val="20"/>
                <w:color w:val="auto"/>
              </w:rPr>
            </w:pPr>
            <w:r>
              <w:rPr>
                <w:rFonts w:ascii="Arial" w:cs="Arial" w:eastAsia="Arial" w:hAnsi="Arial"/>
                <w:sz w:val="16"/>
                <w:szCs w:val="16"/>
                <w:color w:val="auto"/>
              </w:rPr>
              <w:t>8,303</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10.77</w:t>
            </w:r>
          </w:p>
        </w:tc>
        <w:tc>
          <w:tcPr>
            <w:tcW w:w="1940" w:type="dxa"/>
            <w:vAlign w:val="bottom"/>
          </w:tcPr>
          <w:p>
            <w:pPr>
              <w:jc w:val="right"/>
              <w:spacing w:after="0"/>
              <w:rPr>
                <w:sz w:val="20"/>
                <w:szCs w:val="20"/>
                <w:color w:val="auto"/>
              </w:rPr>
            </w:pPr>
            <w:r>
              <w:rPr>
                <w:rFonts w:ascii="Arial" w:cs="Arial" w:eastAsia="Arial" w:hAnsi="Arial"/>
                <w:sz w:val="16"/>
                <w:szCs w:val="16"/>
                <w:color w:val="auto"/>
              </w:rPr>
              <w:t>8,303</w:t>
            </w:r>
          </w:p>
        </w:tc>
        <w:tc>
          <w:tcPr>
            <w:tcW w:w="1740" w:type="dxa"/>
            <w:vAlign w:val="bottom"/>
          </w:tcPr>
          <w:p>
            <w:pPr>
              <w:spacing w:after="0"/>
              <w:rPr>
                <w:sz w:val="17"/>
                <w:szCs w:val="17"/>
                <w:color w:val="auto"/>
              </w:rPr>
            </w:pPr>
          </w:p>
        </w:tc>
        <w:tc>
          <w:tcPr>
            <w:tcW w:w="3020" w:type="dxa"/>
            <w:vAlign w:val="bottom"/>
            <w:gridSpan w:val="3"/>
          </w:tcPr>
          <w:p>
            <w:pPr>
              <w:jc w:val="right"/>
              <w:ind w:right="1759"/>
              <w:spacing w:after="0"/>
              <w:rPr>
                <w:sz w:val="20"/>
                <w:szCs w:val="20"/>
                <w:color w:val="auto"/>
              </w:rPr>
            </w:pPr>
            <w:r>
              <w:rPr>
                <w:rFonts w:ascii="Arial" w:cs="Arial" w:eastAsia="Arial" w:hAnsi="Arial"/>
                <w:sz w:val="16"/>
                <w:szCs w:val="16"/>
                <w:color w:val="auto"/>
              </w:rPr>
              <w:t>$   59,244,000</w:t>
            </w:r>
          </w:p>
        </w:tc>
        <w:tc>
          <w:tcPr>
            <w:tcW w:w="400" w:type="dxa"/>
            <w:vAlign w:val="bottom"/>
          </w:tcPr>
          <w:p>
            <w:pPr>
              <w:spacing w:after="0"/>
              <w:rPr>
                <w:sz w:val="17"/>
                <w:szCs w:val="17"/>
                <w:color w:val="auto"/>
              </w:rPr>
            </w:pPr>
          </w:p>
        </w:tc>
      </w:tr>
      <w:tr>
        <w:trPr>
          <w:trHeight w:val="27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10/31/10 - 11/27/10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59,244,000</w:t>
            </w:r>
          </w:p>
        </w:tc>
        <w:tc>
          <w:tcPr>
            <w:tcW w:w="400" w:type="dxa"/>
            <w:vAlign w:val="bottom"/>
            <w:tcBorders>
              <w:bottom w:val="single" w:sz="8" w:color="auto"/>
            </w:tcBorders>
            <w:shd w:val="clear" w:color="auto" w:fill="CCEEFF"/>
          </w:tcPr>
          <w:p>
            <w:pPr>
              <w:spacing w:after="0"/>
              <w:rPr>
                <w:sz w:val="23"/>
                <w:szCs w:val="23"/>
                <w:color w:val="auto"/>
              </w:rPr>
            </w:pPr>
          </w:p>
        </w:tc>
      </w:tr>
      <w:tr>
        <w:trPr>
          <w:trHeight w:val="267"/>
        </w:trPr>
        <w:tc>
          <w:tcPr>
            <w:tcW w:w="236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w:t>
            </w:r>
          </w:p>
        </w:tc>
        <w:tc>
          <w:tcPr>
            <w:tcW w:w="4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$ 10.77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59,244,000</w:t>
            </w:r>
          </w:p>
        </w:tc>
        <w:tc>
          <w:tcPr>
            <w:tcW w:w="400" w:type="dxa"/>
            <w:vAlign w:val="bottom"/>
            <w:tcBorders>
              <w:bottom w:val="single" w:sz="8" w:color="auto"/>
            </w:tcBorders>
          </w:tcPr>
          <w:p>
            <w:pPr>
              <w:spacing w:after="0"/>
              <w:rPr>
                <w:sz w:val="23"/>
                <w:szCs w:val="23"/>
                <w:color w:val="auto"/>
              </w:rPr>
            </w:pPr>
          </w:p>
        </w:tc>
      </w:tr>
      <w:tr>
        <w:trPr>
          <w:trHeight w:val="20"/>
        </w:trPr>
        <w:tc>
          <w:tcPr>
            <w:tcW w:w="2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693"/>
        </w:trPr>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color w:val="auto"/>
              </w:rPr>
              <w:t>17</w:t>
            </w: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2" w:name="page23"/>
    <w:bookmarkEnd w:id="22"/>
    <w:p>
      <w:pPr>
        <w:jc w:val="center"/>
        <w:ind w:right="-99"/>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14" w:lineRule="exact"/>
        <w:rPr>
          <w:sz w:val="20"/>
          <w:szCs w:val="20"/>
          <w:color w:val="auto"/>
        </w:rPr>
      </w:pPr>
    </w:p>
    <w:p>
      <w:pPr>
        <w:ind w:left="820"/>
        <w:spacing w:after="0"/>
        <w:tabs>
          <w:tab w:leader="none" w:pos="130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December 23, 2010.</w:t>
      </w:r>
    </w:p>
    <w:p>
      <w:pPr>
        <w:spacing w:after="0" w:line="167"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December 23, 2010.</w:t>
      </w:r>
    </w:p>
    <w:p>
      <w:pPr>
        <w:spacing w:after="0" w:line="167" w:lineRule="exact"/>
        <w:rPr>
          <w:sz w:val="20"/>
          <w:szCs w:val="20"/>
          <w:color w:val="auto"/>
        </w:rPr>
      </w:pPr>
    </w:p>
    <w:p>
      <w:pPr>
        <w:jc w:val="center"/>
        <w:ind w:left="340" w:right="120"/>
        <w:spacing w:after="0" w:line="246" w:lineRule="auto"/>
        <w:rPr>
          <w:sz w:val="20"/>
          <w:szCs w:val="20"/>
          <w:color w:val="auto"/>
        </w:rPr>
      </w:pPr>
      <w:r>
        <w:rPr>
          <w:rFonts w:ascii="Arial" w:cs="Arial" w:eastAsia="Arial" w:hAnsi="Arial"/>
          <w:sz w:val="16"/>
          <w:szCs w:val="16"/>
          <w:color w:val="auto"/>
        </w:rPr>
        <w:t>32.1  Certification by the Chief Executive Officer pursuant to Section 1350, as adopted pursuant to Section 906 of the Sarbanes-Oxley Act of 2002 dated December 23, 2010.</w:t>
      </w:r>
    </w:p>
    <w:p>
      <w:pPr>
        <w:spacing w:after="0" w:line="1" w:lineRule="exact"/>
        <w:rPr>
          <w:sz w:val="20"/>
          <w:szCs w:val="20"/>
          <w:color w:val="auto"/>
        </w:rPr>
      </w:pPr>
    </w:p>
    <w:p>
      <w:pPr>
        <w:jc w:val="center"/>
        <w:ind w:left="320" w:right="160"/>
        <w:spacing w:after="0" w:line="260" w:lineRule="auto"/>
        <w:rPr>
          <w:sz w:val="20"/>
          <w:szCs w:val="20"/>
          <w:color w:val="auto"/>
        </w:rPr>
      </w:pPr>
      <w:r>
        <w:rPr>
          <w:rFonts w:ascii="Arial" w:cs="Arial" w:eastAsia="Arial" w:hAnsi="Arial"/>
          <w:sz w:val="16"/>
          <w:szCs w:val="16"/>
          <w:color w:val="auto"/>
        </w:rPr>
        <w:t>32.2  Certification by the Chief Financial Officer pursuant to Section 1350, as adopted pursuant to Section 906 of the Sarbanes-Oxley Act of 2002 dated December 23, 2010.</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WINNEBAGO INDUSTRIES, INC.</w:t>
            </w:r>
          </w:p>
        </w:tc>
      </w:tr>
      <w:tr>
        <w:trPr>
          <w:trHeight w:val="270"/>
        </w:trPr>
        <w:tc>
          <w:tcPr>
            <w:tcW w:w="5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(Registrant)</w:t>
            </w:r>
          </w:p>
        </w:tc>
      </w:tr>
      <w:tr>
        <w:trPr>
          <w:trHeight w:val="76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3360" w:type="dxa"/>
            <w:vAlign w:val="bottom"/>
          </w:tcPr>
          <w:p>
            <w:pPr>
              <w:ind w:left="200"/>
              <w:spacing w:after="0"/>
              <w:rPr>
                <w:sz w:val="20"/>
                <w:szCs w:val="20"/>
                <w:color w:val="auto"/>
              </w:rPr>
            </w:pPr>
            <w:r>
              <w:rPr>
                <w:rFonts w:ascii="Arial" w:cs="Arial" w:eastAsia="Arial" w:hAnsi="Arial"/>
                <w:sz w:val="16"/>
                <w:szCs w:val="16"/>
                <w:color w:val="auto"/>
              </w:rPr>
              <w:t>December 23, 2010</w:t>
            </w:r>
          </w:p>
        </w:tc>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Robert J. Olson</w:t>
            </w:r>
          </w:p>
        </w:tc>
      </w:tr>
      <w:tr>
        <w:trPr>
          <w:trHeight w:val="237"/>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Robert J. Olson</w:t>
            </w:r>
          </w:p>
        </w:tc>
      </w:tr>
      <w:tr>
        <w:trPr>
          <w:trHeight w:val="238"/>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Chairman of the Board, Chief Executive Officer and President</w:t>
            </w:r>
          </w:p>
        </w:tc>
      </w:tr>
      <w:tr>
        <w:trPr>
          <w:trHeight w:val="195"/>
        </w:trPr>
        <w:tc>
          <w:tcPr>
            <w:tcW w:w="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(Principal Executive Officer)</w:t>
            </w:r>
          </w:p>
        </w:tc>
      </w:tr>
      <w:tr>
        <w:trPr>
          <w:trHeight w:val="76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3360" w:type="dxa"/>
            <w:vAlign w:val="bottom"/>
          </w:tcPr>
          <w:p>
            <w:pPr>
              <w:ind w:left="200"/>
              <w:spacing w:after="0"/>
              <w:rPr>
                <w:sz w:val="20"/>
                <w:szCs w:val="20"/>
                <w:color w:val="auto"/>
              </w:rPr>
            </w:pPr>
            <w:r>
              <w:rPr>
                <w:rFonts w:ascii="Arial" w:cs="Arial" w:eastAsia="Arial" w:hAnsi="Arial"/>
                <w:sz w:val="16"/>
                <w:szCs w:val="16"/>
                <w:color w:val="auto"/>
              </w:rPr>
              <w:t>December 23, 2010</w:t>
            </w:r>
          </w:p>
        </w:tc>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Sarah N. Nielsen</w:t>
            </w:r>
          </w:p>
        </w:tc>
      </w:tr>
      <w:tr>
        <w:trPr>
          <w:trHeight w:val="237"/>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70"/>
        </w:trPr>
        <w:tc>
          <w:tcPr>
            <w:tcW w:w="5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6"/>
                <w:szCs w:val="16"/>
                <w:color w:val="auto"/>
              </w:rPr>
              <w:t>Chief Financial Officer (Principal Financial Officer)</w:t>
            </w:r>
          </w:p>
        </w:tc>
      </w:tr>
      <w:tr>
        <w:trPr>
          <w:trHeight w:val="37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480" w:type="dxa"/>
            <w:vAlign w:val="bottom"/>
          </w:tcPr>
          <w:p>
            <w:pPr>
              <w:ind w:left="1700"/>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1340"/>
          </w:cols>
          <w:pgMar w:left="240" w:top="141" w:right="319" w:bottom="1440" w:gutter="0" w:footer="0" w:header="0"/>
        </w:sectPr>
      </w:pPr>
    </w:p>
    <w:bookmarkStart w:id="23" w:name="page24"/>
    <w:bookmarkEnd w:id="23"/>
    <w:p>
      <w:pPr>
        <w:ind w:left="5160"/>
        <w:spacing w:after="0"/>
        <w:rPr>
          <w:sz w:val="20"/>
          <w:szCs w:val="20"/>
          <w:color w:val="auto"/>
        </w:rPr>
      </w:pPr>
      <w:r>
        <w:rPr>
          <w:rFonts w:ascii="Arial" w:cs="Arial" w:eastAsia="Arial" w:hAnsi="Arial"/>
          <w:sz w:val="20"/>
          <w:szCs w:val="20"/>
          <w:b w:val="1"/>
          <w:bCs w:val="1"/>
          <w:color w:val="auto"/>
        </w:rPr>
        <w:t>Exhibit 31.1</w:t>
      </w:r>
    </w:p>
    <w:p>
      <w:pPr>
        <w:spacing w:after="0" w:line="189"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CERTIFICATION BY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I, Robert J. Olson, Chief Executive Officer of Winnebago Industries, Inc., certify that:</w:t>
      </w:r>
    </w:p>
    <w:p>
      <w:pPr>
        <w:spacing w:after="0" w:line="1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660" w:right="100" w:hanging="328"/>
        <w:spacing w:after="0" w:line="25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 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 aterial respects the financial condition, results of operations and cash flows of the Registrant as of, and for, the periods presented in this Quarterly Report;</w:t>
      </w:r>
    </w:p>
    <w:p>
      <w:pPr>
        <w:spacing w:after="0" w:line="168" w:lineRule="exact"/>
        <w:rPr>
          <w:rFonts w:ascii="Arial" w:cs="Arial" w:eastAsia="Arial" w:hAnsi="Arial"/>
          <w:sz w:val="16"/>
          <w:szCs w:val="16"/>
          <w:color w:val="auto"/>
        </w:rPr>
      </w:pPr>
    </w:p>
    <w:p>
      <w:pPr>
        <w:ind w:left="660" w:right="140" w:hanging="328"/>
        <w:spacing w:after="0" w:line="25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 d in Exchange Act Rules 13a-15(f) and 15d-15(f) for the Registrant and have:</w:t>
      </w:r>
    </w:p>
    <w:p>
      <w:pPr>
        <w:spacing w:after="0" w:line="174"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 ared;</w:t>
      </w:r>
    </w:p>
    <w:p>
      <w:pPr>
        <w:spacing w:after="0" w:line="174" w:lineRule="exact"/>
        <w:rPr>
          <w:rFonts w:ascii="Arial" w:cs="Arial" w:eastAsia="Arial" w:hAnsi="Arial"/>
          <w:sz w:val="16"/>
          <w:szCs w:val="16"/>
          <w:color w:val="auto"/>
        </w:rPr>
      </w:pPr>
    </w:p>
    <w:p>
      <w:pPr>
        <w:ind w:left="1300" w:right="36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1300" w:right="240" w:hanging="320"/>
        <w:spacing w:after="0" w:line="253"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ind w:left="2600" w:right="400" w:hanging="323"/>
        <w:spacing w:after="0" w:line="253" w:lineRule="auto"/>
        <w:tabs>
          <w:tab w:leader="none" w:pos="2600" w:val="left"/>
        </w:tabs>
        <w:numPr>
          <w:ilvl w:val="3"/>
          <w:numId w:val="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1960" w:right="160" w:hanging="331"/>
        <w:spacing w:after="0" w:line="253" w:lineRule="auto"/>
        <w:tabs>
          <w:tab w:leader="none" w:pos="19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4" w:lineRule="exact"/>
        <w:rPr>
          <w:rFonts w:ascii="Arial" w:cs="Arial" w:eastAsia="Arial" w:hAnsi="Arial"/>
          <w:sz w:val="16"/>
          <w:szCs w:val="16"/>
          <w:color w:val="auto"/>
        </w:rPr>
      </w:pPr>
    </w:p>
    <w:p>
      <w:pPr>
        <w:jc w:val="both"/>
        <w:ind w:left="2640" w:right="200" w:hanging="363"/>
        <w:spacing w:after="0" w:line="253" w:lineRule="auto"/>
        <w:tabs>
          <w:tab w:leader="none" w:pos="2640" w:val="left"/>
        </w:tabs>
        <w:numPr>
          <w:ilvl w:val="3"/>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6"/>
          <w:szCs w:val="16"/>
          <w:color w:val="auto"/>
        </w:rPr>
      </w:pPr>
    </w:p>
    <w:p>
      <w:pPr>
        <w:ind w:left="2600" w:right="560" w:hanging="323"/>
        <w:spacing w:after="0" w:line="182" w:lineRule="auto"/>
        <w:tabs>
          <w:tab w:leader="none" w:pos="2600" w:val="left"/>
        </w:tabs>
        <w:numPr>
          <w:ilvl w:val="3"/>
          <w:numId w:val="13"/>
        </w:numPr>
        <w:rPr>
          <w:rFonts w:ascii="Arial" w:cs="Arial" w:eastAsia="Arial" w:hAnsi="Arial"/>
          <w:sz w:val="29"/>
          <w:szCs w:val="29"/>
          <w:color w:val="auto"/>
          <w:vertAlign w:val="subscript"/>
        </w:rPr>
      </w:pPr>
      <w:r>
        <w:rPr>
          <w:rFonts w:ascii="Arial" w:cs="Arial" w:eastAsia="Arial" w:hAnsi="Arial"/>
          <w:sz w:val="15"/>
          <w:szCs w:val="15"/>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/s/ ROBERT J. OLSON</w:t>
      </w:r>
    </w:p>
    <w:p>
      <w:pPr>
        <w:spacing w:after="0" w:line="5" w:lineRule="exact"/>
        <w:rPr>
          <w:sz w:val="20"/>
          <w:szCs w:val="20"/>
          <w:color w:val="auto"/>
        </w:rPr>
      </w:pPr>
    </w:p>
    <w:p>
      <w:pPr>
        <w:ind w:left="1340"/>
        <w:spacing w:after="0"/>
        <w:tabs>
          <w:tab w:leader="none" w:pos="2060" w:val="left"/>
          <w:tab w:leader="none" w:pos="62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2010</w:t>
      </w:r>
      <w:r>
        <w:rPr>
          <w:sz w:val="20"/>
          <w:szCs w:val="20"/>
          <w:color w:val="auto"/>
        </w:rPr>
        <w:tab/>
      </w:r>
      <w:r>
        <w:rPr>
          <w:rFonts w:ascii="Arial" w:cs="Arial" w:eastAsia="Arial" w:hAnsi="Arial"/>
          <w:sz w:val="17"/>
          <w:szCs w:val="17"/>
          <w:color w:val="auto"/>
        </w:rPr>
        <w:t>&lt; /td&gt;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29210</wp:posOffset>
            </wp:positionV>
            <wp:extent cx="3267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82"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Robert J. Olson</w:t>
      </w:r>
    </w:p>
    <w:p>
      <w:pPr>
        <w:spacing w:after="0" w:line="86"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00"/>
          </w:cols>
          <w:pgMar w:left="240" w:top="490" w:right="259" w:bottom="1440" w:gutter="0" w:footer="0" w:header="0"/>
        </w:sectPr>
      </w:pPr>
    </w:p>
    <w:bookmarkStart w:id="24" w:name="page25"/>
    <w:bookmarkEnd w:id="24"/>
    <w:p>
      <w:pPr>
        <w:ind w:left="4620"/>
        <w:spacing w:after="0"/>
        <w:rPr>
          <w:sz w:val="20"/>
          <w:szCs w:val="20"/>
          <w:color w:val="auto"/>
        </w:rPr>
      </w:pPr>
      <w:r>
        <w:rPr>
          <w:rFonts w:ascii="Arial" w:cs="Arial" w:eastAsia="Arial" w:hAnsi="Arial"/>
          <w:sz w:val="20"/>
          <w:szCs w:val="20"/>
          <w:b w:val="1"/>
          <w:bCs w:val="1"/>
          <w:color w:val="auto"/>
        </w:rPr>
        <w:t>Exhibit 31.2</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3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39"/>
        <w:spacing w:after="0"/>
        <w:rPr>
          <w:sz w:val="20"/>
          <w:szCs w:val="20"/>
          <w:color w:val="auto"/>
        </w:rPr>
      </w:pPr>
      <w:r>
        <w:rPr>
          <w:rFonts w:ascii="Arial" w:cs="Arial" w:eastAsia="Arial" w:hAnsi="Arial"/>
          <w:sz w:val="20"/>
          <w:szCs w:val="20"/>
          <w:b w:val="1"/>
          <w:bCs w:val="1"/>
          <w:color w:val="auto"/>
        </w:rPr>
        <w:t>OF THE SARBANES-OXLEY ACT OF 2002</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194" w:lineRule="exact"/>
        <w:rPr>
          <w:sz w:val="20"/>
          <w:szCs w:val="20"/>
          <w:color w:val="auto"/>
        </w:rPr>
      </w:pPr>
    </w:p>
    <w:p>
      <w:pPr>
        <w:ind w:left="760" w:hanging="331"/>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760" w:hanging="331"/>
        <w:spacing w:after="0" w:line="25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4" w:lineRule="exact"/>
        <w:rPr>
          <w:rFonts w:ascii="Arial" w:cs="Arial" w:eastAsia="Arial" w:hAnsi="Arial"/>
          <w:sz w:val="16"/>
          <w:szCs w:val="16"/>
          <w:color w:val="auto"/>
        </w:rPr>
      </w:pPr>
    </w:p>
    <w:p>
      <w:pPr>
        <w:ind w:left="760" w:right="120" w:hanging="331"/>
        <w:spacing w:after="0" w:line="25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 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4" w:lineRule="exact"/>
        <w:rPr>
          <w:rFonts w:ascii="Arial" w:cs="Arial" w:eastAsia="Arial" w:hAnsi="Arial"/>
          <w:sz w:val="16"/>
          <w:szCs w:val="16"/>
          <w:color w:val="auto"/>
        </w:rPr>
      </w:pPr>
    </w:p>
    <w:p>
      <w:pPr>
        <w:ind w:left="760" w:right="20" w:hanging="331"/>
        <w:spacing w:after="0" w:line="25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1400" w:right="240" w:hanging="323"/>
        <w:spacing w:after="0" w:line="253" w:lineRule="auto"/>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74" w:lineRule="exact"/>
        <w:rPr>
          <w:rFonts w:ascii="Arial" w:cs="Arial" w:eastAsia="Arial" w:hAnsi="Arial"/>
          <w:sz w:val="16"/>
          <w:szCs w:val="16"/>
          <w:color w:val="auto"/>
        </w:rPr>
      </w:pPr>
    </w:p>
    <w:p>
      <w:pPr>
        <w:ind w:left="1400" w:right="340" w:hanging="323"/>
        <w:spacing w:after="0" w:line="253" w:lineRule="auto"/>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 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400" w:hanging="323"/>
        <w:spacing w:after="0" w:line="253" w:lineRule="auto"/>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 ur conclusions about the effectiveness of the disclosure controls and procedures, as of end of the period covered by this Quarterly Report based on such evaluation;</w:t>
      </w:r>
    </w:p>
    <w:p>
      <w:pPr>
        <w:spacing w:after="0" w:line="174" w:lineRule="exact"/>
        <w:rPr>
          <w:rFonts w:ascii="Arial" w:cs="Arial" w:eastAsia="Arial" w:hAnsi="Arial"/>
          <w:sz w:val="16"/>
          <w:szCs w:val="16"/>
          <w:color w:val="auto"/>
        </w:rPr>
      </w:pPr>
    </w:p>
    <w:p>
      <w:pPr>
        <w:ind w:left="1400" w:right="400" w:hanging="323"/>
        <w:spacing w:after="0" w:line="253" w:lineRule="auto"/>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 nt's first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760" w:right="120" w:hanging="331"/>
        <w:spacing w:after="0" w:line="253"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 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4" w:lineRule="exact"/>
        <w:rPr>
          <w:rFonts w:ascii="Arial" w:cs="Arial" w:eastAsia="Arial" w:hAnsi="Arial"/>
          <w:sz w:val="16"/>
          <w:szCs w:val="16"/>
          <w:color w:val="auto"/>
        </w:rPr>
      </w:pPr>
    </w:p>
    <w:p>
      <w:pPr>
        <w:jc w:val="both"/>
        <w:ind w:left="1400" w:right="240" w:hanging="323"/>
        <w:spacing w:after="0" w:line="253" w:lineRule="auto"/>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400" w:right="560" w:hanging="323"/>
        <w:spacing w:after="0" w:line="246" w:lineRule="auto"/>
        <w:tabs>
          <w:tab w:leader="none" w:pos="14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ind w:left="1400"/>
        <w:spacing w:after="0"/>
        <w:rPr>
          <w:rFonts w:ascii="Arial" w:cs="Arial" w:eastAsia="Arial" w:hAnsi="Arial"/>
          <w:sz w:val="16"/>
          <w:szCs w:val="16"/>
          <w:color w:val="auto"/>
        </w:rPr>
      </w:pPr>
      <w:r>
        <w:rPr>
          <w:rFonts w:ascii="Arial" w:cs="Arial" w:eastAsia="Arial" w:hAnsi="Arial"/>
          <w:sz w:val="18"/>
          <w:szCs w:val="18"/>
          <w:color w:val="auto"/>
        </w:rPr>
        <w:t>&lt; /td&gt;</w:t>
      </w:r>
    </w:p>
    <w:p>
      <w:pPr>
        <w:spacing w:after="0" w:line="200" w:lineRule="exact"/>
        <w:rPr>
          <w:sz w:val="20"/>
          <w:szCs w:val="20"/>
          <w:color w:val="auto"/>
        </w:rPr>
      </w:pPr>
    </w:p>
    <w:p>
      <w:pPr>
        <w:spacing w:after="0" w:line="377" w:lineRule="exact"/>
        <w:rPr>
          <w:sz w:val="20"/>
          <w:szCs w:val="20"/>
          <w:color w:val="auto"/>
        </w:rPr>
      </w:pPr>
    </w:p>
    <w:p>
      <w:pPr>
        <w:ind w:left="140"/>
        <w:spacing w:after="0"/>
        <w:tabs>
          <w:tab w:leader="none" w:pos="860" w:val="left"/>
          <w:tab w:leader="none" w:pos="5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2010</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19050</wp:posOffset>
            </wp:positionV>
            <wp:extent cx="3267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6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200"/>
          </w:cols>
          <w:pgMar w:left="1440" w:top="517" w:right="259" w:bottom="1440" w:gutter="0" w:footer="0" w:header="0"/>
        </w:sectPr>
      </w:pPr>
    </w:p>
    <w:bookmarkStart w:id="25" w:name="page26"/>
    <w:bookmarkEnd w:id="25"/>
    <w:p>
      <w:pPr>
        <w:jc w:val="center"/>
        <w:ind w:right="-159"/>
        <w:spacing w:after="0"/>
        <w:rPr>
          <w:sz w:val="20"/>
          <w:szCs w:val="20"/>
          <w:color w:val="auto"/>
        </w:rPr>
      </w:pPr>
      <w:r>
        <w:rPr>
          <w:rFonts w:ascii="Arial" w:cs="Arial" w:eastAsia="Arial" w:hAnsi="Arial"/>
          <w:sz w:val="20"/>
          <w:szCs w:val="20"/>
          <w:b w:val="1"/>
          <w:bCs w:val="1"/>
          <w:color w:val="auto"/>
        </w:rPr>
        <w:t>Exhibit 32.1</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159"/>
        <w:spacing w:after="0"/>
        <w:rPr>
          <w:sz w:val="20"/>
          <w:szCs w:val="20"/>
          <w:color w:val="auto"/>
        </w:rPr>
      </w:pPr>
      <w:r>
        <w:rPr>
          <w:rFonts w:ascii="Arial" w:cs="Arial" w:eastAsia="Arial" w:hAnsi="Arial"/>
          <w:sz w:val="20"/>
          <w:szCs w:val="20"/>
          <w:b w:val="1"/>
          <w:bCs w:val="1"/>
          <w:color w:val="auto"/>
        </w:rPr>
        <w:t>(18 U.S.C. SECTION 1350)</w:t>
      </w:r>
      <w:r>
        <w:rPr>
          <w:rFonts w:ascii="Arial" w:cs="Arial" w:eastAsia="Arial" w:hAnsi="Arial"/>
          <w:sz w:val="20"/>
          <w:szCs w:val="20"/>
          <w:color w:val="auto"/>
        </w:rPr>
        <w:t>&lt; /div&gt;</w:t>
      </w:r>
    </w:p>
    <w:p>
      <w:pPr>
        <w:spacing w:after="0" w:line="200" w:lineRule="exact"/>
        <w:rPr>
          <w:sz w:val="20"/>
          <w:szCs w:val="20"/>
          <w:color w:val="auto"/>
        </w:rPr>
      </w:pPr>
    </w:p>
    <w:p>
      <w:pPr>
        <w:spacing w:after="0" w:line="264" w:lineRule="exact"/>
        <w:rPr>
          <w:sz w:val="20"/>
          <w:szCs w:val="20"/>
          <w:color w:val="auto"/>
        </w:rPr>
      </w:pPr>
    </w:p>
    <w:p>
      <w:pPr>
        <w:jc w:val="center"/>
        <w:ind w:left="160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November 27, 2010, I, Robert J. Olson, Chairman of the Board, Chief Executive Officer and President of Winnebago Industries, Inc., certify that pursuant to 18 U.S.C. §1350 as adopted pursuant to §906 of the Sarbanes-Oxley Act of 2002, that:</w:t>
      </w:r>
    </w:p>
    <w:p>
      <w:pPr>
        <w:spacing w:after="0" w:line="215" w:lineRule="exact"/>
        <w:rPr>
          <w:sz w:val="20"/>
          <w:szCs w:val="20"/>
          <w:color w:val="auto"/>
        </w:rPr>
      </w:pPr>
    </w:p>
    <w:p>
      <w:pPr>
        <w:ind w:left="760" w:right="420" w:hanging="331"/>
        <w:spacing w:after="0" w:line="253"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quarter ended November 27, 2010 as filed with the Securities and Exchange Commission on the date of this certificate, which this statement accompanies, fully complies with the requirements of Section 13(a) or 15(d) of th e Securities Exchange Act of 1934, and</w:t>
      </w:r>
    </w:p>
    <w:p>
      <w:pPr>
        <w:spacing w:after="0" w:line="214" w:lineRule="exact"/>
        <w:rPr>
          <w:rFonts w:ascii="Arial" w:cs="Arial" w:eastAsia="Arial" w:hAnsi="Arial"/>
          <w:sz w:val="16"/>
          <w:szCs w:val="16"/>
          <w:color w:val="auto"/>
        </w:rPr>
      </w:pPr>
    </w:p>
    <w:p>
      <w:pPr>
        <w:ind w:left="760" w:right="480" w:hanging="331"/>
        <w:spacing w:after="0" w:line="260"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385" w:lineRule="exact"/>
        <w:rPr>
          <w:sz w:val="20"/>
          <w:szCs w:val="20"/>
          <w:color w:val="auto"/>
        </w:rPr>
      </w:pPr>
    </w:p>
    <w:p>
      <w:pPr>
        <w:ind w:left="140"/>
        <w:spacing w:after="0"/>
        <w:tabs>
          <w:tab w:leader="none" w:pos="860" w:val="left"/>
          <w:tab w:leader="none" w:pos="5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2010</w:t>
      </w:r>
      <w:r>
        <w:rPr>
          <w:sz w:val="20"/>
          <w:szCs w:val="20"/>
          <w:color w:val="auto"/>
        </w:rPr>
        <w:tab/>
      </w:r>
      <w:r>
        <w:rPr>
          <w:rFonts w:ascii="Arial" w:cs="Arial" w:eastAsia="Arial" w:hAnsi="Arial"/>
          <w:sz w:val="16"/>
          <w:szCs w:val="16"/>
          <w:color w:val="auto"/>
        </w:rPr>
        <w:t>/s/ ROBERT J. OLSON</w:t>
      </w:r>
    </w:p>
    <w:p>
      <w:pPr>
        <w:spacing w:after="0" w:line="73"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Robert J. Ol son</w:t>
      </w:r>
    </w:p>
    <w:p>
      <w:pPr>
        <w:spacing w:after="0" w:line="73"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0160"/>
          </w:cols>
          <w:pgMar w:left="1440" w:top="517" w:right="299" w:bottom="1440" w:gutter="0" w:footer="0" w:header="0"/>
        </w:sectPr>
      </w:pPr>
    </w:p>
    <w:bookmarkStart w:id="26" w:name="page27"/>
    <w:bookmarkEnd w:id="26"/>
    <w:p>
      <w:pPr>
        <w:jc w:val="center"/>
        <w:ind w:right="-239"/>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239"/>
        <w:spacing w:after="0"/>
        <w:rPr>
          <w:sz w:val="20"/>
          <w:szCs w:val="20"/>
          <w:color w:val="auto"/>
        </w:rPr>
      </w:pPr>
      <w:r>
        <w:rPr>
          <w:rFonts w:ascii="Arial" w:cs="Arial" w:eastAsia="Arial" w:hAnsi="Arial"/>
          <w:sz w:val="20"/>
          <w:szCs w:val="20"/>
          <w:b w:val="1"/>
          <w:bCs w:val="1"/>
          <w:color w:val="auto"/>
        </w:rPr>
        <w:t>(18 U.S.C. SECTION 1350)</w:t>
      </w:r>
      <w:r>
        <w:rPr>
          <w:rFonts w:ascii="Arial" w:cs="Arial" w:eastAsia="Arial" w:hAnsi="Arial"/>
          <w:sz w:val="20"/>
          <w:szCs w:val="20"/>
          <w:color w:val="auto"/>
        </w:rPr>
        <w:t>&lt; /div&gt;</w:t>
      </w:r>
    </w:p>
    <w:p>
      <w:pPr>
        <w:spacing w:after="0" w:line="235" w:lineRule="exact"/>
        <w:rPr>
          <w:sz w:val="20"/>
          <w:szCs w:val="20"/>
          <w:color w:val="auto"/>
        </w:rPr>
      </w:pPr>
    </w:p>
    <w:p>
      <w:pPr>
        <w:jc w:val="center"/>
        <w:ind w:left="168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November 27, 2010, I, Sarah N. Nielsen, Chief Financial Officer of Winnebago Industries, Inc., certify that pursuant to 18 U.S.C. §1350 as adopted pursuant to §906 of the Sarbanes-Oxley Act of 2002, that:</w:t>
      </w:r>
    </w:p>
    <w:p>
      <w:pPr>
        <w:spacing w:after="0" w:line="215" w:lineRule="exact"/>
        <w:rPr>
          <w:sz w:val="20"/>
          <w:szCs w:val="20"/>
          <w:color w:val="auto"/>
        </w:rPr>
      </w:pPr>
    </w:p>
    <w:p>
      <w:pPr>
        <w:ind w:left="780" w:right="340" w:hanging="351"/>
        <w:spacing w:after="0" w:line="23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This Quarterly Report on Form 10-Q (“periodic report”) of Winnebago Industries, Inc. (the “issuer”), for the quarter ended November 27, 2010 as filed with the Securities and Exchange Commission on the date of this certificate,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780" w:right="380" w:hanging="351"/>
        <w:spacing w:after="0" w:line="23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14" w:lineRule="exact"/>
        <w:rPr>
          <w:sz w:val="20"/>
          <w:szCs w:val="20"/>
          <w:color w:val="auto"/>
        </w:rPr>
      </w:pPr>
    </w:p>
    <w:p>
      <w:pPr>
        <w:ind w:left="140"/>
        <w:spacing w:after="0"/>
        <w:tabs>
          <w:tab w:leader="none" w:pos="860" w:val="left"/>
          <w:tab w:leader="none" w:pos="5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2010</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19050</wp:posOffset>
            </wp:positionV>
            <wp:extent cx="3267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6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100"/>
          </w:cols>
          <w:pgMar w:left="1440" w:top="558" w:right="35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lt;"/>
      <w:numFmt w:val="bullet"/>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lt;"/>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Letter"/>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2019-12-10T03:59:20Z</dcterms:created>
  <dcterms:modified xsi:type="dcterms:W3CDTF">2019-12-10T03:59:20Z</dcterms:modified>
</cp:coreProperties>
</file>