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6"/>
          <w:szCs w:val="16"/>
          <w:color w:val="auto"/>
        </w:rPr>
        <w:t>x</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February 24, 2018</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32"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40" w:type="dxa"/>
        <w:tblCellMar>
          <w:top w:w="0" w:type="dxa"/>
          <w:left w:w="0" w:type="dxa"/>
          <w:bottom w:w="0" w:type="dxa"/>
          <w:right w:w="0" w:type="dxa"/>
        </w:tblCellMar>
      </w:tblPr>
      <w:tr>
        <w:trPr>
          <w:trHeight w:val="244"/>
        </w:trPr>
        <w:tc>
          <w:tcPr>
            <w:tcW w:w="2640" w:type="dxa"/>
            <w:vAlign w:val="bottom"/>
          </w:tcPr>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x</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o</w:t>
            </w:r>
          </w:p>
        </w:tc>
        <w:tc>
          <w:tcPr>
            <w:tcW w:w="2380" w:type="dxa"/>
            <w:vAlign w:val="bottom"/>
          </w:tcPr>
          <w:p>
            <w:pPr>
              <w:ind w:left="72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r>
      <w:tr>
        <w:trPr>
          <w:trHeight w:val="297"/>
        </w:trPr>
        <w:tc>
          <w:tcPr>
            <w:tcW w:w="2640" w:type="dxa"/>
            <w:vAlign w:val="bottom"/>
          </w:tcPr>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8"/>
                <w:szCs w:val="18"/>
                <w:color w:val="auto"/>
              </w:rPr>
              <w:t>o</w:t>
            </w:r>
          </w:p>
        </w:tc>
        <w:tc>
          <w:tcPr>
            <w:tcW w:w="2380" w:type="dxa"/>
            <w:vAlign w:val="bottom"/>
          </w:tcPr>
          <w:p>
            <w:pPr>
              <w:spacing w:after="0"/>
              <w:rPr>
                <w:sz w:val="24"/>
                <w:szCs w:val="24"/>
                <w:color w:val="auto"/>
              </w:rPr>
            </w:pPr>
          </w:p>
        </w:tc>
      </w:tr>
    </w:tbl>
    <w:p>
      <w:pPr>
        <w:spacing w:after="0" w:line="137" w:lineRule="exact"/>
        <w:rPr>
          <w:sz w:val="24"/>
          <w:szCs w:val="24"/>
          <w:color w:val="auto"/>
        </w:rPr>
      </w:pPr>
    </w:p>
    <w:p>
      <w:pPr>
        <w:ind w:right="2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March 21, 2018 was 31,659,393.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Table of Contents</w:t>
      </w:r>
    </w:p>
    <w:p>
      <w:pPr>
        <w:spacing w:after="0" w:line="377"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Glossary</w:t>
        </w:r>
      </w:hyperlink>
    </w:p>
    <w:p>
      <w:pPr>
        <w:spacing w:after="0" w:line="336" w:lineRule="exact"/>
        <w:rPr>
          <w:sz w:val="20"/>
          <w:szCs w:val="20"/>
          <w:color w:val="auto"/>
        </w:rPr>
      </w:pPr>
    </w:p>
    <w:p>
      <w:pPr>
        <w:spacing w:after="0"/>
        <w:tabs>
          <w:tab w:leader="none" w:pos="900" w:val="left"/>
        </w:tabs>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w:t>
        </w:r>
      </w:hyperlink>
      <w:r>
        <w:rPr>
          <w:rFonts w:ascii="Arial" w:cs="Arial" w:eastAsia="Arial" w:hAnsi="Arial"/>
          <w:sz w:val="16"/>
          <w:szCs w:val="16"/>
          <w:b w:val="1"/>
          <w:bCs w:val="1"/>
          <w:u w:val="single" w:color="auto"/>
          <w:color w:val="0000EE"/>
        </w:rPr>
        <w:tab/>
      </w:r>
      <w:hyperlink w:anchor="page4">
        <w:r>
          <w:rPr>
            <w:rFonts w:ascii="Arial" w:cs="Arial" w:eastAsia="Arial" w:hAnsi="Arial"/>
            <w:sz w:val="16"/>
            <w:szCs w:val="16"/>
            <w:b w:val="1"/>
            <w:bCs w:val="1"/>
            <w:u w:val="single" w:color="auto"/>
            <w:color w:val="0000EE"/>
          </w:rPr>
          <w:t>FINANCIAL INFORMATION</w:t>
        </w:r>
      </w:hyperlink>
    </w:p>
    <w:p>
      <w:pPr>
        <w:spacing w:after="0" w:line="79"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Item 1.</w:t>
      </w:r>
      <w:r>
        <w:rPr>
          <w:sz w:val="20"/>
          <w:szCs w:val="20"/>
          <w:color w:val="auto"/>
        </w:rPr>
        <w:tab/>
      </w:r>
      <w:hyperlink w:anchor="page4">
        <w:r>
          <w:rPr>
            <w:rFonts w:ascii="Arial" w:cs="Arial" w:eastAsia="Arial" w:hAnsi="Arial"/>
            <w:sz w:val="16"/>
            <w:szCs w:val="16"/>
            <w:u w:val="single" w:color="auto"/>
            <w:color w:val="0000EE"/>
          </w:rPr>
          <w:t>Condensed Consolidated Financial Statements (Unaudited)</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Income and Comprehensive Income</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Stockholders' Statement of Equity</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w:t>
        </w:r>
      </w:hyperlink>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Borders>
              <w:bottom w:val="single" w:sz="8" w:color="0000EE"/>
            </w:tcBorders>
            <w:gridSpan w:val="1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 1: Basis of Presentation</w:t>
              </w:r>
            </w:hyperlink>
          </w:p>
        </w:tc>
        <w:tc>
          <w:tcPr>
            <w:tcW w:w="3800" w:type="dxa"/>
            <w:vAlign w:val="bottom"/>
            <w:gridSpan w:val="10"/>
          </w:tcPr>
          <w:p>
            <w:pPr>
              <w:spacing w:after="0"/>
              <w:rPr>
                <w:sz w:val="16"/>
                <w:szCs w:val="16"/>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2: Business Combination, Goodwill and Other Intangible Assets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3: Business Segments</w:t>
              </w:r>
            </w:hyperlink>
          </w:p>
        </w:tc>
        <w:tc>
          <w:tcPr>
            <w:tcW w:w="2920" w:type="dxa"/>
            <w:vAlign w:val="bottom"/>
            <w:tcBorders>
              <w:top w:val="single" w:sz="8" w:color="0000EE"/>
            </w:tcBorders>
            <w:gridSpan w:val="11"/>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4: Concentration Risk</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5: Derivatives, Investments and Fair Value Measurements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Note 6: Inventories</w:t>
              </w:r>
            </w:hyperlink>
          </w:p>
        </w:tc>
        <w:tc>
          <w:tcPr>
            <w:tcW w:w="3160" w:type="dxa"/>
            <w:vAlign w:val="bottom"/>
            <w:tcBorders>
              <w:top w:val="single" w:sz="8" w:color="0000EE"/>
            </w:tcBorders>
            <w:gridSpan w:val="13"/>
          </w:tcPr>
          <w:p>
            <w:pPr>
              <w:spacing w:after="0"/>
              <w:rPr>
                <w:sz w:val="21"/>
                <w:szCs w:val="21"/>
                <w:color w:val="auto"/>
              </w:rPr>
            </w:pPr>
          </w:p>
        </w:tc>
        <w:tc>
          <w:tcPr>
            <w:tcW w:w="1380" w:type="dxa"/>
            <w:vAlign w:val="bottom"/>
            <w:gridSpan w:val="2"/>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60" w:type="dxa"/>
            <w:vAlign w:val="bottom"/>
            <w:tcBorders>
              <w:bottom w:val="single" w:sz="8" w:color="0000EE"/>
            </w:tcBorders>
            <w:gridSpan w:val="14"/>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7: Property, Plant and Equipment</w:t>
              </w:r>
            </w:hyperlink>
          </w:p>
        </w:tc>
        <w:tc>
          <w:tcPr>
            <w:tcW w:w="3140" w:type="dxa"/>
            <w:vAlign w:val="bottom"/>
            <w:gridSpan w:val="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8: Warranty</w:t>
              </w:r>
            </w:hyperlink>
          </w:p>
        </w:tc>
        <w:tc>
          <w:tcPr>
            <w:tcW w:w="4680" w:type="dxa"/>
            <w:vAlign w:val="bottom"/>
            <w:gridSpan w:val="1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9: Long-Term Debt</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Note 10: Employee and Retiree Benefits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tcBorders>
              <w:top w:val="single" w:sz="8" w:color="0000EE"/>
            </w:tcBorders>
            <w:gridSpan w:val="1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11: Shareholders' Equity</w:t>
              </w:r>
            </w:hyperlink>
          </w:p>
        </w:tc>
        <w:tc>
          <w:tcPr>
            <w:tcW w:w="3020" w:type="dxa"/>
            <w:vAlign w:val="bottom"/>
            <w:gridSpan w:val="7"/>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12: Contingent Liabilities and Commitments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13: Income Taxes</w:t>
              </w:r>
            </w:hyperlink>
          </w:p>
        </w:tc>
        <w:tc>
          <w:tcPr>
            <w:tcW w:w="1780" w:type="dxa"/>
            <w:vAlign w:val="bottom"/>
            <w:tcBorders>
              <w:top w:val="single" w:sz="8" w:color="0000EE"/>
            </w:tcBorders>
            <w:gridSpan w:val="8"/>
          </w:tcPr>
          <w:p>
            <w:pPr>
              <w:spacing w:after="0"/>
              <w:rPr>
                <w:sz w:val="21"/>
                <w:szCs w:val="21"/>
                <w:color w:val="auto"/>
              </w:rPr>
            </w:pPr>
          </w:p>
        </w:tc>
        <w:tc>
          <w:tcPr>
            <w:tcW w:w="2400" w:type="dxa"/>
            <w:vAlign w:val="bottom"/>
            <w:gridSpan w:val="6"/>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14: Earnings Per Share</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15: Accumulated Other Comprehensive Income (Loss)</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EE"/>
            </w:tcBorders>
            <w:gridSpan w:val="2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EE"/>
            </w:tcBorders>
            <w:gridSpan w:val="18"/>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Quantitative and Qualitative Disclosures About Market Risk</w:t>
              </w:r>
            </w:hyperlink>
          </w:p>
        </w:tc>
        <w:tc>
          <w:tcPr>
            <w:tcW w:w="2120" w:type="dxa"/>
            <w:vAlign w:val="bottom"/>
            <w:gridSpan w:val="5"/>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3"/>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31">
              <w:r>
                <w:rPr>
                  <w:rFonts w:ascii="Arial" w:cs="Arial" w:eastAsia="Arial" w:hAnsi="Arial"/>
                  <w:sz w:val="16"/>
                  <w:szCs w:val="16"/>
                  <w:b w:val="1"/>
                  <w:bCs w:val="1"/>
                  <w:color w:val="0000EE"/>
                  <w:w w:val="94"/>
                </w:rPr>
                <w:t>PART II</w:t>
              </w:r>
            </w:hyperlink>
          </w:p>
        </w:tc>
        <w:tc>
          <w:tcPr>
            <w:tcW w:w="3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6"/>
                <w:szCs w:val="16"/>
                <w:b w:val="1"/>
                <w:bCs w:val="1"/>
                <w:color w:val="0000EE"/>
                <w:w w:val="99"/>
              </w:rPr>
            </w:pPr>
            <w:hyperlink w:anchor="page31">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16"/>
          </w:tcPr>
          <w:p>
            <w:pPr>
              <w:spacing w:after="0"/>
              <w:rPr>
                <w:sz w:val="24"/>
                <w:szCs w:val="24"/>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31">
              <w:r>
                <w:rPr>
                  <w:rFonts w:ascii="Arial" w:cs="Arial" w:eastAsia="Arial" w:hAnsi="Arial"/>
                  <w:sz w:val="16"/>
                  <w:szCs w:val="16"/>
                  <w:color w:val="0000EE"/>
                  <w:w w:val="99"/>
                </w:rPr>
                <w:t>Legal Proceedings</w:t>
              </w:r>
            </w:hyperlink>
          </w:p>
        </w:tc>
        <w:tc>
          <w:tcPr>
            <w:tcW w:w="5020" w:type="dxa"/>
            <w:vAlign w:val="bottom"/>
            <w:gridSpan w:val="19"/>
          </w:tcPr>
          <w:p>
            <w:pPr>
              <w:spacing w:after="0"/>
              <w:rPr>
                <w:sz w:val="21"/>
                <w:szCs w:val="21"/>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31">
              <w:r>
                <w:rPr>
                  <w:rFonts w:ascii="Arial" w:cs="Arial" w:eastAsia="Arial" w:hAnsi="Arial"/>
                  <w:sz w:val="16"/>
                  <w:szCs w:val="16"/>
                  <w:color w:val="0000EE"/>
                  <w:w w:val="98"/>
                </w:rPr>
                <w:t>Risk Factors</w:t>
              </w:r>
            </w:hyperlink>
          </w:p>
        </w:tc>
        <w:tc>
          <w:tcPr>
            <w:tcW w:w="5460" w:type="dxa"/>
            <w:vAlign w:val="bottom"/>
            <w:gridSpan w:val="20"/>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3"/>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Unregistered Sales of Equity Securities and Use of Proceeds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EE"/>
            </w:tcBorders>
            <w:gridSpan w:val="19"/>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Exhibits</w:t>
              </w:r>
            </w:hyperlink>
          </w:p>
        </w:tc>
        <w:tc>
          <w:tcPr>
            <w:tcW w:w="2000" w:type="dxa"/>
            <w:vAlign w:val="bottom"/>
            <w:gridSpan w:val="4"/>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3">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0">
        <w:r>
          <w:rPr>
            <w:rFonts w:ascii="Arial" w:cs="Arial" w:eastAsia="Arial" w:hAnsi="Arial"/>
            <w:sz w:val="16"/>
            <w:szCs w:val="16"/>
            <w:color w:val="0000EE"/>
          </w:rPr>
          <w:t>28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2">
        <w:r>
          <w:rPr>
            <w:rFonts w:ascii="Arial" w:cs="Arial" w:eastAsia="Arial" w:hAnsi="Arial"/>
            <w:sz w:val="16"/>
            <w:szCs w:val="16"/>
            <w:color w:val="0000EE"/>
          </w:rPr>
          <w:t>30</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33">
        <w:r>
          <w:rPr>
            <w:rFonts w:ascii="Arial" w:cs="Arial" w:eastAsia="Arial" w:hAnsi="Arial"/>
            <w:sz w:val="16"/>
            <w:szCs w:val="16"/>
            <w:color w:val="0000EE"/>
          </w:rPr>
          <w:t>31</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w:t>
            </w:r>
          </w:p>
        </w:tc>
        <w:tc>
          <w:tcPr>
            <w:tcW w:w="0" w:type="dxa"/>
            <w:vAlign w:val="bottom"/>
          </w:tcPr>
          <w:p>
            <w:pPr>
              <w:spacing w:after="0"/>
              <w:rPr>
                <w:sz w:val="1"/>
                <w:szCs w:val="1"/>
                <w:color w:val="auto"/>
              </w:rPr>
            </w:pPr>
          </w:p>
        </w:tc>
      </w:tr>
      <w:tr>
        <w:trPr>
          <w:trHeight w:val="214"/>
        </w:trPr>
        <w:tc>
          <w:tcPr>
            <w:tcW w:w="2660" w:type="dxa"/>
            <w:vAlign w:val="bottom"/>
            <w:shd w:val="clear" w:color="auto" w:fill="CCEEFF"/>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Grand Design RV, LLC, the other loan parties thereto and JPMorgan Chase Bank, N.A. as Administrative Agent</w:t>
            </w:r>
          </w:p>
        </w:tc>
        <w:tc>
          <w:tcPr>
            <w:tcW w:w="0" w:type="dxa"/>
            <w:vAlign w:val="bottom"/>
          </w:tcPr>
          <w:p>
            <w:pPr>
              <w:spacing w:after="0"/>
              <w:rPr>
                <w:sz w:val="1"/>
                <w:szCs w:val="1"/>
                <w:color w:val="auto"/>
              </w:rPr>
            </w:pPr>
          </w:p>
        </w:tc>
      </w:tr>
      <w:tr>
        <w:trPr>
          <w:trHeight w:val="233"/>
        </w:trPr>
        <w:tc>
          <w:tcPr>
            <w:tcW w:w="2660" w:type="dxa"/>
            <w:vAlign w:val="bottom"/>
          </w:tcPr>
          <w:p>
            <w:pPr>
              <w:ind w:left="40"/>
              <w:spacing w:after="0"/>
              <w:rPr>
                <w:sz w:val="20"/>
                <w:szCs w:val="20"/>
                <w:color w:val="auto"/>
              </w:rPr>
            </w:pPr>
            <w:r>
              <w:rPr>
                <w:rFonts w:ascii="Arial" w:cs="Arial" w:eastAsia="Arial" w:hAnsi="Arial"/>
                <w:sz w:val="16"/>
                <w:szCs w:val="16"/>
                <w:color w:val="auto"/>
              </w:rPr>
              <w:t>AOCI</w:t>
            </w:r>
          </w:p>
        </w:tc>
        <w:tc>
          <w:tcPr>
            <w:tcW w:w="8760" w:type="dxa"/>
            <w:vAlign w:val="bottom"/>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ASP</w:t>
            </w:r>
          </w:p>
        </w:tc>
        <w:tc>
          <w:tcPr>
            <w:tcW w:w="8760" w:type="dxa"/>
            <w:vAlign w:val="bottom"/>
          </w:tcPr>
          <w:p>
            <w:pPr>
              <w:ind w:left="34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Blocker Corporation</w:t>
            </w:r>
          </w:p>
        </w:tc>
        <w:tc>
          <w:tcPr>
            <w:tcW w:w="8760" w:type="dxa"/>
            <w:vAlign w:val="bottom"/>
          </w:tcPr>
          <w:p>
            <w:pPr>
              <w:ind w:left="340"/>
              <w:spacing w:after="0"/>
              <w:rPr>
                <w:sz w:val="20"/>
                <w:szCs w:val="20"/>
                <w:color w:val="auto"/>
              </w:rPr>
            </w:pPr>
            <w:r>
              <w:rPr>
                <w:rFonts w:ascii="Arial" w:cs="Arial" w:eastAsia="Arial" w:hAnsi="Arial"/>
                <w:sz w:val="16"/>
                <w:szCs w:val="16"/>
                <w:color w:val="auto"/>
              </w:rPr>
              <w:t>SP GE VIII - B GD RV Blocker Corporation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Collective reference to the ABL and Term Loan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EBITDA</w:t>
            </w:r>
          </w:p>
        </w:tc>
        <w:tc>
          <w:tcPr>
            <w:tcW w:w="8760" w:type="dxa"/>
            <w:vAlign w:val="bottom"/>
          </w:tcPr>
          <w:p>
            <w:pPr>
              <w:ind w:left="34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8760" w:type="dxa"/>
            <w:vAlign w:val="bottom"/>
          </w:tcPr>
          <w:p>
            <w:pPr>
              <w:ind w:left="34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8760" w:type="dxa"/>
            <w:vAlign w:val="bottom"/>
          </w:tcPr>
          <w:p>
            <w:pPr>
              <w:ind w:left="34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Grand Design</w:t>
            </w:r>
          </w:p>
        </w:tc>
        <w:tc>
          <w:tcPr>
            <w:tcW w:w="8760" w:type="dxa"/>
            <w:vAlign w:val="bottom"/>
          </w:tcPr>
          <w:p>
            <w:pPr>
              <w:ind w:left="34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LIFO</w:t>
            </w:r>
          </w:p>
        </w:tc>
        <w:tc>
          <w:tcPr>
            <w:tcW w:w="8760" w:type="dxa"/>
            <w:vAlign w:val="bottom"/>
          </w:tcPr>
          <w:p>
            <w:pPr>
              <w:ind w:left="34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Motorized</w:t>
            </w:r>
          </w:p>
        </w:tc>
        <w:tc>
          <w:tcPr>
            <w:tcW w:w="8760" w:type="dxa"/>
            <w:vAlign w:val="bottom"/>
          </w:tcPr>
          <w:p>
            <w:pPr>
              <w:ind w:left="34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NYFRB</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New York Federal Reserve Bank</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8760" w:type="dxa"/>
            <w:vAlign w:val="bottom"/>
          </w:tcPr>
          <w:p>
            <w:pPr>
              <w:ind w:left="34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Octavius</w:t>
            </w:r>
          </w:p>
        </w:tc>
        <w:tc>
          <w:tcPr>
            <w:tcW w:w="8760" w:type="dxa"/>
            <w:vAlign w:val="bottom"/>
          </w:tcPr>
          <w:p>
            <w:pPr>
              <w:ind w:left="340"/>
              <w:spacing w:after="0"/>
              <w:rPr>
                <w:sz w:val="20"/>
                <w:szCs w:val="20"/>
                <w:color w:val="auto"/>
              </w:rPr>
            </w:pPr>
            <w:r>
              <w:rPr>
                <w:rFonts w:ascii="Arial" w:cs="Arial" w:eastAsia="Arial" w:hAnsi="Arial"/>
                <w:sz w:val="16"/>
                <w:szCs w:val="16"/>
                <w:color w:val="auto"/>
              </w:rPr>
              <w:t>Octavius Corporation, a wholly-owned subsidiary of Winnebago Industries, Inc.</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8760" w:type="dxa"/>
            <w:vAlign w:val="bottom"/>
          </w:tcPr>
          <w:p>
            <w:pPr>
              <w:ind w:left="34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8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Securities Purchase Agreement</w:t>
            </w:r>
          </w:p>
        </w:tc>
        <w:tc>
          <w:tcPr>
            <w:tcW w:w="8760" w:type="dxa"/>
            <w:vAlign w:val="bottom"/>
          </w:tcPr>
          <w:p>
            <w:pPr>
              <w:ind w:left="340"/>
              <w:spacing w:after="0"/>
              <w:rPr>
                <w:sz w:val="20"/>
                <w:szCs w:val="20"/>
                <w:color w:val="auto"/>
              </w:rPr>
            </w:pPr>
            <w:r>
              <w:rPr>
                <w:rFonts w:ascii="Arial" w:cs="Arial" w:eastAsia="Arial" w:hAnsi="Arial"/>
                <w:sz w:val="16"/>
                <w:szCs w:val="16"/>
                <w:color w:val="auto"/>
              </w:rPr>
              <w:t>Purchase Agreement dated as of November 8, 2016 between Winnebago Industries, Inc. and Grand Design RV, LLC</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2660" w:type="dxa"/>
            <w:vAlign w:val="bottom"/>
            <w:vMerge w:val="continue"/>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SG&amp;A</w:t>
            </w:r>
          </w:p>
        </w:tc>
        <w:tc>
          <w:tcPr>
            <w:tcW w:w="8760" w:type="dxa"/>
            <w:vAlign w:val="bottom"/>
          </w:tcPr>
          <w:p>
            <w:pPr>
              <w:ind w:left="340"/>
              <w:spacing w:after="0"/>
              <w:rPr>
                <w:sz w:val="20"/>
                <w:szCs w:val="20"/>
                <w:color w:val="auto"/>
              </w:rPr>
            </w:pPr>
            <w:r>
              <w:rPr>
                <w:rFonts w:ascii="Arial" w:cs="Arial" w:eastAsia="Arial" w:hAnsi="Arial"/>
                <w:sz w:val="16"/>
                <w:szCs w:val="16"/>
                <w:color w:val="auto"/>
              </w:rPr>
              <w:t>Selling, General and Administrative Expenses</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Tax Act</w:t>
            </w:r>
          </w:p>
        </w:tc>
        <w:tc>
          <w:tcPr>
            <w:tcW w:w="8760" w:type="dxa"/>
            <w:vAlign w:val="bottom"/>
          </w:tcPr>
          <w:p>
            <w:pPr>
              <w:ind w:left="340"/>
              <w:spacing w:after="0"/>
              <w:rPr>
                <w:sz w:val="20"/>
                <w:szCs w:val="20"/>
                <w:color w:val="auto"/>
              </w:rPr>
            </w:pPr>
            <w:r>
              <w:rPr>
                <w:rFonts w:ascii="Arial" w:cs="Arial" w:eastAsia="Arial" w:hAnsi="Arial"/>
                <w:sz w:val="16"/>
                <w:szCs w:val="16"/>
                <w:color w:val="auto"/>
              </w:rPr>
              <w:t>The Tax Cuts and Jobs Act</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Loan Agreement dated as of November 8, 2016 and as amended on December 8, 2017 among Winnebago</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16"/>
                <w:szCs w:val="16"/>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Industries, Inc., Octavius Corporation, the other loan parties thereto and JPMorgan Chase Bank, N.A. as</w:t>
            </w: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spacing w:after="0"/>
              <w:rPr>
                <w:sz w:val="16"/>
                <w:szCs w:val="16"/>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Administrative Agent</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Towable</w:t>
            </w:r>
          </w:p>
        </w:tc>
        <w:tc>
          <w:tcPr>
            <w:tcW w:w="8760" w:type="dxa"/>
            <w:vAlign w:val="bottom"/>
          </w:tcPr>
          <w:p>
            <w:pPr>
              <w:ind w:left="340"/>
              <w:spacing w:after="0"/>
              <w:rPr>
                <w:sz w:val="20"/>
                <w:szCs w:val="20"/>
                <w:color w:val="auto"/>
              </w:rPr>
            </w:pPr>
            <w:r>
              <w:rPr>
                <w:rFonts w:ascii="Arial" w:cs="Arial" w:eastAsia="Arial" w:hAnsi="Arial"/>
                <w:sz w:val="16"/>
                <w:szCs w:val="16"/>
                <w:color w:val="auto"/>
              </w:rPr>
              <w:t>Business segment including products that are not motorized and are towable by another vehicle</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8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660" w:type="dxa"/>
            <w:vAlign w:val="bottom"/>
            <w:shd w:val="clear" w:color="auto" w:fill="CCEEFF"/>
          </w:tcPr>
          <w:p>
            <w:pPr>
              <w:spacing w:after="0"/>
              <w:rPr>
                <w:sz w:val="6"/>
                <w:szCs w:val="6"/>
                <w:color w:val="auto"/>
              </w:rPr>
            </w:pPr>
          </w:p>
        </w:tc>
        <w:tc>
          <w:tcPr>
            <w:tcW w:w="8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40"/>
              <w:spacing w:after="0"/>
              <w:rPr>
                <w:sz w:val="20"/>
                <w:szCs w:val="20"/>
                <w:color w:val="auto"/>
              </w:rPr>
            </w:pPr>
            <w:r>
              <w:rPr>
                <w:rFonts w:ascii="Arial" w:cs="Arial" w:eastAsia="Arial" w:hAnsi="Arial"/>
                <w:sz w:val="16"/>
                <w:szCs w:val="16"/>
                <w:color w:val="auto"/>
              </w:rPr>
              <w:t>XBRL</w:t>
            </w:r>
          </w:p>
        </w:tc>
        <w:tc>
          <w:tcPr>
            <w:tcW w:w="8760" w:type="dxa"/>
            <w:vAlign w:val="bottom"/>
          </w:tcPr>
          <w:p>
            <w:pPr>
              <w:ind w:left="34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918"/>
        </w:trPr>
        <w:tc>
          <w:tcPr>
            <w:tcW w:w="2660" w:type="dxa"/>
            <w:vAlign w:val="bottom"/>
          </w:tcPr>
          <w:p>
            <w:pPr>
              <w:spacing w:after="0"/>
              <w:rPr>
                <w:sz w:val="24"/>
                <w:szCs w:val="24"/>
                <w:color w:val="auto"/>
              </w:rPr>
            </w:pPr>
          </w:p>
        </w:tc>
        <w:tc>
          <w:tcPr>
            <w:tcW w:w="8760" w:type="dxa"/>
            <w:vAlign w:val="bottom"/>
          </w:tcPr>
          <w:p>
            <w:pPr>
              <w:ind w:left="30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520"/>
        <w:spacing w:after="0" w:line="260"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24,</w:t>
            </w: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468,359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370,510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918,380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615,818</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400,698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321,194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787,888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537,627</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67,661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49,316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130,492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78,191</w:t>
            </w:r>
          </w:p>
        </w:tc>
      </w:tr>
      <w:tr>
        <w:trPr>
          <w:trHeight w:val="254"/>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SG&amp;A:</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24,343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15,423</w:t>
            </w:r>
          </w:p>
        </w:tc>
      </w:tr>
      <w:tr>
        <w:trPr>
          <w:trHeight w:val="260"/>
        </w:trPr>
        <w:tc>
          <w:tcPr>
            <w:tcW w:w="47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18,268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12,540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35,684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22,446</w:t>
            </w:r>
          </w:p>
        </w:tc>
      </w:tr>
      <w:tr>
        <w:trPr>
          <w:trHeight w:val="280"/>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1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r>
      <w:tr>
        <w:trPr>
          <w:trHeight w:val="260"/>
        </w:trPr>
        <w:tc>
          <w:tcPr>
            <w:tcW w:w="474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18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5,925</w:t>
            </w:r>
          </w:p>
        </w:tc>
      </w:tr>
      <w:tr>
        <w:trPr>
          <w:trHeight w:val="273"/>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10,367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12,418</w:t>
            </w:r>
          </w:p>
        </w:tc>
      </w:tr>
      <w:tr>
        <w:trPr>
          <w:trHeight w:val="250"/>
        </w:trPr>
        <w:tc>
          <w:tcPr>
            <w:tcW w:w="4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SG&amp;A</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32,410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20,940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64,065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31,416</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28,376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66,427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46,775</w:t>
            </w:r>
          </w:p>
        </w:tc>
      </w:tr>
      <w:tr>
        <w:trPr>
          <w:trHeight w:val="260"/>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6,306</w:t>
            </w:r>
          </w:p>
        </w:tc>
      </w:tr>
      <w:tr>
        <w:trPr>
          <w:trHeight w:val="27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 (income)</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w:t>
            </w:r>
          </w:p>
        </w:tc>
      </w:tr>
      <w:tr>
        <w:trPr>
          <w:trHeight w:val="247"/>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23,194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56,840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40,552</w:t>
            </w:r>
          </w:p>
        </w:tc>
      </w:tr>
      <w:tr>
        <w:trPr>
          <w:trHeight w:val="27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16,794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13,536</w:t>
            </w:r>
          </w:p>
        </w:tc>
      </w:tr>
      <w:tr>
        <w:trPr>
          <w:trHeight w:val="280"/>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15,278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40,046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27,016</w:t>
            </w:r>
          </w:p>
        </w:tc>
      </w:tr>
      <w:tr>
        <w:trPr>
          <w:trHeight w:val="281"/>
        </w:trPr>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0.91</w:t>
            </w:r>
          </w:p>
        </w:tc>
      </w:tr>
      <w:tr>
        <w:trPr>
          <w:trHeight w:val="260"/>
        </w:trPr>
        <w:tc>
          <w:tcPr>
            <w:tcW w:w="47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2"/>
                <w:szCs w:val="22"/>
                <w:color w:val="auto"/>
              </w:rPr>
            </w:pPr>
          </w:p>
        </w:tc>
        <w:tc>
          <w:tcPr>
            <w:tcW w:w="24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0.91</w:t>
            </w:r>
          </w:p>
        </w:tc>
      </w:tr>
      <w:tr>
        <w:trPr>
          <w:trHeight w:val="307"/>
        </w:trPr>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31,634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29,707</w:t>
            </w:r>
          </w:p>
        </w:tc>
      </w:tr>
      <w:tr>
        <w:trPr>
          <w:trHeight w:val="260"/>
        </w:trPr>
        <w:tc>
          <w:tcPr>
            <w:tcW w:w="47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31,686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31,852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29,827</w:t>
            </w:r>
          </w:p>
        </w:tc>
      </w:tr>
      <w:tr>
        <w:trPr>
          <w:trHeight w:val="307"/>
        </w:trPr>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Dividends paid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2"/>
                <w:szCs w:val="22"/>
                <w:color w:val="auto"/>
              </w:rPr>
            </w:pPr>
          </w:p>
        </w:tc>
        <w:tc>
          <w:tcPr>
            <w:tcW w:w="24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0.20</w:t>
            </w:r>
          </w:p>
        </w:tc>
      </w:tr>
      <w:tr>
        <w:trPr>
          <w:trHeight w:val="307"/>
        </w:trPr>
        <w:tc>
          <w:tcPr>
            <w:tcW w:w="4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tcPr>
          <w:p>
            <w:pPr>
              <w:spacing w:after="0"/>
              <w:rPr>
                <w:sz w:val="22"/>
                <w:szCs w:val="22"/>
                <w:color w:val="auto"/>
              </w:rPr>
            </w:pPr>
          </w:p>
        </w:tc>
        <w:tc>
          <w:tcPr>
            <w:tcW w:w="24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40,046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27,016</w:t>
            </w:r>
          </w:p>
        </w:tc>
      </w:tr>
      <w:tr>
        <w:trPr>
          <w:trHeight w:val="280"/>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18"/>
        </w:trPr>
        <w:tc>
          <w:tcPr>
            <w:tcW w:w="474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4740" w:type="dxa"/>
            <w:vAlign w:val="bottom"/>
            <w:gridSpan w:val="2"/>
          </w:tcPr>
          <w:p>
            <w:pPr>
              <w:ind w:left="360"/>
              <w:spacing w:after="0"/>
              <w:rPr>
                <w:sz w:val="20"/>
                <w:szCs w:val="20"/>
                <w:color w:val="auto"/>
              </w:rPr>
            </w:pPr>
            <w:r>
              <w:rPr>
                <w:rFonts w:ascii="Arial" w:cs="Arial" w:eastAsia="Arial" w:hAnsi="Arial"/>
                <w:sz w:val="16"/>
                <w:szCs w:val="16"/>
                <w:color w:val="auto"/>
              </w:rPr>
              <w:t>(net of tax of $0, $7,495, $0 and $15,409)</w:t>
            </w:r>
          </w:p>
        </w:tc>
        <w:tc>
          <w:tcPr>
            <w:tcW w:w="1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(12,177)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(25,035)</w:t>
            </w:r>
          </w:p>
        </w:tc>
      </w:tr>
      <w:tr>
        <w:trPr>
          <w:trHeight w:val="228"/>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4"/>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$2, $2,932, $6 and $5,968)</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9,696</w:t>
            </w:r>
          </w:p>
        </w:tc>
      </w:tr>
      <w:tr>
        <w:trPr>
          <w:trHeight w:val="218"/>
        </w:trPr>
        <w:tc>
          <w:tcPr>
            <w:tcW w:w="474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4740" w:type="dxa"/>
            <w:vAlign w:val="bottom"/>
            <w:gridSpan w:val="2"/>
          </w:tcPr>
          <w:p>
            <w:pPr>
              <w:ind w:left="360"/>
              <w:spacing w:after="0"/>
              <w:rPr>
                <w:sz w:val="20"/>
                <w:szCs w:val="20"/>
                <w:color w:val="auto"/>
              </w:rPr>
            </w:pPr>
            <w:r>
              <w:rPr>
                <w:rFonts w:ascii="Arial" w:cs="Arial" w:eastAsia="Arial" w:hAnsi="Arial"/>
                <w:sz w:val="16"/>
                <w:szCs w:val="16"/>
                <w:color w:val="auto"/>
              </w:rPr>
              <w:t>(net of tax of $0, $0, $0 and $2,402)</w:t>
            </w:r>
          </w:p>
        </w:tc>
        <w:tc>
          <w:tcPr>
            <w:tcW w:w="1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3,903</w:t>
            </w:r>
          </w:p>
        </w:tc>
      </w:tr>
      <w:tr>
        <w:trPr>
          <w:trHeight w:val="228"/>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8"/>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$448, $270, $835 and $270)</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1,917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r>
      <w:tr>
        <w:trPr>
          <w:trHeight w:val="250"/>
        </w:trPr>
        <w:tc>
          <w:tcPr>
            <w:tcW w:w="4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(7,852)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(11,875)</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41,976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15,141</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February 24,</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2017</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35,945</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($174 and $183)</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157,425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124,539</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178,046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142,265</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9,788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11,388</w:t>
            </w:r>
          </w:p>
        </w:tc>
      </w:tr>
      <w:tr>
        <w:trPr>
          <w:trHeight w:val="25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372,702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314,137</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78,798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71,560</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242,728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224,452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228,440</w:t>
            </w: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27,921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27,418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12,736</w:t>
            </w:r>
          </w:p>
        </w:tc>
      </w:tr>
      <w:tr>
        <w:trPr>
          <w:trHeight w:val="264"/>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5,493</w:t>
            </w:r>
          </w:p>
        </w:tc>
      </w:tr>
      <w:tr>
        <w:trPr>
          <w:trHeight w:val="240"/>
        </w:trPr>
        <w:tc>
          <w:tcPr>
            <w:tcW w:w="7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965,326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99,727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79,194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2,850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7,450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25,407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24,546</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Product warranties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34,988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30,805</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9,124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6,122</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Promotional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11,136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6,560</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3,128</w:t>
            </w:r>
          </w:p>
        </w:tc>
      </w:tr>
      <w:tr>
        <w:trPr>
          <w:trHeight w:val="264"/>
        </w:trPr>
        <w:tc>
          <w:tcPr>
            <w:tcW w:w="7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10,161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6,503</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195,590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167,158</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271,102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271,726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benefits, net of current portion</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18,907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19,270</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1,078</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291,927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293,680</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authorized 60,000 shares, issued 51,776 shares)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80,721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80,401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712,809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679,138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(1,023)</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(20,117 and 20,183 shares)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(342,516)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(342,730)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477,809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441,674</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965,326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1"/>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24,</w:t>
            </w:r>
          </w:p>
        </w:tc>
        <w:tc>
          <w:tcPr>
            <w:tcW w:w="240" w:type="dxa"/>
            <w:vAlign w:val="bottom"/>
          </w:tcPr>
          <w:p>
            <w:pPr>
              <w:spacing w:after="0"/>
              <w:rPr>
                <w:sz w:val="17"/>
                <w:szCs w:val="17"/>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7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40,046</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27,016</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4,328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3,428</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485</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598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3,553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1,539</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6,857</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Deferred compensation expense and postretirement benefit income</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(24,034)</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(452)</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(36,379)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(11,232)</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(31,096)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(21,551)</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(4,510)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(4,631)</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32,908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16,131</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(1,430)</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15,045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5,142</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(11,675)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(6,938)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65</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(394,694)</w:t>
            </w:r>
          </w:p>
        </w:tc>
      </w:tr>
      <w:tr>
        <w:trPr>
          <w:trHeight w:val="264"/>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620</w:t>
            </w:r>
          </w:p>
        </w:tc>
      </w:tr>
      <w:tr>
        <w:trPr>
          <w:trHeight w:val="25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(11,394)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(400,947)</w:t>
            </w:r>
          </w:p>
        </w:tc>
      </w:tr>
      <w:tr>
        <w:trPr>
          <w:trHeight w:val="284"/>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4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(1,365)</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(6,370)</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22"/>
                <w:szCs w:val="22"/>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(11,020)</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19,700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366,400</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Repayments of credit facility</w:t>
            </w:r>
          </w:p>
        </w:tc>
        <w:tc>
          <w:tcPr>
            <w:tcW w:w="24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(24,000)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(26,400)</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(12,153)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321,153</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22"/>
                <w:szCs w:val="22"/>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(8,502)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(74,652)</w:t>
            </w:r>
          </w:p>
        </w:tc>
      </w:tr>
      <w:tr>
        <w:trPr>
          <w:trHeight w:val="273"/>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35,945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85,583</w:t>
            </w:r>
          </w:p>
        </w:tc>
      </w:tr>
      <w:tr>
        <w:trPr>
          <w:trHeight w:val="28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27,443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10,931</w:t>
            </w:r>
          </w:p>
        </w:tc>
      </w:tr>
      <w:tr>
        <w:trPr>
          <w:trHeight w:val="267"/>
        </w:trPr>
        <w:tc>
          <w:tcPr>
            <w:tcW w:w="1260" w:type="dxa"/>
            <w:vAlign w:val="bottom"/>
            <w:shd w:val="clear" w:color="auto" w:fill="CCEEFF"/>
          </w:tcPr>
          <w:p>
            <w:pPr>
              <w:spacing w:after="0"/>
              <w:rPr>
                <w:sz w:val="23"/>
                <w:szCs w:val="23"/>
                <w:color w:val="auto"/>
              </w:rPr>
            </w:pPr>
          </w:p>
        </w:tc>
        <w:tc>
          <w:tcPr>
            <w:tcW w:w="64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19,290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11,692</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8,906</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1,731</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124,066</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322</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2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4200" w:type="dxa"/>
            <w:vAlign w:val="bottom"/>
            <w:gridSpan w:val="3"/>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6040" w:type="dxa"/>
            <w:vAlign w:val="bottom"/>
            <w:gridSpan w:val="6"/>
          </w:tcPr>
          <w:p>
            <w:pPr>
              <w:spacing w:after="0"/>
              <w:rPr>
                <w:sz w:val="20"/>
                <w:szCs w:val="20"/>
                <w:color w:val="auto"/>
              </w:rPr>
            </w:pPr>
            <w:r>
              <w:rPr>
                <w:rFonts w:ascii="Arial" w:cs="Arial" w:eastAsia="Arial" w:hAnsi="Arial"/>
                <w:sz w:val="16"/>
                <w:szCs w:val="16"/>
                <w:b w:val="1"/>
                <w:bCs w:val="1"/>
                <w:color w:val="auto"/>
              </w:rPr>
              <w:t>Condensed Consolidated Stockholders' Statement of Equity</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420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56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24,</w:t>
            </w: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1840" w:type="dxa"/>
            <w:vAlign w:val="bottom"/>
            <w:gridSpan w:val="2"/>
          </w:tcPr>
          <w:p>
            <w:pPr>
              <w:ind w:left="360"/>
              <w:spacing w:after="0"/>
              <w:rPr>
                <w:sz w:val="20"/>
                <w:szCs w:val="20"/>
                <w:color w:val="auto"/>
              </w:rPr>
            </w:pPr>
            <w:r>
              <w:rPr>
                <w:rFonts w:ascii="Arial" w:cs="Arial" w:eastAsia="Arial" w:hAnsi="Arial"/>
                <w:sz w:val="16"/>
                <w:szCs w:val="16"/>
                <w:b w:val="1"/>
                <w:bCs w:val="1"/>
                <w:color w:val="auto"/>
              </w:rPr>
              <w:t>February 24,</w:t>
            </w:r>
          </w:p>
        </w:tc>
        <w:tc>
          <w:tcPr>
            <w:tcW w:w="172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70"/>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and paid-in capital</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420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105,928</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104,829</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106,289</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58,605</w:t>
            </w:r>
          </w:p>
        </w:tc>
      </w:tr>
      <w:tr>
        <w:trPr>
          <w:trHeight w:val="280"/>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44,983</w:t>
            </w:r>
          </w:p>
        </w:tc>
      </w:tr>
      <w:tr>
        <w:trPr>
          <w:trHeight w:val="264"/>
        </w:trPr>
        <w:tc>
          <w:tcPr>
            <w:tcW w:w="42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1,888</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1,505</w:t>
            </w:r>
          </w:p>
        </w:tc>
      </w:tr>
      <w:tr>
        <w:trPr>
          <w:trHeight w:val="250"/>
        </w:trPr>
        <w:tc>
          <w:tcPr>
            <w:tcW w:w="4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106,609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105,093</w:t>
            </w:r>
          </w:p>
        </w:tc>
        <w:tc>
          <w:tcPr>
            <w:tcW w:w="12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106,609</w:t>
            </w:r>
          </w:p>
        </w:tc>
        <w:tc>
          <w:tcPr>
            <w:tcW w:w="12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105,093</w:t>
            </w:r>
          </w:p>
        </w:tc>
      </w:tr>
      <w:tr>
        <w:trPr>
          <w:trHeight w:val="270"/>
        </w:trPr>
        <w:tc>
          <w:tcPr>
            <w:tcW w:w="12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Retained earnings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420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693,909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629,099</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679,138</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620,546</w:t>
            </w:r>
          </w:p>
        </w:tc>
      </w:tr>
      <w:tr>
        <w:trPr>
          <w:trHeight w:val="280"/>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22,088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15,278</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40,046</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27,016</w:t>
            </w:r>
          </w:p>
        </w:tc>
      </w:tr>
      <w:tr>
        <w:trPr>
          <w:trHeight w:val="264"/>
        </w:trPr>
        <w:tc>
          <w:tcPr>
            <w:tcW w:w="42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Common stock dividends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(3,188)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(3,185)</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(6,375)</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(6,370)</w:t>
            </w:r>
          </w:p>
        </w:tc>
      </w:tr>
      <w:tr>
        <w:trPr>
          <w:trHeight w:val="250"/>
        </w:trPr>
        <w:tc>
          <w:tcPr>
            <w:tcW w:w="4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712,809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641,192</w:t>
            </w:r>
          </w:p>
        </w:tc>
        <w:tc>
          <w:tcPr>
            <w:tcW w:w="12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712,809</w:t>
            </w:r>
          </w:p>
        </w:tc>
        <w:tc>
          <w:tcPr>
            <w:tcW w:w="12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641,192</w:t>
            </w:r>
          </w:p>
        </w:tc>
      </w:tr>
      <w:tr>
        <w:trPr>
          <w:trHeight w:val="297"/>
        </w:trPr>
        <w:tc>
          <w:tcPr>
            <w:tcW w:w="1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comprehensive income (loss)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420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6,952</w:t>
            </w:r>
          </w:p>
        </w:tc>
        <w:tc>
          <w:tcPr>
            <w:tcW w:w="120" w:type="dxa"/>
            <w:vAlign w:val="bottom"/>
          </w:tcPr>
          <w:p>
            <w:pPr>
              <w:spacing w:after="0"/>
              <w:rPr>
                <w:sz w:val="22"/>
                <w:szCs w:val="22"/>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10,975</w:t>
            </w:r>
          </w:p>
        </w:tc>
      </w:tr>
      <w:tr>
        <w:trPr>
          <w:trHeight w:val="273"/>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1,930</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(11,875)</w:t>
            </w:r>
          </w:p>
        </w:tc>
      </w:tr>
      <w:tr>
        <w:trPr>
          <w:trHeight w:val="250"/>
        </w:trPr>
        <w:tc>
          <w:tcPr>
            <w:tcW w:w="420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(900)</w:t>
            </w:r>
          </w:p>
        </w:tc>
      </w:tr>
      <w:tr>
        <w:trPr>
          <w:trHeight w:val="297"/>
        </w:trPr>
        <w:tc>
          <w:tcPr>
            <w:tcW w:w="126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4200" w:type="dxa"/>
            <w:vAlign w:val="bottom"/>
            <w:gridSpan w:val="3"/>
          </w:tcPr>
          <w:p>
            <w:pPr>
              <w:ind w:left="40"/>
              <w:spacing w:after="0"/>
              <w:rPr>
                <w:sz w:val="20"/>
                <w:szCs w:val="20"/>
                <w:color w:val="auto"/>
              </w:rPr>
            </w:pPr>
            <w:r>
              <w:rPr>
                <w:rFonts w:ascii="Arial" w:cs="Arial" w:eastAsia="Arial" w:hAnsi="Arial"/>
                <w:sz w:val="16"/>
                <w:szCs w:val="16"/>
                <w:b w:val="1"/>
                <w:bCs w:val="1"/>
                <w:color w:val="auto"/>
              </w:rPr>
              <w:t>Treasury stock</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(342,823)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(343,421)</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(342,730)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(421,767)</w:t>
            </w:r>
          </w:p>
        </w:tc>
      </w:tr>
      <w:tr>
        <w:trPr>
          <w:trHeight w:val="260"/>
        </w:trPr>
        <w:tc>
          <w:tcPr>
            <w:tcW w:w="4200" w:type="dxa"/>
            <w:vAlign w:val="bottom"/>
            <w:gridSpan w:val="3"/>
          </w:tcPr>
          <w:p>
            <w:pPr>
              <w:ind w:left="40"/>
              <w:spacing w:after="0"/>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2"/>
                <w:szCs w:val="22"/>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80,362</w:t>
            </w:r>
          </w:p>
        </w:tc>
      </w:tr>
      <w:tr>
        <w:trPr>
          <w:trHeight w:val="273"/>
        </w:trPr>
        <w:tc>
          <w:tcPr>
            <w:tcW w:w="4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Common stock repurchased</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(1,365)</w:t>
            </w:r>
          </w:p>
        </w:tc>
      </w:tr>
      <w:tr>
        <w:trPr>
          <w:trHeight w:val="250"/>
        </w:trPr>
        <w:tc>
          <w:tcPr>
            <w:tcW w:w="420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(342,516)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(342,770)</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(342,516)</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(342,770)</w:t>
            </w:r>
          </w:p>
        </w:tc>
      </w:tr>
      <w:tr>
        <w:trPr>
          <w:trHeight w:val="240"/>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477,809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402,615</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477,809</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402,615</w:t>
            </w:r>
          </w:p>
        </w:tc>
      </w:tr>
      <w:tr>
        <w:trPr>
          <w:trHeight w:val="20"/>
        </w:trPr>
        <w:tc>
          <w:tcPr>
            <w:tcW w:w="1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subsidiaries, as appropriate in the context.</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primary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to present fairly our consolidated financial position as of February 24, 2018 and the consolidated results of income and comprehensive income, consolidated cash flows and consolidated statement of equity for the first six months of Fiscal 2018 and 2017. The consolidated statements of income and comprehensive income for the first three months and six months of Fiscal 2018 are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26, 2017.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2018 and Fiscal 2017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We adopted this ASU in the interim quarterly reporting period ended November 25, 2017. Amendments requiring recognition of excess tax benefits and tax deficiencies in the statement of income and comprehensive income resulted in $0.6 million of excess tax benefits recorded as a reduction of income tax expense upon adoption for the three months ended November 25, 2017. The reduction in income tax expense also reduced the effective tax rate by 2.2% and added $0.02 to income per share for the quarter ended November 25, 2017. Amendments related to the presentation of excess tax benefits and employee taxes paid when an employer withholds shares to meet the minimum statutory withholding requirement required no change to the statement of cash flows. There were no material impacts on the consolidated financial statements of the Company which adopted a policy of accounting for forfeitures when they occur.</w:t>
      </w:r>
    </w:p>
    <w:p>
      <w:pPr>
        <w:spacing w:after="0" w:line="163"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LIFO or the retail inventory method to be subsequently measured at the lower of cost or net realizable value, rather than at the lower of cost or market. Under this ASU, subsequent measurement of inventory using the LIFO and retail inventory method is unchanged. ASU 2015-11 is effective prospectively for fiscal years beginning after December 15, 2016 (our Fiscal 2018), including interim periods within those annual reporting periods. We adopted this ASU on August 27, 2017, and there was no material impact on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performed an evaluation that included a review of representative contracts with key customers and the performance obligations contained therein, as well as a review of our commercial terms and practices across each of our segments. Based on our preliminary review, we do not expect adoption to have a material impact on our consolidated financial statements but further work to substantiate this preliminary conclusion is underway. We will determine the transition method to apply and the implications of using either the full retrospective or modified retrospective approach after this additional work is concluded.</w:t>
      </w:r>
    </w:p>
    <w:p>
      <w:pPr>
        <w:spacing w:after="0" w:line="160"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standard is effective retrospectively or on a modified retrospective basis for fiscal years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8"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which allows for a reclassification of stranded tax effects from the Tax Cuts and Job Act from accumulated other comprehensive income to retained earnings. This ASU is effective for fiscal years beginning after December 15, 2018 (our Fiscal 2020). We are currently evaluating the impact of adopting this ASU on our consolidated financial statements and do not expect adoption to have a material impact.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Segments</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two reporting segments: (1) Motorized products and services and (2) Towable products and services. We aggregate two operating segments into the Towable reporting segment based upon their similar products, customers, distribution methods, production processes and economic characteristics. We adopted a new corporate allocation policy in the first quarter of Fiscal 2018 that identifies shared costs and allocates them to the operating segments. The cost drivers selected as the basis for allocation are the most appropriate drivers for the type of cost being allocated. All corporate expenses are allocated to the operating segments. Previous to the first quarter of Fiscal 2018, costs were not allocated and were borne by the segment in which the costs originated. See Note 3: Business Segments.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On March 14, 2018 our Board of Directors declared a cash dividend of $0.10 per share as further described in Note 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$520.5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 and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closing share price on the date of closing.</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tangible and intangible assets of Grand Design acquired, based on their fair values at the date of the acquisition. The purchase price allocation was finalized during the first quarter of Fiscal 2018. The final allocation of the purchase price to assets acquired and liabilities assumed is shown in the following table.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9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3"/>
        </w:trPr>
        <w:tc>
          <w:tcPr>
            <w:tcW w:w="1260" w:type="dxa"/>
            <w:vAlign w:val="bottom"/>
            <w:tcBorders>
              <w:top w:val="single" w:sz="8" w:color="0000EE"/>
            </w:tcBorders>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243,456</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7"/>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558,473</w:t>
            </w:r>
          </w:p>
        </w:tc>
      </w:tr>
      <w:tr>
        <w:trPr>
          <w:trHeight w:val="293"/>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1,496</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r>
      <w:tr>
        <w:trPr>
          <w:trHeight w:val="250"/>
        </w:trPr>
        <w:tc>
          <w:tcPr>
            <w:tcW w:w="9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37,965</w:t>
            </w:r>
          </w:p>
        </w:tc>
      </w:tr>
      <w:tr>
        <w:trPr>
          <w:trHeight w:val="24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12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Blocker Corporation, which held the remaining 10.66% of the Grand Design member interests. We agreed to acquire Blocker Corporation as part of the Securities Purchase Agreement, and we did not receive a step-up in basis for 10.66% of the Grand Design assets. As a result, we established certain deferred tax liabilities on the opening balance sheet that relate to Blocker Corporation.</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As of February 24, 2018, goodwill increased $2.0 million as compared to the end of Fiscal 2017. The increase is due to the final purchase price adjustment made for taxes.</w:t>
      </w:r>
    </w:p>
    <w:p>
      <w:pPr>
        <w:spacing w:after="0" w:line="17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the closing date of November 8, 2016 and amortization accumulated from the closing date through February 24, 2018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40" w:type="dxa"/>
            <w:vAlign w:val="bottom"/>
            <w:gridSpan w:val="5"/>
          </w:tcPr>
          <w:p>
            <w:pPr>
              <w:ind w:left="480"/>
              <w:spacing w:after="0"/>
              <w:rPr>
                <w:sz w:val="20"/>
                <w:szCs w:val="20"/>
                <w:color w:val="auto"/>
              </w:rPr>
            </w:pPr>
            <w:r>
              <w:rPr>
                <w:rFonts w:ascii="Arial" w:cs="Arial" w:eastAsia="Arial" w:hAnsi="Arial"/>
                <w:sz w:val="16"/>
                <w:szCs w:val="16"/>
                <w:b w:val="1"/>
                <w:bCs w:val="1"/>
                <w:color w:val="auto"/>
              </w:rPr>
              <w:t>February 24, 2018</w:t>
            </w:r>
          </w:p>
        </w:tc>
        <w:tc>
          <w:tcPr>
            <w:tcW w:w="360" w:type="dxa"/>
            <w:vAlign w:val="bottom"/>
          </w:tcPr>
          <w:p>
            <w:pPr>
              <w:spacing w:after="0"/>
              <w:rPr>
                <w:sz w:val="19"/>
                <w:szCs w:val="19"/>
                <w:color w:val="auto"/>
              </w:rPr>
            </w:pPr>
          </w:p>
        </w:tc>
        <w:tc>
          <w:tcPr>
            <w:tcW w:w="26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August 26, 2017</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2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Life-Years</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47"/>
        </w:trPr>
        <w:tc>
          <w:tcPr>
            <w:tcW w:w="3860" w:type="dxa"/>
            <w:vAlign w:val="bottom"/>
            <w:gridSpan w:val="2"/>
          </w:tcPr>
          <w:p>
            <w:pPr>
              <w:ind w:left="40"/>
              <w:spacing w:after="0"/>
              <w:rPr>
                <w:sz w:val="20"/>
                <w:szCs w:val="20"/>
                <w:color w:val="auto"/>
              </w:rPr>
            </w:pPr>
            <w:r>
              <w:rPr>
                <w:rFonts w:ascii="Arial" w:cs="Arial" w:eastAsia="Arial" w:hAnsi="Arial"/>
                <w:sz w:val="16"/>
                <w:szCs w:val="16"/>
                <w:color w:val="auto"/>
              </w:rPr>
              <w:t>Trade name</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Indefinite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148,000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148,000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5,348</w:t>
            </w:r>
          </w:p>
        </w:tc>
        <w:tc>
          <w:tcPr>
            <w:tcW w:w="0" w:type="dxa"/>
            <w:vAlign w:val="bottom"/>
          </w:tcPr>
          <w:p>
            <w:pPr>
              <w:spacing w:after="0"/>
              <w:rPr>
                <w:sz w:val="1"/>
                <w:szCs w:val="1"/>
                <w:color w:val="auto"/>
              </w:rPr>
            </w:pPr>
          </w:p>
        </w:tc>
      </w:tr>
      <w:tr>
        <w:trPr>
          <w:trHeight w:val="260"/>
        </w:trPr>
        <w:tc>
          <w:tcPr>
            <w:tcW w:w="3860" w:type="dxa"/>
            <w:vAlign w:val="bottom"/>
            <w:gridSpan w:val="2"/>
          </w:tcPr>
          <w:p>
            <w:pPr>
              <w:ind w:left="40"/>
              <w:spacing w:after="0"/>
              <w:rPr>
                <w:sz w:val="20"/>
                <w:szCs w:val="20"/>
                <w:color w:val="auto"/>
              </w:rPr>
            </w:pPr>
            <w:r>
              <w:rPr>
                <w:rFonts w:ascii="Arial" w:cs="Arial" w:eastAsia="Arial" w:hAnsi="Arial"/>
                <w:sz w:val="16"/>
                <w:szCs w:val="16"/>
                <w:color w:val="auto"/>
              </w:rPr>
              <w:t>Backlog</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8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Leasehold interest-favorable</w:t>
            </w:r>
          </w:p>
        </w:tc>
        <w:tc>
          <w:tcPr>
            <w:tcW w:w="1340" w:type="dxa"/>
            <w:vAlign w:val="bottom"/>
            <w:tcBorders>
              <w:bottom w:val="single" w:sz="8" w:color="CCEEFF"/>
            </w:tcBorders>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4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253,100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253,100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24,660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Accumulated amortization</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rPr>
              <w:t>(28,648)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rPr>
              <w:t>(24,660)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860" w:type="dxa"/>
            <w:vAlign w:val="bottom"/>
            <w:tcBorders>
              <w:bottom w:val="single" w:sz="8" w:color="CCEEFF"/>
            </w:tcBorders>
            <w:gridSpan w:val="2"/>
            <w:vMerge w:val="continue"/>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book value of intangible assets</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224,452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228,440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trade name. The relief from royalty method is based on the hypothetical royalty stream that would be received if we were to license the trade name and is based on expected revenues from such license. The fair value of the dealer network was estimated using an income approach known as the cost to recreate/cost savings method. This method uses the replacement of the asset as an indicator of the fair 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limit the useful life of the intangible assets.</w:t>
      </w:r>
    </w:p>
    <w:p>
      <w:pPr>
        <w:spacing w:after="0" w:line="235"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For the six months ended February 24, 2018 and February 25, 2017, amortization of intangible assets charged to operations was $4.0 million and $12.4 million, respectively. The weighted average remaining amortization period for intangible assets as of February 24, 2018 was approximately 10.6 years. Remaining estimated aggregate annual amortization expense by fiscal year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3,866</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7,106</w:t>
            </w:r>
          </w:p>
        </w:tc>
      </w:tr>
      <w:tr>
        <w:trPr>
          <w:trHeight w:val="251"/>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42,281</w:t>
            </w:r>
          </w:p>
        </w:tc>
      </w:tr>
    </w:tbl>
    <w:p>
      <w:pPr>
        <w:spacing w:after="0" w:line="23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six months ended February 24, 2018 and February 25, 2017 following the November 8, 2016 closing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450,708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169,421</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6,759</w:t>
            </w:r>
          </w:p>
        </w:tc>
      </w:tr>
    </w:tbl>
    <w:p>
      <w:pPr>
        <w:spacing w:after="0" w:line="210"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25,</w:t>
            </w:r>
          </w:p>
        </w:tc>
      </w:tr>
      <w:tr>
        <w:trPr>
          <w:trHeight w:val="23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9"/>
              <w:spacing w:after="0" w:line="234" w:lineRule="exact"/>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(1)</w:t>
            </w:r>
          </w:p>
        </w:tc>
      </w:tr>
      <w:tr>
        <w:trPr>
          <w:trHeight w:val="25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918,380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711,485</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40,155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41,153</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1.30</w:t>
            </w:r>
          </w:p>
        </w:tc>
      </w:tr>
    </w:tbl>
    <w:p>
      <w:pPr>
        <w:ind w:left="160" w:hanging="152"/>
        <w:spacing w:after="0" w:line="227" w:lineRule="auto"/>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Net income and income per share include the increased benefit of $16.3 million, net of tax, associated with the termination of the postretirement health care plan in Fiscal 2017.</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8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257"/>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(10,376)</w:t>
            </w:r>
          </w:p>
        </w:tc>
      </w:tr>
      <w:tr>
        <w:trPr>
          <w:trHeight w:val="260"/>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20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1,551</w:t>
            </w:r>
          </w:p>
        </w:tc>
      </w:tr>
      <w:tr>
        <w:trPr>
          <w:trHeight w:val="28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Expenses related to business combination (transaction costs)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(5,982)</w:t>
            </w:r>
          </w:p>
        </w:tc>
      </w:tr>
      <w:tr>
        <w:trPr>
          <w:trHeight w:val="260"/>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20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3,672</w:t>
            </w:r>
          </w:p>
        </w:tc>
      </w:tr>
      <w:tr>
        <w:trPr>
          <w:trHeight w:val="28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 income of Grand Design</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8,303</w:t>
            </w:r>
          </w:p>
        </w:tc>
      </w:tr>
    </w:tbl>
    <w:p>
      <w:pPr>
        <w:spacing w:after="0" w:line="2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Pro forma transaction costs include $0.1 million incurred by Grand Design prior to acquisition.</w:t>
      </w:r>
    </w:p>
    <w:p>
      <w:pPr>
        <w:spacing w:after="0" w:line="17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incurred approximately $6.9 million of acquisition-related costs to date, of which $0.1 million and $5.9 million were expensed during the six months ended February 24, 2018 and February 25, 2017,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segments.</w:t>
      </w:r>
    </w:p>
    <w:p>
      <w:pPr>
        <w:spacing w:after="0" w:line="15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have two reportable segments: (1) Motorized products and services and (2) Towable products and services. The Motorized segment includes all products that include a motorized chassis as well as other related manufactured products. The Towable segment includes all products that are not motorized and are generally towed by another vehicle.</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organize our business reporting on a product basis. Each reportable segment is managed separately to better align to our customers, distribution partners and the unique market dynamics of the product groups. We aggregate two operating segments into the Towable reporting segment based upon their similar products, customers, distribution methods, production processes and economic characteristics. The accounting policies of both reportable segments are the same and described in Note 1: Summary of Significant Accounting Policies in our Annual Report on Form 10-K for the fiscal year ended August 26, 2017.</w:t>
      </w:r>
    </w:p>
    <w:p>
      <w:pPr>
        <w:spacing w:after="0" w:line="176"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Subsequent to the acquisition of Grand Design in Fiscal 2017, management re-evaluated the manner in which corporate expenses were allocated to the reportable segments. A new corporate allocation policy was adopted in the first quarter of Fiscal 2018 that identifies shared costs and allocates them to the operating segments based on a cost driver most appropriate for the type of cost being allocated. For example, certain costs were allocated based on the financial size of the operating segment, while other costs, where appropriate, were allocated based on the headcount in the operating segments since headcount was deemed the appropriate driver for those types of expenses. Prior year segment information has been restated to conform to the current reporting segment presentation. All corporate expenses were allocated to the operating segments. Assets presented by reportable segment exclude certain corporate assets that cannot reasonably be allocated to the reportable segments. These unallocated corporate assets include cash and deferred tax assets.</w:t>
      </w:r>
    </w:p>
    <w:p>
      <w:pPr>
        <w:spacing w:after="0" w:line="18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evaluate the performance of our reportable segments based on Adjusted EBITDA after corporate allocations. Adjusted EBITDA is defined as earnings before interest, taxes, depreciation and amortization and other adjustments made in order to present comparable results from period to period. Examples of items excluded from Adjusted EBITDA include the postretirement health care benefit income resulting from the plan amendments over the past several years and the transaction costs related to our acquisition of Grand Design.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gridSpan w:val="2"/>
          </w:tcPr>
          <w:p>
            <w:pPr>
              <w:spacing w:after="0"/>
              <w:rPr>
                <w:sz w:val="20"/>
                <w:szCs w:val="20"/>
                <w:color w:val="auto"/>
              </w:rPr>
            </w:pPr>
            <w:r>
              <w:rPr>
                <w:rFonts w:ascii="Arial" w:cs="Arial" w:eastAsia="Arial" w:hAnsi="Arial"/>
                <w:sz w:val="16"/>
                <w:szCs w:val="16"/>
                <w:color w:val="auto"/>
              </w:rPr>
              <w:t>The following table shows information by reporting segment:</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1"/>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24,</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24,</w:t>
            </w:r>
          </w:p>
        </w:tc>
        <w:tc>
          <w:tcPr>
            <w:tcW w:w="14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Motorized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202,001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198,936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392,357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394,061</w:t>
            </w:r>
          </w:p>
        </w:tc>
      </w:tr>
      <w:tr>
        <w:trPr>
          <w:trHeight w:val="27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266,358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171,574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526,023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221,757</w:t>
            </w:r>
          </w:p>
        </w:tc>
      </w:tr>
      <w:tr>
        <w:trPr>
          <w:trHeight w:val="280"/>
        </w:trPr>
        <w:tc>
          <w:tcPr>
            <w:tcW w:w="5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Consolidated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468,359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370,510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918,380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615,818</w:t>
            </w:r>
          </w:p>
        </w:tc>
      </w:tr>
      <w:tr>
        <w:trPr>
          <w:trHeight w:val="267"/>
        </w:trPr>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21,954</w:t>
            </w:r>
          </w:p>
        </w:tc>
      </w:tr>
      <w:tr>
        <w:trPr>
          <w:trHeight w:val="264"/>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Towable</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21,796</w:t>
            </w:r>
          </w:p>
        </w:tc>
      </w:tr>
      <w:tr>
        <w:trPr>
          <w:trHeight w:val="24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39,382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29,071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74,793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43,750</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Motorized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4,531</w:t>
            </w:r>
          </w:p>
        </w:tc>
      </w:tr>
      <w:tr>
        <w:trPr>
          <w:trHeight w:val="27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2,407</w:t>
            </w:r>
          </w:p>
        </w:tc>
      </w:tr>
      <w:tr>
        <w:trPr>
          <w:trHeight w:val="280"/>
        </w:trPr>
        <w:tc>
          <w:tcPr>
            <w:tcW w:w="5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Consolidated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11,675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6,938</w:t>
            </w:r>
          </w:p>
        </w:tc>
      </w:tr>
      <w:tr>
        <w:trPr>
          <w:trHeight w:val="267"/>
        </w:trPr>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304,623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283,035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304,623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283,035</w:t>
            </w: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Towable</w:t>
            </w:r>
          </w:p>
        </w:tc>
        <w:tc>
          <w:tcPr>
            <w:tcW w:w="1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618,636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581,863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618,636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581,863</w:t>
            </w:r>
          </w:p>
        </w:tc>
      </w:tr>
      <w:tr>
        <w:trPr>
          <w:trHeight w:val="27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Unallocated corporate assets</w:t>
            </w: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42,067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29,823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42,067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29,823</w:t>
            </w:r>
          </w:p>
        </w:tc>
      </w:tr>
      <w:tr>
        <w:trPr>
          <w:trHeight w:val="24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Consolidated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965,326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894,721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965,326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894,721</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12"/>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0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47"/>
        </w:trPr>
        <w:tc>
          <w:tcPr>
            <w:tcW w:w="5160" w:type="dxa"/>
            <w:vAlign w:val="bottom"/>
            <w:gridSpan w:val="3"/>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25,</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18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40,046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27,016</w:t>
            </w:r>
          </w:p>
        </w:tc>
      </w:tr>
      <w:tr>
        <w:trPr>
          <w:trHeight w:val="260"/>
        </w:trPr>
        <w:tc>
          <w:tcPr>
            <w:tcW w:w="5160" w:type="dxa"/>
            <w:vAlign w:val="bottom"/>
            <w:gridSpan w:val="3"/>
          </w:tcPr>
          <w:p>
            <w:pPr>
              <w:ind w:left="1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6,306</w:t>
            </w:r>
          </w:p>
        </w:tc>
      </w:tr>
      <w:tr>
        <w:trPr>
          <w:trHeight w:val="280"/>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13,536</w:t>
            </w:r>
          </w:p>
        </w:tc>
      </w:tr>
      <w:tr>
        <w:trPr>
          <w:trHeight w:val="260"/>
        </w:trPr>
        <w:tc>
          <w:tcPr>
            <w:tcW w:w="5160" w:type="dxa"/>
            <w:vAlign w:val="bottom"/>
            <w:gridSpan w:val="3"/>
          </w:tcPr>
          <w:p>
            <w:pPr>
              <w:ind w:left="18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4,328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3,428</w:t>
            </w:r>
          </w:p>
        </w:tc>
      </w:tr>
      <w:tr>
        <w:trPr>
          <w:trHeight w:val="273"/>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12,418</w:t>
            </w:r>
          </w:p>
        </w:tc>
      </w:tr>
      <w:tr>
        <w:trPr>
          <w:trHeight w:val="24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40,587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74,855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62,704</w:t>
            </w:r>
          </w:p>
        </w:tc>
      </w:tr>
      <w:tr>
        <w:trPr>
          <w:trHeight w:val="280"/>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r>
      <w:tr>
        <w:trPr>
          <w:trHeight w:val="260"/>
        </w:trPr>
        <w:tc>
          <w:tcPr>
            <w:tcW w:w="5160" w:type="dxa"/>
            <w:vAlign w:val="bottom"/>
            <w:gridSpan w:val="3"/>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5,925</w:t>
            </w:r>
          </w:p>
        </w:tc>
      </w:tr>
      <w:tr>
        <w:trPr>
          <w:trHeight w:val="273"/>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Non-operating expense (income)</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r>
      <w:tr>
        <w:trPr>
          <w:trHeight w:val="24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39,382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29,071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74,793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43,750</w:t>
            </w:r>
          </w:p>
        </w:tc>
      </w:tr>
      <w:tr>
        <w:trPr>
          <w:trHeight w:val="20"/>
        </w:trPr>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During the first six months of Fiscal 2018, no dealer organization accounted for 10% or more of our consolidated revenues. One of our dealer organizations, La Mesa RV Center, Inc., accounted for 13.7% of our consolidated net revenues for the first six months of Fiscal 2017. A second dealer organization, FreedomRoads, LLC, accounted for 11.8% of our consolidated net revenues for the first six months of Fiscal 2017. These dealers declined on a relative basis due to the growth of other dealers and a shift in dealer mix attributable to the addition of Grand Design revenue.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9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February 24, 2018 and August 26, 2017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February 24,</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2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83"/>
        </w:trPr>
        <w:tc>
          <w:tcPr>
            <w:tcW w:w="126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2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24"/>
                <w:szCs w:val="24"/>
                <w:color w:val="auto"/>
              </w:rPr>
            </w:pPr>
          </w:p>
        </w:tc>
      </w:tr>
      <w:tr>
        <w:trPr>
          <w:trHeight w:val="228"/>
        </w:trPr>
        <w:tc>
          <w:tcPr>
            <w:tcW w:w="1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center"/>
              <w:ind w:left="1119"/>
              <w:spacing w:after="0"/>
              <w:rPr>
                <w:sz w:val="20"/>
                <w:szCs w:val="20"/>
                <w:color w:val="auto"/>
              </w:rPr>
            </w:pPr>
            <w:r>
              <w:rPr>
                <w:rFonts w:ascii="Arial" w:cs="Arial" w:eastAsia="Arial" w:hAnsi="Arial"/>
                <w:sz w:val="16"/>
                <w:szCs w:val="16"/>
                <w:b w:val="1"/>
                <w:bCs w:val="1"/>
                <w:color w:val="auto"/>
              </w:rPr>
              <w:t>Using Inputs Considered As</w:t>
            </w:r>
          </w:p>
        </w:tc>
        <w:tc>
          <w:tcPr>
            <w:tcW w:w="1280" w:type="dxa"/>
            <w:vAlign w:val="bottom"/>
            <w:tcBorders>
              <w:bottom w:val="single" w:sz="8" w:color="auto"/>
            </w:tcBorders>
          </w:tcPr>
          <w:p>
            <w:pPr>
              <w:spacing w:after="0"/>
              <w:rPr>
                <w:sz w:val="19"/>
                <w:szCs w:val="19"/>
                <w:color w:val="auto"/>
              </w:rPr>
            </w:pPr>
          </w:p>
        </w:tc>
      </w:tr>
      <w:tr>
        <w:trPr>
          <w:trHeight w:val="198"/>
        </w:trPr>
        <w:tc>
          <w:tcPr>
            <w:tcW w:w="12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Level 1 Quoted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2 Significant</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26,</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Inputs</w:t>
            </w:r>
          </w:p>
        </w:tc>
      </w:tr>
      <w:tr>
        <w:trPr>
          <w:trHeight w:val="270"/>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860" w:type="dxa"/>
            <w:vAlign w:val="bottom"/>
            <w:gridSpan w:val="3"/>
          </w:tcPr>
          <w:p>
            <w:pPr>
              <w:ind w:left="120"/>
              <w:spacing w:after="0"/>
              <w:rPr>
                <w:sz w:val="20"/>
                <w:szCs w:val="20"/>
                <w:color w:val="auto"/>
              </w:rPr>
            </w:pPr>
            <w:r>
              <w:rPr>
                <w:rFonts w:ascii="Arial" w:cs="Arial" w:eastAsia="Arial" w:hAnsi="Arial"/>
                <w:sz w:val="16"/>
                <w:szCs w:val="16"/>
                <w:color w:val="auto"/>
              </w:rPr>
              <w:t>Domestic equity funds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1,671</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80"/>
        </w:trPr>
        <w:tc>
          <w:tcPr>
            <w:tcW w:w="48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3"/>
          </w:tcPr>
          <w:p>
            <w:pPr>
              <w:ind w:left="120"/>
              <w:spacing w:after="0"/>
              <w:rPr>
                <w:sz w:val="20"/>
                <w:szCs w:val="20"/>
                <w:color w:val="auto"/>
              </w:rPr>
            </w:pPr>
            <w:r>
              <w:rPr>
                <w:rFonts w:ascii="Arial" w:cs="Arial" w:eastAsia="Arial" w:hAnsi="Arial"/>
                <w:sz w:val="16"/>
                <w:szCs w:val="16"/>
                <w:color w:val="auto"/>
              </w:rPr>
              <w:t>Fixed income funds</w:t>
            </w:r>
          </w:p>
        </w:tc>
        <w:tc>
          <w:tcPr>
            <w:tcW w:w="2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gridSpan w:val="3"/>
          </w:tcPr>
          <w:p>
            <w:pPr>
              <w:ind w:left="40"/>
              <w:spacing w:after="0"/>
              <w:rPr>
                <w:sz w:val="20"/>
                <w:szCs w:val="20"/>
                <w:color w:val="auto"/>
              </w:rPr>
            </w:pPr>
            <w:r>
              <w:rPr>
                <w:rFonts w:ascii="Arial" w:cs="Arial" w:eastAsia="Arial" w:hAnsi="Arial"/>
                <w:sz w:val="16"/>
                <w:szCs w:val="16"/>
                <w:color w:val="auto"/>
              </w:rPr>
              <w:t>Total assets (liabilities) at fair value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1,998</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10). The proportion of the assets that will fund options that expire within a year are included in prepaid expenses and other current assets in the accompanying consolidated balance sheets. The remaining assets are classified as non-current and are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5"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Under terms of our Credit Agreement (see Note 9), we were previously required to hedge a portion of the floating interest rate exposure. In accordance with that requirement, on January 23, 2017, we entered into an interest swap contract, which effectively fixed our interest rate for our Term Loan for a notional amount that reduces each December during the swap contract. As of February 24, 2018, we had $170.0 million of our Term Loan fixed at an interest rate of 5.32%. As of August 26, 2017, we had $200.0 million of our Term Loan fixed at an interest rate of 6.32%.</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fair value of the interest rate swap based on a Level 2 valuation was an asset of $1.9 million as of February 24, 2018. The fair value is classified as Level 2 as it is corroborated based on observable market data. This amount is classified as non-current and included in other assets on the consolidated balance sheets. The change in value in the second quarter was predominately recorded to accumulated other comprehensive income on the consolidated balance sheets since the interest rate swap has been designated for hedge accounting.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six months of Fiscal 2018,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February 24, 2018 approximates fair value as interest is at variable market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6: Inventories</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24,</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43,474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16,947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69,876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60,818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100,713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99,919</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214,063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177,684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(36,017)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(35,419)</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178,046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142,265</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$214.1 million and $177.7 million inventory at February 24, 2018 and August 26, 2017, respectively, $177.3 million and $149.8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million is valued on a LIFO basis. The remaining inventories of $36.8 million and $27.9 million at February 24, 2018 and August 26, 2017, respectively, are valued on a FIFO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February 24,</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3,936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3,914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81,367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73,831</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99,577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99,952</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20,601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17,844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8,358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8,993</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213,839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204,534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(135,041)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(132,974)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78,798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71,560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Warranty expense is affected by dealership labor rates, the cost of parts and the frequency of claims. Estimated costs related to product warranty are accrued at the time of sale and are based upon historical warranty and service claims experience. Adjustments are made to accruals as claim data and cost experience becomes available.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24,</w:t>
            </w:r>
          </w:p>
        </w:tc>
        <w:tc>
          <w:tcPr>
            <w:tcW w:w="2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February 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rPr>
              <w:t>February 25,</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24,551</w:t>
            </w:r>
          </w:p>
        </w:tc>
        <w:tc>
          <w:tcPr>
            <w:tcW w:w="1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30,805</w:t>
            </w:r>
          </w:p>
        </w:tc>
        <w:tc>
          <w:tcPr>
            <w:tcW w:w="12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12,412</w:t>
            </w:r>
          </w:p>
        </w:tc>
        <w:tc>
          <w:tcPr>
            <w:tcW w:w="0" w:type="dxa"/>
            <w:vAlign w:val="bottom"/>
          </w:tcPr>
          <w:p>
            <w:pPr>
              <w:spacing w:after="0"/>
              <w:rPr>
                <w:sz w:val="1"/>
                <w:szCs w:val="1"/>
                <w:color w:val="auto"/>
              </w:rPr>
            </w:pPr>
          </w:p>
        </w:tc>
      </w:tr>
      <w:tr>
        <w:trPr>
          <w:trHeight w:val="260"/>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4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10,283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20,236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11,632</w:t>
            </w:r>
          </w:p>
        </w:tc>
        <w:tc>
          <w:tcPr>
            <w:tcW w:w="0" w:type="dxa"/>
            <w:vAlign w:val="bottom"/>
          </w:tcPr>
          <w:p>
            <w:pPr>
              <w:spacing w:after="0"/>
              <w:rPr>
                <w:sz w:val="1"/>
                <w:szCs w:val="1"/>
                <w:color w:val="auto"/>
              </w:rPr>
            </w:pPr>
          </w:p>
        </w:tc>
      </w:tr>
      <w:tr>
        <w:trPr>
          <w:trHeight w:val="28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(7,795)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(7,255)</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(16,053)</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(11,918)</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Acquisition of Grand Design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12,904</w:t>
            </w:r>
          </w:p>
        </w:tc>
        <w:tc>
          <w:tcPr>
            <w:tcW w:w="0" w:type="dxa"/>
            <w:vAlign w:val="bottom"/>
          </w:tcPr>
          <w:p>
            <w:pPr>
              <w:spacing w:after="0"/>
              <w:rPr>
                <w:sz w:val="1"/>
                <w:szCs w:val="1"/>
                <w:color w:val="auto"/>
              </w:rPr>
            </w:pPr>
          </w:p>
        </w:tc>
      </w:tr>
      <w:tr>
        <w:trPr>
          <w:trHeight w:val="24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34,988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25,030</w:t>
            </w: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34,988</w:t>
            </w:r>
          </w:p>
        </w:tc>
        <w:tc>
          <w:tcPr>
            <w:tcW w:w="1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25,030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Note 9: Long-Term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40" w:type="dxa"/>
            <w:vAlign w:val="bottom"/>
            <w:gridSpan w:val="2"/>
          </w:tcPr>
          <w:p>
            <w:pPr>
              <w:spacing w:after="0"/>
              <w:rPr>
                <w:sz w:val="20"/>
                <w:szCs w:val="20"/>
                <w:color w:val="auto"/>
              </w:rPr>
            </w:pPr>
            <w:r>
              <w:rPr>
                <w:rFonts w:ascii="Arial" w:cs="Arial" w:eastAsia="Arial" w:hAnsi="Arial"/>
                <w:sz w:val="16"/>
                <w:szCs w:val="16"/>
                <w:color w:val="auto"/>
              </w:rPr>
              <w:t>The components of long-term debt are as follows: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February 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rPr>
              <w:t>August 26,</w:t>
            </w:r>
          </w:p>
        </w:tc>
        <w:tc>
          <w:tcPr>
            <w:tcW w:w="0" w:type="dxa"/>
            <w:vAlign w:val="bottom"/>
          </w:tcPr>
          <w:p>
            <w:pPr>
              <w:spacing w:after="0"/>
              <w:rPr>
                <w:sz w:val="1"/>
                <w:szCs w:val="1"/>
                <w:color w:val="auto"/>
              </w:rPr>
            </w:pPr>
          </w:p>
        </w:tc>
      </w:tr>
      <w:tr>
        <w:trPr>
          <w:trHeight w:val="228"/>
        </w:trPr>
        <w:tc>
          <w:tcPr>
            <w:tcW w:w="4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19,700</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Term Loan</w:t>
            </w:r>
          </w:p>
        </w:tc>
        <w:tc>
          <w:tcPr>
            <w:tcW w:w="2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260,000</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284,000</w:t>
            </w: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long-term debt, excluding issuance costs</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279,700</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284,000</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debt issuance cost, net</w:t>
            </w:r>
          </w:p>
        </w:tc>
        <w:tc>
          <w:tcPr>
            <w:tcW w:w="2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(8,598)</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(9,424)</w:t>
            </w: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net of issuance costs</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271,102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274,576</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Less: current maturities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40"/>
        </w:trPr>
        <w:tc>
          <w:tcPr>
            <w:tcW w:w="4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271,102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On November 8, 2016, we entered into a $125.0 million ABL and a $300.0 million Term Loan with JPMorgan Chase Bank, N.A. ("Credit Agreement"). On December 8, 2017, we amended our Credit Agreement, which decreased the interest rate spread by 1.0% on the Term Loan and 0.25% on the ABL. Prior to this amendment, $19.7 million was drawn on the ABL and used to make a voluntary prepayment on our Term Loan.</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Under the ABL, we have a five year credit facility on a revolving basis, subject to availability under a borrowing base consisting of eligible accounts receivable and eligible inventory. The ABL is available for issuance of letters of credit to a specified limit of $10.0 million. We pay a commitment fee in the range of 0.25% - 0.375% on the amount of facility available, but unused. We can elect to</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base the interest rate on various base rates plus specific spreads depending on the amount of borrowings outstanding. We currently pay interest on ABL borrowings at a floating rate based upon LIBOR plus 1.25%.</w:t>
      </w:r>
    </w:p>
    <w:p>
      <w:pPr>
        <w:spacing w:after="0" w:line="19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the Term Loan, we can elect to base the interest rate on various base rates plus specific spreads. The interest rate as of February 24, 2018 was based on LIBOR plus 3.5%. The Term Loan agreement currently requires quarterly payments in the amount of $3.75 million with all amounts then outstanding due on November 8, 2023. We have made voluntary prepayments that have extended the opportunity to defer quarterly payments, at our option, until December 31, 2019. There are mandatory prepayments for proceeds of new debt, sale of significant assets or subsidiaries, and excess cash flow as those terms are defined in the Term Loan. Incremental term loans of up to $125.0 million are available if certain financial ratios and other conditions are met.</w:t>
      </w:r>
    </w:p>
    <w:p>
      <w:pPr>
        <w:spacing w:after="0" w:line="203" w:lineRule="exact"/>
        <w:rPr>
          <w:sz w:val="20"/>
          <w:szCs w:val="20"/>
          <w:color w:val="auto"/>
        </w:rPr>
      </w:pPr>
    </w:p>
    <w:p>
      <w:pPr>
        <w:ind w:right="880"/>
        <w:spacing w:after="0" w:line="260" w:lineRule="auto"/>
        <w:rPr>
          <w:sz w:val="20"/>
          <w:szCs w:val="20"/>
          <w:color w:val="auto"/>
        </w:rPr>
      </w:pPr>
      <w:r>
        <w:rPr>
          <w:rFonts w:ascii="Arial" w:cs="Arial" w:eastAsia="Arial" w:hAnsi="Arial"/>
          <w:sz w:val="16"/>
          <w:szCs w:val="16"/>
          <w:color w:val="auto"/>
        </w:rPr>
        <w:t>The Credit Agreement contains certain financial covenants. As of February 24, 2018, we are in compliance with all financial covenants of the Credit Agreement.</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substantially all of our assets, except minor excluded assets.</w:t>
      </w:r>
    </w:p>
    <w:p>
      <w:pPr>
        <w:spacing w:after="0" w:line="19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As of February 24, 2018, $8.6 million of debt issuance costs, net of amortization, were recorded as a direct deduction from long-term debt. Unamortized debt issuance costs of $0.6 million related to the voluntary prepayment on the Term Loan was expensed in the six months ended February 24,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gridSpan w:val="2"/>
          </w:tcPr>
          <w:p>
            <w:pPr>
              <w:spacing w:after="0"/>
              <w:rPr>
                <w:sz w:val="20"/>
                <w:szCs w:val="20"/>
                <w:color w:val="auto"/>
              </w:rPr>
            </w:pPr>
            <w:r>
              <w:rPr>
                <w:rFonts w:ascii="Arial" w:cs="Arial" w:eastAsia="Arial" w:hAnsi="Arial"/>
                <w:sz w:val="16"/>
                <w:szCs w:val="16"/>
                <w:color w:val="auto"/>
              </w:rPr>
              <w:t>Aggregate contractual maturities of debt in future fiscal years are as follows as of February 24, 2018:</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405"/>
        </w:trPr>
        <w:tc>
          <w:tcPr>
            <w:tcW w:w="98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4"/>
                <w:szCs w:val="24"/>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10,250</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9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219,750</w:t>
            </w:r>
          </w:p>
        </w:tc>
      </w:tr>
      <w:tr>
        <w:trPr>
          <w:trHeight w:val="24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260,000</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51"/>
        </w:trPr>
        <w:tc>
          <w:tcPr>
            <w:tcW w:w="7580" w:type="dxa"/>
            <w:vAlign w:val="bottom"/>
            <w:gridSpan w:val="2"/>
          </w:tcPr>
          <w:p>
            <w:pPr>
              <w:spacing w:after="0"/>
              <w:rPr>
                <w:sz w:val="20"/>
                <w:szCs w:val="20"/>
                <w:color w:val="auto"/>
              </w:rPr>
            </w:pPr>
            <w:r>
              <w:rPr>
                <w:rFonts w:ascii="Arial" w:cs="Arial" w:eastAsia="Arial" w:hAnsi="Arial"/>
                <w:sz w:val="16"/>
                <w:szCs w:val="16"/>
                <w:color w:val="auto"/>
              </w:rPr>
              <w:t>Deferred compensation liabilities are as follows: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6"/>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February 24,</w:t>
            </w:r>
          </w:p>
        </w:tc>
        <w:tc>
          <w:tcPr>
            <w:tcW w:w="300" w:type="dxa"/>
            <w:vAlign w:val="bottom"/>
          </w:tcPr>
          <w:p>
            <w:pPr>
              <w:spacing w:after="0"/>
              <w:rPr>
                <w:sz w:val="24"/>
                <w:szCs w:val="24"/>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2017</w:t>
            </w:r>
          </w:p>
        </w:tc>
      </w:tr>
      <w:tr>
        <w:trPr>
          <w:trHeight w:val="257"/>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Non-qualified deferred compensation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15,680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16,476</w:t>
            </w:r>
          </w:p>
        </w:tc>
      </w:tr>
      <w:tr>
        <w:trPr>
          <w:trHeight w:val="260"/>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Executive share option plan liability</w:t>
            </w:r>
          </w:p>
        </w:tc>
        <w:tc>
          <w:tcPr>
            <w:tcW w:w="280" w:type="dxa"/>
            <w:vAlign w:val="bottom"/>
          </w:tcPr>
          <w:p>
            <w:pPr>
              <w:spacing w:after="0"/>
              <w:rPr>
                <w:sz w:val="22"/>
                <w:szCs w:val="22"/>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1,498</w:t>
            </w:r>
          </w:p>
        </w:tc>
      </w:tr>
      <w:tr>
        <w:trPr>
          <w:trHeight w:val="280"/>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SERP benefit liability</w:t>
            </w:r>
          </w:p>
        </w:tc>
        <w:tc>
          <w:tcPr>
            <w:tcW w:w="2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2,534</w:t>
            </w:r>
          </w:p>
        </w:tc>
      </w:tr>
      <w:tr>
        <w:trPr>
          <w:trHeight w:val="260"/>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Executive deferred compensation</w:t>
            </w:r>
          </w:p>
        </w:tc>
        <w:tc>
          <w:tcPr>
            <w:tcW w:w="280" w:type="dxa"/>
            <w:vAlign w:val="bottom"/>
          </w:tcPr>
          <w:p>
            <w:pPr>
              <w:spacing w:after="0"/>
              <w:rPr>
                <w:sz w:val="22"/>
                <w:szCs w:val="22"/>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447</w:t>
            </w:r>
          </w:p>
        </w:tc>
      </w:tr>
      <w:tr>
        <w:trPr>
          <w:trHeight w:val="273"/>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 stock-based compensation</w:t>
            </w:r>
          </w:p>
        </w:tc>
        <w:tc>
          <w:tcPr>
            <w:tcW w:w="2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3,292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1,664</w:t>
            </w:r>
          </w:p>
        </w:tc>
      </w:tr>
      <w:tr>
        <w:trPr>
          <w:trHeight w:val="24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Total deferred compensation</w:t>
            </w:r>
          </w:p>
        </w:tc>
        <w:tc>
          <w:tcPr>
            <w:tcW w:w="280" w:type="dxa"/>
            <w:vAlign w:val="bottom"/>
          </w:tcPr>
          <w:p>
            <w:pPr>
              <w:spacing w:after="0"/>
              <w:rPr>
                <w:sz w:val="21"/>
                <w:szCs w:val="21"/>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23,344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22,619</w:t>
            </w:r>
          </w:p>
        </w:tc>
      </w:tr>
      <w:tr>
        <w:trPr>
          <w:trHeight w:val="273"/>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(4,437)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(3,349)</w:t>
            </w:r>
          </w:p>
        </w:tc>
      </w:tr>
      <w:tr>
        <w:trPr>
          <w:trHeight w:val="240"/>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Long-term deferred compensation</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18,907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19,270</w:t>
            </w: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During the first quarter of Fiscal 2017, we announced the termination of the remaining postretirement health care benefits to all participants. As of January 1, 2017, postretirement health care benefits were discontinued.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6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47"/>
        </w:trPr>
        <w:tc>
          <w:tcPr>
            <w:tcW w:w="5900" w:type="dxa"/>
            <w:vAlign w:val="bottom"/>
            <w:gridSpan w:val="4"/>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February 24,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25,</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24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5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r>
      <w:tr>
        <w:trPr>
          <w:trHeight w:val="260"/>
        </w:trPr>
        <w:tc>
          <w:tcPr>
            <w:tcW w:w="4620" w:type="dxa"/>
            <w:vAlign w:val="bottom"/>
            <w:gridSpan w:val="3"/>
          </w:tcPr>
          <w:p>
            <w:pPr>
              <w:ind w:left="40"/>
              <w:spacing w:after="0"/>
              <w:rPr>
                <w:sz w:val="20"/>
                <w:szCs w:val="20"/>
                <w:color w:val="auto"/>
              </w:rPr>
            </w:pPr>
            <w:r>
              <w:rPr>
                <w:rFonts w:ascii="Arial" w:cs="Arial" w:eastAsia="Arial" w:hAnsi="Arial"/>
                <w:sz w:val="16"/>
                <w:szCs w:val="16"/>
                <w:color w:val="auto"/>
              </w:rPr>
              <w:t>Service cost</w:t>
            </w:r>
          </w:p>
        </w:tc>
        <w:tc>
          <w:tcPr>
            <w:tcW w:w="128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8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12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(19,672)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(40,444)</w:t>
            </w:r>
          </w:p>
        </w:tc>
      </w:tr>
      <w:tr>
        <w:trPr>
          <w:trHeight w:val="264"/>
        </w:trPr>
        <w:tc>
          <w:tcPr>
            <w:tcW w:w="46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Amortization of net actuarial loss</w:t>
            </w:r>
          </w:p>
        </w:tc>
        <w:tc>
          <w:tcPr>
            <w:tcW w:w="1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7,689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15,648</w:t>
            </w:r>
          </w:p>
        </w:tc>
      </w:tr>
      <w:tr>
        <w:trPr>
          <w:trHeight w:val="24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(24,751)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On October 18, 2017 and October 11, 2016, the Human Resources Committee of the Board of Directors granted an aggregate of 62,660 and 97,600 shares, respectively, of restricted common stock to our key employees and non-employee directors under the Plan. The value of each restricted stock award is determined using the intrinsic value method, which, in this case, is based on the number of shares granted and the closing price of our common stock on the date of grant.</w:t>
      </w:r>
    </w:p>
    <w:p>
      <w:pPr>
        <w:spacing w:after="0" w:line="149" w:lineRule="exact"/>
        <w:rPr>
          <w:sz w:val="20"/>
          <w:szCs w:val="20"/>
          <w:color w:val="auto"/>
        </w:rPr>
      </w:pPr>
    </w:p>
    <w:p>
      <w:pPr>
        <w:jc w:val="both"/>
        <w:ind w:right="740"/>
        <w:spacing w:after="0" w:line="253" w:lineRule="auto"/>
        <w:rPr>
          <w:sz w:val="20"/>
          <w:szCs w:val="20"/>
          <w:color w:val="auto"/>
        </w:rPr>
      </w:pPr>
      <w:r>
        <w:rPr>
          <w:rFonts w:ascii="Arial" w:cs="Arial" w:eastAsia="Arial" w:hAnsi="Arial"/>
          <w:sz w:val="16"/>
          <w:szCs w:val="16"/>
          <w:color w:val="auto"/>
        </w:rPr>
        <w:t>Stock-based compensation expense was $2.7 million and $0.7 million during the second quarters of Fiscal 2018 and 2017, respectively. Stock-based compensation expense was $3.6 million and $1.5 million during the first six months of Fiscal 2018 and 2017, respectively. Compensation expense is recognized over the requisite service period of the award.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October 18, 2017, the Board of Directors declared a quarterly cash dividend of $0.10 per share of common stock, which was paid on November 29, 2017 to shareholders of record at the close of business on November 15, 2017.</w:t>
      </w:r>
    </w:p>
    <w:p>
      <w:pPr>
        <w:spacing w:after="0" w:line="16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December 13, 2017, the Board of Directors declared a quarterly cash dividend of $0.10 per share of common stock, which was paid on January 24, 2018 to shareholders of record at the close of business on January 10, 2018.</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March 14, 2018, the Board of Directors declared a quarterly cash dividend of $0.10 per share of common stock, payable on April 25, 2018 to shareholders of record at the close of business on April 11,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Registration</w:t>
      </w:r>
    </w:p>
    <w:p>
      <w:pPr>
        <w:spacing w:after="0" w:line="25"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As a result of the acquisition of Grand Design, we agreed to register the 4,586,555 shares of common stock issued to the Summit Sellers and the RDB Sellers pursuant to the terms of a registration rights agreement. Under the registration rights agreement, we filed a shelf registration statement on January 20, 2017 to register these shares for resale. On April 11, 2017, pursuant to an underwriting agreement dated as of April 5, 2017, by and among the Company, the Summit Sellers and Morgan Stanley &amp; Co., LLC, the Summit Sellers sold 2,293,277 shares of common stock in an underwritten block trade.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that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Our total contingent liability on all repurchase agreements was approximately $923.2 million and $713.1 million at February 24, 2018 and August 26, 2017, respectively, with the increase attributed primarily due to growth in the Towable segment.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and our historical loss experience, we established an associated loss reserve. Our accrued losses on repurchases were $0.9 million as of February 24, 2018 and $0.7 million as of August 26, 2017 and are included in Accrued expenses - Other on the Consolidated Balance Sheets.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and six months ended February 24, 2018 and February 25, 2017.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involved in various legal proceedings that are ordinary and routine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effective tax rate decreased from 33.4% for the six months ended February 25, 2017 to 29.5% for the six months ended February 24, 2018 due primarily to the enactment of the Tax Act on December 22, 2017. One of the most significant provisions of this legislation was a reduction in the Federal corporate income tax rate from 35% to 21% effective beginning January 1, 2018.</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December 2017, the Securities and Exchange Commission issued Staff Accounting Bulletin ("SAB") 118 to provide guidance for companies that allows for a measurement period of up to one year after the enactment date of the Tax Act to finalize the recording of the related tax impacts under ASC 740. In accordance with SAB 118, a company must reflect the income tax effect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in the financial statements.</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still analyzing certain aspects of the Tax Act and refining our calculations, which could potentially affect the measurement of our deferred tax balances and cause us to revise our estimate in future periods in accordance with SAB 118. These impacts may be material, due to, among other things, further refinement of our calculations, changes in interpretations of the Tax Act, or issuance of additional guidance by the relevant tax authorities.</w:t>
      </w:r>
    </w:p>
    <w:p>
      <w:pPr>
        <w:spacing w:after="0" w:line="17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ASC 740 requires the effects of changes in tax rates and laws on deferred tax balances to be recognized in the period in which the legislation is enacted. Consequently, as of the date of enactment, and during the three months ended February 24, 2018, we revalued all deferred tax assets and liabilities at the newly enacted Federal corporate US income tax rate. This revaluation as of enactment resulted in a non-cash provisional estimate of $1.4 million to income tax expense and a corresponding reduction in the net deferred tax asset.</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As of February 24, 2018, our Federal returns from Fiscal 2014 to present continue to be subject to review by the IRS. With few exceptions, the state returns from Fiscal 2013 to present continue to be subject to review by the state taxing jurisdictions.</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of February 24, 2018, our unrecognized tax benefits were $1.7 million including accrued interest and penalties of $0.5 million. If we were to prevail on all unrecognized tax benefits recorded, $1.5 million of the $1.7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w:t>
            </w:r>
          </w:p>
        </w:tc>
        <w:tc>
          <w:tcPr>
            <w:tcW w:w="22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27,016</w:t>
            </w: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31,654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29,707</w:t>
            </w: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0.91</w:t>
            </w:r>
          </w:p>
        </w:tc>
      </w:tr>
      <w:tr>
        <w:trPr>
          <w:trHeight w:val="293"/>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27,016</w:t>
            </w:r>
          </w:p>
        </w:tc>
      </w:tr>
      <w:tr>
        <w:trPr>
          <w:trHeight w:val="260"/>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31,654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31,577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31,634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29,707</w:t>
            </w: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18"/>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31,854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31,686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29,827</w:t>
            </w:r>
          </w:p>
        </w:tc>
      </w:tr>
      <w:tr>
        <w:trPr>
          <w:trHeight w:val="28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r>
    </w:tbl>
    <w:p>
      <w:pPr>
        <w:spacing w:after="0" w:line="19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 of options to purchase 72,710 and 61,000 shares of common stock for the three months ended February 24, 2018 and February 25, 2017, respectively, and 72,710 and 61,000 shares of common stock for the six months ended February 24, 2018 and February 25, 2017,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Accumulated Other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February 24, 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25, 2017</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Defined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rPr>
              <w:t>Defined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Benefit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Interest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Benefit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Interest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Pension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Pension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Rate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Items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rPr>
              <w:t>Swap</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CCEEFF"/>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Items</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Swap</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7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(503)</w:t>
            </w:r>
          </w:p>
        </w:tc>
        <w:tc>
          <w:tcPr>
            <w:tcW w:w="4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6,952</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6,952</w:t>
            </w:r>
          </w:p>
        </w:tc>
      </w:tr>
      <w:tr>
        <w:trPr>
          <w:trHeight w:val="270"/>
        </w:trPr>
        <w:tc>
          <w:tcPr>
            <w:tcW w:w="2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1,283</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r>
      <w:tr>
        <w:trPr>
          <w:trHeight w:val="264"/>
        </w:trPr>
        <w:tc>
          <w:tcPr>
            <w:tcW w:w="2880" w:type="dxa"/>
            <w:vAlign w:val="bottom"/>
            <w:gridSpan w:val="4"/>
          </w:tcPr>
          <w:p>
            <w:pPr>
              <w:ind w:left="180"/>
              <w:spacing w:after="0"/>
              <w:rPr>
                <w:sz w:val="20"/>
                <w:szCs w:val="20"/>
                <w:color w:val="auto"/>
              </w:rPr>
            </w:pPr>
            <w:r>
              <w:rPr>
                <w:rFonts w:ascii="Arial" w:cs="Arial" w:eastAsia="Arial" w:hAnsi="Arial"/>
                <w:sz w:val="16"/>
                <w:szCs w:val="16"/>
                <w:color w:val="auto"/>
              </w:rPr>
              <w:t>Amounts reclassified from AOCI</w:t>
            </w:r>
          </w:p>
        </w:tc>
        <w:tc>
          <w:tcPr>
            <w:tcW w:w="220" w:type="dxa"/>
            <w:vAlign w:val="bottom"/>
          </w:tcPr>
          <w:p>
            <w:pPr>
              <w:spacing w:after="0"/>
              <w:rPr>
                <w:sz w:val="22"/>
                <w:szCs w:val="22"/>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(7,413)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(7,413)</w:t>
            </w:r>
          </w:p>
        </w:tc>
      </w:tr>
      <w:tr>
        <w:trPr>
          <w:trHeight w:val="250"/>
        </w:trPr>
        <w:tc>
          <w:tcPr>
            <w:tcW w:w="28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1,290</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(7,413)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(7,852)</w:t>
            </w:r>
          </w:p>
        </w:tc>
      </w:tr>
      <w:tr>
        <w:trPr>
          <w:trHeight w:val="270"/>
        </w:trPr>
        <w:tc>
          <w:tcPr>
            <w:tcW w:w="2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4"/>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907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(900)</w:t>
            </w: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2"/>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February 24, 2018</w:t>
            </w: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25, 2017</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Defined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rPr>
              <w:t>Defined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Benefit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Interest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Benefit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Interest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Pension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Pension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Rate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rPr>
              <w:t>Swap</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Items</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Swap</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7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(509)</w:t>
            </w:r>
          </w:p>
        </w:tc>
        <w:tc>
          <w:tcPr>
            <w:tcW w:w="40" w:type="dxa"/>
            <w:vAlign w:val="bottom"/>
            <w:shd w:val="clear" w:color="auto" w:fill="CCEEFF"/>
          </w:tcPr>
          <w:p>
            <w:pPr>
              <w:spacing w:after="0"/>
              <w:rPr>
                <w:sz w:val="23"/>
                <w:szCs w:val="23"/>
                <w:color w:val="auto"/>
              </w:rPr>
            </w:pP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10,975</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10,975</w:t>
            </w:r>
          </w:p>
        </w:tc>
      </w:tr>
      <w:tr>
        <w:trPr>
          <w:trHeight w:val="270"/>
        </w:trPr>
        <w:tc>
          <w:tcPr>
            <w:tcW w:w="274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1,917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1,917</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3,464</w:t>
            </w:r>
          </w:p>
        </w:tc>
      </w:tr>
      <w:tr>
        <w:trPr>
          <w:trHeight w:val="264"/>
        </w:trPr>
        <w:tc>
          <w:tcPr>
            <w:tcW w:w="2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Amounts reclassified from AOCI</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(15,339)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(15,339)</w:t>
            </w:r>
          </w:p>
        </w:tc>
      </w:tr>
      <w:tr>
        <w:trPr>
          <w:trHeight w:val="25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(11,436)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(11,875)</w:t>
            </w:r>
          </w:p>
        </w:tc>
      </w:tr>
      <w:tr>
        <w:trPr>
          <w:trHeight w:val="270"/>
        </w:trPr>
        <w:tc>
          <w:tcPr>
            <w:tcW w:w="2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54"/>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(496)</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907</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(461)</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29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47"/>
        </w:trPr>
        <w:tc>
          <w:tcPr>
            <w:tcW w:w="6440" w:type="dxa"/>
            <w:vAlign w:val="bottom"/>
            <w:gridSpan w:val="8"/>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30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Six Months Ended</w:t>
            </w:r>
          </w:p>
        </w:tc>
      </w:tr>
      <w:tr>
        <w:trPr>
          <w:trHeight w:val="184"/>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of Income and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w:t>
            </w:r>
          </w:p>
        </w:tc>
        <w:tc>
          <w:tcPr>
            <w:tcW w:w="18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18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w:t>
            </w:r>
          </w:p>
        </w:tc>
        <w:tc>
          <w:tcPr>
            <w:tcW w:w="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57"/>
        </w:trPr>
        <w:tc>
          <w:tcPr>
            <w:tcW w:w="2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(12,177)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(25,035)</w:t>
            </w:r>
          </w:p>
        </w:tc>
      </w:tr>
      <w:tr>
        <w:trPr>
          <w:trHeight w:val="264"/>
        </w:trPr>
        <w:tc>
          <w:tcPr>
            <w:tcW w:w="29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Amortization of net actuarial loss</w:t>
            </w:r>
          </w:p>
        </w:tc>
        <w:tc>
          <w:tcPr>
            <w:tcW w:w="1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9,696</w:t>
            </w:r>
          </w:p>
        </w:tc>
      </w:tr>
      <w:tr>
        <w:trPr>
          <w:trHeight w:val="240"/>
        </w:trPr>
        <w:tc>
          <w:tcPr>
            <w:tcW w:w="2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(7,413)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(15,339)</w:t>
            </w:r>
          </w:p>
        </w:tc>
      </w:tr>
      <w:tr>
        <w:trPr>
          <w:trHeight w:val="20"/>
        </w:trPr>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191" w:lineRule="exact"/>
        <w:rPr>
          <w:sz w:val="20"/>
          <w:szCs w:val="20"/>
          <w:color w:val="auto"/>
        </w:rPr>
      </w:pPr>
      <w:r>
        <w:rPr>
          <w:rFonts w:ascii="Arial" w:cs="Arial" w:eastAsia="Arial" w:hAnsi="Arial"/>
          <w:sz w:val="16"/>
          <w:szCs w:val="16"/>
          <w:color w:val="auto"/>
        </w:rPr>
        <w:t>This section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26, 2017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This Quarterly Report on Form 10-Q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generally, business interruptions, any unexpected expenses related to ERP, risk related to compliance with debt covenants and leverage ratios, and other factors. Additional information concerning certain risks and uncertainties that could cause actual results to differ materially from that projected or suggested is contained in our filings with the SEC over the last 12 months, copies of which are available from the SEC or from us upon request. We disclaim any obligation or undertaking to disseminate any updates or revisions to any forward-looking statements contained in this release or to reflect any changes in expectations after the date of this release or any change in events, conditions or circumstances on which any statement is based, except as required by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60 years. We currently produce a large majority of our motorhomes in vertically integrated manufacturing facilities in Iowa and we produce all of our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November 8, 2016, we acquired all of the issued and outstanding capital stock of towable RV manufacturer Grand Design for an aggregate purchase price of $520.5 million. This acquisition was funded from our cash on hand, $353.0 million from asset-based revolving and term loan credit facilities, as well as stock consideration, as is more fully described in Note 2 and Note 9 to the Condensed Consolidated Financial Statements. We purchased Grand Design to significantly expand our existing towable RV product offerings and dealer base and acquire additional talent in the RV industry.</w:t>
      </w:r>
    </w:p>
    <w:p>
      <w:pPr>
        <w:spacing w:after="0" w:line="176"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With the acquisition of Grand Design in the first quarter of Fiscal 2017,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that are not motorized and are generally towed by another vehicle.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2017 and 2016, as noted below, illustrates that the RV industry continues to grow at the wholesale and retail level. We believe that retail demand is the key driver to continued growth in the industry.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rPr>
              <w:t>US and Canada Industry</w:t>
            </w: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8"/>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January</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January</w:t>
            </w:r>
          </w:p>
        </w:tc>
        <w:tc>
          <w:tcPr>
            <w:tcW w:w="1080" w:type="dxa"/>
            <w:vAlign w:val="bottom"/>
            <w:tcBorders>
              <w:bottom w:val="single" w:sz="8" w:color="auto"/>
            </w:tcBorders>
          </w:tcPr>
          <w:p>
            <w:pPr>
              <w:spacing w:after="0"/>
              <w:rPr>
                <w:sz w:val="24"/>
                <w:szCs w:val="24"/>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2018</w:t>
            </w:r>
          </w:p>
        </w:tc>
        <w:tc>
          <w:tcPr>
            <w:tcW w:w="1120" w:type="dxa"/>
            <w:vAlign w:val="bottom"/>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6"/>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437,229</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364,642</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72,587</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19.9%</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394,114</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351,769</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42,345</w:t>
            </w:r>
          </w:p>
        </w:tc>
        <w:tc>
          <w:tcPr>
            <w:tcW w:w="10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12.0%</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63,529</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55,391</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8,138</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57,506</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50,657</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6,849</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13.5%</w:t>
            </w:r>
          </w:p>
        </w:tc>
      </w:tr>
      <w:tr>
        <w:trPr>
          <w:trHeight w:val="23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500,758</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420,033</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80,725</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451,620</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402,426</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49,194</w:t>
            </w: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12.2%</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9"/>
          <w:szCs w:val="9"/>
          <w:color w:val="auto"/>
        </w:rPr>
      </w:pPr>
      <w:r>
        <w:rPr>
          <w:rFonts w:ascii="Arial" w:cs="Arial" w:eastAsia="Arial" w:hAnsi="Arial"/>
          <w:sz w:val="13"/>
          <w:szCs w:val="13"/>
          <w:color w:val="auto"/>
        </w:rPr>
        <w:t>Towable: Fifth wheel and travel trailer products</w:t>
      </w:r>
    </w:p>
    <w:p>
      <w:pPr>
        <w:ind w:left="180" w:hanging="172"/>
        <w:spacing w:after="0"/>
        <w:tabs>
          <w:tab w:leader="none" w:pos="180" w:val="left"/>
        </w:tabs>
        <w:numPr>
          <w:ilvl w:val="0"/>
          <w:numId w:val="5"/>
        </w:numPr>
        <w:rPr>
          <w:rFonts w:ascii="Arial" w:cs="Arial" w:eastAsia="Arial" w:hAnsi="Arial"/>
          <w:sz w:val="9"/>
          <w:szCs w:val="9"/>
          <w:color w:val="auto"/>
        </w:rPr>
      </w:pPr>
      <w:r>
        <w:rPr>
          <w:rFonts w:ascii="Arial" w:cs="Arial" w:eastAsia="Arial" w:hAnsi="Arial"/>
          <w:sz w:val="13"/>
          <w:szCs w:val="13"/>
          <w:color w:val="auto"/>
        </w:rPr>
        <w:t>Motorized: Class A, B and C products</w:t>
      </w:r>
    </w:p>
    <w:p>
      <w:pPr>
        <w:spacing w:after="0" w:line="16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most recent towable and motorized RVIA wholesale shipment forecasts for calendar year 2017 and 2018,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56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Borders>
              <w:bottom w:val="single" w:sz="8" w:color="auto"/>
            </w:tcBorders>
          </w:tcPr>
          <w:p>
            <w:pPr>
              <w:spacing w:after="0"/>
              <w:rPr>
                <w:sz w:val="17"/>
                <w:szCs w:val="17"/>
                <w:color w:val="auto"/>
              </w:rPr>
            </w:pPr>
          </w:p>
        </w:tc>
      </w:tr>
      <w:tr>
        <w:trPr>
          <w:trHeight w:val="175"/>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jc w:val="right"/>
              <w:ind w:right="523"/>
              <w:spacing w:after="0"/>
              <w:rPr>
                <w:sz w:val="20"/>
                <w:szCs w:val="20"/>
                <w:color w:val="auto"/>
              </w:rPr>
            </w:pPr>
            <w:r>
              <w:rPr>
                <w:rFonts w:ascii="Arial" w:cs="Arial" w:eastAsia="Arial" w:hAnsi="Arial"/>
                <w:sz w:val="14"/>
                <w:szCs w:val="14"/>
                <w:b w:val="1"/>
                <w:bCs w:val="1"/>
                <w:color w:val="auto"/>
              </w:rPr>
              <w:t>Unit</w:t>
            </w: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202"/>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Wholesale Unit Shipment Forecast per RVIA</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459,000</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429,500</w:t>
            </w:r>
          </w:p>
        </w:tc>
        <w:tc>
          <w:tcPr>
            <w:tcW w:w="120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29,500</w:t>
            </w:r>
          </w:p>
        </w:tc>
        <w:tc>
          <w:tcPr>
            <w:tcW w:w="126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6.9%</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67,900</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62,700</w:t>
            </w: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5,200</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8.3%</w:t>
            </w:r>
          </w:p>
        </w:tc>
      </w:tr>
      <w:tr>
        <w:trPr>
          <w:trHeight w:val="24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526,900</w:t>
            </w: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492,200</w:t>
            </w:r>
          </w:p>
        </w:tc>
        <w:tc>
          <w:tcPr>
            <w:tcW w:w="12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34,700</w:t>
            </w:r>
          </w:p>
        </w:tc>
        <w:tc>
          <w:tcPr>
            <w:tcW w:w="12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7.0%</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right="40" w:hanging="172"/>
        <w:spacing w:after="0" w:line="242" w:lineRule="auto"/>
        <w:tabs>
          <w:tab w:leader="none" w:pos="180" w:val="left"/>
        </w:tabs>
        <w:numPr>
          <w:ilvl w:val="0"/>
          <w:numId w:val="6"/>
        </w:numPr>
        <w:rPr>
          <w:rFonts w:ascii="Arial" w:cs="Arial" w:eastAsia="Arial" w:hAnsi="Arial"/>
          <w:sz w:val="9"/>
          <w:szCs w:val="9"/>
          <w:color w:val="auto"/>
        </w:rPr>
      </w:pPr>
      <w:r>
        <w:rPr>
          <w:rFonts w:ascii="Arial" w:cs="Arial" w:eastAsia="Arial" w:hAnsi="Arial"/>
          <w:sz w:val="13"/>
          <w:szCs w:val="13"/>
          <w:color w:val="auto"/>
        </w:rPr>
        <w:t>Forecast prepared by Dr. Richard Curtin of the University of Michigan Consumer Survey Research Center for RVIA and reported in the Roadsigns RV Spring 2018 Industry Forecast Issue. Unit forecasts exclude folding camper and truck camper categories.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Share</w:t>
      </w:r>
    </w:p>
    <w:p>
      <w:pPr>
        <w:spacing w:after="0" w:line="21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Rolling 12 Months</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400" w:type="dxa"/>
            <w:vAlign w:val="bottom"/>
          </w:tcPr>
          <w:p>
            <w:pPr>
              <w:spacing w:after="0"/>
              <w:rPr>
                <w:sz w:val="17"/>
                <w:szCs w:val="17"/>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Through January</w:t>
            </w:r>
          </w:p>
        </w:tc>
        <w:tc>
          <w:tcPr>
            <w:tcW w:w="1080" w:type="dxa"/>
            <w:vAlign w:val="bottom"/>
          </w:tcPr>
          <w:p>
            <w:pPr>
              <w:spacing w:after="0"/>
              <w:rPr>
                <w:sz w:val="17"/>
                <w:szCs w:val="17"/>
                <w:color w:val="auto"/>
              </w:rPr>
            </w:pPr>
          </w:p>
        </w:tc>
        <w:tc>
          <w:tcPr>
            <w:tcW w:w="1480" w:type="dxa"/>
            <w:vAlign w:val="bottom"/>
          </w:tcPr>
          <w:p>
            <w:pPr>
              <w:ind w:left="280"/>
              <w:spacing w:after="0"/>
              <w:rPr>
                <w:sz w:val="20"/>
                <w:szCs w:val="20"/>
                <w:color w:val="auto"/>
              </w:rPr>
            </w:pPr>
            <w:r>
              <w:rPr>
                <w:rFonts w:ascii="Arial" w:cs="Arial" w:eastAsia="Arial" w:hAnsi="Arial"/>
                <w:sz w:val="14"/>
                <w:szCs w:val="14"/>
                <w:b w:val="1"/>
                <w:bCs w:val="1"/>
                <w:color w:val="auto"/>
              </w:rPr>
              <w:t>Calendar Year</w:t>
            </w:r>
          </w:p>
        </w:tc>
        <w:tc>
          <w:tcPr>
            <w:tcW w:w="1120" w:type="dxa"/>
            <w:vAlign w:val="bottom"/>
          </w:tcPr>
          <w:p>
            <w:pPr>
              <w:spacing w:after="0"/>
              <w:rPr>
                <w:sz w:val="17"/>
                <w:szCs w:val="17"/>
                <w:color w:val="auto"/>
              </w:rPr>
            </w:pPr>
          </w:p>
        </w:tc>
      </w:tr>
      <w:tr>
        <w:trPr>
          <w:trHeight w:val="250"/>
        </w:trPr>
        <w:tc>
          <w:tcPr>
            <w:tcW w:w="540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480" w:type="dxa"/>
            <w:vAlign w:val="bottom"/>
            <w:tcBorders>
              <w:top w:val="single" w:sz="8" w:color="auto"/>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r>
      <w:tr>
        <w:trPr>
          <w:trHeight w:val="256"/>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16.3%</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16.2%</w:t>
            </w:r>
          </w:p>
        </w:tc>
        <w:tc>
          <w:tcPr>
            <w:tcW w:w="1480" w:type="dxa"/>
            <w:vAlign w:val="bottom"/>
            <w:shd w:val="clear" w:color="auto" w:fill="CCEEFF"/>
          </w:tcPr>
          <w:p>
            <w:pPr>
              <w:jc w:val="center"/>
              <w:ind w:right="183"/>
              <w:spacing w:after="0"/>
              <w:rPr>
                <w:sz w:val="20"/>
                <w:szCs w:val="20"/>
                <w:color w:val="auto"/>
              </w:rPr>
            </w:pPr>
            <w:r>
              <w:rPr>
                <w:rFonts w:ascii="Arial" w:cs="Arial" w:eastAsia="Arial" w:hAnsi="Arial"/>
                <w:sz w:val="16"/>
                <w:szCs w:val="16"/>
                <w:color w:val="auto"/>
              </w:rPr>
              <w:t>18.0%</w:t>
            </w:r>
          </w:p>
        </w:tc>
        <w:tc>
          <w:tcPr>
            <w:tcW w:w="11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20.5%</w:t>
            </w:r>
          </w:p>
        </w:tc>
      </w:tr>
      <w:tr>
        <w:trPr>
          <w:trHeight w:val="318"/>
        </w:trPr>
        <w:tc>
          <w:tcPr>
            <w:tcW w:w="540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6.2%</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1.7%</w:t>
            </w:r>
            <w:r>
              <w:rPr>
                <w:rFonts w:ascii="Arial" w:cs="Arial" w:eastAsia="Arial" w:hAnsi="Arial"/>
                <w:sz w:val="21"/>
                <w:szCs w:val="21"/>
                <w:color w:val="auto"/>
                <w:w w:val="93"/>
                <w:vertAlign w:val="superscript"/>
              </w:rPr>
              <w:t>(1)</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6.1%</w:t>
            </w:r>
          </w:p>
        </w:tc>
        <w:tc>
          <w:tcPr>
            <w:tcW w:w="1480" w:type="dxa"/>
            <w:vAlign w:val="bottom"/>
          </w:tcPr>
          <w:p>
            <w:pPr>
              <w:jc w:val="center"/>
              <w:ind w:right="183"/>
              <w:spacing w:after="0"/>
              <w:rPr>
                <w:sz w:val="20"/>
                <w:szCs w:val="20"/>
                <w:color w:val="auto"/>
              </w:rPr>
            </w:pPr>
            <w:r>
              <w:rPr>
                <w:rFonts w:ascii="Arial" w:cs="Arial" w:eastAsia="Arial" w:hAnsi="Arial"/>
                <w:sz w:val="16"/>
                <w:szCs w:val="16"/>
                <w:color w:val="auto"/>
                <w:w w:val="93"/>
              </w:rPr>
              <w:t>1.7%</w:t>
            </w:r>
            <w:r>
              <w:rPr>
                <w:rFonts w:ascii="Arial" w:cs="Arial" w:eastAsia="Arial" w:hAnsi="Arial"/>
                <w:sz w:val="21"/>
                <w:szCs w:val="21"/>
                <w:color w:val="auto"/>
                <w:w w:val="93"/>
                <w:vertAlign w:val="superscript"/>
              </w:rPr>
              <w:t>(1)</w:t>
            </w: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0.9%</w:t>
            </w:r>
          </w:p>
        </w:tc>
      </w:tr>
    </w:tbl>
    <w:p>
      <w:pPr>
        <w:ind w:left="180" w:hanging="17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3"/>
          <w:szCs w:val="13"/>
          <w:color w:val="auto"/>
        </w:rPr>
        <w:t>Includes retail unit market share for Grand Design since acquisition on November 8, 2016.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Repricing</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Effective December 8, 2017, we amended our Credit Agreement to reprice $260.0 million of Term Loan debt. The revised interest rate is LIBOR plus 3.5%, down from the previous rate of LIBOR plus 4.5%. Prior to this repricing, $19.7 million was drawn on our ABL and the proceeds from the ABL borrowing were used to voluntarily pay down our Term Loan. Various other amendments were made to our ABL providing us with reduced borrowing costs and facility fees under the ABL. The requirement to hedge a portion of the Term Loan floating rate interest exposure was also removed from the ABL providing greater flexibility under the Credit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Facility Expansion</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During Fiscal 2017, our Board of Directors approved two large facility expansion projects in the fast growing Towable segment. The Grand Design expansion project consisted of two new production facilities. The first was completed in January 2018 and we have seen an increase in units produced during the second quarter of Fiscal 2018. The second building in the Grand Design expansion project is expected to be completed in the third quarter of Fiscal 2018. The facility expansion in the Winnebago-branded Towable division is expected to be completed in early Fiscal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ERP System</w:t>
      </w:r>
    </w:p>
    <w:p>
      <w:pPr>
        <w:spacing w:after="0" w:line="21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ERP system to replace our legacy business applications. The new ERP platform will provide better support for our changing business needs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Fiscal 2018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w:t>
            </w:r>
          </w:p>
        </w:tc>
        <w:tc>
          <w:tcPr>
            <w:tcW w:w="24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w:t>
            </w:r>
          </w:p>
        </w:tc>
        <w:tc>
          <w:tcPr>
            <w:tcW w:w="320" w:type="dxa"/>
            <w:vAlign w:val="bottom"/>
          </w:tcPr>
          <w:p>
            <w:pPr>
              <w:spacing w:after="0"/>
              <w:rPr>
                <w:sz w:val="18"/>
                <w:szCs w:val="18"/>
                <w:color w:val="auto"/>
              </w:rPr>
            </w:pPr>
          </w:p>
        </w:tc>
        <w:tc>
          <w:tcPr>
            <w:tcW w:w="1160" w:type="dxa"/>
            <w:vAlign w:val="bottom"/>
            <w:gridSpan w:val="3"/>
          </w:tcPr>
          <w:p>
            <w:pPr>
              <w:ind w:left="240"/>
              <w:spacing w:after="0"/>
              <w:rPr>
                <w:sz w:val="20"/>
                <w:szCs w:val="20"/>
                <w:color w:val="auto"/>
              </w:rPr>
            </w:pPr>
            <w:r>
              <w:rPr>
                <w:rFonts w:ascii="Arial" w:cs="Arial" w:eastAsia="Arial" w:hAnsi="Arial"/>
                <w:sz w:val="16"/>
                <w:szCs w:val="16"/>
                <w:b w:val="1"/>
                <w:bCs w:val="1"/>
                <w:color w:val="auto"/>
              </w:rPr>
              <w:t>Cumulative</w:t>
            </w:r>
          </w:p>
        </w:tc>
        <w:tc>
          <w:tcPr>
            <w:tcW w:w="500" w:type="dxa"/>
            <w:vAlign w:val="bottom"/>
          </w:tcPr>
          <w:p>
            <w:pPr>
              <w:spacing w:after="0"/>
              <w:rPr>
                <w:sz w:val="18"/>
                <w:szCs w:val="18"/>
                <w:color w:val="auto"/>
              </w:rPr>
            </w:pPr>
          </w:p>
        </w:tc>
      </w:tr>
      <w:tr>
        <w:trPr>
          <w:trHeight w:val="283"/>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Q2</w:t>
            </w: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Investment</w:t>
            </w:r>
          </w:p>
        </w:tc>
        <w:tc>
          <w:tcPr>
            <w:tcW w:w="500" w:type="dxa"/>
            <w:vAlign w:val="bottom"/>
            <w:tcBorders>
              <w:bottom w:val="single" w:sz="8" w:color="auto"/>
            </w:tcBorders>
          </w:tcPr>
          <w:p>
            <w:pPr>
              <w:spacing w:after="0"/>
              <w:rPr>
                <w:sz w:val="24"/>
                <w:szCs w:val="24"/>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64"/>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11,866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4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May of 2017, our Board of Directors approved continued investment in the ERP system and a change in implementation partner. The project is proceeding and the benefits are expected to be realized over the next several years. Total project costs are expected to be approximately $38.0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2018 compared to the three months ended February 25,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60" w:type="dxa"/>
            <w:vAlign w:val="bottom"/>
          </w:tcPr>
          <w:p>
            <w:pPr>
              <w:spacing w:after="0"/>
              <w:rPr>
                <w:sz w:val="17"/>
                <w:szCs w:val="17"/>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24,</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25,</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3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468,359</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370,510</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97,849</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26.4 %</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400,698</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321,194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86.7 %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79,504</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24.8 %</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67,661</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49,316</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18,345</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37.2 %</w:t>
            </w:r>
          </w:p>
        </w:tc>
      </w:tr>
      <w:tr>
        <w:trPr>
          <w:trHeight w:val="28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12,209</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9,553</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2,656</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27.8 %</w:t>
            </w: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18,268</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12,540</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5,728</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45.7 %</w:t>
            </w:r>
          </w:p>
        </w:tc>
      </w:tr>
      <w:tr>
        <w:trPr>
          <w:trHeight w:val="228"/>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(11,983)</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11,983</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463</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(463)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(100.0)%</w:t>
            </w:r>
          </w:p>
        </w:tc>
      </w:tr>
      <w:tr>
        <w:trPr>
          <w:trHeight w:val="27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1,933</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10,367</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(8,434)</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(81.4)%</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general and administrative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20,201</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11,387</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8,814</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77.4 %</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32,410</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20,940</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11,470</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54.8 %</w:t>
            </w:r>
          </w:p>
        </w:tc>
      </w:tr>
      <w:tr>
        <w:trPr>
          <w:trHeight w:val="28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35,251</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28,376</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6,875</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24.2 %</w:t>
            </w: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4,918</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5,178</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(260)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175.0 %</w:t>
            </w:r>
          </w:p>
        </w:tc>
      </w:tr>
      <w:tr>
        <w:trPr>
          <w:trHeight w:val="24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30,322</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23,194</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7,128</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30.7 %</w:t>
            </w:r>
          </w:p>
        </w:tc>
      </w:tr>
      <w:tr>
        <w:trPr>
          <w:trHeight w:val="27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8,234</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7,916</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318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4.0 %</w:t>
            </w:r>
          </w:p>
        </w:tc>
      </w:tr>
      <w:tr>
        <w:trPr>
          <w:trHeight w:val="28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22,088</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15,278</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6,810</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44.6 %</w:t>
            </w:r>
          </w:p>
        </w:tc>
      </w:tr>
      <w:tr>
        <w:trPr>
          <w:trHeight w:val="267"/>
        </w:trPr>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0.69</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0.48</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0.21</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43.8 %</w:t>
            </w:r>
          </w:p>
        </w:tc>
      </w:tr>
      <w:tr>
        <w:trPr>
          <w:trHeight w:val="28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31,854</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31,686</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168</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r>
    </w:tbl>
    <w:p>
      <w:pPr>
        <w:spacing w:after="0" w:line="4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spacing w:after="0" w:line="16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Consolidated net revenues increased $97.8 million or 26.4% in the second quarter of Fiscal 2018 compared to the second quarter of Fiscal 2017. This increase was primarily due to an increase in volume in our Towable segment.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Gross profit increased $18.3 million in the second quarter of Fiscal 2018 compared to the same period a year ago due to a decrease in manufacturing costs as a percent of revenue due to our Towable segment volume growth and cost savings initiatives. This was partially offset by margin pressure in the Motorized segment due to ongoing expenses related to the ramp up of our West Coast production facility and costs associated with new product start up.</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were $12.2 million and $9.6 million, or 2.6% and 2.6% of net revenues, in the second quarter of Fiscal 2018 and Fiscal 2017,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are largely variable and proportional to revenues.</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General and administrative expenses were $20.2 million and $11.4 million, or 4.3% and 3.1% of net revenues in the second quarter of Fiscal 2018 and Fiscal 2017, respectively. Fiscal 2017 results of operations in the second quarter were impacted by the increased benefit of $12.0 million due to the termination of the postretirement health care plan. This benefit was partially offset in the second quarter of Fiscal 2017 by $0.5 million of transaction-related expenses and $10.4 million of expense related to amortization of definite-lived intangible assets. The remainder of the increase from 2017 to 2018 is related to investments in the business.</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Interest expense decreased $0.3 million in the second quarter of Fiscal 2018. This decrease is related to the amendment to our Credit Agreement that occurred during the second quarter of Fiscal 2018. This amendment resulted in a decrease to the interest rate spread by 1.0% on the Term Loan and 0.25% on the ABL. See Analysis of Financial Condition, Liquidity, and Resources and Note 9 for further information.</w:t>
      </w:r>
    </w:p>
    <w:p>
      <w:pPr>
        <w:spacing w:after="0" w:line="22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overall effective income tax rate for the second quarter of Fiscal 2018 was 27.2% compared to the effective tax rate of 34.1% for the same period in Fiscal 2017. The effective tax rate for the second quarter of Fiscal 2018 was favorably impacted by the enactment of the Tax Act. This decrease was primarily due to the decrease in the Federal rate as a result of the Tax Act, which was partially offset by the associated remeasurement of our deferred tax assets and an increase in state tax rate. The current year rate also benefited from the adoption of ASU 2016-09 related to share-based compensation as discussed in Note 1 to the Condensed Consolidated Financial Statements.</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Net income and diluted income per share were $22.1 million and $0.69 per share, respectively, for the second quarter of Fiscal 2018. In the second quarter of Fiscal 2017, net income was $15.3 million and diluted income was $0.48 per share. The increase in net income and diluted income per share is due primarily to the Towable segment contribution to net income. In addition, FY2017 results of operations in the second quarter was impacted by the increased benefit of $12.0 million due to the termination of the postretirement health care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the three months ended February 24, 2018 and February 25,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24,</w:t>
            </w:r>
          </w:p>
        </w:tc>
        <w:tc>
          <w:tcPr>
            <w:tcW w:w="240" w:type="dxa"/>
            <w:vAlign w:val="bottom"/>
          </w:tcPr>
          <w:p>
            <w:pPr>
              <w:spacing w:after="0"/>
              <w:rPr>
                <w:sz w:val="17"/>
                <w:szCs w:val="17"/>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7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57"/>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15,278</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5,178</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7,916</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1,848</w:t>
            </w:r>
          </w:p>
        </w:tc>
      </w:tr>
      <w:tr>
        <w:trPr>
          <w:trHeight w:val="273"/>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10,367</w:t>
            </w:r>
          </w:p>
        </w:tc>
      </w:tr>
      <w:tr>
        <w:trPr>
          <w:trHeight w:val="24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40,587</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(11,983)</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463</w:t>
            </w:r>
          </w:p>
        </w:tc>
      </w:tr>
      <w:tr>
        <w:trPr>
          <w:trHeight w:val="273"/>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expense</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r>
      <w:tr>
        <w:trPr>
          <w:trHeight w:val="240"/>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39,382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29,071</w:t>
            </w: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items impacting current results which are not expected to impact future performance.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Examples of items excluded from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Adjusted EBITDA include the postretirement health care benefit income from terminating the plan and transaction costs related to our acquisition of Grand Design.</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that publish similar measures;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 for the three months ended February 24, 2018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24,</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3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202,001</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198,936</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3,065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4,044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10,838</w:t>
            </w:r>
          </w:p>
        </w:tc>
        <w:tc>
          <w:tcPr>
            <w:tcW w:w="32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(6,794)</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(62.7)%</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24,</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rPr>
              <w:t>Feb 25,</w:t>
            </w:r>
          </w:p>
        </w:tc>
        <w:tc>
          <w:tcPr>
            <w:tcW w:w="3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881</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81</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411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35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9.3 %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2,210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103</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90,018</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94,379</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(4,361)</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24,</w:t>
            </w:r>
          </w:p>
        </w:tc>
        <w:tc>
          <w:tcPr>
            <w:tcW w:w="32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 25,</w:t>
            </w: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910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276,231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191,522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84,709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44.2 %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(241)</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r>
    </w:tbl>
    <w:p>
      <w:pPr>
        <w:spacing w:after="0" w:line="4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left="180" w:right="260" w:hanging="172"/>
        <w:spacing w:after="0" w:line="242" w:lineRule="auto"/>
        <w:tabs>
          <w:tab w:leader="none" w:pos="153" w:val="left"/>
        </w:tabs>
        <w:numPr>
          <w:ilvl w:val="0"/>
          <w:numId w:val="9"/>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Motorized net revenues increased $3.1 million or 1.5% in the second quarter of Fiscal 2018 as compared to the second quarter of Fiscal 2017. This was primarily due to an increase in the amount of units sold.</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Motorized unit deliveries increased by 4.9% in the quarter. The unit growth we have generated has been in our Class B and entry-level Class A products, which have a lower ASP. Additionally, we have seen an increase in the backlog volumes by 42.5% in the second quarter of Fiscal 2018 due largely to the introduction of new products. Dealer inventory declined as a result of the strong demand for our new product introductions as demonstrated by the increase in backlog.</w:t>
      </w:r>
    </w:p>
    <w:p>
      <w:pPr>
        <w:spacing w:after="0" w:line="174"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Motorized segment Adjusted EBITDA decreased $6.8 million or 62.7%. This reduction was due to costs associated with ongoing expenses related to the ramp-up of our West Coast production facility and costs associated with new product start-up.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February 24, 2018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319"/>
              <w:spacing w:after="0"/>
              <w:rPr>
                <w:sz w:val="20"/>
                <w:szCs w:val="20"/>
                <w:color w:val="auto"/>
              </w:rPr>
            </w:pPr>
            <w:r>
              <w:rPr>
                <w:rFonts w:ascii="Arial" w:cs="Arial" w:eastAsia="Arial" w:hAnsi="Arial"/>
                <w:sz w:val="16"/>
                <w:szCs w:val="16"/>
                <w:b w:val="1"/>
                <w:bCs w:val="1"/>
                <w:color w:val="auto"/>
              </w:rPr>
              <w:t>Feb 24,</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25,</w:t>
            </w:r>
          </w:p>
        </w:tc>
        <w:tc>
          <w:tcPr>
            <w:tcW w:w="480" w:type="dxa"/>
            <w:vAlign w:val="bottom"/>
          </w:tcPr>
          <w:p>
            <w:pPr>
              <w:spacing w:after="0"/>
              <w:rPr>
                <w:sz w:val="17"/>
                <w:szCs w:val="17"/>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0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266,358</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171,574</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94,784</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55.2 %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35,338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18,233</w:t>
            </w:r>
          </w:p>
        </w:tc>
        <w:tc>
          <w:tcPr>
            <w:tcW w:w="480" w:type="dxa"/>
            <w:vAlign w:val="bottom"/>
          </w:tcPr>
          <w:p>
            <w:pPr>
              <w:spacing w:after="0"/>
              <w:rPr>
                <w:sz w:val="21"/>
                <w:szCs w:val="21"/>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17,105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93.8 %</w:t>
            </w:r>
          </w:p>
        </w:tc>
      </w:tr>
      <w:tr>
        <w:trPr>
          <w:trHeight w:val="48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319"/>
              <w:spacing w:after="0"/>
              <w:rPr>
                <w:sz w:val="20"/>
                <w:szCs w:val="20"/>
                <w:color w:val="auto"/>
              </w:rPr>
            </w:pPr>
            <w:r>
              <w:rPr>
                <w:rFonts w:ascii="Arial" w:cs="Arial" w:eastAsia="Arial" w:hAnsi="Arial"/>
                <w:sz w:val="16"/>
                <w:szCs w:val="16"/>
                <w:b w:val="1"/>
                <w:bCs w:val="1"/>
                <w:color w:val="auto"/>
              </w:rPr>
              <w:t>Feb 24,</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Product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25,</w:t>
            </w:r>
          </w:p>
        </w:tc>
        <w:tc>
          <w:tcPr>
            <w:tcW w:w="480" w:type="dxa"/>
            <w:vAlign w:val="bottom"/>
          </w:tcPr>
          <w:p>
            <w:pPr>
              <w:spacing w:after="0"/>
              <w:rPr>
                <w:sz w:val="24"/>
                <w:szCs w:val="2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3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5,083</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2,037</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66.9 %</w:t>
            </w:r>
          </w:p>
        </w:tc>
      </w:tr>
      <w:tr>
        <w:trPr>
          <w:trHeight w:val="264"/>
        </w:trPr>
        <w:tc>
          <w:tcPr>
            <w:tcW w:w="32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3,398</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1,033</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43.7 %</w:t>
            </w:r>
          </w:p>
        </w:tc>
      </w:tr>
      <w:tr>
        <w:trPr>
          <w:trHeight w:val="240"/>
        </w:trPr>
        <w:tc>
          <w:tcPr>
            <w:tcW w:w="3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8,481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4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3,070</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56.7 %</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31,648</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32,310</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(662)</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53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Feb 24,</w:t>
            </w:r>
          </w:p>
        </w:tc>
        <w:tc>
          <w:tcPr>
            <w:tcW w:w="480" w:type="dxa"/>
            <w:vAlign w:val="bottom"/>
          </w:tcPr>
          <w:p>
            <w:pPr>
              <w:spacing w:after="0"/>
              <w:rPr>
                <w:sz w:val="17"/>
                <w:szCs w:val="17"/>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Feb 25,</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8,490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852</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302,630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261,995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40,635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15.5 %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15,728</w:t>
            </w:r>
          </w:p>
        </w:tc>
        <w:tc>
          <w:tcPr>
            <w:tcW w:w="480" w:type="dxa"/>
            <w:vAlign w:val="bottom"/>
          </w:tcPr>
          <w:p>
            <w:pPr>
              <w:spacing w:after="0"/>
              <w:rPr>
                <w:sz w:val="21"/>
                <w:szCs w:val="21"/>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9,216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6,512</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left="180" w:right="260" w:hanging="172"/>
        <w:spacing w:after="0" w:line="242" w:lineRule="auto"/>
        <w:tabs>
          <w:tab w:leader="none" w:pos="153" w:val="left"/>
        </w:tabs>
        <w:numPr>
          <w:ilvl w:val="0"/>
          <w:numId w:val="10"/>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 net revenues increased $94.8 million or 55.2% in the second quarter of Fiscal 2018 as compared to the second quarter of Fiscal 2017. This increase was driven by strong organic growth.</w:t>
      </w:r>
    </w:p>
    <w:p>
      <w:pPr>
        <w:spacing w:after="0" w:line="16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Towable unit deliveries grew by 56.7% in the quarter primarily due to volume growth in excess of recent industry trends. Our Towable market share increased from 1.7% to 6.2% when comparing shipments during the twelve-month trailing periods ended January 2017 and January 2018. The decrease in Towable ASP is due to a mix change for the second quarter of Fiscal 2018 compared to the same period in Fiscal 2017. Backlog volumes increased by 10.0% in the second quarter of Fiscal 2018.</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Towable segment Adjusted EBITDA increased $17.1 million due primarily to the organic volume growth. Shipments grew faster than the industry as a result of greater penetration of our new products and further expansion of our distribution base. In addition to the growth in the Towable segment, profitability has increased due to the leverage of higher volume on the fixed cost components of our business as well as effective cost-savings initiatives.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Six Months of Fiscal 2018 Compared to the Comparable Six Months of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income and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60" w:type="dxa"/>
            <w:vAlign w:val="bottom"/>
          </w:tcPr>
          <w:p>
            <w:pPr>
              <w:spacing w:after="0"/>
              <w:rPr>
                <w:sz w:val="17"/>
                <w:szCs w:val="17"/>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24,</w:t>
            </w:r>
          </w:p>
        </w:tc>
        <w:tc>
          <w:tcPr>
            <w:tcW w:w="148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918,380</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615,818</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302,562</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49.1 %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787,888</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85.8 %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537,627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87.3 %</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250,261</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46.5 %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130,492</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78,191</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52,301</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66.9 %</w:t>
            </w:r>
          </w:p>
        </w:tc>
      </w:tr>
      <w:tr>
        <w:trPr>
          <w:trHeight w:val="28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24,343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15,423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8,920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57.8 %</w:t>
            </w:r>
          </w:p>
        </w:tc>
      </w:tr>
      <w:tr>
        <w:trPr>
          <w:trHeight w:val="260"/>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35,684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22,446</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13,238</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59.0 %</w:t>
            </w:r>
          </w:p>
        </w:tc>
      </w:tr>
      <w:tr>
        <w:trPr>
          <w:trHeight w:val="228"/>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4"/>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(24,796)</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24,796</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60"/>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5,925</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(5,875)</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(99.2)%</w:t>
            </w:r>
          </w:p>
        </w:tc>
      </w:tr>
      <w:tr>
        <w:trPr>
          <w:trHeight w:val="273"/>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3,988</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12,418</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(8,430)</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(67.9)%</w:t>
            </w:r>
          </w:p>
        </w:tc>
      </w:tr>
      <w:tr>
        <w:trPr>
          <w:trHeight w:val="25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general and administrative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39,722</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15,993</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23,729</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148.4 %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64,065</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31,416</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32,649</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103.9 %</w:t>
            </w:r>
          </w:p>
        </w:tc>
      </w:tr>
      <w:tr>
        <w:trPr>
          <w:trHeight w:val="28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66,427</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46,775</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19,652</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42.0 %</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9,699</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6,306</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3,393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53.8 %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34.9 %</w:t>
            </w:r>
          </w:p>
        </w:tc>
      </w:tr>
      <w:tr>
        <w:trPr>
          <w:trHeight w:val="247"/>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56,840</w:t>
            </w:r>
          </w:p>
        </w:tc>
        <w:tc>
          <w:tcPr>
            <w:tcW w:w="1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40,552</w:t>
            </w:r>
          </w:p>
        </w:tc>
        <w:tc>
          <w:tcPr>
            <w:tcW w:w="1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16,288</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40.2 %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16,794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13,536</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3,258</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24.1 %</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40,046</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27,016</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4.4 %</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13,030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48.2 %</w:t>
            </w:r>
          </w:p>
        </w:tc>
      </w:tr>
      <w:tr>
        <w:trPr>
          <w:trHeight w:val="267"/>
        </w:trPr>
        <w:tc>
          <w:tcPr>
            <w:tcW w:w="2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1.26</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0.91</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0.35</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38.5 %</w:t>
            </w:r>
          </w:p>
        </w:tc>
      </w:tr>
      <w:tr>
        <w:trPr>
          <w:trHeight w:val="28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31,852</w:t>
            </w: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29,827</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2,025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6.8 %</w:t>
            </w:r>
          </w:p>
        </w:tc>
      </w:tr>
    </w:tbl>
    <w:p>
      <w:pPr>
        <w:spacing w:after="0" w:line="7"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color w:val="auto"/>
        </w:rPr>
        <w:t>Percentages may not add due to rounding differences.</w:t>
      </w:r>
    </w:p>
    <w:p>
      <w:pPr>
        <w:spacing w:after="0" w:line="16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Consolidated net revenues increased $302.6 million or 49.1% in the first six months of Fiscal 2018 over the first six months of Fiscal 2017. This was primarily due to the acquisition of Grand Design and strong volume growth in our Towable segment.</w:t>
      </w:r>
    </w:p>
    <w:p>
      <w:pPr>
        <w:spacing w:after="0" w:line="16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Gross profit increased $52.3 million for the first six months of Fiscal 2018 compared to the first six months of Fiscal 2017 due to the Towable segment, which operates at a higher gross profit, growing faster than the Motorized segment, and also due to effectiveness of cost savings initiatives.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were $24.3 million and $15.4 million, or 2.7% and 2.5% of net revenues, in the first six months of Fiscal 2018 and Fiscal 2017</w:t>
      </w:r>
      <w:r>
        <w:rPr>
          <w:rFonts w:ascii="Arial" w:cs="Arial" w:eastAsia="Arial" w:hAnsi="Arial"/>
          <w:sz w:val="18"/>
          <w:szCs w:val="18"/>
          <w:color w:val="auto"/>
        </w:rPr>
        <w:t>,</w:t>
      </w:r>
      <w:r>
        <w:rPr>
          <w:rFonts w:ascii="Arial" w:cs="Arial" w:eastAsia="Arial" w:hAnsi="Arial"/>
          <w:sz w:val="16"/>
          <w:szCs w:val="16"/>
          <w:color w:val="auto"/>
        </w:rPr>
        <w:t xml:space="preserve">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a mix change driven by volume growth in our Towable segment.</w:t>
      </w:r>
    </w:p>
    <w:p>
      <w:pPr>
        <w:spacing w:after="0" w:line="18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General and administrative expenses were $39.7 million and $16.0 million, or 4.3% and 2.6% of net revenues, in the first six months of Fiscal 2018 and Fiscal 2017, respectively. This increase was due primarily to additional general and administrative expenses related to the fiscal year 2017 acquisition of Grand Design. Additionally, Fiscal 2017 results of operations were impacted by the increased benefit of $24.8 million associated with the termination of the postretirement health care plan. This benefit was partially offset in Fiscal 2017 by $5.9 million of Grand Design transaction-related expenses and $12.4 million of expense related to amortization of definite-lived intangible assets, also related to the acquisition of Grand Design.</w:t>
      </w:r>
    </w:p>
    <w:p>
      <w:pPr>
        <w:spacing w:after="0" w:line="23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Interest expense increased $3.4 million in the first six months of Fiscal 2018 compared to the first six months of Fiscal 2017. This increase is related to the ABL and Term Loan agreements associated with the acquisition of Grand Design. See Analysis of Financial Condition, Liquidity, and Resources and Note 9 for further information.</w:t>
      </w:r>
    </w:p>
    <w:p>
      <w:pPr>
        <w:spacing w:after="0" w:line="22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overall effective income tax rate for the first six months of Fiscal 2018 was 29.5% compared to the effective income tax rate of 33.4% for the first six months of Fiscal 2017. The effective rate for the first six months of Fiscal 2018 was favorably impacted by the enactment of the Tax Act. This decrease was primarily due to the decrease in the Federal rate as a result of the Tax Act, which was partially offset by the associated remeasurement of our deferred tax assets and an increase in state tax rate.</w:t>
      </w:r>
    </w:p>
    <w:p>
      <w:pPr>
        <w:sectPr>
          <w:pgSz w:w="11900" w:h="16838" w:orient="portrait"/>
          <w:cols w:equalWidth="0" w:num="1">
            <w:col w:w="11420"/>
          </w:cols>
          <w:pgMar w:left="240" w:top="14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Net income and diluted income per share were $40.0 million and $1.26 per share, respectively, for the first six months of Fiscal 2018. In the first six months of Fiscal 2017, net income and diluted net income per share was $27.0 million and $0.91,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the six months ended February 24, 2018 and February 25,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24,</w:t>
            </w:r>
          </w:p>
        </w:tc>
        <w:tc>
          <w:tcPr>
            <w:tcW w:w="260" w:type="dxa"/>
            <w:vAlign w:val="bottom"/>
          </w:tcPr>
          <w:p>
            <w:pPr>
              <w:spacing w:after="0"/>
              <w:rPr>
                <w:sz w:val="17"/>
                <w:szCs w:val="17"/>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27,016</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6,306</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16,794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13,536</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3,428</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12,418</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21"/>
                <w:szCs w:val="21"/>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74,855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62,704</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5,925</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w:t>
            </w:r>
          </w:p>
        </w:tc>
      </w:tr>
      <w:tr>
        <w:trPr>
          <w:trHeight w:val="24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74,793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43,750</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items impacting current results that are not expected to impact future performance.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income from terminating the plan and transaction costs related to our acquisition of Grand Design.</w:t>
      </w:r>
    </w:p>
    <w:p>
      <w:pPr>
        <w:spacing w:after="0" w:line="17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that publish similar measures;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24,</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3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392,357</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394,061</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7,199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21,954</w:t>
            </w:r>
          </w:p>
        </w:tc>
        <w:tc>
          <w:tcPr>
            <w:tcW w:w="32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(14,755)</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(67.2)%</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299"/>
              <w:spacing w:after="0"/>
              <w:rPr>
                <w:sz w:val="20"/>
                <w:szCs w:val="20"/>
                <w:color w:val="auto"/>
              </w:rPr>
            </w:pPr>
            <w:r>
              <w:rPr>
                <w:rFonts w:ascii="Arial" w:cs="Arial" w:eastAsia="Arial" w:hAnsi="Arial"/>
                <w:sz w:val="16"/>
                <w:szCs w:val="16"/>
                <w:b w:val="1"/>
                <w:bCs w:val="1"/>
                <w:color w:val="auto"/>
              </w:rPr>
              <w:t>Feb 24,</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rPr>
              <w:t>Feb 25,</w:t>
            </w:r>
          </w:p>
        </w:tc>
        <w:tc>
          <w:tcPr>
            <w:tcW w:w="3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1,604</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138</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781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104</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15.4 %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1,844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4,229</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122</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90,604</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94,704</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(4,100)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24,</w:t>
            </w:r>
          </w:p>
        </w:tc>
        <w:tc>
          <w:tcPr>
            <w:tcW w:w="32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 25,</w:t>
            </w: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910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276,231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191,522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84,709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44.2 %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(241)</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r>
    </w:tbl>
    <w:p>
      <w:pPr>
        <w:spacing w:after="0" w:line="47"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260" w:firstLine="8"/>
        <w:spacing w:after="0" w:line="242" w:lineRule="auto"/>
        <w:tabs>
          <w:tab w:leader="none" w:pos="145" w:val="left"/>
        </w:tabs>
        <w:numPr>
          <w:ilvl w:val="0"/>
          <w:numId w:val="12"/>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Motorized net revenues decreased $1.7 million or 0.4% in the first six months of Fiscal 2018 as compared to the first six months of Fiscal 2017. This was primarily due to lower ASP on the mix of units sold.</w:t>
      </w:r>
    </w:p>
    <w:p>
      <w:pPr>
        <w:spacing w:after="0" w:line="169"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Motorized unit deliveries grew by 3.0% in the first six months, which is lower than recent industry growth. Our overall motorized market share moved from 17.8% to 16.3% when comparing shipments during the twelve-month trailing periods ended January 2017 and January 2018 due to a mix change from our Class C products to our Class B and entry-level Class A products.</w:t>
      </w:r>
    </w:p>
    <w:p>
      <w:pPr>
        <w:spacing w:after="0" w:line="17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Motorized segment Adjusted EBITDA decreased $14.8 million or 67.2%. This reduction was due to lower revenues as well as ongoing expenses related to the ramp up of our West Coast production facility and costs associated with new product start-up.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32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36"/>
        </w:trPr>
        <w:tc>
          <w:tcPr>
            <w:tcW w:w="5940" w:type="dxa"/>
            <w:vAlign w:val="bottom"/>
            <w:gridSpan w:val="6"/>
          </w:tcPr>
          <w:p>
            <w:pPr>
              <w:spacing w:after="0"/>
              <w:rPr>
                <w:sz w:val="20"/>
                <w:szCs w:val="20"/>
                <w:color w:val="auto"/>
              </w:rPr>
            </w:pPr>
            <w:r>
              <w:rPr>
                <w:rFonts w:ascii="Arial" w:cs="Arial" w:eastAsia="Arial" w:hAnsi="Arial"/>
                <w:sz w:val="16"/>
                <w:szCs w:val="16"/>
                <w:color w:val="auto"/>
              </w:rPr>
              <w:t>The following is an analysis of key changes in our Towable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280" w:type="dxa"/>
            <w:vAlign w:val="bottom"/>
            <w:gridSpan w:val="3"/>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3"/>
        </w:trPr>
        <w:tc>
          <w:tcPr>
            <w:tcW w:w="32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339"/>
              <w:spacing w:after="0"/>
              <w:rPr>
                <w:sz w:val="20"/>
                <w:szCs w:val="20"/>
                <w:color w:val="auto"/>
              </w:rPr>
            </w:pPr>
            <w:r>
              <w:rPr>
                <w:rFonts w:ascii="Arial" w:cs="Arial" w:eastAsia="Arial" w:hAnsi="Arial"/>
                <w:sz w:val="16"/>
                <w:szCs w:val="16"/>
                <w:b w:val="1"/>
                <w:bCs w:val="1"/>
                <w:color w:val="auto"/>
              </w:rPr>
              <w:t>Feb 24,</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25,</w:t>
            </w:r>
          </w:p>
        </w:tc>
        <w:tc>
          <w:tcPr>
            <w:tcW w:w="48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28"/>
        </w:trPr>
        <w:tc>
          <w:tcPr>
            <w:tcW w:w="1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526,023</w:t>
            </w:r>
          </w:p>
        </w:tc>
        <w:tc>
          <w:tcPr>
            <w:tcW w:w="13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221,757</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304,266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137.2%</w:t>
            </w:r>
          </w:p>
        </w:tc>
      </w:tr>
      <w:tr>
        <w:trPr>
          <w:trHeight w:val="251"/>
        </w:trPr>
        <w:tc>
          <w:tcPr>
            <w:tcW w:w="328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67,594</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21,796</w:t>
            </w:r>
          </w:p>
        </w:tc>
        <w:tc>
          <w:tcPr>
            <w:tcW w:w="480" w:type="dxa"/>
            <w:vAlign w:val="bottom"/>
          </w:tcPr>
          <w:p>
            <w:pPr>
              <w:spacing w:after="0"/>
              <w:rPr>
                <w:sz w:val="21"/>
                <w:szCs w:val="21"/>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45,798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210.1%</w:t>
            </w:r>
          </w:p>
        </w:tc>
      </w:tr>
      <w:tr>
        <w:trPr>
          <w:trHeight w:val="488"/>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39"/>
              <w:spacing w:after="0"/>
              <w:rPr>
                <w:sz w:val="20"/>
                <w:szCs w:val="20"/>
                <w:color w:val="auto"/>
              </w:rPr>
            </w:pPr>
            <w:r>
              <w:rPr>
                <w:rFonts w:ascii="Arial" w:cs="Arial" w:eastAsia="Arial" w:hAnsi="Arial"/>
                <w:sz w:val="16"/>
                <w:szCs w:val="16"/>
                <w:b w:val="1"/>
                <w:bCs w:val="1"/>
                <w:color w:val="auto"/>
              </w:rPr>
              <w:t>Feb 24,</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25,</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10,432</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5,877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129.0%</w:t>
            </w:r>
          </w:p>
        </w:tc>
      </w:tr>
      <w:tr>
        <w:trPr>
          <w:trHeight w:val="264"/>
        </w:trPr>
        <w:tc>
          <w:tcPr>
            <w:tcW w:w="32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6,725</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3,857</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134.5%</w:t>
            </w:r>
          </w:p>
        </w:tc>
      </w:tr>
      <w:tr>
        <w:trPr>
          <w:trHeight w:val="240"/>
        </w:trPr>
        <w:tc>
          <w:tcPr>
            <w:tcW w:w="32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17,157</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7,423</w:t>
            </w:r>
          </w:p>
        </w:tc>
        <w:tc>
          <w:tcPr>
            <w:tcW w:w="4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9,734</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131.1%</w:t>
            </w:r>
          </w:p>
        </w:tc>
      </w:tr>
      <w:tr>
        <w:trPr>
          <w:trHeight w:val="20"/>
        </w:trPr>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31,096</w:t>
            </w:r>
          </w:p>
        </w:tc>
        <w:tc>
          <w:tcPr>
            <w:tcW w:w="13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30,291</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r>
      <w:tr>
        <w:trPr>
          <w:trHeight w:val="53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Feb 24,</w:t>
            </w:r>
          </w:p>
        </w:tc>
        <w:tc>
          <w:tcPr>
            <w:tcW w:w="48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Feb 25,</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280" w:type="dxa"/>
            <w:vAlign w:val="bottom"/>
            <w:tcBorders>
              <w:bottom w:val="single" w:sz="8" w:color="auto"/>
            </w:tcBorders>
            <w:gridSpan w:val="3"/>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8,490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r>
      <w:tr>
        <w:trPr>
          <w:trHeight w:val="251"/>
        </w:trPr>
        <w:tc>
          <w:tcPr>
            <w:tcW w:w="3280" w:type="dxa"/>
            <w:vAlign w:val="bottom"/>
            <w:gridSpan w:val="3"/>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302,630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261,995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40,635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15.5%</w:t>
            </w:r>
          </w:p>
        </w:tc>
      </w:tr>
      <w:tr>
        <w:trPr>
          <w:trHeight w:val="553"/>
        </w:trPr>
        <w:tc>
          <w:tcPr>
            <w:tcW w:w="3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15,728</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9,216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6,512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70.7%</w:t>
            </w:r>
          </w:p>
        </w:tc>
      </w:tr>
    </w:tbl>
    <w:p>
      <w:pPr>
        <w:spacing w:after="0" w:line="4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260" w:firstLine="8"/>
        <w:spacing w:after="0" w:line="242" w:lineRule="auto"/>
        <w:tabs>
          <w:tab w:leader="none" w:pos="145" w:val="left"/>
        </w:tabs>
        <w:numPr>
          <w:ilvl w:val="0"/>
          <w:numId w:val="13"/>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79"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Towable net revenues increased $304.3 million in the first six months of Fiscal 2018 as compared to the first six months of Fiscal 2017. This was primarily due to the fiscal year 2017 acquisition of Grand Design in November 2016 and organic volume growth.</w:t>
      </w:r>
    </w:p>
    <w:p>
      <w:pPr>
        <w:spacing w:after="0" w:line="15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Towable unit deliveries grew by 131.1% in the first six months of Fiscal 2018 primarily due to the acquisition of Grand Design and also due to Towable growth in excess of recent industry trends. With the addition of Grand Design in Fiscal 2017, our Towable market share increased from 1.7% to 6.2% when comparing shipments during the twelve-month trailing periods ended January 2017 and January 2018.</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Towable segment Adjusted EBITDA increased $45.8 million due to the favorable impact of organic growth. We achieved strong results in our Towable segment, where shipments grew much faster than the industry as a result of greater penetration of our new products and further expansion of our distribution base, as well as higher gross profit from cost savings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Cash and cash equivalents decreased $8.5 million during the first six months of Fiscal 2018 and totaled $27.4 million as of February 24, 2018. Significant liquidity events that occurred during the first six months of Fiscal 2018 were:</w:t>
      </w:r>
    </w:p>
    <w:p>
      <w:pPr>
        <w:spacing w:after="0" w:line="14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Generated net income of $40.0 million</w:t>
      </w:r>
    </w:p>
    <w:p>
      <w:pPr>
        <w:spacing w:after="0" w:line="5" w:lineRule="exact"/>
        <w:rPr>
          <w:rFonts w:ascii="Arial" w:cs="Arial" w:eastAsia="Arial" w:hAnsi="Arial"/>
          <w:sz w:val="16"/>
          <w:szCs w:val="16"/>
          <w:color w:val="auto"/>
        </w:rPr>
      </w:pPr>
    </w:p>
    <w:p>
      <w:pPr>
        <w:ind w:left="340" w:right="62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borrowings at February 24, 2018 were $279.7 million, and we have an additional $105.3 million available to borrow under the revolving credit agreement, subject to sufficient borrowing base</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repayment of $4.3 million of debt ($24.0 million repayments less $19.7 million borrowings)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in payables of $32.9 million partially offset by increases in receivables, prepaid and other assets of $31.1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in inventory of $36.4 million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Note 9, our Credit Agreement at February 24, 2018 consisted of a $300.0 million Term Loan and a $125.0 million ABL with JPMorgan Chase.</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three years from its effective date. We currently have no plans to offer and sell the common stock registered under the registration statement, however, it does provide another potential source of liquidity to raise capital if we need it, in addition to other alternatives already in place.</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Working capital at February 24, 2018 and August 26, 2017 was $177.1 million and $147.0 million, respectively, an increase of $30.1 million. We currently expect cash on hand, funds generated from operations and the borrowing available under our Credit Agreement to be sufficient to cover both short-term and long-term operating requirements. We will continue to invest in our current motorhome facilities and our ERP system as well as expand our Towable facilities.</w:t>
      </w:r>
    </w:p>
    <w:p>
      <w:pPr>
        <w:spacing w:after="0" w:line="17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Share repurchases of $1.5 million in the first six months of Fiscal 2018 were to satisfy tax obligations on employee equity awards as they vested. We continually evaluate if share repurchases reflect a prudent use of our capital and, subject to compliance with our Credit Agreement, we may purchase shares in the remainder of Fiscal 2018. At February 24, 2018, we have $71.0 million remaining on our board repurchase authorization. See Part II, Item 2 of this Form 10-Q.</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Cash provided by operating activities was $15.0 million for the six months ended February 24, 2018 compared to $5.1 million for the six months ended February 25, 2017. The increase in cash flow from operations in Fiscal 2018 was driven by the strong net income of $40.0 million offset by an increase in receivables due to volume growth and an increase in inventory due to planned inventory build.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Cash used in investing activities of $11.4 million for the six months ended February 24, 2018 was due primarily to capital expenditures of $11.7 million including the capacity expansions taking place in our Towable segment. In the six months ended February 25, 2017, cash used in investing activities of $400.9 million was due primarily to the acquisition of Grand Design for which we paid cash of $394.7 million, net of cash acquired, in addition to issuing Winnebago stock with a value of $124.1 million at closing.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Cash used in financing activities of $12.2 million for the six months ended February 24, 2018 was primarily due to payments on the Credit Agreement of $24.0 million and $1.5 million for share repurchases and was partially offset by cash proceeds on the Credit Agreement of $19.7 million. Cash provided by financing activities of $321.2 million for the six months ended February 25, 2017 was primarily due to cash proceeds from the Credit Agreement of $366.4 million, partially offset by payments on the Credit Agreement of $26.4 million, $11.0 million for the payment of debt issuance costs, and $6.4 million for the payment of dividends.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4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describe our significant accounting policies in Note 1: Summary of Significant Accounting Policies of the Notes to Consolidated Financial Statements included in our Annual Report on Form 10-K for the fiscal year ended August 26, 2017. We discuss our critical accounting estimates in Item 7, Management's Discussion and Analysis of Financial Condition and Results of Operations, in our Annual Report on Form 10-K for the fiscal year ended August 26, 2017. We refer to these disclosures for a detailed explanation of our significant accounting policies and critical accounting estimates. There has been no significant change in our significant accounting policies or critical accounting estimates since the end of Fiscal 2017, except as disclosed in Note 1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February 24, 2018, we had $260.0 million outstanding under our Term Loan, subject to variable interest rates. This risk is partially mitigated through an interest rate swap contract as detailed below.</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terms of the Credit Agreement, we were previously required to maintain interest rate swaps to manage our interest rate exposure related to the variable component of interest cost on the Term Loan. In accordance with this requirement, we entered into an interest swap contract on January 23, 2017, to effectively convert $200.0 million of the Term Loan balance to a fixed rate. The notional amount of the swap reduced to $170.0 million on December 8, 2017 and will be reduced to $120.0 million on December 10, 2018 and $60.0 million on December 9, 2019. The swap contract expires on December 8, 2020. A hypothetical one percentage point increase in interest rates on the Term Loan would increase our interest expense (after consideration of the interest rate swap) for 2018 by approximately $0.9 million. Due to the floor of 1.0% on LIBOR for the Term Loan, a 1.0% decrease could only decrease to the floor for the variable rate, resulting in a decrease in interest expense (after consideration of the interest rate swap) for 2018 of $0.5 million. As discussed in Note 5: Derivatives, Investments and Fair Value Measurements, the requirement to hedge a portion of the Term Loan floating rate interest exposure was removed through an amendment to the ABL.</w:t>
      </w:r>
    </w:p>
    <w:p>
      <w:pPr>
        <w:spacing w:after="0" w:line="370"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have been designated for hedge accounting. The fair value of the interest rate swap is based on observable market data (Level 2) and was $1.9 million as of February 24, 2018. The interest rate swap requires us to pay interest at a fixed rate of 1.82% through the December 8, 2020 expiration of the swap. A 1.0% increase in the interest rate would have changed the fair value of the swap as of February 24, 2018 by approximately $2.9 million and a 1.0% decrease would have changed the fair value by $3.0 million. These increases and decreases would be recorded in OCI and the hedged value on our consolidated balance sheet (currently recorded within other non-current liabilities).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20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2018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are involved in various legal proceedings that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fiscal year ended August 26,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December 19, 2007, our Board of Directors authorized the repurchase of outstanding shares of our common stock, depending on market conditions, for an aggregate consideration of up to $60 million. There is no time restriction on this authorization. During the second quarter of Fiscal 2018, 2,117 shares were repurchased under the authorization, at an aggregate cost of approximately $0.1 million. All of these shares were repurchased from employees who vested in Company shares during the second quarter of Fiscal 2018 and elected to pay their payroll tax via the value of shares delivered as opposed to cash.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4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this authorization. As of February 24, 2018, there was approximately $71.0 million remaining under these authorizations.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2018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11/26/17 - 12/30/17</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56.65</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71,051,000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12/31/17 - 01/27/18</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1,191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52.40</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1,191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70,989,000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01/28/18 - 02/24/18</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70,989,000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54.26</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2,117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70,989,000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Our Credit Agreement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2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080" w:type="dxa"/>
            <w:vAlign w:val="bottom"/>
            <w:gridSpan w:val="3"/>
          </w:tcPr>
          <w:p>
            <w:pPr>
              <w:spacing w:after="0"/>
              <w:rPr>
                <w:rFonts w:ascii="Arial" w:cs="Arial" w:eastAsia="Arial" w:hAnsi="Arial"/>
                <w:sz w:val="16"/>
                <w:szCs w:val="16"/>
                <w:color w:val="0000FF"/>
              </w:rPr>
            </w:pPr>
            <w:hyperlink r:id="rId17">
              <w:r>
                <w:rPr>
                  <w:rFonts w:ascii="Arial" w:cs="Arial" w:eastAsia="Arial" w:hAnsi="Arial"/>
                  <w:sz w:val="16"/>
                  <w:szCs w:val="16"/>
                  <w:color w:val="0000FF"/>
                </w:rPr>
                <w:t>3a.</w:t>
              </w:r>
            </w:hyperlink>
          </w:p>
        </w:tc>
        <w:tc>
          <w:tcPr>
            <w:tcW w:w="9280" w:type="dxa"/>
            <w:vAlign w:val="bottom"/>
          </w:tcPr>
          <w:p>
            <w:pPr>
              <w:ind w:left="340"/>
              <w:spacing w:after="0"/>
              <w:rPr>
                <w:sz w:val="20"/>
                <w:szCs w:val="20"/>
                <w:color w:val="auto"/>
              </w:rPr>
            </w:pPr>
            <w:r>
              <w:rPr>
                <w:rFonts w:ascii="Arial" w:cs="Arial" w:eastAsia="Arial" w:hAnsi="Arial"/>
                <w:sz w:val="16"/>
                <w:szCs w:val="16"/>
                <w:color w:val="auto"/>
              </w:rPr>
              <w:t>Articles of Incorporation previously filed with the Registrant’s Quarterly Report on Form 10-Q for the quarter ended May 27,</w:t>
            </w:r>
          </w:p>
        </w:tc>
      </w:tr>
      <w:tr>
        <w:trPr>
          <w:trHeight w:val="204"/>
        </w:trPr>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2000 (Commission File Number 001-06403) and incorporated by reference herein.</w:t>
            </w:r>
          </w:p>
        </w:tc>
      </w:tr>
      <w:tr>
        <w:trPr>
          <w:trHeight w:val="587"/>
        </w:trPr>
        <w:tc>
          <w:tcPr>
            <w:tcW w:w="1080" w:type="dxa"/>
            <w:vAlign w:val="bottom"/>
            <w:gridSpan w:val="3"/>
          </w:tcPr>
          <w:p>
            <w:pPr>
              <w:spacing w:after="0"/>
              <w:rPr>
                <w:rFonts w:ascii="Arial" w:cs="Arial" w:eastAsia="Arial" w:hAnsi="Arial"/>
                <w:sz w:val="16"/>
                <w:szCs w:val="16"/>
                <w:color w:val="0000FF"/>
              </w:rPr>
            </w:pPr>
            <w:hyperlink r:id="rId18">
              <w:r>
                <w:rPr>
                  <w:rFonts w:ascii="Arial" w:cs="Arial" w:eastAsia="Arial" w:hAnsi="Arial"/>
                  <w:sz w:val="16"/>
                  <w:szCs w:val="16"/>
                  <w:color w:val="0000FF"/>
                </w:rPr>
                <w:t>3b.</w:t>
              </w:r>
            </w:hyperlink>
          </w:p>
        </w:tc>
        <w:tc>
          <w:tcPr>
            <w:tcW w:w="9280" w:type="dxa"/>
            <w:vAlign w:val="bottom"/>
          </w:tcPr>
          <w:p>
            <w:pPr>
              <w:ind w:left="340"/>
              <w:spacing w:after="0"/>
              <w:rPr>
                <w:sz w:val="20"/>
                <w:szCs w:val="20"/>
                <w:color w:val="auto"/>
              </w:rPr>
            </w:pPr>
            <w:r>
              <w:rPr>
                <w:rFonts w:ascii="Arial" w:cs="Arial" w:eastAsia="Arial" w:hAnsi="Arial"/>
                <w:sz w:val="16"/>
                <w:szCs w:val="16"/>
                <w:color w:val="auto"/>
              </w:rPr>
              <w:t>Amended By-Laws of the Registrant previously filed with the Registrant’s Quarterly Report on Form 10-Q for the quarter</w:t>
            </w:r>
          </w:p>
        </w:tc>
      </w:tr>
      <w:tr>
        <w:trPr>
          <w:trHeight w:val="204"/>
        </w:trPr>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ended May 27, 2000 (Commission File Number 001-06403) and incorporated by reference herein.</w:t>
            </w:r>
          </w:p>
        </w:tc>
      </w:tr>
      <w:tr>
        <w:trPr>
          <w:trHeight w:val="587"/>
        </w:trPr>
        <w:tc>
          <w:tcPr>
            <w:tcW w:w="1080" w:type="dxa"/>
            <w:vAlign w:val="bottom"/>
            <w:gridSpan w:val="3"/>
          </w:tcPr>
          <w:p>
            <w:pPr>
              <w:spacing w:after="0"/>
              <w:rPr>
                <w:rFonts w:ascii="Arial" w:cs="Arial" w:eastAsia="Arial" w:hAnsi="Arial"/>
                <w:sz w:val="16"/>
                <w:szCs w:val="16"/>
                <w:color w:val="0000FF"/>
              </w:rPr>
            </w:pPr>
            <w:hyperlink r:id="rId19">
              <w:r>
                <w:rPr>
                  <w:rFonts w:ascii="Arial" w:cs="Arial" w:eastAsia="Arial" w:hAnsi="Arial"/>
                  <w:sz w:val="16"/>
                  <w:szCs w:val="16"/>
                  <w:color w:val="0000FF"/>
                </w:rPr>
                <w:t>10a.</w:t>
              </w:r>
            </w:hyperlink>
          </w:p>
        </w:tc>
        <w:tc>
          <w:tcPr>
            <w:tcW w:w="9280" w:type="dxa"/>
            <w:vAlign w:val="bottom"/>
          </w:tcPr>
          <w:p>
            <w:pPr>
              <w:ind w:left="340"/>
              <w:spacing w:after="0"/>
              <w:rPr>
                <w:sz w:val="20"/>
                <w:szCs w:val="20"/>
                <w:color w:val="auto"/>
              </w:rPr>
            </w:pPr>
            <w:r>
              <w:rPr>
                <w:rFonts w:ascii="Arial" w:cs="Arial" w:eastAsia="Arial" w:hAnsi="Arial"/>
                <w:sz w:val="16"/>
                <w:szCs w:val="16"/>
                <w:color w:val="auto"/>
              </w:rPr>
              <w:t>Executive Change of Control Agreement between Winnebago Industries, Inc. and Bryan L. Hughes previously filed with the</w:t>
            </w:r>
          </w:p>
        </w:tc>
      </w:tr>
      <w:tr>
        <w:trPr>
          <w:trHeight w:val="198"/>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Registrant’s Current Report on Form 8-K dated December 22, 2017 (Commission File Number 001-06403) and incorporated</w:t>
            </w: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by reference herein.</w:t>
            </w:r>
          </w:p>
        </w:tc>
      </w:tr>
      <w:tr>
        <w:trPr>
          <w:trHeight w:val="587"/>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4">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760" w:type="dxa"/>
            <w:vAlign w:val="bottom"/>
          </w:tcPr>
          <w:p>
            <w:pPr>
              <w:spacing w:after="0"/>
              <w:rPr>
                <w:sz w:val="24"/>
                <w:szCs w:val="24"/>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Certification by the Chief Executive Officer pursuant to Section 302 of the Sarbanes-Oxley Act of 2002 dated March 22, 2018</w:t>
            </w:r>
          </w:p>
        </w:tc>
      </w:tr>
      <w:tr>
        <w:trPr>
          <w:trHeight w:val="574"/>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5">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760" w:type="dxa"/>
            <w:vAlign w:val="bottom"/>
          </w:tcPr>
          <w:p>
            <w:pPr>
              <w:spacing w:after="0"/>
              <w:rPr>
                <w:sz w:val="24"/>
                <w:szCs w:val="24"/>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Certification by the Chief Financial Officer pursuant to Section 302 of the Sarbanes-Oxley Act of 2002 dated March 22, 2018</w:t>
            </w:r>
          </w:p>
        </w:tc>
      </w:tr>
      <w:tr>
        <w:trPr>
          <w:trHeight w:val="574"/>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6">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760" w:type="dxa"/>
            <w:vAlign w:val="bottom"/>
          </w:tcPr>
          <w:p>
            <w:pPr>
              <w:spacing w:after="0"/>
              <w:rPr>
                <w:sz w:val="24"/>
                <w:szCs w:val="24"/>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Certification by the Chief Executive Officer pursuant to Section 1350, as adopted pursuant to Section 906 of the Sarbanes-</w:t>
            </w:r>
          </w:p>
        </w:tc>
      </w:tr>
      <w:tr>
        <w:trPr>
          <w:trHeight w:val="204"/>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Oxley Act of 2002 dated March 22, 2018</w:t>
            </w:r>
          </w:p>
        </w:tc>
      </w:tr>
      <w:tr>
        <w:trPr>
          <w:trHeight w:val="398"/>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7">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760" w:type="dxa"/>
            <w:vAlign w:val="bottom"/>
          </w:tcPr>
          <w:p>
            <w:pPr>
              <w:spacing w:after="0"/>
              <w:rPr>
                <w:sz w:val="24"/>
                <w:szCs w:val="24"/>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Certification by the Chief Financial Officer pursuant to Section 1350, as adopted pursuant to Section 906 of the Sarbanes-</w:t>
            </w:r>
          </w:p>
        </w:tc>
      </w:tr>
      <w:tr>
        <w:trPr>
          <w:trHeight w:val="204"/>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Pr>
          <w:p>
            <w:pPr>
              <w:ind w:left="340"/>
              <w:spacing w:after="0"/>
              <w:rPr>
                <w:sz w:val="20"/>
                <w:szCs w:val="20"/>
                <w:color w:val="auto"/>
              </w:rPr>
            </w:pPr>
            <w:r>
              <w:rPr>
                <w:rFonts w:ascii="Arial" w:cs="Arial" w:eastAsia="Arial" w:hAnsi="Arial"/>
                <w:sz w:val="16"/>
                <w:szCs w:val="16"/>
                <w:color w:val="auto"/>
              </w:rPr>
              <w:t>Oxley Act of 2002 dated March 22, 2018</w:t>
            </w:r>
          </w:p>
        </w:tc>
      </w:tr>
      <w:tr>
        <w:trPr>
          <w:trHeight w:val="432"/>
        </w:trPr>
        <w:tc>
          <w:tcPr>
            <w:tcW w:w="1080" w:type="dxa"/>
            <w:vAlign w:val="bottom"/>
            <w:gridSpan w:val="3"/>
          </w:tcPr>
          <w:p>
            <w:pPr>
              <w:spacing w:after="0"/>
              <w:rPr>
                <w:sz w:val="20"/>
                <w:szCs w:val="20"/>
                <w:color w:val="auto"/>
              </w:rPr>
            </w:pPr>
            <w:r>
              <w:rPr>
                <w:rFonts w:ascii="Arial" w:cs="Arial" w:eastAsia="Arial" w:hAnsi="Arial"/>
                <w:sz w:val="16"/>
                <w:szCs w:val="16"/>
                <w:color w:val="auto"/>
              </w:rPr>
              <w:t>101.INS*</w:t>
            </w:r>
          </w:p>
        </w:tc>
        <w:tc>
          <w:tcPr>
            <w:tcW w:w="9280" w:type="dxa"/>
            <w:vAlign w:val="bottom"/>
          </w:tcPr>
          <w:p>
            <w:pPr>
              <w:ind w:left="340"/>
              <w:spacing w:after="0"/>
              <w:rPr>
                <w:sz w:val="20"/>
                <w:szCs w:val="20"/>
                <w:color w:val="auto"/>
              </w:rPr>
            </w:pPr>
            <w:r>
              <w:rPr>
                <w:rFonts w:ascii="Arial" w:cs="Arial" w:eastAsia="Arial" w:hAnsi="Arial"/>
                <w:sz w:val="16"/>
                <w:szCs w:val="16"/>
                <w:color w:val="auto"/>
              </w:rPr>
              <w:t>XBRL Instance Document</w:t>
            </w:r>
          </w:p>
        </w:tc>
      </w:tr>
      <w:tr>
        <w:trPr>
          <w:trHeight w:val="594"/>
        </w:trPr>
        <w:tc>
          <w:tcPr>
            <w:tcW w:w="1080" w:type="dxa"/>
            <w:vAlign w:val="bottom"/>
            <w:gridSpan w:val="3"/>
          </w:tcPr>
          <w:p>
            <w:pPr>
              <w:spacing w:after="0"/>
              <w:rPr>
                <w:sz w:val="20"/>
                <w:szCs w:val="20"/>
                <w:color w:val="auto"/>
              </w:rPr>
            </w:pPr>
            <w:r>
              <w:rPr>
                <w:rFonts w:ascii="Arial" w:cs="Arial" w:eastAsia="Arial" w:hAnsi="Arial"/>
                <w:sz w:val="16"/>
                <w:szCs w:val="16"/>
                <w:color w:val="auto"/>
              </w:rPr>
              <w:t>101.SCH*</w:t>
            </w:r>
          </w:p>
        </w:tc>
        <w:tc>
          <w:tcPr>
            <w:tcW w:w="9280" w:type="dxa"/>
            <w:vAlign w:val="bottom"/>
          </w:tcPr>
          <w:p>
            <w:pPr>
              <w:ind w:left="340"/>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1080" w:type="dxa"/>
            <w:vAlign w:val="bottom"/>
            <w:gridSpan w:val="3"/>
          </w:tcPr>
          <w:p>
            <w:pPr>
              <w:spacing w:after="0"/>
              <w:rPr>
                <w:sz w:val="20"/>
                <w:szCs w:val="20"/>
                <w:color w:val="auto"/>
              </w:rPr>
            </w:pPr>
            <w:r>
              <w:rPr>
                <w:rFonts w:ascii="Arial" w:cs="Arial" w:eastAsia="Arial" w:hAnsi="Arial"/>
                <w:sz w:val="16"/>
                <w:szCs w:val="16"/>
                <w:color w:val="auto"/>
              </w:rPr>
              <w:t>101.CAL*</w:t>
            </w:r>
          </w:p>
        </w:tc>
        <w:tc>
          <w:tcPr>
            <w:tcW w:w="9280" w:type="dxa"/>
            <w:vAlign w:val="bottom"/>
          </w:tcPr>
          <w:p>
            <w:pPr>
              <w:ind w:left="340"/>
              <w:spacing w:after="0"/>
              <w:rPr>
                <w:sz w:val="20"/>
                <w:szCs w:val="20"/>
                <w:color w:val="auto"/>
              </w:rPr>
            </w:pPr>
            <w:r>
              <w:rPr>
                <w:rFonts w:ascii="Arial" w:cs="Arial" w:eastAsia="Arial" w:hAnsi="Arial"/>
                <w:sz w:val="16"/>
                <w:szCs w:val="16"/>
                <w:color w:val="auto"/>
              </w:rPr>
              <w:t>XBRL Taxonomy Extension Calculation Linkbase Document</w:t>
            </w:r>
          </w:p>
        </w:tc>
      </w:tr>
      <w:tr>
        <w:trPr>
          <w:trHeight w:val="594"/>
        </w:trPr>
        <w:tc>
          <w:tcPr>
            <w:tcW w:w="1080" w:type="dxa"/>
            <w:vAlign w:val="bottom"/>
            <w:gridSpan w:val="3"/>
          </w:tcPr>
          <w:p>
            <w:pPr>
              <w:spacing w:after="0"/>
              <w:rPr>
                <w:sz w:val="20"/>
                <w:szCs w:val="20"/>
                <w:color w:val="auto"/>
              </w:rPr>
            </w:pPr>
            <w:r>
              <w:rPr>
                <w:rFonts w:ascii="Arial" w:cs="Arial" w:eastAsia="Arial" w:hAnsi="Arial"/>
                <w:sz w:val="16"/>
                <w:szCs w:val="16"/>
                <w:color w:val="auto"/>
              </w:rPr>
              <w:t>101.DEF*</w:t>
            </w:r>
          </w:p>
        </w:tc>
        <w:tc>
          <w:tcPr>
            <w:tcW w:w="9280" w:type="dxa"/>
            <w:vAlign w:val="bottom"/>
          </w:tcPr>
          <w:p>
            <w:pPr>
              <w:ind w:left="340"/>
              <w:spacing w:after="0"/>
              <w:rPr>
                <w:sz w:val="20"/>
                <w:szCs w:val="20"/>
                <w:color w:val="auto"/>
              </w:rPr>
            </w:pPr>
            <w:r>
              <w:rPr>
                <w:rFonts w:ascii="Arial" w:cs="Arial" w:eastAsia="Arial" w:hAnsi="Arial"/>
                <w:sz w:val="16"/>
                <w:szCs w:val="16"/>
                <w:color w:val="auto"/>
              </w:rPr>
              <w:t>XBRL Taxonomy Extension Definitions Linkbase Document</w:t>
            </w:r>
          </w:p>
        </w:tc>
      </w:tr>
      <w:tr>
        <w:trPr>
          <w:trHeight w:val="594"/>
        </w:trPr>
        <w:tc>
          <w:tcPr>
            <w:tcW w:w="1080" w:type="dxa"/>
            <w:vAlign w:val="bottom"/>
            <w:gridSpan w:val="3"/>
          </w:tcPr>
          <w:p>
            <w:pPr>
              <w:spacing w:after="0"/>
              <w:rPr>
                <w:sz w:val="20"/>
                <w:szCs w:val="20"/>
                <w:color w:val="auto"/>
              </w:rPr>
            </w:pPr>
            <w:r>
              <w:rPr>
                <w:rFonts w:ascii="Arial" w:cs="Arial" w:eastAsia="Arial" w:hAnsi="Arial"/>
                <w:sz w:val="16"/>
                <w:szCs w:val="16"/>
                <w:color w:val="auto"/>
              </w:rPr>
              <w:t>101.LAB*</w:t>
            </w:r>
          </w:p>
        </w:tc>
        <w:tc>
          <w:tcPr>
            <w:tcW w:w="9280" w:type="dxa"/>
            <w:vAlign w:val="bottom"/>
          </w:tcPr>
          <w:p>
            <w:pPr>
              <w:ind w:left="340"/>
              <w:spacing w:after="0"/>
              <w:rPr>
                <w:sz w:val="20"/>
                <w:szCs w:val="20"/>
                <w:color w:val="auto"/>
              </w:rPr>
            </w:pPr>
            <w:r>
              <w:rPr>
                <w:rFonts w:ascii="Arial" w:cs="Arial" w:eastAsia="Arial" w:hAnsi="Arial"/>
                <w:sz w:val="16"/>
                <w:szCs w:val="16"/>
                <w:color w:val="auto"/>
              </w:rPr>
              <w:t>XBRL Taxonomy Extension Label Linkbase Document</w:t>
            </w:r>
          </w:p>
        </w:tc>
      </w:tr>
      <w:tr>
        <w:trPr>
          <w:trHeight w:val="594"/>
        </w:trPr>
        <w:tc>
          <w:tcPr>
            <w:tcW w:w="1080" w:type="dxa"/>
            <w:vAlign w:val="bottom"/>
            <w:gridSpan w:val="3"/>
          </w:tcPr>
          <w:p>
            <w:pPr>
              <w:spacing w:after="0"/>
              <w:rPr>
                <w:sz w:val="20"/>
                <w:szCs w:val="20"/>
                <w:color w:val="auto"/>
              </w:rPr>
            </w:pPr>
            <w:r>
              <w:rPr>
                <w:rFonts w:ascii="Arial" w:cs="Arial" w:eastAsia="Arial" w:hAnsi="Arial"/>
                <w:sz w:val="16"/>
                <w:szCs w:val="16"/>
                <w:color w:val="auto"/>
              </w:rPr>
              <w:t>101.PRE*</w:t>
            </w:r>
          </w:p>
        </w:tc>
        <w:tc>
          <w:tcPr>
            <w:tcW w:w="9280" w:type="dxa"/>
            <w:vAlign w:val="bottom"/>
          </w:tcPr>
          <w:p>
            <w:pPr>
              <w:ind w:left="34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4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February 24, 2018 formatted in XBRL: (i) the Unaudited Condensed Consolidated Statements of Income and Comprehensive Income, (ii) the Unaudited Condensed Consolidated Balance Sheets, (iii) the Unaudited Condensed Consolidated Statement of Cash Flows, (iv) the Unaudited Consolidated Stockholders' Statement of Equity and (v) related notes to these financial statements. Such exhibits are deemed furnished and not filed pursuant to Rule 406T of Regulation S-T.</w:t>
      </w:r>
    </w:p>
    <w:p>
      <w:pPr>
        <w:sectPr>
          <w:pgSz w:w="11900" w:h="16838" w:orient="portrait"/>
          <w:cols w:equalWidth="0" w:num="1">
            <w:col w:w="11420"/>
          </w:cols>
          <w:pgMar w:left="240" w:top="14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WINNEBAGO INDUSTRIES, INC.</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140"/>
              <w:spacing w:after="0"/>
              <w:rPr>
                <w:sz w:val="20"/>
                <w:szCs w:val="20"/>
                <w:color w:val="auto"/>
              </w:rPr>
            </w:pPr>
            <w:r>
              <w:rPr>
                <w:rFonts w:ascii="Arial" w:cs="Arial" w:eastAsia="Arial" w:hAnsi="Arial"/>
                <w:sz w:val="16"/>
                <w:szCs w:val="16"/>
                <w:color w:val="auto"/>
              </w:rPr>
              <w:t>March 22, 2018</w:t>
            </w: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140"/>
              <w:spacing w:after="0"/>
              <w:rPr>
                <w:sz w:val="20"/>
                <w:szCs w:val="20"/>
                <w:color w:val="auto"/>
              </w:rPr>
            </w:pPr>
            <w:r>
              <w:rPr>
                <w:rFonts w:ascii="Arial" w:cs="Arial" w:eastAsia="Arial" w:hAnsi="Arial"/>
                <w:sz w:val="16"/>
                <w:szCs w:val="16"/>
                <w:color w:val="auto"/>
              </w:rPr>
              <w:t>March 22, 2018</w:t>
            </w: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31</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41" w:right="31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30"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certify that:</w:t>
      </w:r>
    </w:p>
    <w:p>
      <w:pPr>
        <w:spacing w:after="0" w:line="8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24, 2018, I, Michael J. Happe,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140" w:hanging="328"/>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24, 2018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00"/>
          </w:cols>
          <w:pgMar w:left="240" w:top="630" w:right="25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February 24, 2018, I, Bryan L. Hughes,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right="100" w:hanging="328"/>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February 24, 2018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7" Type="http://schemas.openxmlformats.org/officeDocument/2006/relationships/hyperlink" Target="http://www.sec.gov/Archives/edgar/data/107687/000089710100000673/0000897101-00-000673-index.htm" TargetMode="External"/><Relationship Id="rId18" Type="http://schemas.openxmlformats.org/officeDocument/2006/relationships/hyperlink" Target="http://www.sec.gov/Archives/edgar/data/107687/000089710110000643/0000897101-10-000643-index.htm" TargetMode="External"/><Relationship Id="rId19" Type="http://schemas.openxmlformats.org/officeDocument/2006/relationships/hyperlink" Target="http://www.sec.gov/Archives/edgar/data/107687/000010768717000131/0000107687-17-00013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2019-12-28T23:56:59Z</dcterms:created>
  <dcterms:modified xsi:type="dcterms:W3CDTF">2019-12-28T23:56:59Z</dcterms:modified>
</cp:coreProperties>
</file>